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2"/>
        </w:rPr>
      </w:pPr>
    </w:p>
    <w:p>
      <w:pPr>
        <w:spacing w:before="0" w:line="1469" w:lineRule="exact"/>
        <w:ind w:left="397" w:right="411" w:firstLine="0"/>
        <w:jc w:val="center"/>
        <w:rPr>
          <w:sz w:val="120"/>
        </w:rPr>
      </w:pPr>
      <w:r>
        <w:rPr>
          <w:sz w:val="120"/>
        </w:rPr>
        <w:t>竞争性磋商文件</w:t>
      </w:r>
    </w:p>
    <w:p>
      <w:pPr>
        <w:pStyle w:val="2"/>
        <w:rPr>
          <w:sz w:val="120"/>
        </w:rPr>
      </w:pPr>
    </w:p>
    <w:p>
      <w:pPr>
        <w:pStyle w:val="2"/>
        <w:spacing w:before="1"/>
        <w:rPr>
          <w:sz w:val="153"/>
        </w:rPr>
      </w:pPr>
    </w:p>
    <w:p>
      <w:pPr>
        <w:spacing w:before="1" w:line="364" w:lineRule="auto"/>
        <w:ind w:left="3030" w:leftChars="359" w:right="2862" w:hanging="2240" w:hangingChars="700"/>
        <w:jc w:val="both"/>
        <w:rPr>
          <w:rFonts w:hint="eastAsia"/>
          <w:sz w:val="32"/>
          <w:lang w:eastAsia="zh-CN"/>
        </w:rPr>
      </w:pPr>
      <w:r>
        <w:rPr>
          <w:sz w:val="32"/>
        </w:rPr>
        <w:t>采购项目名称：</w:t>
      </w:r>
      <w:r>
        <w:rPr>
          <w:rFonts w:hint="eastAsia"/>
          <w:sz w:val="32"/>
          <w:lang w:eastAsia="zh-CN"/>
        </w:rPr>
        <w:t>交通应急项目</w:t>
      </w:r>
    </w:p>
    <w:p>
      <w:pPr>
        <w:spacing w:before="1" w:line="364" w:lineRule="auto"/>
        <w:ind w:left="791" w:right="2862" w:firstLine="0"/>
        <w:jc w:val="both"/>
        <w:rPr>
          <w:rFonts w:hint="eastAsia"/>
          <w:w w:val="95"/>
          <w:sz w:val="32"/>
          <w:lang w:eastAsia="zh-CN"/>
        </w:rPr>
      </w:pPr>
      <w:r>
        <w:rPr>
          <w:w w:val="95"/>
          <w:sz w:val="32"/>
        </w:rPr>
        <w:t>采购项目编号：</w:t>
      </w:r>
      <w:r>
        <w:rPr>
          <w:rFonts w:hint="eastAsia"/>
          <w:w w:val="95"/>
          <w:sz w:val="32"/>
          <w:lang w:eastAsia="zh-CN"/>
        </w:rPr>
        <w:t>鸿利竞磋（货物）2020-034号</w:t>
      </w:r>
    </w:p>
    <w:p>
      <w:pPr>
        <w:spacing w:before="1" w:line="364" w:lineRule="auto"/>
        <w:ind w:left="791" w:right="2862" w:firstLine="0"/>
        <w:jc w:val="both"/>
        <w:rPr>
          <w:rFonts w:hint="eastAsia" w:eastAsia="宋体"/>
          <w:sz w:val="32"/>
          <w:lang w:eastAsia="zh-CN"/>
        </w:rPr>
      </w:pPr>
      <w:r>
        <w:rPr>
          <w:sz w:val="32"/>
        </w:rPr>
        <w:t>采购人：</w:t>
      </w:r>
      <w:r>
        <w:rPr>
          <w:rFonts w:hint="eastAsia"/>
          <w:sz w:val="32"/>
          <w:lang w:eastAsia="zh-CN"/>
        </w:rPr>
        <w:t>都兰县公安局交通管理大队</w:t>
      </w:r>
    </w:p>
    <w:p>
      <w:pPr>
        <w:pStyle w:val="2"/>
        <w:rPr>
          <w:sz w:val="32"/>
        </w:rPr>
      </w:pPr>
    </w:p>
    <w:p>
      <w:pPr>
        <w:pStyle w:val="2"/>
        <w:rPr>
          <w:sz w:val="32"/>
        </w:rPr>
      </w:pPr>
    </w:p>
    <w:p>
      <w:pPr>
        <w:pStyle w:val="2"/>
        <w:rPr>
          <w:sz w:val="32"/>
        </w:rPr>
      </w:pPr>
    </w:p>
    <w:p>
      <w:pPr>
        <w:pStyle w:val="2"/>
        <w:spacing w:before="1"/>
        <w:rPr>
          <w:sz w:val="33"/>
        </w:rPr>
      </w:pPr>
    </w:p>
    <w:p>
      <w:pPr>
        <w:spacing w:before="0"/>
        <w:ind w:left="395" w:right="412" w:firstLine="0"/>
        <w:jc w:val="center"/>
        <w:rPr>
          <w:rFonts w:hint="eastAsia" w:eastAsia="宋体"/>
          <w:sz w:val="32"/>
          <w:lang w:eastAsia="zh-CN"/>
        </w:rPr>
      </w:pPr>
      <w:r>
        <w:rPr>
          <w:sz w:val="32"/>
        </w:rPr>
        <w:t>采购代理机构：</w:t>
      </w:r>
      <w:r>
        <w:rPr>
          <w:rFonts w:hint="eastAsia"/>
          <w:sz w:val="32"/>
          <w:lang w:eastAsia="zh-CN"/>
        </w:rPr>
        <w:t>鸿利项目管理有限公司</w:t>
      </w:r>
    </w:p>
    <w:p>
      <w:pPr>
        <w:spacing w:before="212"/>
        <w:ind w:left="394" w:right="412" w:firstLine="0"/>
        <w:jc w:val="center"/>
        <w:rPr>
          <w:rFonts w:hint="eastAsia" w:eastAsia="宋体"/>
          <w:sz w:val="32"/>
          <w:lang w:eastAsia="zh-CN"/>
        </w:rPr>
      </w:pPr>
      <w:r>
        <w:rPr>
          <w:rFonts w:hint="eastAsia" w:ascii="Arial" w:eastAsia="宋体"/>
          <w:sz w:val="32"/>
          <w:lang w:eastAsia="zh-CN"/>
        </w:rPr>
        <w:t>2020 年 09 月</w:t>
      </w:r>
    </w:p>
    <w:p>
      <w:pPr>
        <w:spacing w:after="0"/>
        <w:jc w:val="center"/>
        <w:rPr>
          <w:sz w:val="32"/>
        </w:rPr>
        <w:sectPr>
          <w:type w:val="continuous"/>
          <w:pgSz w:w="11910" w:h="16840"/>
          <w:pgMar w:top="1580" w:right="720" w:bottom="280" w:left="740" w:header="720" w:footer="720" w:gutter="0"/>
        </w:sectPr>
      </w:pPr>
    </w:p>
    <w:p>
      <w:pPr>
        <w:spacing w:before="67"/>
        <w:ind w:left="397" w:right="410" w:firstLine="0"/>
        <w:jc w:val="center"/>
        <w:rPr>
          <w:sz w:val="36"/>
        </w:rPr>
      </w:pPr>
      <w:r>
        <w:rPr>
          <w:sz w:val="36"/>
        </w:rPr>
        <w:t>目录</w:t>
      </w:r>
    </w:p>
    <w:p>
      <w:pPr>
        <w:spacing w:after="0"/>
        <w:jc w:val="center"/>
        <w:rPr>
          <w:sz w:val="36"/>
        </w:rPr>
        <w:sectPr>
          <w:headerReference r:id="rId3" w:type="default"/>
          <w:footerReference r:id="rId4" w:type="default"/>
          <w:pgSz w:w="11910" w:h="16840"/>
          <w:pgMar w:top="1180" w:right="720" w:bottom="1254" w:left="740" w:header="711" w:footer="923" w:gutter="0"/>
          <w:pgNumType w:start="1"/>
        </w:sectPr>
      </w:pPr>
    </w:p>
    <w:sdt>
      <w:sdtPr>
        <w:id w:val="0"/>
        <w:docPartObj>
          <w:docPartGallery w:val="Table of Contents"/>
          <w:docPartUnique/>
        </w:docPartObj>
      </w:sdtPr>
      <w:sdtContent>
        <w:p>
          <w:pPr>
            <w:pStyle w:val="6"/>
            <w:tabs>
              <w:tab w:val="right" w:leader="dot" w:pos="9916"/>
            </w:tabs>
            <w:spacing w:before="238"/>
            <w:rPr>
              <w:rFonts w:ascii="Arial" w:eastAsia="Arial"/>
            </w:rPr>
          </w:pPr>
          <w:r>
            <w:fldChar w:fldCharType="begin"/>
          </w:r>
          <w:r>
            <w:instrText xml:space="preserve"> HYPERLINK \l "_TOC_250068" </w:instrText>
          </w:r>
          <w:r>
            <w:fldChar w:fldCharType="separate"/>
          </w:r>
          <w:r>
            <w:t>第一部分磋商邀请</w:t>
          </w:r>
          <w:r>
            <w:tab/>
          </w:r>
          <w:r>
            <w:rPr>
              <w:rFonts w:ascii="Arial" w:eastAsia="Arial"/>
            </w:rPr>
            <w:t>4</w:t>
          </w:r>
          <w:r>
            <w:rPr>
              <w:rFonts w:ascii="Arial" w:eastAsia="Arial"/>
            </w:rPr>
            <w:fldChar w:fldCharType="end"/>
          </w:r>
        </w:p>
        <w:p>
          <w:pPr>
            <w:pStyle w:val="6"/>
            <w:tabs>
              <w:tab w:val="right" w:leader="dot" w:pos="9916"/>
            </w:tabs>
            <w:spacing w:before="160"/>
            <w:rPr>
              <w:rFonts w:ascii="Arial" w:eastAsia="Arial"/>
            </w:rPr>
          </w:pPr>
          <w:r>
            <w:fldChar w:fldCharType="begin"/>
          </w:r>
          <w:r>
            <w:instrText xml:space="preserve"> HYPERLINK \l "_TOC_250067" </w:instrText>
          </w:r>
          <w:r>
            <w:fldChar w:fldCharType="separate"/>
          </w:r>
          <w:r>
            <w:t>第二部分投标人须知前附表</w:t>
          </w:r>
          <w:r>
            <w:tab/>
          </w:r>
          <w:r>
            <w:rPr>
              <w:rFonts w:ascii="Arial" w:eastAsia="Arial"/>
            </w:rPr>
            <w:t>7</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"_TOC_250066" </w:instrText>
          </w:r>
          <w:r>
            <w:fldChar w:fldCharType="separate"/>
          </w:r>
          <w:r>
            <w:t>第三部分投标人须知</w:t>
          </w:r>
          <w:r>
            <w:tab/>
          </w:r>
          <w:r>
            <w:rPr>
              <w:rFonts w:ascii="Arial" w:eastAsia="Arial"/>
            </w:rPr>
            <w:t>10</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"_TOC_250065" </w:instrText>
          </w:r>
          <w:r>
            <w:fldChar w:fldCharType="separate"/>
          </w:r>
          <w:r>
            <w:t>一、说明</w:t>
          </w:r>
          <w:r>
            <w:tab/>
          </w:r>
          <w:r>
            <w:rPr>
              <w:rFonts w:ascii="Arial" w:eastAsia="Arial"/>
            </w:rPr>
            <w:t>10</w:t>
          </w:r>
          <w:r>
            <w:rPr>
              <w:rFonts w:ascii="Arial" w:eastAsia="Arial"/>
            </w:rPr>
            <w:fldChar w:fldCharType="end"/>
          </w:r>
        </w:p>
        <w:p>
          <w:pPr>
            <w:pStyle w:val="6"/>
            <w:numPr>
              <w:ilvl w:val="0"/>
              <w:numId w:val="1"/>
            </w:numPr>
            <w:tabs>
              <w:tab w:val="left" w:pos="715"/>
              <w:tab w:val="right" w:leader="dot" w:pos="9920"/>
            </w:tabs>
            <w:spacing w:before="160" w:after="0" w:line="240" w:lineRule="auto"/>
            <w:ind w:left="714" w:right="0" w:hanging="203"/>
            <w:jc w:val="left"/>
            <w:rPr>
              <w:rFonts w:ascii="Arial" w:eastAsia="Arial"/>
            </w:rPr>
          </w:pPr>
          <w:r>
            <w:fldChar w:fldCharType="begin"/>
          </w:r>
          <w:r>
            <w:instrText xml:space="preserve"> HYPERLINK \l "_TOC_250064" </w:instrText>
          </w:r>
          <w:r>
            <w:fldChar w:fldCharType="separate"/>
          </w:r>
          <w:r>
            <w:t>适用范围</w:t>
          </w:r>
          <w:r>
            <w:tab/>
          </w:r>
          <w:r>
            <w:rPr>
              <w:rFonts w:ascii="Arial" w:eastAsia="Arial"/>
            </w:rPr>
            <w:t>10</w:t>
          </w:r>
          <w:r>
            <w:rPr>
              <w:rFonts w:ascii="Arial" w:eastAsia="Arial"/>
            </w:rPr>
            <w:fldChar w:fldCharType="end"/>
          </w:r>
        </w:p>
        <w:p>
          <w:pPr>
            <w:pStyle w:val="6"/>
            <w:numPr>
              <w:ilvl w:val="0"/>
              <w:numId w:val="1"/>
            </w:numPr>
            <w:tabs>
              <w:tab w:val="left" w:pos="715"/>
              <w:tab w:val="right" w:leader="dot" w:pos="9920"/>
            </w:tabs>
            <w:spacing w:before="158" w:after="0" w:line="240" w:lineRule="auto"/>
            <w:ind w:left="714" w:right="0" w:hanging="203"/>
            <w:jc w:val="left"/>
            <w:rPr>
              <w:rFonts w:ascii="Arial" w:eastAsia="Arial"/>
            </w:rPr>
          </w:pPr>
          <w:r>
            <w:fldChar w:fldCharType="begin"/>
          </w:r>
          <w:r>
            <w:instrText xml:space="preserve"> HYPERLINK \l "_TOC_250063" </w:instrText>
          </w:r>
          <w:r>
            <w:fldChar w:fldCharType="separate"/>
          </w:r>
          <w:r>
            <w:t>采购方式、合格的</w:t>
          </w:r>
          <w:r>
            <w:rPr>
              <w:spacing w:val="-3"/>
            </w:rPr>
            <w:t>投</w:t>
          </w:r>
          <w:r>
            <w:t>标人</w:t>
          </w:r>
          <w:r>
            <w:tab/>
          </w:r>
          <w:r>
            <w:rPr>
              <w:rFonts w:ascii="Arial" w:eastAsia="Arial"/>
            </w:rPr>
            <w:t>10</w:t>
          </w:r>
          <w:r>
            <w:rPr>
              <w:rFonts w:ascii="Arial" w:eastAsia="Arial"/>
            </w:rPr>
            <w:fldChar w:fldCharType="end"/>
          </w:r>
        </w:p>
        <w:p>
          <w:pPr>
            <w:pStyle w:val="6"/>
            <w:numPr>
              <w:ilvl w:val="0"/>
              <w:numId w:val="1"/>
            </w:numPr>
            <w:tabs>
              <w:tab w:val="left" w:pos="715"/>
              <w:tab w:val="right" w:leader="dot" w:pos="9920"/>
            </w:tabs>
            <w:spacing w:before="161" w:after="0" w:line="240" w:lineRule="auto"/>
            <w:ind w:left="714" w:right="0" w:hanging="203"/>
            <w:jc w:val="left"/>
            <w:rPr>
              <w:rFonts w:ascii="Arial" w:eastAsia="Arial"/>
            </w:rPr>
          </w:pPr>
          <w:r>
            <w:fldChar w:fldCharType="begin"/>
          </w:r>
          <w:r>
            <w:instrText xml:space="preserve"> HYPERLINK \l "_TOC_250062" </w:instrText>
          </w:r>
          <w:r>
            <w:fldChar w:fldCharType="separate"/>
          </w:r>
          <w:r>
            <w:t>磋商费用</w:t>
          </w:r>
          <w:r>
            <w:tab/>
          </w:r>
          <w:r>
            <w:rPr>
              <w:rFonts w:ascii="Arial" w:eastAsia="Arial"/>
            </w:rPr>
            <w:t>10</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"_TOC_250061" </w:instrText>
          </w:r>
          <w:r>
            <w:fldChar w:fldCharType="separate"/>
          </w:r>
          <w:r>
            <w:t>二、磋商文件说明</w:t>
          </w:r>
          <w:r>
            <w:tab/>
          </w:r>
          <w:r>
            <w:rPr>
              <w:rFonts w:ascii="Arial" w:eastAsia="Arial"/>
            </w:rPr>
            <w:t>10</w:t>
          </w:r>
          <w:r>
            <w:rPr>
              <w:rFonts w:ascii="Arial" w:eastAsia="Arial"/>
            </w:rPr>
            <w:fldChar w:fldCharType="end"/>
          </w:r>
        </w:p>
        <w:p>
          <w:pPr>
            <w:pStyle w:val="6"/>
            <w:numPr>
              <w:ilvl w:val="0"/>
              <w:numId w:val="1"/>
            </w:numPr>
            <w:tabs>
              <w:tab w:val="left" w:pos="715"/>
              <w:tab w:val="right" w:leader="dot" w:pos="9920"/>
            </w:tabs>
            <w:spacing w:before="161" w:after="0" w:line="240" w:lineRule="auto"/>
            <w:ind w:left="714" w:right="0" w:hanging="203"/>
            <w:jc w:val="left"/>
            <w:rPr>
              <w:rFonts w:ascii="Arial" w:eastAsia="Arial"/>
            </w:rPr>
          </w:pPr>
          <w:r>
            <w:fldChar w:fldCharType="begin"/>
          </w:r>
          <w:r>
            <w:instrText xml:space="preserve"> HYPERLINK \l "_TOC_250060" </w:instrText>
          </w:r>
          <w:r>
            <w:fldChar w:fldCharType="separate"/>
          </w:r>
          <w:r>
            <w:t>磋商文件的构成</w:t>
          </w:r>
          <w:r>
            <w:tab/>
          </w:r>
          <w:r>
            <w:rPr>
              <w:rFonts w:ascii="Arial" w:eastAsia="Arial"/>
            </w:rPr>
            <w:t>10</w:t>
          </w:r>
          <w:r>
            <w:rPr>
              <w:rFonts w:ascii="Arial" w:eastAsia="Arial"/>
            </w:rPr>
            <w:fldChar w:fldCharType="end"/>
          </w:r>
        </w:p>
        <w:p>
          <w:pPr>
            <w:pStyle w:val="6"/>
            <w:numPr>
              <w:ilvl w:val="0"/>
              <w:numId w:val="1"/>
            </w:numPr>
            <w:tabs>
              <w:tab w:val="left" w:pos="715"/>
              <w:tab w:val="right" w:leader="dot" w:pos="9920"/>
            </w:tabs>
            <w:spacing w:before="158" w:after="0" w:line="240" w:lineRule="auto"/>
            <w:ind w:left="714" w:right="0" w:hanging="203"/>
            <w:jc w:val="left"/>
            <w:rPr>
              <w:rFonts w:ascii="Arial" w:eastAsia="Arial"/>
            </w:rPr>
          </w:pPr>
          <w:r>
            <w:fldChar w:fldCharType="begin"/>
          </w:r>
          <w:r>
            <w:instrText xml:space="preserve"> HYPERLINK \l "_TOC_250059" </w:instrText>
          </w:r>
          <w:r>
            <w:fldChar w:fldCharType="separate"/>
          </w:r>
          <w:r>
            <w:t>磋商文件、磋商活</w:t>
          </w:r>
          <w:r>
            <w:rPr>
              <w:spacing w:val="-3"/>
            </w:rPr>
            <w:t>动</w:t>
          </w:r>
          <w:r>
            <w:t>和中标结果的质疑</w:t>
          </w:r>
          <w:r>
            <w:tab/>
          </w:r>
          <w:r>
            <w:rPr>
              <w:rFonts w:ascii="Arial" w:eastAsia="Arial"/>
            </w:rPr>
            <w:t>10</w:t>
          </w:r>
          <w:r>
            <w:rPr>
              <w:rFonts w:ascii="Arial" w:eastAsia="Arial"/>
            </w:rPr>
            <w:fldChar w:fldCharType="end"/>
          </w:r>
        </w:p>
        <w:p>
          <w:pPr>
            <w:pStyle w:val="6"/>
            <w:numPr>
              <w:ilvl w:val="0"/>
              <w:numId w:val="1"/>
            </w:numPr>
            <w:tabs>
              <w:tab w:val="left" w:pos="715"/>
              <w:tab w:val="right" w:leader="dot" w:pos="9903"/>
            </w:tabs>
            <w:spacing w:before="161" w:after="0" w:line="240" w:lineRule="auto"/>
            <w:ind w:left="714" w:right="0" w:hanging="203"/>
            <w:jc w:val="left"/>
            <w:rPr>
              <w:rFonts w:ascii="Arial" w:eastAsia="Arial"/>
            </w:rPr>
          </w:pPr>
          <w:r>
            <w:fldChar w:fldCharType="begin"/>
          </w:r>
          <w:r>
            <w:instrText xml:space="preserve"> HYPERLINK \l "_TOC_250058" </w:instrText>
          </w:r>
          <w:r>
            <w:fldChar w:fldCharType="separate"/>
          </w:r>
          <w:r>
            <w:t>磋商文件的修改</w:t>
          </w:r>
          <w:r>
            <w:tab/>
          </w:r>
          <w:r>
            <w:rPr>
              <w:rFonts w:ascii="Arial" w:eastAsia="Arial"/>
              <w:spacing w:val="-16"/>
            </w:rPr>
            <w:t>11</w:t>
          </w:r>
          <w:r>
            <w:rPr>
              <w:rFonts w:ascii="Arial" w:eastAsia="Arial"/>
              <w:spacing w:val="-16"/>
            </w:rPr>
            <w:fldChar w:fldCharType="end"/>
          </w:r>
        </w:p>
        <w:p>
          <w:pPr>
            <w:pStyle w:val="6"/>
            <w:tabs>
              <w:tab w:val="right" w:leader="dot" w:pos="9903"/>
            </w:tabs>
            <w:rPr>
              <w:rFonts w:ascii="Arial" w:eastAsia="Arial"/>
            </w:rPr>
          </w:pPr>
          <w:r>
            <w:fldChar w:fldCharType="begin"/>
          </w:r>
          <w:r>
            <w:instrText xml:space="preserve"> HYPERLINK \l "_TOC_250057" </w:instrText>
          </w:r>
          <w:r>
            <w:fldChar w:fldCharType="separate"/>
          </w:r>
          <w:r>
            <w:t>三、磋商文件的编制</w:t>
          </w:r>
          <w:r>
            <w:tab/>
          </w:r>
          <w:r>
            <w:rPr>
              <w:rFonts w:ascii="Arial" w:eastAsia="Arial"/>
              <w:spacing w:val="-16"/>
            </w:rPr>
            <w:t>11</w:t>
          </w:r>
          <w:r>
            <w:rPr>
              <w:rFonts w:ascii="Arial" w:eastAsia="Arial"/>
              <w:spacing w:val="-16"/>
            </w:rPr>
            <w:fldChar w:fldCharType="end"/>
          </w:r>
        </w:p>
        <w:p>
          <w:pPr>
            <w:pStyle w:val="6"/>
            <w:numPr>
              <w:ilvl w:val="0"/>
              <w:numId w:val="1"/>
            </w:numPr>
            <w:tabs>
              <w:tab w:val="left" w:pos="715"/>
              <w:tab w:val="right" w:leader="dot" w:pos="9903"/>
            </w:tabs>
            <w:spacing w:before="160" w:after="0" w:line="240" w:lineRule="auto"/>
            <w:ind w:left="714" w:right="0" w:hanging="203"/>
            <w:jc w:val="left"/>
            <w:rPr>
              <w:rFonts w:ascii="Arial" w:eastAsia="Arial"/>
            </w:rPr>
          </w:pPr>
          <w:r>
            <w:fldChar w:fldCharType="begin"/>
          </w:r>
          <w:r>
            <w:instrText xml:space="preserve"> HYPERLINK \l "_TOC_250056" </w:instrText>
          </w:r>
          <w:r>
            <w:fldChar w:fldCharType="separate"/>
          </w:r>
          <w:r>
            <w:t>磋商文件的语言及</w:t>
          </w:r>
          <w:r>
            <w:rPr>
              <w:spacing w:val="-3"/>
            </w:rPr>
            <w:t>度</w:t>
          </w:r>
          <w:r>
            <w:t>量衡单位</w:t>
          </w:r>
          <w:r>
            <w:tab/>
          </w:r>
          <w:r>
            <w:rPr>
              <w:rFonts w:ascii="Arial" w:eastAsia="Arial"/>
              <w:spacing w:val="-16"/>
            </w:rPr>
            <w:t>11</w:t>
          </w:r>
          <w:r>
            <w:rPr>
              <w:rFonts w:ascii="Arial" w:eastAsia="Arial"/>
              <w:spacing w:val="-16"/>
            </w:rPr>
            <w:fldChar w:fldCharType="end"/>
          </w:r>
        </w:p>
        <w:p>
          <w:pPr>
            <w:pStyle w:val="6"/>
            <w:numPr>
              <w:ilvl w:val="0"/>
              <w:numId w:val="1"/>
            </w:numPr>
            <w:tabs>
              <w:tab w:val="left" w:pos="715"/>
              <w:tab w:val="right" w:leader="dot" w:pos="9903"/>
            </w:tabs>
            <w:spacing w:before="158" w:after="0" w:line="240" w:lineRule="auto"/>
            <w:ind w:left="714" w:right="0" w:hanging="203"/>
            <w:jc w:val="left"/>
            <w:rPr>
              <w:rFonts w:ascii="Arial" w:eastAsia="Arial"/>
            </w:rPr>
          </w:pPr>
          <w:r>
            <w:fldChar w:fldCharType="begin"/>
          </w:r>
          <w:r>
            <w:instrText xml:space="preserve"> HYPERLINK \l "_TOC_250055" </w:instrText>
          </w:r>
          <w:r>
            <w:fldChar w:fldCharType="separate"/>
          </w:r>
          <w:r>
            <w:t>磋商报价及币种</w:t>
          </w:r>
          <w:r>
            <w:tab/>
          </w:r>
          <w:r>
            <w:rPr>
              <w:rFonts w:ascii="Arial" w:eastAsia="Arial"/>
              <w:spacing w:val="-16"/>
            </w:rPr>
            <w:t>11</w:t>
          </w:r>
          <w:r>
            <w:rPr>
              <w:rFonts w:ascii="Arial" w:eastAsia="Arial"/>
              <w:spacing w:val="-16"/>
            </w:rPr>
            <w:fldChar w:fldCharType="end"/>
          </w:r>
        </w:p>
        <w:p>
          <w:pPr>
            <w:pStyle w:val="6"/>
            <w:numPr>
              <w:ilvl w:val="0"/>
              <w:numId w:val="1"/>
            </w:numPr>
            <w:tabs>
              <w:tab w:val="left" w:pos="715"/>
              <w:tab w:val="right" w:leader="dot" w:pos="9920"/>
            </w:tabs>
            <w:spacing w:before="161" w:after="0" w:line="240" w:lineRule="auto"/>
            <w:ind w:left="714" w:right="0" w:hanging="203"/>
            <w:jc w:val="left"/>
            <w:rPr>
              <w:rFonts w:ascii="Arial" w:eastAsia="Arial"/>
            </w:rPr>
          </w:pPr>
          <w:r>
            <w:fldChar w:fldCharType="begin"/>
          </w:r>
          <w:r>
            <w:instrText xml:space="preserve"> HYPERLINK \l "_TOC_250054" </w:instrText>
          </w:r>
          <w:r>
            <w:fldChar w:fldCharType="separate"/>
          </w:r>
          <w:r>
            <w:t>磋商保证金</w:t>
          </w:r>
          <w:r>
            <w:tab/>
          </w:r>
          <w:r>
            <w:rPr>
              <w:rFonts w:ascii="Arial" w:eastAsia="Arial"/>
            </w:rPr>
            <w:t>12</w:t>
          </w:r>
          <w:r>
            <w:rPr>
              <w:rFonts w:ascii="Arial" w:eastAsia="Arial"/>
            </w:rPr>
            <w:fldChar w:fldCharType="end"/>
          </w:r>
        </w:p>
        <w:p>
          <w:pPr>
            <w:pStyle w:val="6"/>
            <w:numPr>
              <w:ilvl w:val="0"/>
              <w:numId w:val="1"/>
            </w:numPr>
            <w:tabs>
              <w:tab w:val="left" w:pos="850"/>
              <w:tab w:val="right" w:leader="dot" w:pos="9920"/>
            </w:tabs>
            <w:spacing w:before="158" w:after="0" w:line="240" w:lineRule="auto"/>
            <w:ind w:left="849" w:right="0" w:hanging="338"/>
            <w:jc w:val="left"/>
            <w:rPr>
              <w:rFonts w:ascii="Arial" w:eastAsia="Arial"/>
            </w:rPr>
          </w:pPr>
          <w:r>
            <w:fldChar w:fldCharType="begin"/>
          </w:r>
          <w:r>
            <w:instrText xml:space="preserve"> HYPERLINK \l "_TOC_250053" </w:instrText>
          </w:r>
          <w:r>
            <w:fldChar w:fldCharType="separate"/>
          </w:r>
          <w:r>
            <w:t>磋商有效期</w:t>
          </w:r>
          <w:r>
            <w:tab/>
          </w:r>
          <w:r>
            <w:rPr>
              <w:rFonts w:ascii="Arial" w:eastAsia="Arial"/>
            </w:rPr>
            <w:t>12</w:t>
          </w:r>
          <w:r>
            <w:rPr>
              <w:rFonts w:ascii="Arial" w:eastAsia="Arial"/>
            </w:rPr>
            <w:fldChar w:fldCharType="end"/>
          </w:r>
        </w:p>
        <w:p>
          <w:pPr>
            <w:pStyle w:val="6"/>
            <w:numPr>
              <w:ilvl w:val="0"/>
              <w:numId w:val="1"/>
            </w:numPr>
            <w:tabs>
              <w:tab w:val="left" w:pos="833"/>
              <w:tab w:val="right" w:leader="dot" w:pos="9920"/>
            </w:tabs>
            <w:spacing w:before="161" w:after="0" w:line="240" w:lineRule="auto"/>
            <w:ind w:left="832" w:right="0" w:hanging="321"/>
            <w:jc w:val="left"/>
            <w:rPr>
              <w:rFonts w:ascii="Arial" w:eastAsia="Arial"/>
            </w:rPr>
          </w:pPr>
          <w:r>
            <w:fldChar w:fldCharType="begin"/>
          </w:r>
          <w:r>
            <w:instrText xml:space="preserve"> HYPERLINK \l "_TOC_250052" </w:instrText>
          </w:r>
          <w:r>
            <w:fldChar w:fldCharType="separate"/>
          </w:r>
          <w:r>
            <w:t>响应文件构成</w:t>
          </w:r>
          <w:r>
            <w:tab/>
          </w:r>
          <w:r>
            <w:rPr>
              <w:rFonts w:ascii="Arial" w:eastAsia="Arial"/>
            </w:rPr>
            <w:t>12</w:t>
          </w:r>
          <w:r>
            <w:rPr>
              <w:rFonts w:ascii="Arial" w:eastAsia="Arial"/>
            </w:rPr>
            <w:fldChar w:fldCharType="end"/>
          </w:r>
        </w:p>
        <w:p>
          <w:pPr>
            <w:pStyle w:val="6"/>
            <w:numPr>
              <w:ilvl w:val="0"/>
              <w:numId w:val="1"/>
            </w:numPr>
            <w:tabs>
              <w:tab w:val="left" w:pos="970"/>
              <w:tab w:val="right" w:leader="dot" w:pos="9920"/>
            </w:tabs>
            <w:spacing w:before="158" w:after="0" w:line="240" w:lineRule="auto"/>
            <w:ind w:left="969" w:right="0" w:hanging="458"/>
            <w:jc w:val="left"/>
            <w:rPr>
              <w:rFonts w:ascii="Arial" w:eastAsia="Arial"/>
            </w:rPr>
          </w:pPr>
          <w:r>
            <w:fldChar w:fldCharType="begin"/>
          </w:r>
          <w:r>
            <w:instrText xml:space="preserve"> HYPERLINK \l "_TOC_250051" </w:instrText>
          </w:r>
          <w:r>
            <w:fldChar w:fldCharType="separate"/>
          </w:r>
          <w:r>
            <w:t>磋商文件的编制</w:t>
          </w:r>
          <w:r>
            <w:rPr>
              <w:spacing w:val="-3"/>
            </w:rPr>
            <w:t>要</w:t>
          </w:r>
          <w:r>
            <w:t>求</w:t>
          </w:r>
          <w:r>
            <w:tab/>
          </w:r>
          <w:r>
            <w:rPr>
              <w:rFonts w:ascii="Arial" w:eastAsia="Arial"/>
            </w:rPr>
            <w:t>13</w:t>
          </w:r>
          <w:r>
            <w:rPr>
              <w:rFonts w:ascii="Arial" w:eastAsia="Arial"/>
            </w:rPr>
            <w:fldChar w:fldCharType="end"/>
          </w:r>
        </w:p>
        <w:p>
          <w:pPr>
            <w:pStyle w:val="6"/>
            <w:tabs>
              <w:tab w:val="right" w:leader="dot" w:pos="9920"/>
            </w:tabs>
            <w:spacing w:before="160"/>
            <w:rPr>
              <w:rFonts w:ascii="Arial" w:eastAsia="Arial"/>
            </w:rPr>
          </w:pPr>
          <w:r>
            <w:fldChar w:fldCharType="begin"/>
          </w:r>
          <w:r>
            <w:instrText xml:space="preserve"> HYPERLINK \l "_TOC_250050" </w:instrText>
          </w:r>
          <w:r>
            <w:fldChar w:fldCharType="separate"/>
          </w:r>
          <w:r>
            <w:t>四、磋商响应文件的递交</w:t>
          </w:r>
          <w:r>
            <w:tab/>
          </w:r>
          <w:r>
            <w:rPr>
              <w:rFonts w:ascii="Arial" w:eastAsia="Arial"/>
            </w:rPr>
            <w:t>14</w:t>
          </w:r>
          <w:r>
            <w:rPr>
              <w:rFonts w:ascii="Arial" w:eastAsia="Arial"/>
            </w:rPr>
            <w:fldChar w:fldCharType="end"/>
          </w:r>
        </w:p>
        <w:p>
          <w:pPr>
            <w:pStyle w:val="6"/>
            <w:numPr>
              <w:ilvl w:val="0"/>
              <w:numId w:val="1"/>
            </w:numPr>
            <w:tabs>
              <w:tab w:val="left" w:pos="970"/>
              <w:tab w:val="right" w:leader="dot" w:pos="9920"/>
            </w:tabs>
            <w:spacing w:before="158" w:after="0" w:line="240" w:lineRule="auto"/>
            <w:ind w:left="969" w:right="0" w:hanging="458"/>
            <w:jc w:val="left"/>
            <w:rPr>
              <w:rFonts w:ascii="Arial" w:eastAsia="Arial"/>
            </w:rPr>
          </w:pPr>
          <w:r>
            <w:fldChar w:fldCharType="begin"/>
          </w:r>
          <w:r>
            <w:instrText xml:space="preserve"> HYPERLINK \l "_TOC_250049" </w:instrText>
          </w:r>
          <w:r>
            <w:fldChar w:fldCharType="separate"/>
          </w:r>
          <w:r>
            <w:t>磋商响应文件的</w:t>
          </w:r>
          <w:r>
            <w:rPr>
              <w:spacing w:val="-3"/>
            </w:rPr>
            <w:t>密</w:t>
          </w:r>
          <w:r>
            <w:t>封和标记</w:t>
          </w:r>
          <w:r>
            <w:tab/>
          </w:r>
          <w:r>
            <w:rPr>
              <w:rFonts w:ascii="Arial" w:eastAsia="Arial"/>
            </w:rPr>
            <w:t>14</w:t>
          </w:r>
          <w:r>
            <w:rPr>
              <w:rFonts w:ascii="Arial" w:eastAsia="Arial"/>
            </w:rPr>
            <w:fldChar w:fldCharType="end"/>
          </w:r>
        </w:p>
        <w:p>
          <w:pPr>
            <w:pStyle w:val="6"/>
            <w:numPr>
              <w:ilvl w:val="0"/>
              <w:numId w:val="1"/>
            </w:numPr>
            <w:tabs>
              <w:tab w:val="left" w:pos="970"/>
              <w:tab w:val="right" w:leader="dot" w:pos="9920"/>
            </w:tabs>
            <w:spacing w:before="161" w:after="0" w:line="240" w:lineRule="auto"/>
            <w:ind w:left="969" w:right="0" w:hanging="458"/>
            <w:jc w:val="left"/>
            <w:rPr>
              <w:rFonts w:ascii="Arial" w:eastAsia="Arial"/>
            </w:rPr>
          </w:pPr>
          <w:r>
            <w:fldChar w:fldCharType="begin"/>
          </w:r>
          <w:r>
            <w:instrText xml:space="preserve"> HYPERLINK \l "_TOC_250048" </w:instrText>
          </w:r>
          <w:r>
            <w:fldChar w:fldCharType="separate"/>
          </w:r>
          <w:r>
            <w:t>递送磋商响应文</w:t>
          </w:r>
          <w:r>
            <w:rPr>
              <w:spacing w:val="-3"/>
            </w:rPr>
            <w:t>件</w:t>
          </w:r>
          <w:r>
            <w:t>的地点、截止日期</w:t>
          </w:r>
          <w:r>
            <w:tab/>
          </w:r>
          <w:r>
            <w:rPr>
              <w:rFonts w:ascii="Arial" w:eastAsia="Arial"/>
            </w:rPr>
            <w:t>14</w:t>
          </w:r>
          <w:r>
            <w:rPr>
              <w:rFonts w:ascii="Arial" w:eastAsia="Arial"/>
            </w:rPr>
            <w:fldChar w:fldCharType="end"/>
          </w:r>
        </w:p>
        <w:p>
          <w:pPr>
            <w:pStyle w:val="6"/>
            <w:numPr>
              <w:ilvl w:val="0"/>
              <w:numId w:val="1"/>
            </w:numPr>
            <w:tabs>
              <w:tab w:val="left" w:pos="970"/>
              <w:tab w:val="right" w:leader="dot" w:pos="9920"/>
            </w:tabs>
            <w:spacing w:before="160" w:after="0" w:line="240" w:lineRule="auto"/>
            <w:ind w:left="969" w:right="0" w:hanging="458"/>
            <w:jc w:val="left"/>
            <w:rPr>
              <w:rFonts w:ascii="Arial" w:eastAsia="Arial"/>
            </w:rPr>
          </w:pPr>
          <w:r>
            <w:fldChar w:fldCharType="begin"/>
          </w:r>
          <w:r>
            <w:instrText xml:space="preserve"> HYPERLINK \l "_TOC_250047" </w:instrText>
          </w:r>
          <w:r>
            <w:fldChar w:fldCharType="separate"/>
          </w:r>
          <w:r>
            <w:t>磋商响应文件的</w:t>
          </w:r>
          <w:r>
            <w:rPr>
              <w:spacing w:val="-3"/>
            </w:rPr>
            <w:t>撤</w:t>
          </w:r>
          <w:r>
            <w:t>回和修改</w:t>
          </w:r>
          <w:r>
            <w:tab/>
          </w:r>
          <w:r>
            <w:rPr>
              <w:rFonts w:ascii="Arial" w:eastAsia="Arial"/>
            </w:rPr>
            <w:t>14</w:t>
          </w:r>
          <w:r>
            <w:rPr>
              <w:rFonts w:ascii="Arial" w:eastAsia="Arial"/>
            </w:rPr>
            <w:fldChar w:fldCharType="end"/>
          </w:r>
        </w:p>
        <w:p>
          <w:pPr>
            <w:pStyle w:val="6"/>
            <w:tabs>
              <w:tab w:val="right" w:leader="dot" w:pos="9920"/>
            </w:tabs>
            <w:spacing w:before="159"/>
            <w:rPr>
              <w:rFonts w:ascii="Arial" w:eastAsia="Arial"/>
            </w:rPr>
          </w:pPr>
          <w:r>
            <w:fldChar w:fldCharType="begin"/>
          </w:r>
          <w:r>
            <w:instrText xml:space="preserve"> HYPERLINK \l "_TOC_250046" </w:instrText>
          </w:r>
          <w:r>
            <w:fldChar w:fldCharType="separate"/>
          </w:r>
          <w:r>
            <w:t>五、开标</w:t>
          </w:r>
          <w:r>
            <w:tab/>
          </w:r>
          <w:r>
            <w:rPr>
              <w:rFonts w:ascii="Arial" w:eastAsia="Arial"/>
            </w:rPr>
            <w:t>15</w:t>
          </w:r>
          <w:r>
            <w:rPr>
              <w:rFonts w:ascii="Arial" w:eastAsia="Arial"/>
            </w:rPr>
            <w:fldChar w:fldCharType="end"/>
          </w:r>
        </w:p>
        <w:p>
          <w:pPr>
            <w:pStyle w:val="6"/>
            <w:numPr>
              <w:ilvl w:val="0"/>
              <w:numId w:val="1"/>
            </w:numPr>
            <w:tabs>
              <w:tab w:val="left" w:pos="850"/>
              <w:tab w:val="right" w:leader="dot" w:pos="9920"/>
            </w:tabs>
            <w:spacing w:before="160" w:after="0" w:line="240" w:lineRule="auto"/>
            <w:ind w:left="849" w:right="0" w:hanging="338"/>
            <w:jc w:val="left"/>
            <w:rPr>
              <w:rFonts w:ascii="Arial" w:eastAsia="Arial"/>
            </w:rPr>
          </w:pPr>
          <w:r>
            <w:fldChar w:fldCharType="begin"/>
          </w:r>
          <w:r>
            <w:instrText xml:space="preserve"> HYPERLINK \l "_TOC_250045" </w:instrText>
          </w:r>
          <w:r>
            <w:fldChar w:fldCharType="separate"/>
          </w:r>
          <w:r>
            <w:t>磋商过程</w:t>
          </w:r>
          <w:r>
            <w:tab/>
          </w:r>
          <w:r>
            <w:rPr>
              <w:rFonts w:ascii="Arial" w:eastAsia="Arial"/>
            </w:rPr>
            <w:t>15</w:t>
          </w:r>
          <w:r>
            <w:rPr>
              <w:rFonts w:ascii="Arial" w:eastAsia="Arial"/>
            </w:rPr>
            <w:fldChar w:fldCharType="end"/>
          </w:r>
        </w:p>
        <w:p>
          <w:pPr>
            <w:pStyle w:val="6"/>
            <w:tabs>
              <w:tab w:val="right" w:leader="dot" w:pos="9920"/>
            </w:tabs>
            <w:spacing w:before="159"/>
            <w:rPr>
              <w:rFonts w:ascii="Arial" w:eastAsia="Arial"/>
            </w:rPr>
          </w:pPr>
          <w:r>
            <w:fldChar w:fldCharType="begin"/>
          </w:r>
          <w:r>
            <w:instrText xml:space="preserve"> HYPERLINK \l "_TOC_250044" </w:instrText>
          </w:r>
          <w:r>
            <w:fldChar w:fldCharType="separate"/>
          </w:r>
          <w:r>
            <w:t>六、评审程序及方法</w:t>
          </w:r>
          <w:r>
            <w:tab/>
          </w:r>
          <w:r>
            <w:rPr>
              <w:rFonts w:ascii="Arial" w:eastAsia="Arial"/>
            </w:rPr>
            <w:t>15</w:t>
          </w:r>
          <w:r>
            <w:rPr>
              <w:rFonts w:ascii="Arial" w:eastAsia="Arial"/>
            </w:rPr>
            <w:fldChar w:fldCharType="end"/>
          </w:r>
        </w:p>
        <w:p>
          <w:pPr>
            <w:pStyle w:val="6"/>
            <w:tabs>
              <w:tab w:val="right" w:leader="dot" w:pos="9920"/>
            </w:tabs>
            <w:spacing w:before="160"/>
            <w:rPr>
              <w:rFonts w:ascii="Arial" w:eastAsia="Arial"/>
            </w:rPr>
          </w:pPr>
          <w:r>
            <w:fldChar w:fldCharType="begin"/>
          </w:r>
          <w:r>
            <w:instrText xml:space="preserve"> HYPERLINK \l "_TOC_250043" </w:instrText>
          </w:r>
          <w:r>
            <w:fldChar w:fldCharType="separate"/>
          </w:r>
          <w:r>
            <w:rPr>
              <w:rFonts w:ascii="Arial" w:eastAsia="Arial"/>
            </w:rPr>
            <w:t>17</w:t>
          </w:r>
          <w:r>
            <w:rPr>
              <w:rFonts w:ascii="Arial" w:eastAsia="Arial"/>
              <w:spacing w:val="-6"/>
            </w:rPr>
            <w:t xml:space="preserve"> </w:t>
          </w:r>
          <w:r>
            <w:t>评标委员会</w:t>
          </w:r>
          <w:r>
            <w:tab/>
          </w:r>
          <w:r>
            <w:rPr>
              <w:rFonts w:ascii="Arial" w:eastAsia="Arial"/>
            </w:rPr>
            <w:t>15</w:t>
          </w:r>
          <w:r>
            <w:rPr>
              <w:rFonts w:ascii="Arial" w:eastAsia="Arial"/>
            </w:rPr>
            <w:fldChar w:fldCharType="end"/>
          </w:r>
        </w:p>
        <w:p>
          <w:pPr>
            <w:pStyle w:val="6"/>
            <w:numPr>
              <w:ilvl w:val="0"/>
              <w:numId w:val="2"/>
            </w:numPr>
            <w:tabs>
              <w:tab w:val="left" w:pos="850"/>
              <w:tab w:val="right" w:leader="dot" w:pos="9920"/>
            </w:tabs>
            <w:spacing w:before="158" w:after="0" w:line="240" w:lineRule="auto"/>
            <w:ind w:left="849" w:right="0" w:hanging="338"/>
            <w:jc w:val="left"/>
            <w:rPr>
              <w:rFonts w:ascii="Arial" w:eastAsia="Arial"/>
            </w:rPr>
          </w:pPr>
          <w:r>
            <w:fldChar w:fldCharType="begin"/>
          </w:r>
          <w:r>
            <w:instrText xml:space="preserve"> HYPERLINK \l "_TOC_250042" </w:instrText>
          </w:r>
          <w:r>
            <w:fldChar w:fldCharType="separate"/>
          </w:r>
          <w:r>
            <w:t>评审工作程序</w:t>
          </w:r>
          <w:r>
            <w:tab/>
          </w:r>
          <w:r>
            <w:rPr>
              <w:rFonts w:ascii="Arial" w:eastAsia="Arial"/>
            </w:rPr>
            <w:t>17</w:t>
          </w:r>
          <w:r>
            <w:rPr>
              <w:rFonts w:ascii="Arial" w:eastAsia="Arial"/>
            </w:rPr>
            <w:fldChar w:fldCharType="end"/>
          </w:r>
        </w:p>
        <w:p>
          <w:pPr>
            <w:pStyle w:val="6"/>
            <w:numPr>
              <w:ilvl w:val="0"/>
              <w:numId w:val="2"/>
            </w:numPr>
            <w:tabs>
              <w:tab w:val="left" w:pos="850"/>
              <w:tab w:val="right" w:leader="dot" w:pos="9920"/>
            </w:tabs>
            <w:spacing w:before="161" w:after="0" w:line="240" w:lineRule="auto"/>
            <w:ind w:left="849" w:right="0" w:hanging="338"/>
            <w:jc w:val="left"/>
            <w:rPr>
              <w:rFonts w:ascii="Arial" w:eastAsia="Arial"/>
            </w:rPr>
          </w:pPr>
          <w:r>
            <w:fldChar w:fldCharType="begin"/>
          </w:r>
          <w:r>
            <w:instrText xml:space="preserve"> HYPERLINK \l "_TOC_250041" </w:instrText>
          </w:r>
          <w:r>
            <w:fldChar w:fldCharType="separate"/>
          </w:r>
          <w:r>
            <w:t>评审方法和标准</w:t>
          </w:r>
          <w:r>
            <w:tab/>
          </w:r>
          <w:r>
            <w:rPr>
              <w:rFonts w:ascii="Arial" w:eastAsia="Arial"/>
            </w:rPr>
            <w:t>19</w:t>
          </w:r>
          <w:r>
            <w:rPr>
              <w:rFonts w:ascii="Arial" w:eastAsia="Arial"/>
            </w:rPr>
            <w:fldChar w:fldCharType="end"/>
          </w:r>
        </w:p>
        <w:p>
          <w:pPr>
            <w:pStyle w:val="6"/>
            <w:tabs>
              <w:tab w:val="right" w:leader="dot" w:pos="9920"/>
            </w:tabs>
            <w:spacing w:after="240"/>
            <w:rPr>
              <w:rFonts w:ascii="Arial" w:eastAsia="Arial"/>
            </w:rPr>
          </w:pPr>
          <w:r>
            <w:fldChar w:fldCharType="begin"/>
          </w:r>
          <w:r>
            <w:instrText xml:space="preserve"> HYPERLINK \l "_TOC_250040" </w:instrText>
          </w:r>
          <w:r>
            <w:fldChar w:fldCharType="separate"/>
          </w:r>
          <w:r>
            <w:t>七、中标</w:t>
          </w:r>
          <w:r>
            <w:tab/>
          </w:r>
          <w:r>
            <w:rPr>
              <w:rFonts w:ascii="Arial" w:eastAsia="Arial"/>
            </w:rPr>
            <w:t>21</w:t>
          </w:r>
          <w:r>
            <w:rPr>
              <w:rFonts w:ascii="Arial" w:eastAsia="Arial"/>
            </w:rPr>
            <w:fldChar w:fldCharType="end"/>
          </w:r>
        </w:p>
        <w:p>
          <w:pPr>
            <w:pStyle w:val="6"/>
            <w:numPr>
              <w:ilvl w:val="0"/>
              <w:numId w:val="2"/>
            </w:numPr>
            <w:tabs>
              <w:tab w:val="left" w:pos="850"/>
              <w:tab w:val="right" w:leader="dot" w:pos="9920"/>
            </w:tabs>
            <w:spacing w:before="67" w:after="0" w:line="240" w:lineRule="auto"/>
            <w:ind w:left="849" w:right="0" w:hanging="338"/>
            <w:jc w:val="left"/>
            <w:rPr>
              <w:rFonts w:ascii="Arial" w:eastAsia="Arial"/>
            </w:rPr>
          </w:pPr>
          <w:r>
            <w:fldChar w:fldCharType="begin"/>
          </w:r>
          <w:r>
            <w:instrText xml:space="preserve"> HYPERLINK \l "_TOC_250039" </w:instrText>
          </w:r>
          <w:r>
            <w:fldChar w:fldCharType="separate"/>
          </w:r>
          <w:r>
            <w:t>推荐并确定中标</w:t>
          </w:r>
          <w:r>
            <w:rPr>
              <w:spacing w:val="-3"/>
            </w:rPr>
            <w:t>磋</w:t>
          </w:r>
          <w:r>
            <w:t>商人</w:t>
          </w:r>
          <w:r>
            <w:tab/>
          </w:r>
          <w:r>
            <w:rPr>
              <w:rFonts w:ascii="Arial" w:eastAsia="Arial"/>
            </w:rPr>
            <w:t>21</w:t>
          </w:r>
          <w:r>
            <w:rPr>
              <w:rFonts w:ascii="Arial" w:eastAsia="Arial"/>
            </w:rPr>
            <w:fldChar w:fldCharType="end"/>
          </w:r>
        </w:p>
        <w:p>
          <w:pPr>
            <w:pStyle w:val="6"/>
            <w:numPr>
              <w:ilvl w:val="0"/>
              <w:numId w:val="2"/>
            </w:numPr>
            <w:tabs>
              <w:tab w:val="left" w:pos="850"/>
              <w:tab w:val="right" w:leader="dot" w:pos="9920"/>
            </w:tabs>
            <w:spacing w:before="158" w:after="0" w:line="240" w:lineRule="auto"/>
            <w:ind w:left="849" w:right="0" w:hanging="338"/>
            <w:jc w:val="left"/>
            <w:rPr>
              <w:rFonts w:ascii="Arial" w:eastAsia="Arial"/>
            </w:rPr>
          </w:pPr>
          <w:r>
            <w:fldChar w:fldCharType="begin"/>
          </w:r>
          <w:r>
            <w:instrText xml:space="preserve"> HYPERLINK \l "_TOC_250038" </w:instrText>
          </w:r>
          <w:r>
            <w:fldChar w:fldCharType="separate"/>
          </w:r>
          <w:r>
            <w:t>中标通知</w:t>
          </w:r>
          <w:r>
            <w:tab/>
          </w:r>
          <w:r>
            <w:rPr>
              <w:rFonts w:ascii="Arial" w:eastAsia="Arial"/>
            </w:rPr>
            <w:t>21</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"_TOC_250037" </w:instrText>
          </w:r>
          <w:r>
            <w:fldChar w:fldCharType="separate"/>
          </w:r>
          <w:r>
            <w:t>八、授予合同</w:t>
          </w:r>
          <w:r>
            <w:tab/>
          </w:r>
          <w:r>
            <w:rPr>
              <w:rFonts w:ascii="Arial" w:eastAsia="Arial"/>
            </w:rPr>
            <w:t>22</w:t>
          </w:r>
          <w:r>
            <w:rPr>
              <w:rFonts w:ascii="Arial" w:eastAsia="Arial"/>
            </w:rPr>
            <w:fldChar w:fldCharType="end"/>
          </w:r>
        </w:p>
        <w:p>
          <w:pPr>
            <w:pStyle w:val="6"/>
            <w:numPr>
              <w:ilvl w:val="0"/>
              <w:numId w:val="2"/>
            </w:numPr>
            <w:tabs>
              <w:tab w:val="left" w:pos="850"/>
              <w:tab w:val="right" w:leader="dot" w:pos="9920"/>
            </w:tabs>
            <w:spacing w:before="158" w:after="0" w:line="240" w:lineRule="auto"/>
            <w:ind w:left="849" w:right="0" w:hanging="338"/>
            <w:jc w:val="left"/>
            <w:rPr>
              <w:rFonts w:ascii="Arial" w:eastAsia="Arial"/>
            </w:rPr>
          </w:pPr>
          <w:r>
            <w:fldChar w:fldCharType="begin"/>
          </w:r>
          <w:r>
            <w:instrText xml:space="preserve"> HYPERLINK \l "_TOC_250036" </w:instrText>
          </w:r>
          <w:r>
            <w:fldChar w:fldCharType="separate"/>
          </w:r>
          <w:r>
            <w:t>签订合同</w:t>
          </w:r>
          <w:r>
            <w:tab/>
          </w:r>
          <w:r>
            <w:rPr>
              <w:rFonts w:ascii="Arial" w:eastAsia="Arial"/>
            </w:rPr>
            <w:t>22</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"_TOC_250035" </w:instrText>
          </w:r>
          <w:r>
            <w:fldChar w:fldCharType="separate"/>
          </w:r>
          <w:r>
            <w:t>九、废标</w:t>
          </w:r>
          <w:r>
            <w:tab/>
          </w:r>
          <w:r>
            <w:rPr>
              <w:rFonts w:ascii="Arial" w:eastAsia="Arial"/>
            </w:rPr>
            <w:t>22</w:t>
          </w:r>
          <w:r>
            <w:rPr>
              <w:rFonts w:ascii="Arial" w:eastAsia="Arial"/>
            </w:rPr>
            <w:fldChar w:fldCharType="end"/>
          </w:r>
        </w:p>
        <w:p>
          <w:pPr>
            <w:pStyle w:val="6"/>
            <w:numPr>
              <w:ilvl w:val="0"/>
              <w:numId w:val="2"/>
            </w:numPr>
            <w:tabs>
              <w:tab w:val="left" w:pos="970"/>
              <w:tab w:val="right" w:leader="dot" w:pos="9920"/>
            </w:tabs>
            <w:spacing w:before="158" w:after="0" w:line="240" w:lineRule="auto"/>
            <w:ind w:left="969" w:right="0" w:hanging="458"/>
            <w:jc w:val="left"/>
            <w:rPr>
              <w:rFonts w:ascii="Arial" w:eastAsia="Arial"/>
            </w:rPr>
          </w:pPr>
          <w:r>
            <w:fldChar w:fldCharType="begin"/>
          </w:r>
          <w:r>
            <w:instrText xml:space="preserve"> HYPERLINK \l "_TOC_250034" </w:instrText>
          </w:r>
          <w:r>
            <w:fldChar w:fldCharType="separate"/>
          </w:r>
          <w:r>
            <w:t>废标情形</w:t>
          </w:r>
          <w:r>
            <w:tab/>
          </w:r>
          <w:r>
            <w:rPr>
              <w:rFonts w:ascii="Arial" w:eastAsia="Arial"/>
            </w:rPr>
            <w:t>22</w:t>
          </w:r>
          <w:r>
            <w:rPr>
              <w:rFonts w:ascii="Arial" w:eastAsia="Arial"/>
            </w:rPr>
            <w:fldChar w:fldCharType="end"/>
          </w:r>
        </w:p>
        <w:p>
          <w:pPr>
            <w:pStyle w:val="6"/>
            <w:tabs>
              <w:tab w:val="right" w:leader="dot" w:pos="9920"/>
            </w:tabs>
            <w:spacing w:before="160"/>
            <w:rPr>
              <w:rFonts w:ascii="Arial" w:eastAsia="Arial"/>
            </w:rPr>
          </w:pPr>
          <w:r>
            <w:fldChar w:fldCharType="begin"/>
          </w:r>
          <w:r>
            <w:instrText xml:space="preserve"> HYPERLINK \l "_TOC_250033" </w:instrText>
          </w:r>
          <w:r>
            <w:fldChar w:fldCharType="separate"/>
          </w:r>
          <w:r>
            <w:t>十、处罚</w:t>
          </w:r>
          <w:r>
            <w:tab/>
          </w:r>
          <w:r>
            <w:rPr>
              <w:rFonts w:ascii="Arial" w:eastAsia="Arial"/>
            </w:rPr>
            <w:t>22</w:t>
          </w:r>
          <w:r>
            <w:rPr>
              <w:rFonts w:ascii="Arial" w:eastAsia="Arial"/>
            </w:rPr>
            <w:fldChar w:fldCharType="end"/>
          </w:r>
        </w:p>
        <w:p>
          <w:pPr>
            <w:pStyle w:val="6"/>
            <w:numPr>
              <w:ilvl w:val="0"/>
              <w:numId w:val="2"/>
            </w:numPr>
            <w:tabs>
              <w:tab w:val="left" w:pos="850"/>
              <w:tab w:val="right" w:leader="dot" w:pos="9920"/>
            </w:tabs>
            <w:spacing w:before="158" w:after="0" w:line="240" w:lineRule="auto"/>
            <w:ind w:left="849" w:right="0" w:hanging="338"/>
            <w:jc w:val="left"/>
            <w:rPr>
              <w:rFonts w:ascii="Arial" w:eastAsia="Arial"/>
            </w:rPr>
          </w:pPr>
          <w:r>
            <w:fldChar w:fldCharType="begin"/>
          </w:r>
          <w:r>
            <w:instrText xml:space="preserve"> HYPERLINK \l "_TOC_250032" </w:instrText>
          </w:r>
          <w:r>
            <w:fldChar w:fldCharType="separate"/>
          </w:r>
          <w:r>
            <w:t>处罚情形</w:t>
          </w:r>
          <w:r>
            <w:tab/>
          </w:r>
          <w:r>
            <w:rPr>
              <w:rFonts w:ascii="Arial" w:eastAsia="Arial"/>
            </w:rPr>
            <w:t>22</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"_TOC_250031" </w:instrText>
          </w:r>
          <w:r>
            <w:fldChar w:fldCharType="separate"/>
          </w:r>
          <w:r>
            <w:t>十一、磋商代理服务收费标准</w:t>
          </w:r>
          <w:r>
            <w:tab/>
          </w:r>
          <w:r>
            <w:rPr>
              <w:rFonts w:ascii="Arial" w:eastAsia="Arial"/>
            </w:rPr>
            <w:t>23</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"_TOC_250030" </w:instrText>
          </w:r>
          <w:r>
            <w:fldChar w:fldCharType="separate"/>
          </w:r>
          <w:r>
            <w:t>十二、其他</w:t>
          </w:r>
          <w:r>
            <w:tab/>
          </w:r>
          <w:r>
            <w:rPr>
              <w:rFonts w:ascii="Arial" w:eastAsia="Arial"/>
            </w:rPr>
            <w:t>23</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"_TOC_250029" </w:instrText>
          </w:r>
          <w:r>
            <w:fldChar w:fldCharType="separate"/>
          </w:r>
          <w:r>
            <w:t>第四部分青海省政府采购项目合同书</w:t>
          </w:r>
          <w:r>
            <w:tab/>
          </w:r>
          <w:r>
            <w:rPr>
              <w:rFonts w:ascii="Arial" w:eastAsia="Arial"/>
            </w:rPr>
            <w:t>24</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"_TOC_250028" </w:instrText>
          </w:r>
          <w:r>
            <w:fldChar w:fldCharType="separate"/>
          </w:r>
          <w:r>
            <w:t>第五部分磋商响应文件格式</w:t>
          </w:r>
          <w:r>
            <w:tab/>
          </w:r>
          <w:r>
            <w:rPr>
              <w:rFonts w:ascii="Arial" w:eastAsia="Arial"/>
            </w:rPr>
            <w:t>36</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"_TOC_250027" </w:instrText>
          </w:r>
          <w:r>
            <w:fldChar w:fldCharType="separate"/>
          </w:r>
          <w:r>
            <w:t>封面（上册）</w:t>
          </w:r>
          <w:r>
            <w:tab/>
          </w:r>
          <w:r>
            <w:rPr>
              <w:rFonts w:ascii="Arial" w:eastAsia="Arial"/>
            </w:rPr>
            <w:t>37</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"_TOC_250026" </w:instrText>
          </w:r>
          <w:r>
            <w:fldChar w:fldCharType="separate"/>
          </w:r>
          <w:r>
            <w:t>目录（上册）</w:t>
          </w:r>
          <w:r>
            <w:tab/>
          </w:r>
          <w:r>
            <w:rPr>
              <w:rFonts w:ascii="Arial" w:eastAsia="Arial"/>
            </w:rPr>
            <w:t>38</w:t>
          </w:r>
          <w:r>
            <w:rPr>
              <w:rFonts w:ascii="Arial" w:eastAsia="Arial"/>
            </w:rPr>
            <w:fldChar w:fldCharType="end"/>
          </w:r>
        </w:p>
        <w:p>
          <w:pPr>
            <w:pStyle w:val="6"/>
            <w:numPr>
              <w:ilvl w:val="0"/>
              <w:numId w:val="3"/>
            </w:numPr>
            <w:tabs>
              <w:tab w:val="left" w:pos="1129"/>
              <w:tab w:val="right" w:leader="dot" w:pos="9920"/>
            </w:tabs>
            <w:spacing w:before="160" w:after="0" w:line="240" w:lineRule="auto"/>
            <w:ind w:left="1128" w:right="0" w:hanging="617"/>
            <w:jc w:val="left"/>
            <w:rPr>
              <w:rFonts w:ascii="Arial" w:eastAsia="Arial"/>
            </w:rPr>
          </w:pPr>
          <w:r>
            <w:fldChar w:fldCharType="begin"/>
          </w:r>
          <w:r>
            <w:instrText xml:space="preserve"> HYPERLINK \l "_TOC_250025" </w:instrText>
          </w:r>
          <w:r>
            <w:fldChar w:fldCharType="separate"/>
          </w:r>
          <w:r>
            <w:t>磋商函</w:t>
          </w:r>
          <w:r>
            <w:tab/>
          </w:r>
          <w:r>
            <w:rPr>
              <w:rFonts w:ascii="Arial" w:eastAsia="Arial"/>
            </w:rPr>
            <w:t>39</w:t>
          </w:r>
          <w:r>
            <w:rPr>
              <w:rFonts w:ascii="Arial" w:eastAsia="Arial"/>
            </w:rPr>
            <w:fldChar w:fldCharType="end"/>
          </w:r>
        </w:p>
        <w:p>
          <w:pPr>
            <w:pStyle w:val="6"/>
            <w:numPr>
              <w:ilvl w:val="0"/>
              <w:numId w:val="3"/>
            </w:numPr>
            <w:tabs>
              <w:tab w:val="left" w:pos="1129"/>
              <w:tab w:val="right" w:leader="dot" w:pos="9920"/>
            </w:tabs>
            <w:spacing w:before="161" w:after="0" w:line="240" w:lineRule="auto"/>
            <w:ind w:left="1128" w:right="0" w:hanging="617"/>
            <w:jc w:val="left"/>
            <w:rPr>
              <w:rFonts w:ascii="Arial" w:eastAsia="Arial"/>
            </w:rPr>
          </w:pPr>
          <w:r>
            <w:fldChar w:fldCharType="begin"/>
          </w:r>
          <w:r>
            <w:instrText xml:space="preserve"> HYPERLINK \l "_TOC_250024" </w:instrText>
          </w:r>
          <w:r>
            <w:fldChar w:fldCharType="separate"/>
          </w:r>
          <w:r>
            <w:t>法定代表人证明书</w:t>
          </w:r>
          <w:r>
            <w:tab/>
          </w:r>
          <w:r>
            <w:rPr>
              <w:rFonts w:ascii="Arial" w:eastAsia="Arial"/>
            </w:rPr>
            <w:t>40</w:t>
          </w:r>
          <w:r>
            <w:rPr>
              <w:rFonts w:ascii="Arial" w:eastAsia="Arial"/>
            </w:rPr>
            <w:fldChar w:fldCharType="end"/>
          </w:r>
        </w:p>
        <w:p>
          <w:pPr>
            <w:pStyle w:val="6"/>
            <w:numPr>
              <w:ilvl w:val="0"/>
              <w:numId w:val="3"/>
            </w:numPr>
            <w:tabs>
              <w:tab w:val="left" w:pos="1129"/>
              <w:tab w:val="right" w:leader="dot" w:pos="9920"/>
            </w:tabs>
            <w:spacing w:before="158" w:after="0" w:line="240" w:lineRule="auto"/>
            <w:ind w:left="1128" w:right="0" w:hanging="617"/>
            <w:jc w:val="left"/>
            <w:rPr>
              <w:rFonts w:ascii="Arial" w:eastAsia="Arial"/>
            </w:rPr>
          </w:pPr>
          <w:r>
            <w:fldChar w:fldCharType="begin"/>
          </w:r>
          <w:r>
            <w:instrText xml:space="preserve"> HYPERLINK \l "_TOC_250023" </w:instrText>
          </w:r>
          <w:r>
            <w:fldChar w:fldCharType="separate"/>
          </w:r>
          <w:r>
            <w:t>法定代表人授权书</w:t>
          </w:r>
          <w:r>
            <w:tab/>
          </w:r>
          <w:r>
            <w:rPr>
              <w:rFonts w:ascii="Arial" w:eastAsia="Arial"/>
            </w:rPr>
            <w:t>42</w:t>
          </w:r>
          <w:r>
            <w:rPr>
              <w:rFonts w:ascii="Arial" w:eastAsia="Arial"/>
            </w:rPr>
            <w:fldChar w:fldCharType="end"/>
          </w:r>
        </w:p>
        <w:p>
          <w:pPr>
            <w:pStyle w:val="6"/>
            <w:numPr>
              <w:ilvl w:val="0"/>
              <w:numId w:val="3"/>
            </w:numPr>
            <w:tabs>
              <w:tab w:val="left" w:pos="1129"/>
              <w:tab w:val="right" w:leader="dot" w:pos="9920"/>
            </w:tabs>
            <w:spacing w:before="160" w:after="0" w:line="240" w:lineRule="auto"/>
            <w:ind w:left="1128" w:right="0" w:hanging="617"/>
            <w:jc w:val="left"/>
            <w:rPr>
              <w:rFonts w:ascii="Arial" w:eastAsia="Arial"/>
            </w:rPr>
          </w:pPr>
          <w:r>
            <w:fldChar w:fldCharType="begin"/>
          </w:r>
          <w:r>
            <w:instrText xml:space="preserve"> HYPERLINK \l "_TOC_250022" </w:instrText>
          </w:r>
          <w:r>
            <w:fldChar w:fldCharType="separate"/>
          </w:r>
          <w:r>
            <w:t>供应商承诺函</w:t>
          </w:r>
          <w:r>
            <w:tab/>
          </w:r>
          <w:r>
            <w:rPr>
              <w:rFonts w:ascii="Arial" w:eastAsia="Arial"/>
            </w:rPr>
            <w:t>44</w:t>
          </w:r>
          <w:r>
            <w:rPr>
              <w:rFonts w:ascii="Arial" w:eastAsia="Arial"/>
            </w:rPr>
            <w:fldChar w:fldCharType="end"/>
          </w:r>
        </w:p>
        <w:p>
          <w:pPr>
            <w:pStyle w:val="6"/>
            <w:numPr>
              <w:ilvl w:val="0"/>
              <w:numId w:val="3"/>
            </w:numPr>
            <w:tabs>
              <w:tab w:val="left" w:pos="1129"/>
              <w:tab w:val="right" w:leader="dot" w:pos="9920"/>
            </w:tabs>
            <w:spacing w:before="159" w:after="0" w:line="240" w:lineRule="auto"/>
            <w:ind w:left="1128" w:right="0" w:hanging="617"/>
            <w:jc w:val="left"/>
            <w:rPr>
              <w:rFonts w:ascii="Arial" w:eastAsia="Arial"/>
            </w:rPr>
          </w:pPr>
          <w:r>
            <w:fldChar w:fldCharType="begin"/>
          </w:r>
          <w:r>
            <w:instrText xml:space="preserve"> HYPERLINK \l "_TOC_250021" </w:instrText>
          </w:r>
          <w:r>
            <w:fldChar w:fldCharType="separate"/>
          </w:r>
          <w:r>
            <w:t>供应商诚信承诺书</w:t>
          </w:r>
          <w:r>
            <w:tab/>
          </w:r>
          <w:r>
            <w:rPr>
              <w:rFonts w:ascii="Arial" w:eastAsia="Arial"/>
            </w:rPr>
            <w:t>45</w:t>
          </w:r>
          <w:r>
            <w:rPr>
              <w:rFonts w:ascii="Arial" w:eastAsia="Arial"/>
            </w:rPr>
            <w:fldChar w:fldCharType="end"/>
          </w:r>
        </w:p>
        <w:p>
          <w:pPr>
            <w:pStyle w:val="6"/>
            <w:numPr>
              <w:ilvl w:val="0"/>
              <w:numId w:val="3"/>
            </w:numPr>
            <w:tabs>
              <w:tab w:val="left" w:pos="1129"/>
              <w:tab w:val="right" w:leader="dot" w:pos="9920"/>
            </w:tabs>
            <w:spacing w:before="160" w:after="0" w:line="240" w:lineRule="auto"/>
            <w:ind w:left="1128" w:right="0" w:hanging="617"/>
            <w:jc w:val="left"/>
            <w:rPr>
              <w:rFonts w:ascii="Arial" w:eastAsia="Arial"/>
            </w:rPr>
          </w:pPr>
          <w:r>
            <w:fldChar w:fldCharType="begin"/>
          </w:r>
          <w:r>
            <w:instrText xml:space="preserve"> HYPERLINK \l "_TOC_250020" </w:instrText>
          </w:r>
          <w:r>
            <w:fldChar w:fldCharType="separate"/>
          </w:r>
          <w:r>
            <w:t>资格证明材料</w:t>
          </w:r>
          <w:r>
            <w:tab/>
          </w:r>
          <w:r>
            <w:rPr>
              <w:rFonts w:ascii="Arial" w:eastAsia="Arial"/>
            </w:rPr>
            <w:t>46</w:t>
          </w:r>
          <w:r>
            <w:rPr>
              <w:rFonts w:ascii="Arial" w:eastAsia="Arial"/>
            </w:rPr>
            <w:fldChar w:fldCharType="end"/>
          </w:r>
        </w:p>
        <w:p>
          <w:pPr>
            <w:pStyle w:val="6"/>
            <w:numPr>
              <w:ilvl w:val="0"/>
              <w:numId w:val="3"/>
            </w:numPr>
            <w:tabs>
              <w:tab w:val="left" w:pos="1129"/>
              <w:tab w:val="right" w:leader="dot" w:pos="9920"/>
            </w:tabs>
            <w:spacing w:before="158" w:after="0" w:line="240" w:lineRule="auto"/>
            <w:ind w:left="1128" w:right="0" w:hanging="617"/>
            <w:jc w:val="left"/>
            <w:rPr>
              <w:rFonts w:ascii="Arial" w:eastAsia="Arial"/>
            </w:rPr>
          </w:pPr>
          <w:r>
            <w:fldChar w:fldCharType="begin"/>
          </w:r>
          <w:r>
            <w:instrText xml:space="preserve"> HYPERLINK \l "_TOC_250019" </w:instrText>
          </w:r>
          <w:r>
            <w:fldChar w:fldCharType="separate"/>
          </w:r>
          <w:r>
            <w:t>财务状况报告，依法缴纳税收和社会保障资金的相关材料</w:t>
          </w:r>
          <w:r>
            <w:tab/>
          </w:r>
          <w:r>
            <w:rPr>
              <w:rFonts w:ascii="Arial" w:eastAsia="Arial"/>
            </w:rPr>
            <w:t>47</w:t>
          </w:r>
          <w:r>
            <w:rPr>
              <w:rFonts w:ascii="Arial" w:eastAsia="Arial"/>
            </w:rPr>
            <w:fldChar w:fldCharType="end"/>
          </w:r>
        </w:p>
        <w:p>
          <w:pPr>
            <w:pStyle w:val="6"/>
            <w:numPr>
              <w:ilvl w:val="0"/>
              <w:numId w:val="3"/>
            </w:numPr>
            <w:tabs>
              <w:tab w:val="left" w:pos="1129"/>
              <w:tab w:val="right" w:leader="dot" w:pos="9920"/>
            </w:tabs>
            <w:spacing w:before="161" w:after="0" w:line="240" w:lineRule="auto"/>
            <w:ind w:left="1128" w:right="0" w:hanging="617"/>
            <w:jc w:val="left"/>
            <w:rPr>
              <w:rFonts w:ascii="Arial" w:eastAsia="Arial"/>
            </w:rPr>
          </w:pPr>
          <w:r>
            <w:fldChar w:fldCharType="begin"/>
          </w:r>
          <w:r>
            <w:instrText xml:space="preserve"> HYPERLINK \l "_TOC_250018" </w:instrText>
          </w:r>
          <w:r>
            <w:fldChar w:fldCharType="separate"/>
          </w:r>
          <w:r>
            <w:t>具备履行合同所必需的设备和专业技术能力的证明材料</w:t>
          </w:r>
          <w:r>
            <w:tab/>
          </w:r>
          <w:r>
            <w:rPr>
              <w:rFonts w:ascii="Arial" w:eastAsia="Arial"/>
            </w:rPr>
            <w:t>48</w:t>
          </w:r>
          <w:r>
            <w:rPr>
              <w:rFonts w:ascii="Arial" w:eastAsia="Arial"/>
            </w:rPr>
            <w:fldChar w:fldCharType="end"/>
          </w:r>
        </w:p>
        <w:p>
          <w:pPr>
            <w:pStyle w:val="6"/>
            <w:numPr>
              <w:ilvl w:val="0"/>
              <w:numId w:val="3"/>
            </w:numPr>
            <w:tabs>
              <w:tab w:val="left" w:pos="1129"/>
              <w:tab w:val="right" w:leader="dot" w:pos="9920"/>
            </w:tabs>
            <w:spacing w:before="158" w:after="0" w:line="240" w:lineRule="auto"/>
            <w:ind w:left="1128" w:right="0" w:hanging="617"/>
            <w:jc w:val="left"/>
            <w:rPr>
              <w:rFonts w:ascii="Arial" w:eastAsia="Arial"/>
            </w:rPr>
          </w:pPr>
          <w:r>
            <w:fldChar w:fldCharType="begin"/>
          </w:r>
          <w:r>
            <w:instrText xml:space="preserve"> HYPERLINK \l "_TOC_250017" </w:instrText>
          </w:r>
          <w:r>
            <w:fldChar w:fldCharType="separate"/>
          </w:r>
          <w:r>
            <w:t>无重大违法记录声明</w:t>
          </w:r>
          <w:r>
            <w:tab/>
          </w:r>
          <w:r>
            <w:rPr>
              <w:rFonts w:ascii="Arial" w:eastAsia="Arial"/>
            </w:rPr>
            <w:t>49</w:t>
          </w:r>
          <w:r>
            <w:rPr>
              <w:rFonts w:ascii="Arial" w:eastAsia="Arial"/>
            </w:rPr>
            <w:fldChar w:fldCharType="end"/>
          </w:r>
        </w:p>
        <w:p>
          <w:pPr>
            <w:pStyle w:val="6"/>
            <w:numPr>
              <w:ilvl w:val="0"/>
              <w:numId w:val="3"/>
            </w:numPr>
            <w:tabs>
              <w:tab w:val="left" w:pos="1264"/>
              <w:tab w:val="right" w:leader="dot" w:pos="9920"/>
            </w:tabs>
            <w:spacing w:before="160" w:after="0" w:line="240" w:lineRule="auto"/>
            <w:ind w:left="1263" w:right="0" w:hanging="752"/>
            <w:jc w:val="left"/>
            <w:rPr>
              <w:rFonts w:ascii="Arial" w:eastAsia="Arial"/>
            </w:rPr>
          </w:pPr>
          <w:r>
            <w:fldChar w:fldCharType="begin"/>
          </w:r>
          <w:r>
            <w:instrText xml:space="preserve"> HYPERLINK \l "_TOC_250016" </w:instrText>
          </w:r>
          <w:r>
            <w:fldChar w:fldCharType="separate"/>
          </w:r>
          <w:r>
            <w:t>磋商保证金证明</w:t>
          </w:r>
          <w:r>
            <w:tab/>
          </w:r>
          <w:r>
            <w:rPr>
              <w:rFonts w:ascii="Arial" w:eastAsia="Arial"/>
            </w:rPr>
            <w:t>50</w:t>
          </w:r>
          <w:r>
            <w:rPr>
              <w:rFonts w:ascii="Arial" w:eastAsia="Arial"/>
            </w:rPr>
            <w:fldChar w:fldCharType="end"/>
          </w:r>
        </w:p>
        <w:p>
          <w:pPr>
            <w:pStyle w:val="6"/>
            <w:tabs>
              <w:tab w:val="right" w:leader="dot" w:pos="9920"/>
            </w:tabs>
            <w:spacing w:before="159"/>
            <w:rPr>
              <w:rFonts w:ascii="Arial" w:eastAsia="Arial"/>
            </w:rPr>
          </w:pPr>
          <w:r>
            <w:fldChar w:fldCharType="begin"/>
          </w:r>
          <w:r>
            <w:instrText xml:space="preserve"> HYPERLINK \l "_TOC_250015" </w:instrText>
          </w:r>
          <w:r>
            <w:fldChar w:fldCharType="separate"/>
          </w:r>
          <w:r>
            <w:t>封面（下册）</w:t>
          </w:r>
          <w:r>
            <w:tab/>
          </w:r>
          <w:r>
            <w:rPr>
              <w:rFonts w:ascii="Arial" w:eastAsia="Arial"/>
            </w:rPr>
            <w:t>51</w:t>
          </w:r>
          <w:r>
            <w:rPr>
              <w:rFonts w:ascii="Arial" w:eastAsia="Arial"/>
            </w:rPr>
            <w:fldChar w:fldCharType="end"/>
          </w:r>
        </w:p>
        <w:p>
          <w:pPr>
            <w:pStyle w:val="6"/>
            <w:tabs>
              <w:tab w:val="right" w:leader="dot" w:pos="9920"/>
            </w:tabs>
            <w:spacing w:before="160"/>
            <w:rPr>
              <w:rFonts w:ascii="Arial" w:eastAsia="Arial"/>
            </w:rPr>
          </w:pPr>
          <w:r>
            <w:fldChar w:fldCharType="begin"/>
          </w:r>
          <w:r>
            <w:instrText xml:space="preserve"> HYPERLINK \l "_TOC_250014" </w:instrText>
          </w:r>
          <w:r>
            <w:fldChar w:fldCharType="separate"/>
          </w:r>
          <w:r>
            <w:t>目录（下册）</w:t>
          </w:r>
          <w:r>
            <w:tab/>
          </w:r>
          <w:r>
            <w:rPr>
              <w:rFonts w:ascii="Arial" w:eastAsia="Arial"/>
            </w:rPr>
            <w:t>52</w:t>
          </w:r>
          <w:r>
            <w:rPr>
              <w:rFonts w:ascii="Arial" w:eastAsia="Arial"/>
            </w:rPr>
            <w:fldChar w:fldCharType="end"/>
          </w:r>
        </w:p>
        <w:p>
          <w:pPr>
            <w:pStyle w:val="6"/>
            <w:numPr>
              <w:ilvl w:val="0"/>
              <w:numId w:val="3"/>
            </w:numPr>
            <w:tabs>
              <w:tab w:val="left" w:pos="1247"/>
              <w:tab w:val="right" w:leader="dot" w:pos="9920"/>
            </w:tabs>
            <w:spacing w:before="159" w:after="0" w:line="240" w:lineRule="auto"/>
            <w:ind w:left="1246" w:right="0" w:hanging="735"/>
            <w:jc w:val="left"/>
            <w:rPr>
              <w:rFonts w:ascii="Arial" w:eastAsia="Arial"/>
            </w:rPr>
          </w:pPr>
          <w:r>
            <w:fldChar w:fldCharType="begin"/>
          </w:r>
          <w:r>
            <w:instrText xml:space="preserve"> HYPERLINK \l "_TOC_250013" </w:instrText>
          </w:r>
          <w:r>
            <w:fldChar w:fldCharType="separate"/>
          </w:r>
          <w:r>
            <w:t>评分对照表</w:t>
          </w:r>
          <w:r>
            <w:tab/>
          </w:r>
          <w:r>
            <w:rPr>
              <w:rFonts w:ascii="Arial" w:eastAsia="Arial"/>
            </w:rPr>
            <w:t>53</w:t>
          </w:r>
          <w:r>
            <w:rPr>
              <w:rFonts w:ascii="Arial" w:eastAsia="Arial"/>
            </w:rPr>
            <w:fldChar w:fldCharType="end"/>
          </w:r>
        </w:p>
        <w:p>
          <w:pPr>
            <w:pStyle w:val="6"/>
            <w:numPr>
              <w:ilvl w:val="0"/>
              <w:numId w:val="3"/>
            </w:numPr>
            <w:tabs>
              <w:tab w:val="left" w:pos="1264"/>
              <w:tab w:val="right" w:leader="dot" w:pos="9920"/>
            </w:tabs>
            <w:spacing w:before="160" w:after="0" w:line="240" w:lineRule="auto"/>
            <w:ind w:left="1263" w:right="0" w:hanging="752"/>
            <w:jc w:val="left"/>
            <w:rPr>
              <w:rFonts w:ascii="Arial" w:eastAsia="Arial"/>
            </w:rPr>
          </w:pPr>
          <w:r>
            <w:fldChar w:fldCharType="begin"/>
          </w:r>
          <w:r>
            <w:instrText xml:space="preserve"> HYPERLINK \l "_TOC_250012" </w:instrText>
          </w:r>
          <w:r>
            <w:fldChar w:fldCharType="separate"/>
          </w:r>
          <w:r>
            <w:t>开标一览表（</w:t>
          </w:r>
          <w:r>
            <w:rPr>
              <w:spacing w:val="-3"/>
            </w:rPr>
            <w:t>报</w:t>
          </w:r>
          <w:r>
            <w:t>价表）</w:t>
          </w:r>
          <w:r>
            <w:tab/>
          </w:r>
          <w:r>
            <w:rPr>
              <w:rFonts w:ascii="Arial" w:eastAsia="Arial"/>
            </w:rPr>
            <w:t>54</w:t>
          </w:r>
          <w:r>
            <w:rPr>
              <w:rFonts w:ascii="Arial" w:eastAsia="Arial"/>
            </w:rPr>
            <w:fldChar w:fldCharType="end"/>
          </w:r>
        </w:p>
        <w:p>
          <w:pPr>
            <w:pStyle w:val="6"/>
            <w:numPr>
              <w:ilvl w:val="0"/>
              <w:numId w:val="3"/>
            </w:numPr>
            <w:tabs>
              <w:tab w:val="left" w:pos="1264"/>
              <w:tab w:val="right" w:leader="dot" w:pos="9920"/>
            </w:tabs>
            <w:spacing w:before="158" w:after="0" w:line="240" w:lineRule="auto"/>
            <w:ind w:left="1263" w:right="0" w:hanging="752"/>
            <w:jc w:val="left"/>
            <w:rPr>
              <w:rFonts w:ascii="Arial" w:eastAsia="Arial"/>
            </w:rPr>
          </w:pPr>
          <w:r>
            <w:fldChar w:fldCharType="begin"/>
          </w:r>
          <w:r>
            <w:instrText xml:space="preserve"> HYPERLINK \l "_TOC_250011" </w:instrText>
          </w:r>
          <w:r>
            <w:fldChar w:fldCharType="separate"/>
          </w:r>
          <w:r>
            <w:t>分项报价表</w:t>
          </w:r>
          <w:r>
            <w:tab/>
          </w:r>
          <w:r>
            <w:rPr>
              <w:rFonts w:ascii="Arial" w:eastAsia="Arial"/>
            </w:rPr>
            <w:t>55</w:t>
          </w:r>
          <w:r>
            <w:rPr>
              <w:rFonts w:ascii="Arial" w:eastAsia="Arial"/>
            </w:rPr>
            <w:fldChar w:fldCharType="end"/>
          </w:r>
        </w:p>
        <w:p>
          <w:pPr>
            <w:pStyle w:val="6"/>
            <w:numPr>
              <w:ilvl w:val="0"/>
              <w:numId w:val="3"/>
            </w:numPr>
            <w:tabs>
              <w:tab w:val="left" w:pos="1264"/>
              <w:tab w:val="right" w:leader="dot" w:pos="9920"/>
            </w:tabs>
            <w:spacing w:before="161" w:after="0" w:line="240" w:lineRule="auto"/>
            <w:ind w:left="1263" w:right="0" w:hanging="752"/>
            <w:jc w:val="left"/>
            <w:rPr>
              <w:rFonts w:ascii="Arial" w:eastAsia="Arial"/>
            </w:rPr>
          </w:pPr>
          <w:r>
            <w:fldChar w:fldCharType="begin"/>
          </w:r>
          <w:r>
            <w:instrText xml:space="preserve"> HYPERLINK \l "_TOC_250010" </w:instrText>
          </w:r>
          <w:r>
            <w:fldChar w:fldCharType="separate"/>
          </w:r>
          <w:r>
            <w:t>技术规格响应表</w:t>
          </w:r>
          <w:r>
            <w:tab/>
          </w:r>
          <w:r>
            <w:rPr>
              <w:rFonts w:ascii="Arial" w:eastAsia="Arial"/>
            </w:rPr>
            <w:t>56</w:t>
          </w:r>
          <w:r>
            <w:rPr>
              <w:rFonts w:ascii="Arial" w:eastAsia="Arial"/>
            </w:rPr>
            <w:fldChar w:fldCharType="end"/>
          </w:r>
        </w:p>
        <w:p>
          <w:pPr>
            <w:pStyle w:val="6"/>
            <w:numPr>
              <w:ilvl w:val="0"/>
              <w:numId w:val="3"/>
            </w:numPr>
            <w:tabs>
              <w:tab w:val="left" w:pos="1264"/>
              <w:tab w:val="right" w:leader="dot" w:pos="9920"/>
            </w:tabs>
            <w:spacing w:before="160" w:after="20" w:line="240" w:lineRule="auto"/>
            <w:ind w:left="1263" w:right="0" w:hanging="752"/>
            <w:jc w:val="left"/>
            <w:rPr>
              <w:rFonts w:ascii="Arial" w:eastAsia="Arial"/>
            </w:rPr>
          </w:pPr>
          <w:r>
            <w:fldChar w:fldCharType="begin"/>
          </w:r>
          <w:r>
            <w:instrText xml:space="preserve"> HYPERLINK \l "_TOC_250009" </w:instrText>
          </w:r>
          <w:r>
            <w:fldChar w:fldCharType="separate"/>
          </w:r>
          <w:r>
            <w:t>磋商产品相关</w:t>
          </w:r>
          <w:r>
            <w:rPr>
              <w:spacing w:val="-3"/>
            </w:rPr>
            <w:t>资</w:t>
          </w:r>
          <w:r>
            <w:t>料</w:t>
          </w:r>
          <w:r>
            <w:tab/>
          </w:r>
          <w:r>
            <w:rPr>
              <w:rFonts w:ascii="Arial" w:eastAsia="Arial"/>
            </w:rPr>
            <w:t>57</w:t>
          </w:r>
          <w:r>
            <w:rPr>
              <w:rFonts w:ascii="Arial" w:eastAsia="Arial"/>
            </w:rPr>
            <w:fldChar w:fldCharType="end"/>
          </w:r>
        </w:p>
        <w:p>
          <w:pPr>
            <w:pStyle w:val="6"/>
            <w:numPr>
              <w:ilvl w:val="0"/>
              <w:numId w:val="3"/>
            </w:numPr>
            <w:tabs>
              <w:tab w:val="left" w:pos="1264"/>
              <w:tab w:val="right" w:leader="dot" w:pos="9920"/>
            </w:tabs>
            <w:spacing w:before="67" w:after="0" w:line="240" w:lineRule="auto"/>
            <w:ind w:left="1263" w:right="0" w:hanging="752"/>
            <w:jc w:val="left"/>
            <w:rPr>
              <w:rFonts w:ascii="Arial" w:eastAsia="Arial"/>
            </w:rPr>
          </w:pPr>
          <w:r>
            <w:fldChar w:fldCharType="begin"/>
          </w:r>
          <w:r>
            <w:instrText xml:space="preserve"> HYPERLINK \l "_TOC_250008" </w:instrText>
          </w:r>
          <w:r>
            <w:fldChar w:fldCharType="separate"/>
          </w:r>
          <w:r>
            <w:t>供应商的类似</w:t>
          </w:r>
          <w:r>
            <w:rPr>
              <w:spacing w:val="-3"/>
            </w:rPr>
            <w:t>业</w:t>
          </w:r>
          <w:r>
            <w:t>绩证明材料</w:t>
          </w:r>
          <w:r>
            <w:tab/>
          </w:r>
          <w:r>
            <w:rPr>
              <w:rFonts w:ascii="Arial" w:eastAsia="Arial"/>
            </w:rPr>
            <w:t>58</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"_TOC_250007" </w:instrText>
          </w:r>
          <w:r>
            <w:fldChar w:fldCharType="separate"/>
          </w:r>
          <w:r>
            <w:t>（</w:t>
          </w:r>
          <w:r>
            <w:rPr>
              <w:rFonts w:ascii="Arial" w:eastAsia="Arial"/>
            </w:rPr>
            <w:t>17.1</w:t>
          </w:r>
          <w:r>
            <w:t>）制造（生产</w:t>
          </w:r>
          <w:r>
            <w:rPr>
              <w:spacing w:val="-3"/>
            </w:rPr>
            <w:t>）</w:t>
          </w:r>
          <w:r>
            <w:t>企业小型、微型企业声明函</w:t>
          </w:r>
          <w:r>
            <w:tab/>
          </w:r>
          <w:r>
            <w:rPr>
              <w:rFonts w:ascii="Arial" w:eastAsia="Arial"/>
            </w:rPr>
            <w:t>59</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"_TOC_250006" </w:instrText>
          </w:r>
          <w:r>
            <w:fldChar w:fldCharType="separate"/>
          </w:r>
          <w:r>
            <w:t>（</w:t>
          </w:r>
          <w:r>
            <w:rPr>
              <w:rFonts w:ascii="Arial" w:eastAsia="Arial"/>
            </w:rPr>
            <w:t>17.2</w:t>
          </w:r>
          <w:r>
            <w:t>）从业人员声</w:t>
          </w:r>
          <w:r>
            <w:rPr>
              <w:spacing w:val="-3"/>
            </w:rPr>
            <w:t>明</w:t>
          </w:r>
          <w:r>
            <w:t>函</w:t>
          </w:r>
          <w:r>
            <w:tab/>
          </w:r>
          <w:r>
            <w:rPr>
              <w:rFonts w:ascii="Arial" w:eastAsia="Arial"/>
            </w:rPr>
            <w:t>60</w:t>
          </w:r>
          <w:r>
            <w:rPr>
              <w:rFonts w:ascii="Arial" w:eastAsia="Arial"/>
            </w:rPr>
            <w:fldChar w:fldCharType="end"/>
          </w:r>
        </w:p>
        <w:p>
          <w:pPr>
            <w:pStyle w:val="6"/>
            <w:numPr>
              <w:ilvl w:val="0"/>
              <w:numId w:val="4"/>
            </w:numPr>
            <w:tabs>
              <w:tab w:val="left" w:pos="1264"/>
              <w:tab w:val="right" w:leader="dot" w:pos="9920"/>
            </w:tabs>
            <w:spacing w:before="158" w:after="0" w:line="240" w:lineRule="auto"/>
            <w:ind w:left="1263" w:right="0" w:hanging="752"/>
            <w:jc w:val="left"/>
            <w:rPr>
              <w:rFonts w:ascii="Arial" w:eastAsia="Arial"/>
            </w:rPr>
          </w:pPr>
          <w:r>
            <w:fldChar w:fldCharType="begin"/>
          </w:r>
          <w:r>
            <w:instrText xml:space="preserve"> HYPERLINK \l "_TOC_250005" </w:instrText>
          </w:r>
          <w:r>
            <w:fldChar w:fldCharType="separate"/>
          </w:r>
          <w:r>
            <w:t>残疾人福利性</w:t>
          </w:r>
          <w:r>
            <w:rPr>
              <w:spacing w:val="-3"/>
            </w:rPr>
            <w:t>单</w:t>
          </w:r>
          <w:r>
            <w:t>位声明函</w:t>
          </w:r>
          <w:r>
            <w:tab/>
          </w:r>
          <w:r>
            <w:rPr>
              <w:rFonts w:ascii="Arial" w:eastAsia="Arial"/>
            </w:rPr>
            <w:t>61</w:t>
          </w:r>
          <w:r>
            <w:rPr>
              <w:rFonts w:ascii="Arial" w:eastAsia="Arial"/>
            </w:rPr>
            <w:fldChar w:fldCharType="end"/>
          </w:r>
        </w:p>
        <w:p>
          <w:pPr>
            <w:pStyle w:val="6"/>
            <w:numPr>
              <w:ilvl w:val="0"/>
              <w:numId w:val="4"/>
            </w:numPr>
            <w:tabs>
              <w:tab w:val="left" w:pos="1264"/>
              <w:tab w:val="right" w:leader="dot" w:pos="9920"/>
            </w:tabs>
            <w:spacing w:before="161" w:after="0" w:line="240" w:lineRule="auto"/>
            <w:ind w:left="1263" w:right="0" w:hanging="752"/>
            <w:jc w:val="left"/>
            <w:rPr>
              <w:rFonts w:ascii="Arial" w:eastAsia="Arial"/>
            </w:rPr>
          </w:pPr>
          <w:r>
            <w:fldChar w:fldCharType="begin"/>
          </w:r>
          <w:r>
            <w:instrText xml:space="preserve"> HYPERLINK \l "_TOC_250004" </w:instrText>
          </w:r>
          <w:r>
            <w:fldChar w:fldCharType="separate"/>
          </w:r>
          <w:r>
            <w:t>供应商认为在</w:t>
          </w:r>
          <w:r>
            <w:rPr>
              <w:spacing w:val="-3"/>
            </w:rPr>
            <w:t>其</w:t>
          </w:r>
          <w:r>
            <w:t>他方面有必要说明的事项</w:t>
          </w:r>
          <w:r>
            <w:tab/>
          </w:r>
          <w:r>
            <w:rPr>
              <w:rFonts w:ascii="Arial" w:eastAsia="Arial"/>
            </w:rPr>
            <w:t>62</w:t>
          </w:r>
          <w:r>
            <w:rPr>
              <w:rFonts w:ascii="Arial" w:eastAsia="Arial"/>
            </w:rPr>
            <w:fldChar w:fldCharType="end"/>
          </w:r>
        </w:p>
        <w:p>
          <w:pPr>
            <w:pStyle w:val="6"/>
            <w:numPr>
              <w:ilvl w:val="0"/>
              <w:numId w:val="4"/>
            </w:numPr>
            <w:tabs>
              <w:tab w:val="left" w:pos="1264"/>
              <w:tab w:val="right" w:leader="dot" w:pos="9920"/>
            </w:tabs>
            <w:spacing w:before="158" w:after="0" w:line="240" w:lineRule="auto"/>
            <w:ind w:left="1263" w:right="0" w:hanging="752"/>
            <w:jc w:val="left"/>
            <w:rPr>
              <w:rFonts w:ascii="Arial" w:eastAsia="Arial"/>
            </w:rPr>
          </w:pPr>
          <w:r>
            <w:fldChar w:fldCharType="begin"/>
          </w:r>
          <w:r>
            <w:instrText xml:space="preserve"> HYPERLINK \l "_TOC_250003" </w:instrText>
          </w:r>
          <w:r>
            <w:fldChar w:fldCharType="separate"/>
          </w:r>
          <w:r>
            <w:t>最终报价表</w:t>
          </w:r>
          <w:r>
            <w:tab/>
          </w:r>
          <w:r>
            <w:rPr>
              <w:rFonts w:ascii="Arial" w:eastAsia="Arial"/>
            </w:rPr>
            <w:t>63</w:t>
          </w:r>
          <w:r>
            <w:rPr>
              <w:rFonts w:ascii="Arial" w:eastAsia="Arial"/>
            </w:rPr>
            <w:fldChar w:fldCharType="end"/>
          </w:r>
        </w:p>
        <w:p>
          <w:pPr>
            <w:pStyle w:val="6"/>
            <w:tabs>
              <w:tab w:val="right" w:leader="dot" w:pos="9920"/>
            </w:tabs>
            <w:spacing w:before="160"/>
            <w:rPr>
              <w:rFonts w:ascii="Arial" w:eastAsia="Arial"/>
            </w:rPr>
          </w:pPr>
          <w:r>
            <w:fldChar w:fldCharType="begin"/>
          </w:r>
          <w:r>
            <w:instrText xml:space="preserve"> HYPERLINK \l "_TOC_250002" </w:instrText>
          </w:r>
          <w:r>
            <w:fldChar w:fldCharType="separate"/>
          </w:r>
          <w:r>
            <w:t>第六部分磋商及采购项目要求</w:t>
          </w:r>
          <w:r>
            <w:tab/>
          </w:r>
          <w:r>
            <w:rPr>
              <w:rFonts w:ascii="Arial" w:eastAsia="Arial"/>
            </w:rPr>
            <w:t>64</w:t>
          </w:r>
          <w:r>
            <w:rPr>
              <w:rFonts w:ascii="Arial" w:eastAsia="Arial"/>
            </w:rPr>
            <w:fldChar w:fldCharType="end"/>
          </w:r>
        </w:p>
        <w:p>
          <w:pPr>
            <w:pStyle w:val="6"/>
            <w:tabs>
              <w:tab w:val="right" w:leader="dot" w:pos="9920"/>
            </w:tabs>
            <w:rPr>
              <w:rFonts w:ascii="Arial" w:eastAsia="Arial"/>
            </w:rPr>
          </w:pPr>
          <w:r>
            <w:fldChar w:fldCharType="begin"/>
          </w:r>
          <w:r>
            <w:instrText xml:space="preserve"> HYPERLINK \l "_TOC_250001" </w:instrText>
          </w:r>
          <w:r>
            <w:fldChar w:fldCharType="separate"/>
          </w:r>
          <w:r>
            <w:t>（一）磋商要求</w:t>
          </w:r>
          <w:r>
            <w:tab/>
          </w:r>
          <w:r>
            <w:rPr>
              <w:rFonts w:ascii="Arial" w:eastAsia="Arial"/>
            </w:rPr>
            <w:t>64</w:t>
          </w:r>
          <w:r>
            <w:rPr>
              <w:rFonts w:ascii="Arial" w:eastAsia="Arial"/>
            </w:rPr>
            <w:fldChar w:fldCharType="end"/>
          </w:r>
        </w:p>
        <w:p>
          <w:pPr>
            <w:pStyle w:val="6"/>
            <w:tabs>
              <w:tab w:val="right" w:leader="dot" w:pos="9920"/>
            </w:tabs>
            <w:spacing w:before="161"/>
            <w:rPr>
              <w:rFonts w:ascii="Arial" w:eastAsia="Arial"/>
            </w:rPr>
          </w:pPr>
          <w:r>
            <w:fldChar w:fldCharType="begin"/>
          </w:r>
          <w:r>
            <w:instrText xml:space="preserve"> HYPERLINK \l "_TOC_250000" </w:instrText>
          </w:r>
          <w:r>
            <w:fldChar w:fldCharType="separate"/>
          </w:r>
          <w:r>
            <w:t>（二）技术参数及要求</w:t>
          </w:r>
          <w:r>
            <w:tab/>
          </w:r>
          <w:r>
            <w:rPr>
              <w:rFonts w:ascii="Arial" w:eastAsia="Arial"/>
            </w:rPr>
            <w:t>65</w:t>
          </w:r>
          <w:r>
            <w:rPr>
              <w:rFonts w:ascii="Arial" w:eastAsia="Arial"/>
            </w:rPr>
            <w:fldChar w:fldCharType="end"/>
          </w:r>
        </w:p>
      </w:sdtContent>
    </w:sdt>
    <w:p>
      <w:pPr>
        <w:spacing w:after="0"/>
        <w:rPr>
          <w:rFonts w:ascii="Arial" w:eastAsia="Arial"/>
        </w:rPr>
        <w:sectPr>
          <w:type w:val="continuous"/>
          <w:pgSz w:w="11910" w:h="16840"/>
          <w:pgMar w:top="1182" w:right="720" w:bottom="1254" w:left="740" w:header="720" w:footer="720" w:gutter="0"/>
        </w:sectPr>
      </w:pPr>
    </w:p>
    <w:p>
      <w:pPr>
        <w:pStyle w:val="3"/>
        <w:ind w:right="410"/>
      </w:pPr>
      <w:bookmarkStart w:id="0" w:name="_TOC_250068"/>
      <w:bookmarkEnd w:id="0"/>
      <w:r>
        <w:t>第一部分磋商邀请</w:t>
      </w:r>
    </w:p>
    <w:p>
      <w:pPr>
        <w:pStyle w:val="2"/>
        <w:spacing w:before="238" w:line="364" w:lineRule="auto"/>
        <w:ind w:left="508" w:right="521" w:firstLine="480"/>
        <w:jc w:val="both"/>
      </w:pPr>
      <w:r>
        <w:rPr>
          <w:rFonts w:hint="eastAsia"/>
          <w:spacing w:val="-4"/>
          <w:u w:val="single"/>
          <w:lang w:eastAsia="zh-CN"/>
        </w:rPr>
        <w:t>鸿利项目管理有限公司</w:t>
      </w:r>
      <w:r>
        <w:t>（以下均简称</w:t>
      </w:r>
      <w:r>
        <w:rPr>
          <w:rFonts w:ascii="Arial" w:hAnsi="Arial" w:eastAsia="Arial"/>
        </w:rPr>
        <w:t>“</w:t>
      </w:r>
      <w:r>
        <w:t>采购代理机构</w:t>
      </w:r>
      <w:r>
        <w:rPr>
          <w:rFonts w:ascii="Arial" w:hAnsi="Arial" w:eastAsia="Arial"/>
          <w:spacing w:val="-19"/>
        </w:rPr>
        <w:t>”</w:t>
      </w:r>
      <w:r>
        <w:rPr>
          <w:spacing w:val="-19"/>
        </w:rPr>
        <w:t>）</w:t>
      </w:r>
      <w:r>
        <w:t>受采购人</w:t>
      </w:r>
      <w:r>
        <w:rPr>
          <w:rFonts w:hint="eastAsia"/>
          <w:spacing w:val="-6"/>
          <w:u w:val="single"/>
          <w:lang w:eastAsia="zh-CN"/>
        </w:rPr>
        <w:t>都兰县公安局交通管理大队</w:t>
      </w:r>
      <w:r>
        <w:t>（</w:t>
      </w:r>
      <w:r>
        <w:rPr>
          <w:spacing w:val="-13"/>
        </w:rPr>
        <w:t>以</w:t>
      </w:r>
      <w:r>
        <w:t>下均称</w:t>
      </w:r>
      <w:r>
        <w:rPr>
          <w:rFonts w:ascii="Arial" w:hAnsi="Arial" w:eastAsia="Arial"/>
        </w:rPr>
        <w:t>“</w:t>
      </w:r>
      <w:r>
        <w:t>采购人</w:t>
      </w:r>
      <w:r>
        <w:rPr>
          <w:rFonts w:ascii="Arial" w:hAnsi="Arial" w:eastAsia="Arial"/>
          <w:spacing w:val="-14"/>
        </w:rPr>
        <w:t>”</w:t>
      </w:r>
      <w:r>
        <w:rPr>
          <w:spacing w:val="-14"/>
        </w:rPr>
        <w:t>）</w:t>
      </w:r>
      <w:r>
        <w:rPr>
          <w:spacing w:val="-6"/>
        </w:rPr>
        <w:t>委托，拟对</w:t>
      </w:r>
      <w:r>
        <w:rPr>
          <w:rFonts w:hint="eastAsia"/>
          <w:spacing w:val="-2"/>
          <w:u w:val="single"/>
          <w:lang w:eastAsia="zh-CN"/>
        </w:rPr>
        <w:t>交通应急项目</w:t>
      </w:r>
      <w:r>
        <w:t>（</w:t>
      </w:r>
      <w:r>
        <w:rPr>
          <w:spacing w:val="-4"/>
        </w:rPr>
        <w:t>采购项目编号：</w:t>
      </w:r>
      <w:r>
        <w:rPr>
          <w:rFonts w:hint="eastAsia"/>
          <w:spacing w:val="-3"/>
          <w:u w:val="single"/>
          <w:lang w:eastAsia="zh-CN"/>
        </w:rPr>
        <w:t>鸿利竞磋（货物）2020-034号</w:t>
      </w:r>
      <w:r>
        <w:rPr>
          <w:u w:val="single"/>
        </w:rPr>
        <w:t>）</w:t>
      </w:r>
      <w:r>
        <w:t>进行国内竞争性磋商，现予以公告，欢迎潜在的供应商参加本次政府采购活动。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696" w:type="dxa"/>
            <w:vAlign w:val="center"/>
          </w:tcPr>
          <w:p>
            <w:pPr>
              <w:pStyle w:val="14"/>
              <w:ind w:left="108"/>
              <w:rPr>
                <w:sz w:val="24"/>
              </w:rPr>
            </w:pPr>
            <w:r>
              <w:rPr>
                <w:sz w:val="24"/>
              </w:rPr>
              <w:t>采购项目名称</w:t>
            </w:r>
          </w:p>
        </w:tc>
        <w:tc>
          <w:tcPr>
            <w:tcW w:w="6805" w:type="dxa"/>
            <w:vAlign w:val="center"/>
          </w:tcPr>
          <w:p>
            <w:pPr>
              <w:pStyle w:val="14"/>
              <w:ind w:left="105"/>
              <w:rPr>
                <w:rFonts w:hint="eastAsia" w:eastAsia="宋体"/>
                <w:sz w:val="24"/>
                <w:lang w:eastAsia="zh-CN"/>
              </w:rPr>
            </w:pPr>
            <w:r>
              <w:rPr>
                <w:rFonts w:hint="eastAsia"/>
                <w:sz w:val="24"/>
                <w:lang w:eastAsia="zh-CN"/>
              </w:rPr>
              <w:t>交通应急项目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2696" w:type="dxa"/>
            <w:vAlign w:val="center"/>
          </w:tcPr>
          <w:p>
            <w:pPr>
              <w:pStyle w:val="14"/>
              <w:spacing w:before="16"/>
              <w:ind w:left="108"/>
              <w:rPr>
                <w:sz w:val="24"/>
              </w:rPr>
            </w:pPr>
            <w:r>
              <w:rPr>
                <w:sz w:val="24"/>
              </w:rPr>
              <w:t>采购项目编号</w:t>
            </w:r>
          </w:p>
        </w:tc>
        <w:tc>
          <w:tcPr>
            <w:tcW w:w="6805" w:type="dxa"/>
            <w:vAlign w:val="center"/>
          </w:tcPr>
          <w:p>
            <w:pPr>
              <w:pStyle w:val="14"/>
              <w:spacing w:before="16"/>
              <w:ind w:left="105"/>
              <w:rPr>
                <w:rFonts w:hint="eastAsia" w:ascii="Arial" w:eastAsia="宋体"/>
                <w:sz w:val="24"/>
                <w:lang w:eastAsia="zh-CN"/>
              </w:rPr>
            </w:pPr>
            <w:r>
              <w:rPr>
                <w:rFonts w:hint="eastAsia"/>
                <w:sz w:val="24"/>
                <w:lang w:eastAsia="zh-CN"/>
              </w:rPr>
              <w:t>鸿利竞磋（货物）2020-034号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96" w:type="dxa"/>
            <w:vAlign w:val="center"/>
          </w:tcPr>
          <w:p>
            <w:pPr>
              <w:pStyle w:val="14"/>
              <w:spacing w:before="2"/>
              <w:ind w:left="108"/>
              <w:rPr>
                <w:sz w:val="24"/>
              </w:rPr>
            </w:pPr>
            <w:r>
              <w:rPr>
                <w:sz w:val="24"/>
              </w:rPr>
              <w:t>采购方式</w:t>
            </w:r>
          </w:p>
        </w:tc>
        <w:tc>
          <w:tcPr>
            <w:tcW w:w="6805" w:type="dxa"/>
            <w:vAlign w:val="center"/>
          </w:tcPr>
          <w:p>
            <w:pPr>
              <w:pStyle w:val="14"/>
              <w:spacing w:before="2"/>
              <w:ind w:left="105"/>
              <w:rPr>
                <w:sz w:val="24"/>
              </w:rPr>
            </w:pPr>
            <w:r>
              <w:rPr>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696" w:type="dxa"/>
            <w:vAlign w:val="center"/>
          </w:tcPr>
          <w:p>
            <w:pPr>
              <w:pStyle w:val="14"/>
              <w:ind w:left="108"/>
              <w:rPr>
                <w:sz w:val="24"/>
              </w:rPr>
            </w:pPr>
            <w:r>
              <w:rPr>
                <w:sz w:val="24"/>
              </w:rPr>
              <w:t>采购预算控制额度</w:t>
            </w:r>
          </w:p>
        </w:tc>
        <w:tc>
          <w:tcPr>
            <w:tcW w:w="6805" w:type="dxa"/>
            <w:vAlign w:val="center"/>
          </w:tcPr>
          <w:p>
            <w:pPr>
              <w:pStyle w:val="14"/>
              <w:ind w:left="105"/>
              <w:rPr>
                <w:rFonts w:hint="eastAsia" w:eastAsia="宋体"/>
                <w:sz w:val="24"/>
                <w:lang w:eastAsia="zh-CN"/>
              </w:rPr>
            </w:pPr>
            <w:r>
              <w:rPr>
                <w:rFonts w:hint="eastAsia" w:ascii="Arial"/>
                <w:sz w:val="24"/>
                <w:lang w:eastAsia="zh-CN"/>
              </w:rPr>
              <w:t>597200元（大写：伍拾玖万柒仟贰佰元整）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96" w:type="dxa"/>
            <w:vAlign w:val="center"/>
          </w:tcPr>
          <w:p>
            <w:pPr>
              <w:pStyle w:val="14"/>
              <w:ind w:left="108"/>
              <w:rPr>
                <w:sz w:val="24"/>
              </w:rPr>
            </w:pPr>
            <w:r>
              <w:rPr>
                <w:sz w:val="24"/>
              </w:rPr>
              <w:t>最高限价</w:t>
            </w:r>
          </w:p>
        </w:tc>
        <w:tc>
          <w:tcPr>
            <w:tcW w:w="6805" w:type="dxa"/>
            <w:vAlign w:val="center"/>
          </w:tcPr>
          <w:p>
            <w:pPr>
              <w:pStyle w:val="14"/>
              <w:ind w:left="105"/>
              <w:rPr>
                <w:rFonts w:hint="eastAsia" w:eastAsia="宋体"/>
                <w:sz w:val="24"/>
                <w:lang w:eastAsia="zh-CN"/>
              </w:rPr>
            </w:pPr>
            <w:r>
              <w:rPr>
                <w:rFonts w:hint="eastAsia" w:ascii="Arial"/>
                <w:sz w:val="24"/>
                <w:lang w:eastAsia="zh-CN"/>
              </w:rPr>
              <w:t>597200元（大写：伍拾玖万柒仟贰佰元整）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696" w:type="dxa"/>
            <w:vAlign w:val="center"/>
          </w:tcPr>
          <w:p>
            <w:pPr>
              <w:pStyle w:val="14"/>
              <w:ind w:left="108"/>
              <w:rPr>
                <w:sz w:val="24"/>
              </w:rPr>
            </w:pPr>
            <w:r>
              <w:rPr>
                <w:sz w:val="24"/>
              </w:rPr>
              <w:t>项目分包个数</w:t>
            </w:r>
          </w:p>
        </w:tc>
        <w:tc>
          <w:tcPr>
            <w:tcW w:w="6805" w:type="dxa"/>
            <w:vAlign w:val="center"/>
          </w:tcPr>
          <w:p>
            <w:pPr>
              <w:pStyle w:val="14"/>
              <w:ind w:left="105"/>
              <w:rPr>
                <w:rFonts w:hint="eastAsia" w:eastAsia="宋体"/>
                <w:sz w:val="24"/>
                <w:lang w:eastAsia="zh-CN"/>
              </w:rPr>
            </w:pPr>
            <w:r>
              <w:rPr>
                <w:sz w:val="24"/>
              </w:rPr>
              <w:t>无</w:t>
            </w:r>
            <w:r>
              <w:rPr>
                <w:rFonts w:hint="eastAsia"/>
                <w:sz w:val="24"/>
                <w:lang w:eastAsia="zh-CN"/>
              </w:rPr>
              <w:t>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96" w:type="dxa"/>
            <w:vAlign w:val="center"/>
          </w:tcPr>
          <w:p>
            <w:pPr>
              <w:pStyle w:val="14"/>
              <w:ind w:left="108"/>
              <w:rPr>
                <w:sz w:val="24"/>
              </w:rPr>
            </w:pPr>
            <w:r>
              <w:rPr>
                <w:sz w:val="24"/>
              </w:rPr>
              <w:t>各包要求</w:t>
            </w:r>
          </w:p>
        </w:tc>
        <w:tc>
          <w:tcPr>
            <w:tcW w:w="6805" w:type="dxa"/>
            <w:vAlign w:val="center"/>
          </w:tcPr>
          <w:p>
            <w:pPr>
              <w:pStyle w:val="14"/>
              <w:ind w:left="105"/>
              <w:rPr>
                <w:rFonts w:ascii="Arial" w:eastAsia="Arial"/>
                <w:sz w:val="24"/>
              </w:rPr>
            </w:pPr>
            <w:r>
              <w:rPr>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7" w:hRule="atLeast"/>
          <w:jc w:val="center"/>
        </w:trPr>
        <w:tc>
          <w:tcPr>
            <w:tcW w:w="2696"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6"/>
              <w:rPr>
                <w:sz w:val="27"/>
              </w:rPr>
            </w:pPr>
          </w:p>
          <w:p>
            <w:pPr>
              <w:pStyle w:val="14"/>
              <w:ind w:left="108"/>
              <w:rPr>
                <w:sz w:val="24"/>
              </w:rPr>
            </w:pPr>
            <w:r>
              <w:rPr>
                <w:sz w:val="24"/>
              </w:rPr>
              <w:t>各包供应商资质条件</w:t>
            </w:r>
          </w:p>
        </w:tc>
        <w:tc>
          <w:tcPr>
            <w:tcW w:w="6805" w:type="dxa"/>
          </w:tcPr>
          <w:p>
            <w:pPr>
              <w:pStyle w:val="14"/>
              <w:spacing w:line="307" w:lineRule="exact"/>
              <w:ind w:left="105"/>
              <w:rPr>
                <w:sz w:val="24"/>
              </w:rPr>
            </w:pPr>
            <w:r>
              <w:rPr>
                <w:sz w:val="24"/>
              </w:rPr>
              <w:t xml:space="preserve">（1）符合《政府采购法》第 </w:t>
            </w:r>
            <w:r>
              <w:rPr>
                <w:rFonts w:ascii="Arial" w:eastAsia="Arial"/>
                <w:sz w:val="24"/>
              </w:rPr>
              <w:t xml:space="preserve">22 </w:t>
            </w:r>
            <w:r>
              <w:rPr>
                <w:sz w:val="24"/>
              </w:rPr>
              <w:t>条条件并提供以下材料：</w:t>
            </w:r>
          </w:p>
          <w:p>
            <w:pPr>
              <w:pStyle w:val="14"/>
              <w:numPr>
                <w:ilvl w:val="0"/>
                <w:numId w:val="5"/>
              </w:numPr>
              <w:tabs>
                <w:tab w:val="left" w:pos="481"/>
              </w:tabs>
              <w:spacing w:before="160" w:after="0" w:line="240" w:lineRule="auto"/>
              <w:ind w:left="481" w:right="0" w:hanging="376"/>
              <w:jc w:val="left"/>
              <w:rPr>
                <w:sz w:val="24"/>
              </w:rPr>
            </w:pPr>
            <w:r>
              <w:rPr>
                <w:sz w:val="24"/>
              </w:rPr>
              <w:t>投标人的营业执照等证明文件，自然人的身份证明。</w:t>
            </w:r>
          </w:p>
          <w:p>
            <w:pPr>
              <w:pStyle w:val="14"/>
              <w:numPr>
                <w:ilvl w:val="0"/>
                <w:numId w:val="5"/>
              </w:numPr>
              <w:tabs>
                <w:tab w:val="left" w:pos="481"/>
              </w:tabs>
              <w:spacing w:before="158" w:after="0" w:line="240" w:lineRule="auto"/>
              <w:ind w:left="481" w:right="0" w:hanging="376"/>
              <w:jc w:val="left"/>
              <w:rPr>
                <w:sz w:val="24"/>
              </w:rPr>
            </w:pPr>
            <w:r>
              <w:rPr>
                <w:sz w:val="24"/>
              </w:rPr>
              <w:t>财务状况报告，依法缴纳税收和社会保障资金的相关材料。</w:t>
            </w:r>
          </w:p>
          <w:p>
            <w:pPr>
              <w:pStyle w:val="14"/>
              <w:numPr>
                <w:ilvl w:val="0"/>
                <w:numId w:val="5"/>
              </w:numPr>
              <w:tabs>
                <w:tab w:val="left" w:pos="481"/>
              </w:tabs>
              <w:spacing w:before="161" w:after="0" w:line="240" w:lineRule="auto"/>
              <w:ind w:left="481" w:right="0" w:hanging="376"/>
              <w:jc w:val="left"/>
              <w:rPr>
                <w:sz w:val="24"/>
              </w:rPr>
            </w:pPr>
            <w:r>
              <w:rPr>
                <w:sz w:val="24"/>
              </w:rPr>
              <w:t>具备履行合同所必需的设备和专业技术能力的证明材料</w:t>
            </w:r>
            <w:r>
              <w:rPr>
                <w:rFonts w:hint="eastAsia"/>
                <w:sz w:val="24"/>
                <w:lang w:eastAsia="zh-CN"/>
              </w:rPr>
              <w:t>及书面声明</w:t>
            </w:r>
            <w:r>
              <w:rPr>
                <w:sz w:val="24"/>
              </w:rPr>
              <w:t>。</w:t>
            </w:r>
          </w:p>
          <w:p>
            <w:pPr>
              <w:pStyle w:val="14"/>
              <w:numPr>
                <w:ilvl w:val="0"/>
                <w:numId w:val="5"/>
              </w:numPr>
              <w:tabs>
                <w:tab w:val="left" w:pos="485"/>
              </w:tabs>
              <w:spacing w:before="158" w:after="0" w:line="364" w:lineRule="auto"/>
              <w:ind w:left="105" w:right="106" w:firstLine="0"/>
              <w:jc w:val="left"/>
              <w:rPr>
                <w:sz w:val="24"/>
              </w:rPr>
            </w:pPr>
            <w:r>
              <w:rPr>
                <w:sz w:val="24"/>
              </w:rPr>
              <w:t>参加政府采购活动前</w:t>
            </w:r>
            <w:r>
              <w:rPr>
                <w:rFonts w:ascii="Arial" w:eastAsia="Arial"/>
                <w:spacing w:val="3"/>
                <w:sz w:val="24"/>
              </w:rPr>
              <w:t>3</w:t>
            </w:r>
            <w:r>
              <w:rPr>
                <w:spacing w:val="-1"/>
                <w:sz w:val="24"/>
              </w:rPr>
              <w:t>年内在经营活动中没有重大违法记录</w:t>
            </w:r>
            <w:r>
              <w:rPr>
                <w:sz w:val="24"/>
              </w:rPr>
              <w:t>的书面声明</w:t>
            </w:r>
            <w:r>
              <w:rPr>
                <w:rFonts w:hint="eastAsia"/>
                <w:sz w:val="24"/>
                <w:lang w:eastAsia="zh-CN"/>
              </w:rPr>
              <w:t>。</w:t>
            </w:r>
          </w:p>
          <w:p>
            <w:pPr>
              <w:pStyle w:val="14"/>
              <w:numPr>
                <w:ilvl w:val="0"/>
                <w:numId w:val="5"/>
              </w:numPr>
              <w:tabs>
                <w:tab w:val="left" w:pos="485"/>
              </w:tabs>
              <w:spacing w:before="158" w:after="0" w:line="364" w:lineRule="auto"/>
              <w:ind w:left="105" w:right="106" w:firstLine="0"/>
              <w:jc w:val="left"/>
              <w:rPr>
                <w:sz w:val="24"/>
              </w:rPr>
            </w:pPr>
            <w:r>
              <w:rPr>
                <w:sz w:val="24"/>
              </w:rPr>
              <w:t>具备法律、行政法规规定的其他条件的证明材料。</w:t>
            </w:r>
          </w:p>
          <w:p>
            <w:pPr>
              <w:pStyle w:val="14"/>
              <w:numPr>
                <w:ilvl w:val="0"/>
                <w:numId w:val="0"/>
              </w:numPr>
              <w:tabs>
                <w:tab w:val="left" w:pos="721"/>
              </w:tabs>
              <w:spacing w:before="0" w:after="0" w:line="364" w:lineRule="auto"/>
              <w:ind w:left="105" w:leftChars="0" w:right="99" w:rightChars="0"/>
              <w:jc w:val="both"/>
              <w:rPr>
                <w:sz w:val="24"/>
              </w:rPr>
            </w:pPr>
            <w:r>
              <w:rPr>
                <w:rFonts w:hint="eastAsia"/>
                <w:spacing w:val="-3"/>
                <w:sz w:val="24"/>
                <w:lang w:eastAsia="zh-CN"/>
              </w:rPr>
              <w:t>（</w:t>
            </w:r>
            <w:r>
              <w:rPr>
                <w:rFonts w:hint="eastAsia"/>
                <w:spacing w:val="-3"/>
                <w:sz w:val="24"/>
                <w:lang w:val="en-US" w:eastAsia="zh-CN"/>
              </w:rPr>
              <w:t>2</w:t>
            </w:r>
            <w:r>
              <w:rPr>
                <w:rFonts w:hint="eastAsia"/>
                <w:spacing w:val="-3"/>
                <w:sz w:val="24"/>
                <w:lang w:eastAsia="zh-CN"/>
              </w:rPr>
              <w:t>）</w:t>
            </w:r>
            <w:r>
              <w:rPr>
                <w:spacing w:val="-3"/>
                <w:sz w:val="24"/>
              </w:rPr>
              <w:t>单位负责人为同一人或者存在直接控股、管理关系的不同</w:t>
            </w:r>
            <w:r>
              <w:rPr>
                <w:sz w:val="24"/>
              </w:rPr>
              <w:t>投标人，不得参加同一合同项下的政府采购活动。否则，皆取消投标资格；</w:t>
            </w:r>
          </w:p>
          <w:p>
            <w:pPr>
              <w:pStyle w:val="14"/>
              <w:numPr>
                <w:ilvl w:val="0"/>
                <w:numId w:val="0"/>
              </w:numPr>
              <w:tabs>
                <w:tab w:val="left" w:pos="721"/>
              </w:tabs>
              <w:spacing w:before="0" w:after="0" w:line="364" w:lineRule="auto"/>
              <w:ind w:left="105" w:leftChars="0" w:right="99" w:rightChars="0"/>
              <w:jc w:val="both"/>
              <w:rPr>
                <w:sz w:val="24"/>
              </w:rPr>
            </w:pPr>
            <w:r>
              <w:rPr>
                <w:rFonts w:hint="eastAsia"/>
                <w:spacing w:val="-3"/>
                <w:sz w:val="24"/>
                <w:lang w:eastAsia="zh-CN"/>
              </w:rPr>
              <w:t>（</w:t>
            </w:r>
            <w:r>
              <w:rPr>
                <w:rFonts w:hint="eastAsia"/>
                <w:spacing w:val="-3"/>
                <w:sz w:val="24"/>
                <w:lang w:val="en-US" w:eastAsia="zh-CN"/>
              </w:rPr>
              <w:t>3</w:t>
            </w:r>
            <w:r>
              <w:rPr>
                <w:rFonts w:hint="eastAsia"/>
                <w:spacing w:val="-3"/>
                <w:sz w:val="24"/>
                <w:lang w:eastAsia="zh-CN"/>
              </w:rPr>
              <w:t>）</w:t>
            </w:r>
            <w:r>
              <w:rPr>
                <w:spacing w:val="-3"/>
                <w:sz w:val="24"/>
              </w:rPr>
              <w:t>为本采购项目提供整体设计、规范编制或者项目管理、监</w:t>
            </w:r>
            <w:r>
              <w:rPr>
                <w:sz w:val="24"/>
              </w:rPr>
              <w:t>理、检测等服务的投标人，不得再参加该采购项目的其他采购活动；</w:t>
            </w:r>
          </w:p>
          <w:p>
            <w:pPr>
              <w:pStyle w:val="14"/>
              <w:numPr>
                <w:ilvl w:val="0"/>
                <w:numId w:val="0"/>
              </w:numPr>
              <w:tabs>
                <w:tab w:val="left" w:pos="721"/>
              </w:tabs>
              <w:spacing w:before="0" w:after="0" w:line="240" w:lineRule="auto"/>
              <w:ind w:left="105" w:leftChars="0" w:right="0" w:rightChars="0"/>
              <w:jc w:val="left"/>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本项目不接受投标人以联合体方式进行投标；</w:t>
            </w:r>
          </w:p>
          <w:p>
            <w:pPr>
              <w:pStyle w:val="14"/>
              <w:numPr>
                <w:ilvl w:val="0"/>
                <w:numId w:val="0"/>
              </w:numPr>
              <w:tabs>
                <w:tab w:val="left" w:pos="735"/>
              </w:tabs>
              <w:spacing w:before="157" w:after="0" w:line="362" w:lineRule="auto"/>
              <w:ind w:left="105" w:leftChars="0" w:right="96" w:rightChars="0"/>
              <w:jc w:val="both"/>
              <w:rPr>
                <w:sz w:val="24"/>
              </w:rPr>
            </w:pPr>
            <w:r>
              <w:rPr>
                <w:rFonts w:hint="eastAsia"/>
                <w:spacing w:val="4"/>
                <w:sz w:val="24"/>
                <w:lang w:eastAsia="zh-CN"/>
              </w:rPr>
              <w:t>（</w:t>
            </w:r>
            <w:r>
              <w:rPr>
                <w:rFonts w:hint="eastAsia"/>
                <w:spacing w:val="4"/>
                <w:sz w:val="24"/>
                <w:lang w:val="en-US" w:eastAsia="zh-CN"/>
              </w:rPr>
              <w:t>5</w:t>
            </w:r>
            <w:r>
              <w:rPr>
                <w:rFonts w:hint="eastAsia"/>
                <w:spacing w:val="4"/>
                <w:sz w:val="24"/>
                <w:lang w:eastAsia="zh-CN"/>
              </w:rPr>
              <w:t>）</w:t>
            </w:r>
            <w:r>
              <w:rPr>
                <w:spacing w:val="4"/>
                <w:sz w:val="24"/>
              </w:rPr>
              <w:t>经信用中国</w:t>
            </w:r>
            <w:r>
              <w:rPr>
                <w:sz w:val="24"/>
              </w:rPr>
              <w:t>（</w:t>
            </w:r>
            <w:r>
              <w:fldChar w:fldCharType="begin"/>
            </w:r>
            <w:r>
              <w:instrText xml:space="preserve"> HYPERLINK "http://www.creditchina.gov.cn/" \h </w:instrText>
            </w:r>
            <w:r>
              <w:fldChar w:fldCharType="separate"/>
            </w:r>
            <w:r>
              <w:rPr>
                <w:rFonts w:ascii="Arial" w:eastAsia="Arial"/>
                <w:sz w:val="24"/>
              </w:rPr>
              <w:t>www.creditchina.gov.cn</w:t>
            </w:r>
            <w:r>
              <w:rPr>
                <w:rFonts w:ascii="Arial" w:eastAsia="Arial"/>
                <w:sz w:val="24"/>
              </w:rPr>
              <w:fldChar w:fldCharType="end"/>
            </w:r>
            <w:r>
              <w:rPr>
                <w:sz w:val="24"/>
              </w:rPr>
              <w:t>）</w:t>
            </w:r>
            <w:r>
              <w:rPr>
                <w:spacing w:val="3"/>
                <w:sz w:val="24"/>
              </w:rPr>
              <w:t>、中国政府采购</w:t>
            </w:r>
            <w:r>
              <w:rPr>
                <w:spacing w:val="-20"/>
                <w:sz w:val="24"/>
              </w:rPr>
              <w:t>网</w:t>
            </w:r>
            <w:r>
              <w:rPr>
                <w:spacing w:val="-1"/>
                <w:sz w:val="24"/>
              </w:rPr>
              <w:t>（</w:t>
            </w:r>
            <w:r>
              <w:fldChar w:fldCharType="begin"/>
            </w:r>
            <w:r>
              <w:instrText xml:space="preserve"> HYPERLINK "http://www.ccgp.gov.cn/" \h </w:instrText>
            </w:r>
            <w:r>
              <w:fldChar w:fldCharType="separate"/>
            </w:r>
            <w:r>
              <w:rPr>
                <w:rFonts w:ascii="Arial" w:eastAsia="Arial"/>
                <w:spacing w:val="-1"/>
                <w:sz w:val="24"/>
              </w:rPr>
              <w:t>www.ccgp.gov.cn</w:t>
            </w:r>
            <w:r>
              <w:rPr>
                <w:rFonts w:ascii="Arial" w:eastAsia="Arial"/>
                <w:spacing w:val="-1"/>
                <w:sz w:val="24"/>
              </w:rPr>
              <w:fldChar w:fldCharType="end"/>
            </w:r>
            <w:r>
              <w:rPr>
                <w:spacing w:val="-1"/>
                <w:sz w:val="24"/>
              </w:rPr>
              <w:t>）</w:t>
            </w:r>
            <w:r>
              <w:rPr>
                <w:spacing w:val="-5"/>
                <w:sz w:val="24"/>
              </w:rPr>
              <w:t>等渠道查询后，列入失信被执行人、重</w:t>
            </w:r>
          </w:p>
          <w:p>
            <w:pPr>
              <w:pStyle w:val="14"/>
              <w:spacing w:before="5"/>
              <w:ind w:left="105"/>
              <w:rPr>
                <w:sz w:val="24"/>
              </w:rPr>
            </w:pPr>
            <w:r>
              <w:rPr>
                <w:sz w:val="24"/>
              </w:rPr>
              <w:t>大税收违法案件当事人名单、政府采购严重违法失信行为记录</w:t>
            </w:r>
          </w:p>
        </w:tc>
      </w:tr>
    </w:tbl>
    <w:p>
      <w:pPr>
        <w:spacing w:after="0"/>
        <w:rPr>
          <w:sz w:val="24"/>
        </w:rPr>
        <w:sectPr>
          <w:pgSz w:w="11910" w:h="16840"/>
          <w:pgMar w:top="1180" w:right="720" w:bottom="1120" w:left="740" w:header="711" w:footer="923" w:gutter="0"/>
        </w:sectPr>
      </w:pPr>
    </w:p>
    <w:p>
      <w:pPr>
        <w:pStyle w:val="2"/>
        <w:spacing w:before="9"/>
        <w:rPr>
          <w:rFonts w:ascii="Times New Roman"/>
          <w:sz w:val="5"/>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2696" w:type="dxa"/>
          </w:tcPr>
          <w:p>
            <w:pPr>
              <w:pStyle w:val="14"/>
              <w:rPr>
                <w:rFonts w:ascii="Times New Roman"/>
                <w:sz w:val="22"/>
              </w:rPr>
            </w:pPr>
          </w:p>
        </w:tc>
        <w:tc>
          <w:tcPr>
            <w:tcW w:w="6805" w:type="dxa"/>
          </w:tcPr>
          <w:p>
            <w:pPr>
              <w:pStyle w:val="14"/>
              <w:spacing w:line="364" w:lineRule="auto"/>
              <w:ind w:left="105" w:right="35"/>
              <w:rPr>
                <w:sz w:val="24"/>
              </w:rPr>
            </w:pPr>
            <w:r>
              <w:rPr>
                <w:sz w:val="24"/>
              </w:rPr>
              <w:t>名单的，取消投标资格。（提供</w:t>
            </w:r>
            <w:r>
              <w:rPr>
                <w:rFonts w:ascii="Arial" w:hAnsi="Arial" w:eastAsia="Arial"/>
                <w:sz w:val="24"/>
              </w:rPr>
              <w:t>“</w:t>
            </w:r>
            <w:r>
              <w:rPr>
                <w:sz w:val="24"/>
              </w:rPr>
              <w:t>信用中国</w:t>
            </w:r>
            <w:r>
              <w:rPr>
                <w:rFonts w:ascii="Arial" w:hAnsi="Arial" w:eastAsia="Arial"/>
                <w:sz w:val="24"/>
              </w:rPr>
              <w:t>”</w:t>
            </w:r>
            <w:r>
              <w:rPr>
                <w:sz w:val="24"/>
              </w:rPr>
              <w:t>网站无任何不良记录的查询截图）。</w:t>
            </w:r>
          </w:p>
          <w:p>
            <w:pPr>
              <w:pStyle w:val="14"/>
              <w:spacing w:line="307" w:lineRule="exact"/>
              <w:ind w:left="105"/>
              <w:rPr>
                <w:sz w:val="24"/>
              </w:rPr>
            </w:pPr>
            <w:r>
              <w:rPr>
                <w:sz w:val="24"/>
              </w:rPr>
              <w:t>（</w:t>
            </w:r>
            <w:r>
              <w:rPr>
                <w:rFonts w:ascii="Arial" w:eastAsia="Arial"/>
                <w:sz w:val="24"/>
              </w:rPr>
              <w:t>6</w:t>
            </w:r>
            <w:r>
              <w:rPr>
                <w:sz w:val="24"/>
              </w:rPr>
              <w:t>）投标人营业执照内须包含相关货物的经营范围，并在人</w:t>
            </w:r>
          </w:p>
          <w:p>
            <w:pPr>
              <w:pStyle w:val="14"/>
              <w:spacing w:before="158"/>
              <w:ind w:left="105"/>
              <w:rPr>
                <w:sz w:val="24"/>
              </w:rPr>
            </w:pPr>
            <w:r>
              <w:rPr>
                <w:sz w:val="24"/>
              </w:rPr>
              <w:t>员、设备、资金等方面具备相应的供货能力。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96" w:type="dxa"/>
            <w:vAlign w:val="center"/>
          </w:tcPr>
          <w:p>
            <w:pPr>
              <w:pStyle w:val="14"/>
              <w:ind w:left="108"/>
              <w:rPr>
                <w:sz w:val="24"/>
              </w:rPr>
            </w:pPr>
            <w:r>
              <w:rPr>
                <w:sz w:val="24"/>
              </w:rPr>
              <w:t>公告发布时间</w:t>
            </w:r>
          </w:p>
        </w:tc>
        <w:tc>
          <w:tcPr>
            <w:tcW w:w="6805" w:type="dxa"/>
            <w:vAlign w:val="center"/>
          </w:tcPr>
          <w:p>
            <w:pPr>
              <w:pStyle w:val="14"/>
              <w:ind w:left="105"/>
              <w:rPr>
                <w:rFonts w:hint="eastAsia" w:eastAsia="宋体"/>
                <w:sz w:val="24"/>
                <w:lang w:eastAsia="zh-CN"/>
              </w:rPr>
            </w:pPr>
            <w:r>
              <w:rPr>
                <w:rFonts w:hint="eastAsia" w:ascii="Arial"/>
                <w:sz w:val="24"/>
                <w:lang w:eastAsia="zh-CN"/>
              </w:rPr>
              <w:t>2020年09月07日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2696" w:type="dxa"/>
            <w:vAlign w:val="center"/>
          </w:tcPr>
          <w:p>
            <w:pPr>
              <w:pStyle w:val="14"/>
              <w:spacing w:before="2"/>
              <w:rPr>
                <w:rFonts w:ascii="Times New Roman"/>
                <w:sz w:val="20"/>
              </w:rPr>
            </w:pPr>
          </w:p>
          <w:p>
            <w:pPr>
              <w:pStyle w:val="14"/>
              <w:ind w:left="108"/>
              <w:rPr>
                <w:sz w:val="24"/>
              </w:rPr>
            </w:pPr>
            <w:r>
              <w:rPr>
                <w:sz w:val="24"/>
              </w:rPr>
              <w:t>磋商文件发售起止时间</w:t>
            </w:r>
          </w:p>
        </w:tc>
        <w:tc>
          <w:tcPr>
            <w:tcW w:w="6805" w:type="dxa"/>
            <w:vAlign w:val="center"/>
          </w:tcPr>
          <w:p>
            <w:pPr>
              <w:pStyle w:val="14"/>
              <w:ind w:left="105"/>
              <w:rPr>
                <w:sz w:val="24"/>
              </w:rPr>
            </w:pPr>
            <w:r>
              <w:rPr>
                <w:rFonts w:hint="eastAsia" w:ascii="Arial"/>
                <w:sz w:val="24"/>
                <w:lang w:eastAsia="zh-CN"/>
              </w:rPr>
              <w:t xml:space="preserve">2020 年 09 月 </w:t>
            </w:r>
            <w:r>
              <w:rPr>
                <w:rFonts w:hint="eastAsia" w:ascii="Arial"/>
                <w:sz w:val="24"/>
                <w:lang w:val="en-US" w:eastAsia="zh-CN"/>
              </w:rPr>
              <w:t>07</w:t>
            </w:r>
            <w:r>
              <w:rPr>
                <w:rFonts w:hint="eastAsia" w:ascii="Arial"/>
                <w:sz w:val="24"/>
                <w:lang w:eastAsia="zh-CN"/>
              </w:rPr>
              <w:t xml:space="preserve"> 日至 2020 年 09 月 </w:t>
            </w:r>
            <w:r>
              <w:rPr>
                <w:rFonts w:hint="eastAsia" w:ascii="Arial"/>
                <w:sz w:val="24"/>
                <w:lang w:val="en-US" w:eastAsia="zh-CN"/>
              </w:rPr>
              <w:t>11</w:t>
            </w:r>
            <w:r>
              <w:rPr>
                <w:rFonts w:hint="eastAsia" w:ascii="Arial"/>
                <w:sz w:val="24"/>
                <w:lang w:eastAsia="zh-CN"/>
              </w:rPr>
              <w:t xml:space="preserve"> 日</w:t>
            </w:r>
            <w:r>
              <w:rPr>
                <w:spacing w:val="-16"/>
                <w:sz w:val="24"/>
              </w:rPr>
              <w:t xml:space="preserve">上午 </w:t>
            </w:r>
            <w:r>
              <w:rPr>
                <w:rFonts w:ascii="Arial" w:eastAsia="Arial"/>
                <w:sz w:val="24"/>
              </w:rPr>
              <w:t>09:00-12:00</w:t>
            </w:r>
            <w:r>
              <w:rPr>
                <w:sz w:val="24"/>
              </w:rPr>
              <w:t>，</w:t>
            </w:r>
          </w:p>
          <w:p>
            <w:pPr>
              <w:pStyle w:val="14"/>
              <w:spacing w:before="158"/>
              <w:ind w:left="105"/>
              <w:rPr>
                <w:sz w:val="24"/>
              </w:rPr>
            </w:pPr>
            <w:r>
              <w:rPr>
                <w:sz w:val="24"/>
              </w:rPr>
              <w:t xml:space="preserve">下午 </w:t>
            </w:r>
            <w:r>
              <w:rPr>
                <w:rFonts w:ascii="Arial" w:eastAsia="Arial"/>
                <w:sz w:val="24"/>
              </w:rPr>
              <w:t>14:00-17:00</w:t>
            </w:r>
            <w:r>
              <w:rPr>
                <w:sz w:val="24"/>
              </w:rPr>
              <w:t>，休息日和节假日除外）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96" w:type="dxa"/>
            <w:vAlign w:val="center"/>
          </w:tcPr>
          <w:p>
            <w:pPr>
              <w:pStyle w:val="14"/>
              <w:spacing w:line="307" w:lineRule="exact"/>
              <w:ind w:left="108"/>
              <w:rPr>
                <w:sz w:val="24"/>
              </w:rPr>
            </w:pPr>
            <w:r>
              <w:rPr>
                <w:sz w:val="24"/>
              </w:rPr>
              <w:t>磋商文件发售方式</w:t>
            </w:r>
          </w:p>
        </w:tc>
        <w:tc>
          <w:tcPr>
            <w:tcW w:w="6805" w:type="dxa"/>
            <w:vAlign w:val="center"/>
          </w:tcPr>
          <w:p>
            <w:pPr>
              <w:pStyle w:val="14"/>
              <w:spacing w:line="307" w:lineRule="exact"/>
              <w:ind w:left="105"/>
              <w:rPr>
                <w:rFonts w:hint="eastAsia" w:eastAsia="宋体"/>
                <w:sz w:val="24"/>
                <w:lang w:eastAsia="zh-CN"/>
              </w:rPr>
            </w:pPr>
            <w:r>
              <w:rPr>
                <w:rFonts w:hint="eastAsia"/>
                <w:sz w:val="24"/>
                <w:lang w:eastAsia="zh-CN"/>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2696" w:type="dxa"/>
            <w:vAlign w:val="center"/>
          </w:tcPr>
          <w:p>
            <w:pPr>
              <w:pStyle w:val="14"/>
              <w:spacing w:before="33"/>
              <w:ind w:left="108"/>
              <w:rPr>
                <w:sz w:val="24"/>
              </w:rPr>
            </w:pPr>
            <w:r>
              <w:rPr>
                <w:sz w:val="24"/>
              </w:rPr>
              <w:t>磋商文件售价</w:t>
            </w:r>
          </w:p>
        </w:tc>
        <w:tc>
          <w:tcPr>
            <w:tcW w:w="6805" w:type="dxa"/>
            <w:vAlign w:val="center"/>
          </w:tcPr>
          <w:p>
            <w:pPr>
              <w:pStyle w:val="14"/>
              <w:spacing w:before="33"/>
              <w:ind w:left="105"/>
              <w:rPr>
                <w:sz w:val="24"/>
              </w:rPr>
            </w:pPr>
            <w:r>
              <w:rPr>
                <w:rFonts w:hint="eastAsia" w:ascii="Arial"/>
                <w:w w:val="99"/>
                <w:sz w:val="24"/>
                <w:lang w:val="en-US" w:eastAsia="zh-CN"/>
              </w:rPr>
              <w:t>500</w:t>
            </w:r>
            <w:r>
              <w:rPr>
                <w:rFonts w:ascii="Arial" w:eastAsia="Arial"/>
                <w:spacing w:val="-6"/>
                <w:sz w:val="24"/>
              </w:rPr>
              <w:t xml:space="preserve"> </w:t>
            </w:r>
            <w:r>
              <w:rPr>
                <w:sz w:val="24"/>
              </w:rPr>
              <w:t>元</w:t>
            </w:r>
            <w:r>
              <w:rPr>
                <w:rFonts w:ascii="Arial" w:eastAsia="Arial"/>
                <w:w w:val="100"/>
                <w:sz w:val="24"/>
              </w:rPr>
              <w:t>/</w:t>
            </w:r>
            <w:r>
              <w:rPr>
                <w:spacing w:val="-60"/>
                <w:sz w:val="24"/>
              </w:rPr>
              <w:t>包</w:t>
            </w:r>
            <w:r>
              <w:rPr>
                <w:sz w:val="24"/>
              </w:rPr>
              <w:t>（</w:t>
            </w:r>
            <w:r>
              <w:rPr>
                <w:spacing w:val="-7"/>
                <w:sz w:val="24"/>
              </w:rPr>
              <w:t>磋商文件文件售后不退，投标资格不能转让。</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jc w:val="center"/>
        </w:trPr>
        <w:tc>
          <w:tcPr>
            <w:tcW w:w="2696" w:type="dxa"/>
            <w:vAlign w:val="center"/>
          </w:tcPr>
          <w:p>
            <w:pPr>
              <w:pStyle w:val="14"/>
              <w:spacing w:before="4"/>
              <w:rPr>
                <w:rFonts w:ascii="Times New Roman"/>
                <w:sz w:val="33"/>
              </w:rPr>
            </w:pPr>
          </w:p>
          <w:p>
            <w:pPr>
              <w:pStyle w:val="14"/>
              <w:spacing w:before="1"/>
              <w:ind w:left="108"/>
              <w:rPr>
                <w:sz w:val="24"/>
              </w:rPr>
            </w:pPr>
            <w:r>
              <w:rPr>
                <w:sz w:val="24"/>
              </w:rPr>
              <w:t>磋商文件发售地点</w:t>
            </w:r>
          </w:p>
        </w:tc>
        <w:tc>
          <w:tcPr>
            <w:tcW w:w="6805" w:type="dxa"/>
            <w:vAlign w:val="center"/>
          </w:tcPr>
          <w:p>
            <w:pPr>
              <w:pStyle w:val="14"/>
              <w:spacing w:before="159" w:line="364" w:lineRule="auto"/>
              <w:ind w:left="105" w:right="-25" w:rightChars="0"/>
              <w:rPr>
                <w:rFonts w:hint="eastAsia" w:ascii="宋体" w:hAnsi="宋体" w:eastAsia="宋体" w:cs="宋体"/>
                <w:spacing w:val="-6"/>
                <w:sz w:val="24"/>
                <w:lang w:eastAsia="zh-CN"/>
              </w:rPr>
            </w:pPr>
            <w:r>
              <w:rPr>
                <w:rFonts w:hint="eastAsia" w:ascii="宋体" w:hAnsi="宋体" w:eastAsia="宋体" w:cs="宋体"/>
                <w:spacing w:val="-6"/>
                <w:sz w:val="24"/>
                <w:lang w:eastAsia="zh-CN"/>
              </w:rPr>
              <w:t>地址：鸿利项目管理有限公司招标部（西宁市城东区建国南路新千广场19号楼12层1205室）</w:t>
            </w:r>
          </w:p>
          <w:p>
            <w:pPr>
              <w:pStyle w:val="14"/>
              <w:spacing w:before="159" w:line="364" w:lineRule="auto"/>
              <w:ind w:left="105" w:right="-25" w:rightChars="0"/>
              <w:rPr>
                <w:rFonts w:hint="eastAsia" w:ascii="宋体" w:hAnsi="宋体" w:eastAsia="宋体" w:cs="宋体"/>
                <w:spacing w:val="-6"/>
                <w:sz w:val="24"/>
                <w:lang w:eastAsia="zh-CN"/>
              </w:rPr>
            </w:pPr>
            <w:r>
              <w:rPr>
                <w:rFonts w:hint="eastAsia" w:ascii="宋体" w:hAnsi="宋体" w:eastAsia="宋体" w:cs="宋体"/>
                <w:spacing w:val="-6"/>
                <w:sz w:val="24"/>
                <w:lang w:eastAsia="zh-CN"/>
              </w:rPr>
              <w:t>联系人：李先生</w:t>
            </w:r>
          </w:p>
          <w:p>
            <w:pPr>
              <w:pStyle w:val="14"/>
              <w:spacing w:before="159" w:line="364" w:lineRule="auto"/>
              <w:ind w:left="105" w:right="-25" w:rightChars="0"/>
              <w:rPr>
                <w:rFonts w:hint="eastAsia" w:ascii="宋体" w:hAnsi="宋体" w:eastAsia="宋体" w:cs="宋体"/>
                <w:spacing w:val="-6"/>
                <w:sz w:val="24"/>
                <w:lang w:eastAsia="zh-CN"/>
              </w:rPr>
            </w:pPr>
            <w:r>
              <w:rPr>
                <w:rFonts w:hint="eastAsia" w:ascii="宋体" w:hAnsi="宋体" w:eastAsia="宋体" w:cs="宋体"/>
                <w:spacing w:val="-6"/>
                <w:sz w:val="24"/>
                <w:lang w:eastAsia="zh-CN"/>
              </w:rPr>
              <w:t>电话：0971-6287956；</w:t>
            </w:r>
          </w:p>
          <w:p>
            <w:pPr>
              <w:pStyle w:val="14"/>
              <w:spacing w:before="159" w:line="364" w:lineRule="auto"/>
              <w:ind w:left="105" w:right="-25" w:rightChars="0"/>
              <w:rPr>
                <w:rFonts w:hint="eastAsia" w:ascii="宋体" w:hAnsi="宋体" w:eastAsia="宋体" w:cs="宋体"/>
                <w:spacing w:val="-6"/>
                <w:sz w:val="24"/>
                <w:lang w:eastAsia="zh-CN"/>
              </w:rPr>
            </w:pPr>
            <w:r>
              <w:rPr>
                <w:rFonts w:hint="eastAsia" w:ascii="宋体" w:hAnsi="宋体" w:eastAsia="宋体" w:cs="宋体"/>
                <w:spacing w:val="-6"/>
                <w:sz w:val="24"/>
                <w:lang w:eastAsia="zh-CN"/>
              </w:rPr>
              <w:t>邮箱地址：</w:t>
            </w:r>
            <w:r>
              <w:rPr>
                <w:rFonts w:hint="eastAsia" w:ascii="宋体" w:hAnsi="宋体" w:eastAsia="宋体" w:cs="宋体"/>
                <w:spacing w:val="-6"/>
                <w:sz w:val="24"/>
                <w:lang w:eastAsia="zh-CN"/>
              </w:rPr>
              <w:fldChar w:fldCharType="begin"/>
            </w:r>
            <w:r>
              <w:rPr>
                <w:rFonts w:hint="eastAsia" w:ascii="宋体" w:hAnsi="宋体" w:eastAsia="宋体" w:cs="宋体"/>
                <w:spacing w:val="-6"/>
                <w:sz w:val="24"/>
                <w:lang w:eastAsia="zh-CN"/>
              </w:rPr>
              <w:instrText xml:space="preserve"> HYPERLINK "mailto:qhzhongze@163.com" \h </w:instrText>
            </w:r>
            <w:r>
              <w:rPr>
                <w:rFonts w:hint="eastAsia" w:ascii="宋体" w:hAnsi="宋体" w:eastAsia="宋体" w:cs="宋体"/>
                <w:spacing w:val="-6"/>
                <w:sz w:val="24"/>
                <w:lang w:eastAsia="zh-CN"/>
              </w:rPr>
              <w:fldChar w:fldCharType="separate"/>
            </w:r>
            <w:r>
              <w:rPr>
                <w:rFonts w:hint="eastAsia" w:ascii="宋体" w:hAnsi="宋体" w:eastAsia="宋体" w:cs="宋体"/>
                <w:spacing w:val="-6"/>
                <w:sz w:val="24"/>
                <w:lang w:val="en-US" w:eastAsia="zh-CN"/>
              </w:rPr>
              <w:t>2545761543@qq</w:t>
            </w:r>
            <w:r>
              <w:rPr>
                <w:rFonts w:hint="eastAsia" w:ascii="宋体" w:hAnsi="宋体" w:eastAsia="宋体" w:cs="宋体"/>
                <w:spacing w:val="-6"/>
                <w:sz w:val="24"/>
                <w:lang w:eastAsia="zh-CN"/>
              </w:rPr>
              <w:t>.com</w:t>
            </w:r>
            <w:r>
              <w:rPr>
                <w:rFonts w:hint="eastAsia" w:ascii="宋体" w:hAnsi="宋体" w:eastAsia="宋体" w:cs="宋体"/>
                <w:spacing w:val="-6"/>
                <w:sz w:val="24"/>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jc w:val="center"/>
        </w:trPr>
        <w:tc>
          <w:tcPr>
            <w:tcW w:w="2696" w:type="dxa"/>
            <w:vAlign w:val="bottom"/>
          </w:tcPr>
          <w:p>
            <w:pPr>
              <w:pStyle w:val="14"/>
              <w:spacing w:before="1" w:line="364" w:lineRule="auto"/>
              <w:ind w:left="108" w:right="98"/>
              <w:rPr>
                <w:sz w:val="24"/>
              </w:rPr>
            </w:pPr>
            <w:r>
              <w:rPr>
                <w:sz w:val="24"/>
              </w:rPr>
              <w:t>购买磋商文件时应提供材料</w:t>
            </w:r>
          </w:p>
        </w:tc>
        <w:tc>
          <w:tcPr>
            <w:tcW w:w="6805" w:type="dxa"/>
            <w:vAlign w:val="bottom"/>
          </w:tcPr>
          <w:p>
            <w:pPr>
              <w:pStyle w:val="14"/>
              <w:spacing w:line="364" w:lineRule="auto"/>
              <w:ind w:left="105" w:right="-29"/>
              <w:rPr>
                <w:sz w:val="24"/>
              </w:rPr>
            </w:pPr>
            <w:r>
              <w:rPr>
                <w:spacing w:val="-2"/>
                <w:sz w:val="24"/>
              </w:rPr>
              <w:t>供应商营业执照复印件、公司介绍信或法人授权委托书</w:t>
            </w:r>
            <w:r>
              <w:rPr>
                <w:sz w:val="24"/>
              </w:rPr>
              <w:t>（原件） 及法人身份证复印件、授权委托人身份证复印件；</w:t>
            </w:r>
            <w:r>
              <w:rPr>
                <w:rFonts w:hint="eastAsia"/>
                <w:sz w:val="24"/>
                <w:lang w:val="en-US" w:eastAsia="zh-CN"/>
              </w:rPr>
              <w:t>(</w:t>
            </w:r>
            <w:r>
              <w:rPr>
                <w:sz w:val="24"/>
              </w:rPr>
              <w:t>以上资料除原件外均需加盖公章</w:t>
            </w:r>
            <w:r>
              <w:rPr>
                <w:rFonts w:hint="eastAsia"/>
                <w:sz w:val="24"/>
                <w:lang w:val="en-US" w:eastAsia="zh-CN"/>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696" w:type="dxa"/>
            <w:vAlign w:val="center"/>
          </w:tcPr>
          <w:p>
            <w:pPr>
              <w:pStyle w:val="14"/>
              <w:spacing w:before="48"/>
              <w:ind w:left="108"/>
              <w:rPr>
                <w:sz w:val="24"/>
              </w:rPr>
            </w:pPr>
            <w:r>
              <w:rPr>
                <w:sz w:val="24"/>
              </w:rPr>
              <w:t>投标截止时间</w:t>
            </w:r>
          </w:p>
        </w:tc>
        <w:tc>
          <w:tcPr>
            <w:tcW w:w="6805" w:type="dxa"/>
            <w:vAlign w:val="center"/>
          </w:tcPr>
          <w:p>
            <w:pPr>
              <w:pStyle w:val="14"/>
              <w:spacing w:before="48"/>
              <w:ind w:left="105"/>
              <w:rPr>
                <w:rFonts w:hint="eastAsia" w:eastAsia="宋体"/>
                <w:sz w:val="24"/>
                <w:lang w:eastAsia="zh-CN"/>
              </w:rPr>
            </w:pPr>
            <w:r>
              <w:rPr>
                <w:rFonts w:hint="eastAsia" w:ascii="Arial"/>
                <w:sz w:val="24"/>
                <w:lang w:eastAsia="zh-CN"/>
              </w:rPr>
              <w:t>2020 年 09 月 17日 下午 14：30（北京时间）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696" w:type="dxa"/>
            <w:vAlign w:val="center"/>
          </w:tcPr>
          <w:p>
            <w:pPr>
              <w:pStyle w:val="14"/>
              <w:spacing w:before="38"/>
              <w:ind w:left="108"/>
              <w:rPr>
                <w:sz w:val="24"/>
              </w:rPr>
            </w:pPr>
            <w:r>
              <w:rPr>
                <w:sz w:val="24"/>
              </w:rPr>
              <w:t>开标时间</w:t>
            </w:r>
          </w:p>
        </w:tc>
        <w:tc>
          <w:tcPr>
            <w:tcW w:w="6805" w:type="dxa"/>
            <w:vAlign w:val="center"/>
          </w:tcPr>
          <w:p>
            <w:pPr>
              <w:pStyle w:val="14"/>
              <w:spacing w:before="38"/>
              <w:ind w:left="105"/>
              <w:rPr>
                <w:rFonts w:hint="eastAsia" w:eastAsia="宋体"/>
                <w:sz w:val="24"/>
                <w:lang w:eastAsia="zh-CN"/>
              </w:rPr>
            </w:pPr>
            <w:r>
              <w:rPr>
                <w:rFonts w:hint="eastAsia" w:ascii="Arial"/>
                <w:sz w:val="24"/>
                <w:lang w:eastAsia="zh-CN"/>
              </w:rPr>
              <w:t>2020 年 09 月 17日 下午 14：30（北京时间）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696" w:type="dxa"/>
            <w:vAlign w:val="center"/>
          </w:tcPr>
          <w:p>
            <w:pPr>
              <w:pStyle w:val="14"/>
              <w:spacing w:before="9"/>
              <w:ind w:left="108"/>
              <w:rPr>
                <w:sz w:val="24"/>
              </w:rPr>
            </w:pPr>
            <w:r>
              <w:rPr>
                <w:sz w:val="24"/>
              </w:rPr>
              <w:t>投标及开标地点</w:t>
            </w:r>
          </w:p>
        </w:tc>
        <w:tc>
          <w:tcPr>
            <w:tcW w:w="6805" w:type="dxa"/>
            <w:vAlign w:val="center"/>
          </w:tcPr>
          <w:p>
            <w:pPr>
              <w:pStyle w:val="14"/>
              <w:spacing w:before="9"/>
              <w:ind w:left="105"/>
              <w:rPr>
                <w:sz w:val="24"/>
              </w:rPr>
            </w:pPr>
            <w:r>
              <w:rPr>
                <w:rFonts w:hint="eastAsia" w:ascii="宋体" w:hAnsi="宋体" w:eastAsia="宋体" w:cs="宋体"/>
                <w:spacing w:val="-6"/>
                <w:sz w:val="24"/>
                <w:lang w:eastAsia="zh-CN"/>
              </w:rPr>
              <w:t>鸿利项目管理有限公司（西宁市城东区建国南路新千广场19号楼12层1205室）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2696" w:type="dxa"/>
            <w:vAlign w:val="center"/>
          </w:tcPr>
          <w:p>
            <w:pPr>
              <w:pStyle w:val="14"/>
              <w:spacing w:before="192"/>
              <w:rPr>
                <w:sz w:val="24"/>
              </w:rPr>
            </w:pPr>
            <w:r>
              <w:rPr>
                <w:sz w:val="24"/>
              </w:rPr>
              <w:t>采购人及联系人电话</w:t>
            </w:r>
          </w:p>
        </w:tc>
        <w:tc>
          <w:tcPr>
            <w:tcW w:w="6805" w:type="dxa"/>
            <w:vAlign w:val="center"/>
          </w:tcPr>
          <w:p>
            <w:pPr>
              <w:pStyle w:val="14"/>
              <w:spacing w:line="360" w:lineRule="auto"/>
              <w:ind w:left="105"/>
              <w:rPr>
                <w:rFonts w:hint="eastAsia"/>
                <w:sz w:val="24"/>
                <w:lang w:val="en-US" w:eastAsia="zh-CN"/>
              </w:rPr>
            </w:pPr>
            <w:r>
              <w:rPr>
                <w:rFonts w:hint="eastAsia"/>
                <w:sz w:val="24"/>
                <w:lang w:eastAsia="zh-CN"/>
              </w:rPr>
              <w:t>采购人：</w:t>
            </w:r>
            <w:r>
              <w:rPr>
                <w:rFonts w:hint="eastAsia"/>
                <w:sz w:val="24"/>
                <w:lang w:val="en-US" w:eastAsia="zh-CN"/>
              </w:rPr>
              <w:t>都兰县公安局交通管理大队</w:t>
            </w:r>
          </w:p>
          <w:p>
            <w:pPr>
              <w:pStyle w:val="14"/>
              <w:spacing w:line="240" w:lineRule="auto"/>
              <w:ind w:left="105"/>
              <w:rPr>
                <w:sz w:val="24"/>
              </w:rPr>
            </w:pPr>
            <w:r>
              <w:rPr>
                <w:sz w:val="24"/>
              </w:rPr>
              <w:t>联系人：</w:t>
            </w:r>
            <w:r>
              <w:rPr>
                <w:rFonts w:hint="eastAsia"/>
                <w:sz w:val="24"/>
                <w:lang w:eastAsia="zh-CN"/>
              </w:rPr>
              <w:t>田先生</w:t>
            </w:r>
          </w:p>
          <w:p>
            <w:pPr>
              <w:pStyle w:val="14"/>
              <w:spacing w:before="160" w:line="240" w:lineRule="auto"/>
              <w:ind w:left="105"/>
              <w:rPr>
                <w:rFonts w:hint="default" w:ascii="Arial" w:eastAsia="宋体"/>
                <w:sz w:val="24"/>
                <w:lang w:val="en-US" w:eastAsia="zh-CN"/>
              </w:rPr>
            </w:pPr>
            <w:r>
              <w:rPr>
                <w:sz w:val="24"/>
              </w:rPr>
              <w:t>联系电话：</w:t>
            </w:r>
            <w:r>
              <w:rPr>
                <w:rFonts w:hint="eastAsia"/>
                <w:sz w:val="24"/>
                <w:lang w:val="en-US" w:eastAsia="zh-CN"/>
              </w:rPr>
              <w:t>0977-8332368</w:t>
            </w:r>
            <w:bookmarkStart w:id="72" w:name="_GoBack"/>
            <w:bookmarkEnd w:id="72"/>
          </w:p>
          <w:p>
            <w:pPr>
              <w:pStyle w:val="14"/>
              <w:spacing w:before="159" w:line="240" w:lineRule="auto"/>
              <w:ind w:left="105"/>
              <w:rPr>
                <w:rFonts w:hint="eastAsia" w:eastAsia="宋体"/>
                <w:sz w:val="24"/>
                <w:lang w:eastAsia="zh-CN"/>
              </w:rPr>
            </w:pPr>
            <w:r>
              <w:rPr>
                <w:sz w:val="24"/>
              </w:rPr>
              <w:t>地址：</w:t>
            </w:r>
            <w:r>
              <w:rPr>
                <w:rFonts w:hint="eastAsia"/>
                <w:sz w:val="24"/>
                <w:lang w:eastAsia="zh-CN"/>
              </w:rPr>
              <w:t>都兰县公安局交通管理大队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2696" w:type="dxa"/>
            <w:vAlign w:val="center"/>
          </w:tcPr>
          <w:p>
            <w:pPr>
              <w:pStyle w:val="14"/>
              <w:spacing w:before="8"/>
              <w:rPr>
                <w:rFonts w:ascii="Times New Roman"/>
                <w:sz w:val="26"/>
              </w:rPr>
            </w:pPr>
          </w:p>
          <w:p>
            <w:pPr>
              <w:pStyle w:val="14"/>
              <w:spacing w:line="362" w:lineRule="auto"/>
              <w:ind w:left="108" w:right="98"/>
              <w:rPr>
                <w:sz w:val="24"/>
              </w:rPr>
            </w:pPr>
            <w:r>
              <w:rPr>
                <w:sz w:val="24"/>
              </w:rPr>
              <w:t>采购代理机构及联系人电话</w:t>
            </w:r>
          </w:p>
        </w:tc>
        <w:tc>
          <w:tcPr>
            <w:tcW w:w="6805" w:type="dxa"/>
            <w:vAlign w:val="center"/>
          </w:tcPr>
          <w:p>
            <w:pPr>
              <w:pStyle w:val="14"/>
              <w:spacing w:before="71"/>
              <w:ind w:left="105"/>
              <w:rPr>
                <w:rFonts w:hint="default" w:eastAsia="宋体"/>
                <w:sz w:val="24"/>
                <w:lang w:val="en-US" w:eastAsia="zh-CN"/>
              </w:rPr>
            </w:pPr>
            <w:r>
              <w:rPr>
                <w:rFonts w:hint="eastAsia"/>
                <w:sz w:val="24"/>
                <w:lang w:eastAsia="zh-CN"/>
              </w:rPr>
              <w:t>采购代理：</w:t>
            </w:r>
            <w:r>
              <w:rPr>
                <w:rFonts w:hint="eastAsia" w:ascii="宋体" w:hAnsi="宋体" w:eastAsia="宋体" w:cs="宋体"/>
                <w:spacing w:val="-6"/>
                <w:sz w:val="24"/>
                <w:lang w:eastAsia="zh-CN"/>
              </w:rPr>
              <w:t>鸿利项目管理有限公司</w:t>
            </w:r>
          </w:p>
          <w:p>
            <w:pPr>
              <w:pStyle w:val="14"/>
              <w:spacing w:before="71"/>
              <w:ind w:left="105"/>
              <w:rPr>
                <w:rFonts w:hint="eastAsia" w:eastAsia="宋体"/>
                <w:sz w:val="24"/>
                <w:lang w:eastAsia="zh-CN"/>
              </w:rPr>
            </w:pPr>
            <w:r>
              <w:rPr>
                <w:sz w:val="24"/>
              </w:rPr>
              <w:t>联系人：</w:t>
            </w:r>
            <w:r>
              <w:rPr>
                <w:rFonts w:hint="eastAsia"/>
                <w:sz w:val="24"/>
                <w:lang w:eastAsia="zh-CN"/>
              </w:rPr>
              <w:t>李先生</w:t>
            </w:r>
          </w:p>
          <w:p>
            <w:pPr>
              <w:pStyle w:val="14"/>
              <w:spacing w:before="71"/>
              <w:ind w:left="105"/>
              <w:rPr>
                <w:rFonts w:hint="eastAsia" w:ascii="宋体" w:hAnsi="宋体" w:eastAsia="宋体" w:cs="宋体"/>
                <w:sz w:val="24"/>
                <w:lang w:eastAsia="zh-CN"/>
              </w:rPr>
            </w:pPr>
            <w:r>
              <w:rPr>
                <w:rFonts w:ascii="宋体" w:hAnsi="宋体" w:eastAsia="宋体" w:cs="宋体"/>
                <w:sz w:val="24"/>
              </w:rPr>
              <w:t>联系电话：</w:t>
            </w:r>
            <w:r>
              <w:rPr>
                <w:rFonts w:hint="eastAsia" w:ascii="宋体" w:hAnsi="宋体" w:eastAsia="宋体" w:cs="宋体"/>
                <w:sz w:val="24"/>
                <w:lang w:eastAsia="zh-CN"/>
              </w:rPr>
              <w:t>0971-6287956</w:t>
            </w:r>
          </w:p>
          <w:p>
            <w:pPr>
              <w:pStyle w:val="14"/>
              <w:spacing w:before="160"/>
              <w:ind w:left="105"/>
              <w:rPr>
                <w:sz w:val="24"/>
              </w:rPr>
            </w:pPr>
            <w:r>
              <w:rPr>
                <w:sz w:val="24"/>
              </w:rPr>
              <w:t>联系地址：</w:t>
            </w:r>
            <w:r>
              <w:rPr>
                <w:rFonts w:hint="eastAsia" w:ascii="宋体" w:hAnsi="宋体" w:eastAsia="宋体" w:cs="宋体"/>
                <w:spacing w:val="-6"/>
                <w:sz w:val="24"/>
                <w:lang w:eastAsia="zh-CN"/>
              </w:rPr>
              <w:t>西宁市城东区建国南路新千广场19号楼12层1205室</w:t>
            </w:r>
          </w:p>
        </w:tc>
      </w:tr>
    </w:tbl>
    <w:p>
      <w:pPr>
        <w:spacing w:after="0"/>
        <w:rPr>
          <w:sz w:val="24"/>
        </w:rPr>
        <w:sectPr>
          <w:pgSz w:w="11910" w:h="16840"/>
          <w:pgMar w:top="1180" w:right="720" w:bottom="1120" w:left="740" w:header="711" w:footer="923" w:gutter="0"/>
        </w:sectPr>
      </w:pPr>
    </w:p>
    <w:p>
      <w:pPr>
        <w:pStyle w:val="2"/>
        <w:spacing w:before="9"/>
        <w:rPr>
          <w:rFonts w:ascii="Times New Roman"/>
          <w:sz w:val="5"/>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696" w:type="dxa"/>
            <w:vAlign w:val="center"/>
          </w:tcPr>
          <w:p>
            <w:pPr>
              <w:pStyle w:val="14"/>
              <w:spacing w:before="45"/>
              <w:ind w:left="108"/>
              <w:rPr>
                <w:sz w:val="24"/>
              </w:rPr>
            </w:pPr>
            <w:r>
              <w:rPr>
                <w:sz w:val="24"/>
              </w:rPr>
              <w:t>采购代理机构开户银行</w:t>
            </w:r>
          </w:p>
        </w:tc>
        <w:tc>
          <w:tcPr>
            <w:tcW w:w="6805" w:type="dxa"/>
            <w:vAlign w:val="center"/>
          </w:tcPr>
          <w:p>
            <w:pPr>
              <w:pStyle w:val="14"/>
              <w:spacing w:before="45"/>
              <w:ind w:left="105"/>
              <w:rPr>
                <w:rFonts w:hint="eastAsia" w:eastAsia="宋体"/>
                <w:sz w:val="24"/>
                <w:lang w:eastAsia="zh-CN"/>
              </w:rPr>
            </w:pPr>
            <w:r>
              <w:rPr>
                <w:rFonts w:hint="eastAsia"/>
                <w:sz w:val="24"/>
                <w:lang w:eastAsia="zh-CN"/>
              </w:rPr>
              <w:t>中国建设银行西宁昆仑中路支行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2696" w:type="dxa"/>
            <w:vAlign w:val="center"/>
          </w:tcPr>
          <w:p>
            <w:pPr>
              <w:pStyle w:val="14"/>
              <w:spacing w:before="43"/>
              <w:ind w:left="108"/>
              <w:rPr>
                <w:sz w:val="24"/>
              </w:rPr>
            </w:pPr>
            <w:r>
              <w:rPr>
                <w:sz w:val="24"/>
              </w:rPr>
              <w:t>收款人</w:t>
            </w:r>
          </w:p>
        </w:tc>
        <w:tc>
          <w:tcPr>
            <w:tcW w:w="6805" w:type="dxa"/>
            <w:vAlign w:val="center"/>
          </w:tcPr>
          <w:p>
            <w:pPr>
              <w:pStyle w:val="14"/>
              <w:spacing w:before="43"/>
              <w:ind w:left="105"/>
              <w:rPr>
                <w:rFonts w:hint="eastAsia" w:eastAsia="宋体"/>
                <w:sz w:val="24"/>
                <w:lang w:eastAsia="zh-CN"/>
              </w:rPr>
            </w:pPr>
            <w:r>
              <w:rPr>
                <w:rFonts w:hint="eastAsia"/>
                <w:sz w:val="24"/>
                <w:lang w:eastAsia="zh-CN"/>
              </w:rPr>
              <w:t>鸿利项目管理有限公司青海分公司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2696" w:type="dxa"/>
            <w:vAlign w:val="center"/>
          </w:tcPr>
          <w:p>
            <w:pPr>
              <w:pStyle w:val="14"/>
              <w:spacing w:before="48"/>
              <w:ind w:left="108"/>
              <w:rPr>
                <w:sz w:val="24"/>
              </w:rPr>
            </w:pPr>
            <w:r>
              <w:rPr>
                <w:sz w:val="24"/>
              </w:rPr>
              <w:t>银行账号</w:t>
            </w:r>
          </w:p>
        </w:tc>
        <w:tc>
          <w:tcPr>
            <w:tcW w:w="6805" w:type="dxa"/>
            <w:vAlign w:val="center"/>
          </w:tcPr>
          <w:p>
            <w:pPr>
              <w:pStyle w:val="14"/>
              <w:spacing w:before="72"/>
              <w:ind w:left="105"/>
              <w:rPr>
                <w:rFonts w:hint="eastAsia" w:ascii="Arial" w:eastAsia="宋体"/>
                <w:sz w:val="24"/>
                <w:lang w:eastAsia="zh-CN"/>
              </w:rPr>
            </w:pPr>
            <w:r>
              <w:rPr>
                <w:rFonts w:hint="eastAsia" w:ascii="Arial"/>
                <w:sz w:val="24"/>
                <w:lang w:eastAsia="zh-CN"/>
              </w:rPr>
              <w:t>6305 0145 3604 0000 0043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jc w:val="center"/>
        </w:trPr>
        <w:tc>
          <w:tcPr>
            <w:tcW w:w="2696" w:type="dxa"/>
            <w:vAlign w:val="center"/>
          </w:tcPr>
          <w:p>
            <w:pPr>
              <w:pStyle w:val="14"/>
              <w:tabs>
                <w:tab w:val="left" w:pos="230"/>
              </w:tabs>
              <w:spacing w:before="148"/>
              <w:jc w:val="left"/>
              <w:rPr>
                <w:sz w:val="24"/>
              </w:rPr>
            </w:pPr>
            <w:r>
              <w:rPr>
                <w:sz w:val="24"/>
              </w:rPr>
              <w:t>其他事项</w:t>
            </w:r>
          </w:p>
        </w:tc>
        <w:tc>
          <w:tcPr>
            <w:tcW w:w="6805" w:type="dxa"/>
            <w:vAlign w:val="center"/>
          </w:tcPr>
          <w:p>
            <w:pPr>
              <w:pStyle w:val="14"/>
              <w:spacing w:line="364" w:lineRule="auto"/>
              <w:ind w:left="105" w:right="87"/>
              <w:jc w:val="both"/>
              <w:rPr>
                <w:sz w:val="24"/>
              </w:rPr>
            </w:pPr>
            <w:r>
              <w:rPr>
                <w:spacing w:val="-22"/>
                <w:sz w:val="24"/>
              </w:rPr>
              <w:t>公告发布媒体：《中国采购与招标网》、《青海省电子招投标公共</w:t>
            </w:r>
            <w:r>
              <w:rPr>
                <w:spacing w:val="-21"/>
                <w:sz w:val="24"/>
              </w:rPr>
              <w:t>服务平台》、《</w:t>
            </w:r>
            <w:r>
              <w:rPr>
                <w:rFonts w:hint="eastAsia"/>
                <w:spacing w:val="-21"/>
                <w:sz w:val="24"/>
                <w:lang w:eastAsia="zh-CN"/>
              </w:rPr>
              <w:t>青海省政府采购网</w:t>
            </w:r>
            <w:r>
              <w:rPr>
                <w:spacing w:val="-14"/>
                <w:sz w:val="24"/>
              </w:rPr>
              <w:t>》</w:t>
            </w:r>
            <w:r>
              <w:rPr>
                <w:rFonts w:hint="eastAsia"/>
                <w:spacing w:val="-14"/>
                <w:sz w:val="24"/>
                <w:lang w:eastAsia="zh-CN"/>
              </w:rPr>
              <w:t>上同时发布</w:t>
            </w:r>
            <w:r>
              <w:rPr>
                <w:spacing w:val="-14"/>
                <w:sz w:val="24"/>
              </w:rPr>
              <w:t>，公告内容以《</w:t>
            </w:r>
            <w:r>
              <w:rPr>
                <w:rFonts w:hint="eastAsia"/>
                <w:spacing w:val="-14"/>
                <w:sz w:val="24"/>
                <w:lang w:eastAsia="zh-CN"/>
              </w:rPr>
              <w:t>青海省政府采购网</w:t>
            </w:r>
            <w:r>
              <w:rPr>
                <w:spacing w:val="-14"/>
                <w:sz w:val="24"/>
              </w:rPr>
              <w:t>》发布的为准。公告期限：</w:t>
            </w:r>
            <w:r>
              <w:rPr>
                <w:sz w:val="24"/>
              </w:rPr>
              <w:t>自《</w:t>
            </w:r>
            <w:r>
              <w:rPr>
                <w:rFonts w:hint="eastAsia"/>
                <w:sz w:val="24"/>
                <w:lang w:eastAsia="zh-CN"/>
              </w:rPr>
              <w:t>青海省政府采购网</w:t>
            </w:r>
            <w:r>
              <w:rPr>
                <w:sz w:val="24"/>
              </w:rPr>
              <w:t xml:space="preserve">》发布之日起 </w:t>
            </w:r>
            <w:r>
              <w:rPr>
                <w:rFonts w:ascii="Arial" w:eastAsia="Arial"/>
                <w:sz w:val="24"/>
              </w:rPr>
              <w:t xml:space="preserve">5 </w:t>
            </w:r>
            <w:r>
              <w:rPr>
                <w:sz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696" w:type="dxa"/>
            <w:vAlign w:val="center"/>
          </w:tcPr>
          <w:p>
            <w:pPr>
              <w:pStyle w:val="14"/>
              <w:rPr>
                <w:sz w:val="24"/>
              </w:rPr>
            </w:pPr>
            <w:r>
              <w:rPr>
                <w:sz w:val="24"/>
              </w:rPr>
              <w:t>财政部门监督电话</w:t>
            </w:r>
          </w:p>
        </w:tc>
        <w:tc>
          <w:tcPr>
            <w:tcW w:w="6805" w:type="dxa"/>
            <w:vAlign w:val="center"/>
          </w:tcPr>
          <w:p>
            <w:pPr>
              <w:pStyle w:val="14"/>
              <w:ind w:left="105"/>
              <w:rPr>
                <w:rFonts w:ascii="Arial" w:eastAsia="Arial"/>
                <w:sz w:val="24"/>
              </w:rPr>
            </w:pPr>
            <w:r>
              <w:rPr>
                <w:sz w:val="24"/>
              </w:rPr>
              <w:t>单位名称：</w:t>
            </w:r>
            <w:r>
              <w:rPr>
                <w:rFonts w:hint="eastAsia"/>
                <w:sz w:val="24"/>
                <w:lang w:eastAsia="zh-CN"/>
              </w:rPr>
              <w:t>都兰县财政局</w:t>
            </w:r>
            <w:r>
              <w:rPr>
                <w:rFonts w:hint="eastAsia"/>
                <w:sz w:val="24"/>
                <w:lang w:val="en-US" w:eastAsia="zh-CN"/>
              </w:rPr>
              <w:t xml:space="preserve">        </w:t>
            </w:r>
            <w:r>
              <w:rPr>
                <w:spacing w:val="-1"/>
                <w:sz w:val="24"/>
              </w:rPr>
              <w:t>联</w:t>
            </w:r>
            <w:r>
              <w:rPr>
                <w:rFonts w:ascii="宋体" w:hAnsi="宋体" w:eastAsia="宋体" w:cs="宋体"/>
                <w:sz w:val="24"/>
              </w:rPr>
              <w:t>系电话：</w:t>
            </w:r>
            <w:r>
              <w:rPr>
                <w:rFonts w:hint="eastAsia" w:cs="宋体"/>
                <w:sz w:val="24"/>
                <w:lang w:val="en-US" w:eastAsia="zh-CN"/>
              </w:rPr>
              <w:t>09778232067</w:t>
            </w:r>
          </w:p>
        </w:tc>
      </w:tr>
    </w:tbl>
    <w:p>
      <w:pPr>
        <w:spacing w:after="0"/>
        <w:rPr>
          <w:rFonts w:ascii="Arial" w:eastAsia="Arial"/>
          <w:sz w:val="24"/>
        </w:rPr>
        <w:sectPr>
          <w:pgSz w:w="11910" w:h="16840"/>
          <w:pgMar w:top="1180" w:right="720" w:bottom="1120" w:left="740" w:header="711" w:footer="923" w:gutter="0"/>
        </w:sectPr>
      </w:pPr>
    </w:p>
    <w:p>
      <w:pPr>
        <w:pStyle w:val="3"/>
      </w:pPr>
      <w:bookmarkStart w:id="1" w:name="_TOC_250067"/>
      <w:bookmarkEnd w:id="1"/>
      <w:r>
        <w:t>第二部分投标人须知前附表</w:t>
      </w:r>
    </w:p>
    <w:p>
      <w:pPr>
        <w:pStyle w:val="2"/>
        <w:spacing w:before="7"/>
        <w:rPr>
          <w:sz w:val="18"/>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2"/>
        <w:gridCol w:w="1918"/>
        <w:gridCol w:w="6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vAlign w:val="center"/>
          </w:tcPr>
          <w:p>
            <w:pPr>
              <w:pStyle w:val="14"/>
              <w:spacing w:before="2"/>
              <w:ind w:left="133" w:right="123"/>
              <w:jc w:val="center"/>
              <w:rPr>
                <w:sz w:val="24"/>
              </w:rPr>
            </w:pPr>
            <w:r>
              <w:rPr>
                <w:sz w:val="24"/>
              </w:rPr>
              <w:t>序号</w:t>
            </w:r>
          </w:p>
        </w:tc>
        <w:tc>
          <w:tcPr>
            <w:tcW w:w="8651" w:type="dxa"/>
            <w:gridSpan w:val="2"/>
            <w:vAlign w:val="center"/>
          </w:tcPr>
          <w:p>
            <w:pPr>
              <w:pStyle w:val="14"/>
              <w:spacing w:before="2"/>
              <w:ind w:left="4063" w:right="4053"/>
              <w:jc w:val="center"/>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vAlign w:val="center"/>
          </w:tcPr>
          <w:p>
            <w:pPr>
              <w:pStyle w:val="14"/>
              <w:spacing w:before="24"/>
              <w:ind w:left="9"/>
              <w:jc w:val="center"/>
              <w:rPr>
                <w:rFonts w:ascii="Arial"/>
                <w:sz w:val="24"/>
              </w:rPr>
            </w:pPr>
            <w:r>
              <w:rPr>
                <w:rFonts w:ascii="Arial"/>
                <w:w w:val="99"/>
                <w:sz w:val="24"/>
              </w:rPr>
              <w:t>1</w:t>
            </w:r>
          </w:p>
        </w:tc>
        <w:tc>
          <w:tcPr>
            <w:tcW w:w="1918" w:type="dxa"/>
            <w:vAlign w:val="center"/>
          </w:tcPr>
          <w:p>
            <w:pPr>
              <w:pStyle w:val="14"/>
              <w:spacing w:line="307" w:lineRule="exact"/>
              <w:ind w:left="105"/>
              <w:rPr>
                <w:sz w:val="24"/>
              </w:rPr>
            </w:pPr>
            <w:r>
              <w:rPr>
                <w:sz w:val="24"/>
              </w:rPr>
              <w:t>采购项目名称</w:t>
            </w:r>
          </w:p>
        </w:tc>
        <w:tc>
          <w:tcPr>
            <w:tcW w:w="6733" w:type="dxa"/>
            <w:vAlign w:val="center"/>
          </w:tcPr>
          <w:p>
            <w:pPr>
              <w:pStyle w:val="14"/>
              <w:spacing w:line="307" w:lineRule="exact"/>
              <w:ind w:left="105"/>
              <w:rPr>
                <w:rFonts w:hint="eastAsia" w:eastAsia="宋体"/>
                <w:sz w:val="24"/>
                <w:lang w:eastAsia="zh-CN"/>
              </w:rPr>
            </w:pPr>
            <w:r>
              <w:rPr>
                <w:rFonts w:hint="eastAsia"/>
                <w:sz w:val="24"/>
                <w:lang w:eastAsia="zh-CN"/>
              </w:rPr>
              <w:t>交通应急项目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vAlign w:val="center"/>
          </w:tcPr>
          <w:p>
            <w:pPr>
              <w:pStyle w:val="14"/>
              <w:spacing w:before="24"/>
              <w:ind w:left="9"/>
              <w:jc w:val="center"/>
              <w:rPr>
                <w:rFonts w:ascii="Arial"/>
                <w:sz w:val="24"/>
              </w:rPr>
            </w:pPr>
            <w:r>
              <w:rPr>
                <w:rFonts w:ascii="Arial"/>
                <w:w w:val="99"/>
                <w:sz w:val="24"/>
              </w:rPr>
              <w:t>2</w:t>
            </w:r>
          </w:p>
        </w:tc>
        <w:tc>
          <w:tcPr>
            <w:tcW w:w="1918" w:type="dxa"/>
            <w:vAlign w:val="center"/>
          </w:tcPr>
          <w:p>
            <w:pPr>
              <w:pStyle w:val="14"/>
              <w:spacing w:line="307" w:lineRule="exact"/>
              <w:ind w:left="105"/>
              <w:rPr>
                <w:sz w:val="24"/>
              </w:rPr>
            </w:pPr>
            <w:r>
              <w:rPr>
                <w:sz w:val="24"/>
              </w:rPr>
              <w:t>采购项目编号</w:t>
            </w:r>
          </w:p>
        </w:tc>
        <w:tc>
          <w:tcPr>
            <w:tcW w:w="6733" w:type="dxa"/>
            <w:vAlign w:val="center"/>
          </w:tcPr>
          <w:p>
            <w:pPr>
              <w:pStyle w:val="14"/>
              <w:spacing w:line="307" w:lineRule="exact"/>
              <w:ind w:left="105"/>
              <w:rPr>
                <w:rFonts w:hint="eastAsia" w:ascii="Arial" w:eastAsia="宋体"/>
                <w:sz w:val="24"/>
                <w:lang w:eastAsia="zh-CN"/>
              </w:rPr>
            </w:pPr>
            <w:r>
              <w:rPr>
                <w:rFonts w:hint="eastAsia"/>
                <w:sz w:val="24"/>
                <w:lang w:eastAsia="zh-CN"/>
              </w:rPr>
              <w:t>鸿利竞磋（货物）2020-034号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vAlign w:val="center"/>
          </w:tcPr>
          <w:p>
            <w:pPr>
              <w:pStyle w:val="14"/>
              <w:spacing w:before="24"/>
              <w:ind w:left="9"/>
              <w:jc w:val="center"/>
              <w:rPr>
                <w:rFonts w:ascii="Arial"/>
                <w:sz w:val="24"/>
              </w:rPr>
            </w:pPr>
            <w:r>
              <w:rPr>
                <w:rFonts w:ascii="Arial"/>
                <w:w w:val="99"/>
                <w:sz w:val="24"/>
              </w:rPr>
              <w:t>3</w:t>
            </w:r>
          </w:p>
        </w:tc>
        <w:tc>
          <w:tcPr>
            <w:tcW w:w="1918" w:type="dxa"/>
            <w:vAlign w:val="center"/>
          </w:tcPr>
          <w:p>
            <w:pPr>
              <w:pStyle w:val="14"/>
              <w:spacing w:line="307" w:lineRule="exact"/>
              <w:ind w:left="105"/>
              <w:rPr>
                <w:sz w:val="24"/>
              </w:rPr>
            </w:pPr>
            <w:r>
              <w:rPr>
                <w:sz w:val="24"/>
              </w:rPr>
              <w:t>采购人</w:t>
            </w:r>
          </w:p>
        </w:tc>
        <w:tc>
          <w:tcPr>
            <w:tcW w:w="6733" w:type="dxa"/>
            <w:vAlign w:val="center"/>
          </w:tcPr>
          <w:p>
            <w:pPr>
              <w:pStyle w:val="14"/>
              <w:spacing w:line="307" w:lineRule="exact"/>
              <w:ind w:left="105"/>
              <w:rPr>
                <w:rFonts w:hint="eastAsia" w:eastAsia="宋体"/>
                <w:sz w:val="24"/>
                <w:lang w:eastAsia="zh-CN"/>
              </w:rPr>
            </w:pPr>
            <w:r>
              <w:rPr>
                <w:rFonts w:hint="eastAsia"/>
                <w:sz w:val="24"/>
                <w:lang w:eastAsia="zh-CN"/>
              </w:rPr>
              <w:t>都兰县公安局交通管理大队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2" w:type="dxa"/>
            <w:vAlign w:val="center"/>
          </w:tcPr>
          <w:p>
            <w:pPr>
              <w:pStyle w:val="14"/>
              <w:spacing w:before="24"/>
              <w:ind w:left="9"/>
              <w:jc w:val="center"/>
              <w:rPr>
                <w:rFonts w:ascii="Arial"/>
                <w:sz w:val="24"/>
              </w:rPr>
            </w:pPr>
            <w:r>
              <w:rPr>
                <w:rFonts w:ascii="Arial"/>
                <w:w w:val="99"/>
                <w:sz w:val="24"/>
              </w:rPr>
              <w:t>4</w:t>
            </w:r>
          </w:p>
        </w:tc>
        <w:tc>
          <w:tcPr>
            <w:tcW w:w="1918" w:type="dxa"/>
            <w:vAlign w:val="center"/>
          </w:tcPr>
          <w:p>
            <w:pPr>
              <w:pStyle w:val="14"/>
              <w:spacing w:line="307" w:lineRule="exact"/>
              <w:ind w:left="105"/>
              <w:rPr>
                <w:sz w:val="24"/>
              </w:rPr>
            </w:pPr>
            <w:r>
              <w:rPr>
                <w:sz w:val="24"/>
              </w:rPr>
              <w:t>采购代理机构</w:t>
            </w:r>
          </w:p>
        </w:tc>
        <w:tc>
          <w:tcPr>
            <w:tcW w:w="6733" w:type="dxa"/>
            <w:vAlign w:val="center"/>
          </w:tcPr>
          <w:p>
            <w:pPr>
              <w:pStyle w:val="14"/>
              <w:spacing w:line="307" w:lineRule="exact"/>
              <w:ind w:left="105"/>
              <w:rPr>
                <w:rFonts w:hint="eastAsia" w:eastAsia="宋体"/>
                <w:sz w:val="24"/>
                <w:lang w:eastAsia="zh-CN"/>
              </w:rPr>
            </w:pPr>
            <w:r>
              <w:rPr>
                <w:rFonts w:hint="eastAsia"/>
                <w:sz w:val="24"/>
                <w:lang w:eastAsia="zh-CN"/>
              </w:rPr>
              <w:t>鸿利项目管理有限公司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vAlign w:val="center"/>
          </w:tcPr>
          <w:p>
            <w:pPr>
              <w:pStyle w:val="14"/>
              <w:spacing w:before="26"/>
              <w:ind w:left="9"/>
              <w:jc w:val="center"/>
              <w:rPr>
                <w:rFonts w:ascii="Arial"/>
                <w:sz w:val="24"/>
              </w:rPr>
            </w:pPr>
            <w:r>
              <w:rPr>
                <w:rFonts w:ascii="Arial"/>
                <w:w w:val="99"/>
                <w:sz w:val="24"/>
              </w:rPr>
              <w:t>5</w:t>
            </w:r>
          </w:p>
        </w:tc>
        <w:tc>
          <w:tcPr>
            <w:tcW w:w="1918" w:type="dxa"/>
            <w:vAlign w:val="center"/>
          </w:tcPr>
          <w:p>
            <w:pPr>
              <w:pStyle w:val="14"/>
              <w:spacing w:before="2"/>
              <w:ind w:left="105"/>
              <w:rPr>
                <w:sz w:val="24"/>
              </w:rPr>
            </w:pPr>
            <w:r>
              <w:rPr>
                <w:sz w:val="24"/>
              </w:rPr>
              <w:t>采购方式</w:t>
            </w:r>
          </w:p>
        </w:tc>
        <w:tc>
          <w:tcPr>
            <w:tcW w:w="6733" w:type="dxa"/>
            <w:vAlign w:val="center"/>
          </w:tcPr>
          <w:p>
            <w:pPr>
              <w:pStyle w:val="14"/>
              <w:spacing w:before="2"/>
              <w:ind w:left="105"/>
              <w:rPr>
                <w:sz w:val="24"/>
              </w:rPr>
            </w:pPr>
            <w:r>
              <w:rPr>
                <w:sz w:val="24"/>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vAlign w:val="center"/>
          </w:tcPr>
          <w:p>
            <w:pPr>
              <w:pStyle w:val="14"/>
              <w:spacing w:before="24"/>
              <w:ind w:left="9"/>
              <w:jc w:val="center"/>
              <w:rPr>
                <w:rFonts w:ascii="Arial"/>
                <w:sz w:val="24"/>
              </w:rPr>
            </w:pPr>
            <w:r>
              <w:rPr>
                <w:rFonts w:ascii="Arial"/>
                <w:w w:val="99"/>
                <w:sz w:val="24"/>
              </w:rPr>
              <w:t>6</w:t>
            </w:r>
          </w:p>
        </w:tc>
        <w:tc>
          <w:tcPr>
            <w:tcW w:w="1918" w:type="dxa"/>
            <w:vAlign w:val="center"/>
          </w:tcPr>
          <w:p>
            <w:pPr>
              <w:pStyle w:val="14"/>
              <w:spacing w:line="307" w:lineRule="exact"/>
              <w:ind w:left="105"/>
              <w:rPr>
                <w:sz w:val="24"/>
              </w:rPr>
            </w:pPr>
            <w:r>
              <w:rPr>
                <w:sz w:val="24"/>
              </w:rPr>
              <w:t>评分办法</w:t>
            </w:r>
          </w:p>
        </w:tc>
        <w:tc>
          <w:tcPr>
            <w:tcW w:w="6733" w:type="dxa"/>
            <w:vAlign w:val="center"/>
          </w:tcPr>
          <w:p>
            <w:pPr>
              <w:pStyle w:val="14"/>
              <w:spacing w:line="307" w:lineRule="exact"/>
              <w:ind w:left="105"/>
              <w:rPr>
                <w:sz w:val="24"/>
              </w:rPr>
            </w:pPr>
            <w:r>
              <w:rPr>
                <w:sz w:val="24"/>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tcPr>
          <w:p>
            <w:pPr>
              <w:pStyle w:val="14"/>
              <w:spacing w:before="24"/>
              <w:ind w:left="9"/>
              <w:jc w:val="center"/>
              <w:rPr>
                <w:rFonts w:ascii="Arial"/>
                <w:sz w:val="24"/>
              </w:rPr>
            </w:pPr>
            <w:r>
              <w:rPr>
                <w:rFonts w:ascii="Arial"/>
                <w:w w:val="99"/>
                <w:sz w:val="24"/>
              </w:rPr>
              <w:t>7</w:t>
            </w:r>
          </w:p>
        </w:tc>
        <w:tc>
          <w:tcPr>
            <w:tcW w:w="1918" w:type="dxa"/>
          </w:tcPr>
          <w:p>
            <w:pPr>
              <w:pStyle w:val="14"/>
              <w:spacing w:line="307" w:lineRule="exact"/>
              <w:ind w:left="105"/>
              <w:rPr>
                <w:sz w:val="24"/>
              </w:rPr>
            </w:pPr>
            <w:r>
              <w:rPr>
                <w:sz w:val="24"/>
              </w:rPr>
              <w:t>采购额度</w:t>
            </w:r>
          </w:p>
        </w:tc>
        <w:tc>
          <w:tcPr>
            <w:tcW w:w="6733" w:type="dxa"/>
          </w:tcPr>
          <w:p>
            <w:pPr>
              <w:pStyle w:val="14"/>
              <w:spacing w:line="307" w:lineRule="exact"/>
              <w:ind w:left="105"/>
              <w:rPr>
                <w:sz w:val="24"/>
              </w:rPr>
            </w:pPr>
            <w:r>
              <w:rPr>
                <w:rFonts w:hint="eastAsia" w:cs="宋体"/>
                <w:sz w:val="24"/>
                <w:lang w:eastAsia="zh-CN"/>
              </w:rPr>
              <w:t>597200</w:t>
            </w:r>
            <w:r>
              <w:rPr>
                <w:rFonts w:hint="eastAsia" w:ascii="宋体" w:hAnsi="宋体" w:eastAsia="宋体" w:cs="宋体"/>
                <w:sz w:val="24"/>
                <w:lang w:eastAsia="zh-CN"/>
              </w:rPr>
              <w:t>元（大写：</w:t>
            </w:r>
            <w:r>
              <w:rPr>
                <w:rFonts w:hint="eastAsia" w:cs="宋体"/>
                <w:sz w:val="24"/>
                <w:lang w:eastAsia="zh-CN"/>
              </w:rPr>
              <w:t>伍拾玖万柒仟贰佰元整</w:t>
            </w:r>
            <w:r>
              <w:rPr>
                <w:rFonts w:hint="eastAsia" w:ascii="宋体" w:hAnsi="宋体" w:eastAsia="宋体" w:cs="宋体"/>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2" w:type="dxa"/>
          </w:tcPr>
          <w:p>
            <w:pPr>
              <w:pStyle w:val="14"/>
              <w:spacing w:before="24"/>
              <w:ind w:left="9"/>
              <w:jc w:val="center"/>
              <w:rPr>
                <w:rFonts w:ascii="Arial"/>
                <w:sz w:val="24"/>
              </w:rPr>
            </w:pPr>
            <w:r>
              <w:rPr>
                <w:rFonts w:ascii="Arial"/>
                <w:w w:val="99"/>
                <w:sz w:val="24"/>
              </w:rPr>
              <w:t>8</w:t>
            </w:r>
          </w:p>
        </w:tc>
        <w:tc>
          <w:tcPr>
            <w:tcW w:w="1918" w:type="dxa"/>
          </w:tcPr>
          <w:p>
            <w:pPr>
              <w:pStyle w:val="14"/>
              <w:spacing w:line="307" w:lineRule="exact"/>
              <w:ind w:left="105"/>
              <w:rPr>
                <w:sz w:val="24"/>
              </w:rPr>
            </w:pPr>
            <w:r>
              <w:rPr>
                <w:sz w:val="24"/>
              </w:rPr>
              <w:t>项目分包个数</w:t>
            </w:r>
          </w:p>
        </w:tc>
        <w:tc>
          <w:tcPr>
            <w:tcW w:w="6733" w:type="dxa"/>
          </w:tcPr>
          <w:p>
            <w:pPr>
              <w:pStyle w:val="14"/>
              <w:spacing w:line="307" w:lineRule="exact"/>
              <w:ind w:left="105"/>
              <w:rPr>
                <w:rFonts w:hint="eastAsia" w:eastAsia="宋体"/>
                <w:sz w:val="24"/>
                <w:lang w:eastAsia="zh-CN"/>
              </w:rPr>
            </w:pPr>
            <w:r>
              <w:rPr>
                <w:sz w:val="24"/>
              </w:rPr>
              <w:t>无</w:t>
            </w:r>
            <w:r>
              <w:rPr>
                <w:rFonts w:hint="eastAsia"/>
                <w:sz w:val="24"/>
                <w:lang w:eastAsia="zh-CN"/>
              </w:rPr>
              <w:t>分包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2" w:type="dxa"/>
          </w:tcPr>
          <w:p>
            <w:pPr>
              <w:pStyle w:val="14"/>
              <w:spacing w:before="26"/>
              <w:ind w:left="9"/>
              <w:jc w:val="center"/>
              <w:rPr>
                <w:rFonts w:ascii="Arial"/>
                <w:sz w:val="24"/>
              </w:rPr>
            </w:pPr>
            <w:r>
              <w:rPr>
                <w:rFonts w:ascii="Arial"/>
                <w:w w:val="99"/>
                <w:sz w:val="24"/>
              </w:rPr>
              <w:t>9</w:t>
            </w:r>
          </w:p>
        </w:tc>
        <w:tc>
          <w:tcPr>
            <w:tcW w:w="1918" w:type="dxa"/>
          </w:tcPr>
          <w:p>
            <w:pPr>
              <w:pStyle w:val="14"/>
              <w:spacing w:before="2"/>
              <w:ind w:left="105"/>
              <w:rPr>
                <w:sz w:val="24"/>
              </w:rPr>
            </w:pPr>
            <w:r>
              <w:rPr>
                <w:sz w:val="24"/>
              </w:rPr>
              <w:t>采购要求</w:t>
            </w:r>
          </w:p>
        </w:tc>
        <w:tc>
          <w:tcPr>
            <w:tcW w:w="6733" w:type="dxa"/>
          </w:tcPr>
          <w:p>
            <w:pPr>
              <w:pStyle w:val="14"/>
              <w:spacing w:before="2"/>
              <w:ind w:left="105"/>
              <w:rPr>
                <w:rFonts w:ascii="Arial" w:hAnsi="Arial" w:eastAsia="Arial"/>
                <w:sz w:val="24"/>
              </w:rPr>
            </w:pPr>
            <w:r>
              <w:rPr>
                <w:sz w:val="24"/>
              </w:rPr>
              <w:t>详见磋商文件</w:t>
            </w:r>
            <w:r>
              <w:rPr>
                <w:rFonts w:ascii="Arial" w:hAnsi="Arial" w:eastAsia="Arial"/>
                <w:sz w:val="24"/>
              </w:rPr>
              <w:t>“</w:t>
            </w:r>
            <w:r>
              <w:rPr>
                <w:sz w:val="24"/>
              </w:rPr>
              <w:t>第六部分磋商及采购项目要求</w:t>
            </w:r>
            <w:r>
              <w:rPr>
                <w:rFonts w:ascii="Arial" w:hAnsi="Arial" w:eastAsia="Arial"/>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5" w:hRule="atLeast"/>
          <w:jc w:val="center"/>
        </w:trPr>
        <w:tc>
          <w:tcPr>
            <w:tcW w:w="792" w:type="dxa"/>
          </w:tcPr>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rPr>
                <w:sz w:val="26"/>
              </w:rPr>
            </w:pPr>
          </w:p>
          <w:p>
            <w:pPr>
              <w:pStyle w:val="14"/>
              <w:spacing w:before="9"/>
              <w:rPr>
                <w:sz w:val="25"/>
              </w:rPr>
            </w:pPr>
          </w:p>
          <w:p>
            <w:pPr>
              <w:pStyle w:val="14"/>
              <w:ind w:left="133" w:right="123"/>
              <w:jc w:val="center"/>
              <w:rPr>
                <w:rFonts w:ascii="Arial"/>
                <w:sz w:val="24"/>
              </w:rPr>
            </w:pPr>
            <w:r>
              <w:rPr>
                <w:rFonts w:ascii="Arial"/>
                <w:sz w:val="24"/>
              </w:rPr>
              <w:t>10</w:t>
            </w:r>
          </w:p>
        </w:tc>
        <w:tc>
          <w:tcPr>
            <w:tcW w:w="1918"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0"/>
              <w:rPr>
                <w:sz w:val="21"/>
              </w:rPr>
            </w:pPr>
          </w:p>
          <w:p>
            <w:pPr>
              <w:pStyle w:val="14"/>
              <w:ind w:left="105"/>
              <w:rPr>
                <w:sz w:val="24"/>
              </w:rPr>
            </w:pPr>
            <w:r>
              <w:rPr>
                <w:sz w:val="24"/>
              </w:rPr>
              <w:t>供应商资格条件</w:t>
            </w:r>
          </w:p>
        </w:tc>
        <w:tc>
          <w:tcPr>
            <w:tcW w:w="6733" w:type="dxa"/>
          </w:tcPr>
          <w:p>
            <w:pPr>
              <w:pStyle w:val="14"/>
              <w:spacing w:line="307" w:lineRule="exact"/>
              <w:ind w:left="105"/>
              <w:rPr>
                <w:sz w:val="24"/>
              </w:rPr>
            </w:pPr>
            <w:r>
              <w:rPr>
                <w:sz w:val="24"/>
              </w:rPr>
              <w:t>（</w:t>
            </w:r>
            <w:r>
              <w:rPr>
                <w:rFonts w:ascii="Arial" w:eastAsia="Arial"/>
                <w:sz w:val="24"/>
              </w:rPr>
              <w:t>1</w:t>
            </w:r>
            <w:r>
              <w:rPr>
                <w:sz w:val="24"/>
              </w:rPr>
              <w:t xml:space="preserve">）符合《政府采购法》第 </w:t>
            </w:r>
            <w:r>
              <w:rPr>
                <w:rFonts w:ascii="Arial" w:eastAsia="Arial"/>
                <w:sz w:val="24"/>
              </w:rPr>
              <w:t xml:space="preserve">22 </w:t>
            </w:r>
            <w:r>
              <w:rPr>
                <w:sz w:val="24"/>
              </w:rPr>
              <w:t>条条件并提供以下材料：</w:t>
            </w:r>
          </w:p>
          <w:p>
            <w:pPr>
              <w:pStyle w:val="14"/>
              <w:numPr>
                <w:ilvl w:val="0"/>
                <w:numId w:val="6"/>
              </w:numPr>
              <w:tabs>
                <w:tab w:val="left" w:pos="482"/>
              </w:tabs>
              <w:spacing w:before="160" w:after="0" w:line="240" w:lineRule="auto"/>
              <w:ind w:left="481" w:right="0" w:hanging="377"/>
              <w:jc w:val="left"/>
              <w:rPr>
                <w:sz w:val="24"/>
              </w:rPr>
            </w:pPr>
            <w:r>
              <w:rPr>
                <w:sz w:val="24"/>
              </w:rPr>
              <w:t>投标人的营业执照等证明文件，自然人的身份证明。</w:t>
            </w:r>
          </w:p>
          <w:p>
            <w:pPr>
              <w:pStyle w:val="14"/>
              <w:numPr>
                <w:ilvl w:val="0"/>
                <w:numId w:val="6"/>
              </w:numPr>
              <w:tabs>
                <w:tab w:val="left" w:pos="482"/>
              </w:tabs>
              <w:spacing w:before="161" w:after="0" w:line="240" w:lineRule="auto"/>
              <w:ind w:left="481" w:right="-15" w:hanging="377"/>
              <w:jc w:val="left"/>
              <w:rPr>
                <w:sz w:val="24"/>
              </w:rPr>
            </w:pPr>
            <w:r>
              <w:rPr>
                <w:sz w:val="24"/>
              </w:rPr>
              <w:t>财务状况报告，依法缴纳税收和社会保障资金的相关材料。</w:t>
            </w:r>
          </w:p>
          <w:p>
            <w:pPr>
              <w:pStyle w:val="14"/>
              <w:numPr>
                <w:ilvl w:val="0"/>
                <w:numId w:val="6"/>
              </w:numPr>
              <w:tabs>
                <w:tab w:val="left" w:pos="482"/>
              </w:tabs>
              <w:spacing w:before="158" w:after="0" w:line="240" w:lineRule="auto"/>
              <w:ind w:left="481" w:right="0" w:hanging="377"/>
              <w:jc w:val="left"/>
              <w:rPr>
                <w:sz w:val="24"/>
              </w:rPr>
            </w:pPr>
            <w:r>
              <w:rPr>
                <w:sz w:val="24"/>
              </w:rPr>
              <w:t>具备履行合同所必需的设备和专业技术能力的证明材料</w:t>
            </w:r>
            <w:r>
              <w:rPr>
                <w:rFonts w:hint="eastAsia"/>
                <w:sz w:val="24"/>
                <w:lang w:eastAsia="zh-CN"/>
              </w:rPr>
              <w:t>及书面声明</w:t>
            </w:r>
            <w:r>
              <w:rPr>
                <w:sz w:val="24"/>
              </w:rPr>
              <w:t>。</w:t>
            </w:r>
          </w:p>
          <w:p>
            <w:pPr>
              <w:pStyle w:val="14"/>
              <w:numPr>
                <w:ilvl w:val="0"/>
                <w:numId w:val="6"/>
              </w:numPr>
              <w:tabs>
                <w:tab w:val="left" w:pos="482"/>
              </w:tabs>
              <w:spacing w:before="160" w:after="0" w:line="364" w:lineRule="auto"/>
              <w:ind w:left="105" w:right="96" w:firstLine="0"/>
              <w:jc w:val="left"/>
              <w:rPr>
                <w:sz w:val="24"/>
              </w:rPr>
            </w:pPr>
            <w:r>
              <w:rPr>
                <w:sz w:val="24"/>
              </w:rPr>
              <w:t>参加政府采购活动前</w:t>
            </w:r>
            <w:r>
              <w:rPr>
                <w:rFonts w:ascii="Arial" w:eastAsia="Arial"/>
                <w:sz w:val="24"/>
              </w:rPr>
              <w:t>3</w:t>
            </w:r>
            <w:r>
              <w:rPr>
                <w:spacing w:val="-1"/>
                <w:sz w:val="24"/>
              </w:rPr>
              <w:t>年内在经营活动中没有重大违法记录</w:t>
            </w:r>
            <w:r>
              <w:rPr>
                <w:sz w:val="24"/>
              </w:rPr>
              <w:t xml:space="preserve">的书面声明。                                        </w:t>
            </w:r>
            <w:r>
              <w:rPr>
                <w:rFonts w:ascii="Arial" w:eastAsia="Arial"/>
                <w:sz w:val="24"/>
              </w:rPr>
              <w:t>5</w:t>
            </w:r>
            <w:r>
              <w:rPr>
                <w:sz w:val="24"/>
              </w:rPr>
              <w:t>）具备法律、行政法规规定的其他条件的证明材料。</w:t>
            </w:r>
          </w:p>
          <w:p>
            <w:pPr>
              <w:pStyle w:val="14"/>
              <w:numPr>
                <w:ilvl w:val="0"/>
                <w:numId w:val="0"/>
              </w:numPr>
              <w:tabs>
                <w:tab w:val="left" w:pos="722"/>
              </w:tabs>
              <w:spacing w:before="0" w:after="0" w:line="364" w:lineRule="auto"/>
              <w:ind w:left="105" w:leftChars="0" w:right="93" w:rightChars="0"/>
              <w:jc w:val="both"/>
              <w:rPr>
                <w:sz w:val="24"/>
              </w:rPr>
            </w:pPr>
            <w:r>
              <w:rPr>
                <w:rFonts w:hint="eastAsia"/>
                <w:spacing w:val="-4"/>
                <w:sz w:val="24"/>
                <w:lang w:eastAsia="zh-CN"/>
              </w:rPr>
              <w:t>（</w:t>
            </w:r>
            <w:r>
              <w:rPr>
                <w:rFonts w:hint="eastAsia"/>
                <w:spacing w:val="-4"/>
                <w:sz w:val="24"/>
                <w:lang w:val="en-US" w:eastAsia="zh-CN"/>
              </w:rPr>
              <w:t>2</w:t>
            </w:r>
            <w:r>
              <w:rPr>
                <w:rFonts w:hint="eastAsia"/>
                <w:spacing w:val="-4"/>
                <w:sz w:val="24"/>
                <w:lang w:eastAsia="zh-CN"/>
              </w:rPr>
              <w:t>）</w:t>
            </w:r>
            <w:r>
              <w:rPr>
                <w:spacing w:val="-4"/>
                <w:sz w:val="24"/>
              </w:rPr>
              <w:t>单位负责人为同一人或者存在直接控股、管理关系的不同投标人，不得参加同一合同项下的政府采购活动。否则，皆取消投标资格；</w:t>
            </w:r>
          </w:p>
          <w:p>
            <w:pPr>
              <w:pStyle w:val="14"/>
              <w:numPr>
                <w:ilvl w:val="0"/>
                <w:numId w:val="0"/>
              </w:numPr>
              <w:tabs>
                <w:tab w:val="left" w:pos="722"/>
              </w:tabs>
              <w:spacing w:before="0" w:after="0" w:line="364" w:lineRule="auto"/>
              <w:ind w:left="105" w:leftChars="0" w:right="93" w:rightChars="0"/>
              <w:jc w:val="both"/>
              <w:rPr>
                <w:sz w:val="24"/>
              </w:rPr>
            </w:pPr>
            <w:r>
              <w:rPr>
                <w:rFonts w:hint="eastAsia"/>
                <w:spacing w:val="-5"/>
                <w:sz w:val="24"/>
                <w:lang w:eastAsia="zh-CN"/>
              </w:rPr>
              <w:t>（</w:t>
            </w:r>
            <w:r>
              <w:rPr>
                <w:rFonts w:hint="eastAsia"/>
                <w:spacing w:val="-5"/>
                <w:sz w:val="24"/>
                <w:lang w:val="en-US" w:eastAsia="zh-CN"/>
              </w:rPr>
              <w:t>3</w:t>
            </w:r>
            <w:r>
              <w:rPr>
                <w:rFonts w:hint="eastAsia"/>
                <w:spacing w:val="-5"/>
                <w:sz w:val="24"/>
                <w:lang w:eastAsia="zh-CN"/>
              </w:rPr>
              <w:t>）</w:t>
            </w:r>
            <w:r>
              <w:rPr>
                <w:spacing w:val="-5"/>
                <w:sz w:val="24"/>
              </w:rPr>
              <w:t>为本采购项目提供整体设计、规范编制或者项目管理、</w:t>
            </w:r>
            <w:r>
              <w:rPr>
                <w:spacing w:val="-4"/>
                <w:sz w:val="24"/>
              </w:rPr>
              <w:t>监理、检测等服务的投标人，不得再参加该采购项目的其他采购活动；</w:t>
            </w:r>
          </w:p>
          <w:p>
            <w:pPr>
              <w:pStyle w:val="14"/>
              <w:numPr>
                <w:ilvl w:val="0"/>
                <w:numId w:val="0"/>
              </w:numPr>
              <w:tabs>
                <w:tab w:val="left" w:pos="722"/>
              </w:tabs>
              <w:spacing w:before="0" w:after="0" w:line="304" w:lineRule="exact"/>
              <w:ind w:left="104" w:leftChars="0" w:right="0" w:rightChars="0"/>
              <w:jc w:val="left"/>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本项目不接受投标人以联合体方式进行投标；</w:t>
            </w:r>
          </w:p>
          <w:p>
            <w:pPr>
              <w:pStyle w:val="14"/>
              <w:numPr>
                <w:ilvl w:val="0"/>
                <w:numId w:val="0"/>
              </w:numPr>
              <w:tabs>
                <w:tab w:val="left" w:pos="726"/>
              </w:tabs>
              <w:spacing w:before="158" w:after="0" w:line="364" w:lineRule="auto"/>
              <w:ind w:left="105" w:leftChars="0" w:right="86" w:rightChars="0"/>
              <w:jc w:val="both"/>
              <w:rPr>
                <w:sz w:val="24"/>
              </w:rPr>
            </w:pPr>
            <w:r>
              <w:rPr>
                <w:rFonts w:hint="eastAsia"/>
                <w:sz w:val="24"/>
                <w:lang w:val="en-US" w:eastAsia="zh-CN"/>
              </w:rPr>
              <w:t>（5）</w:t>
            </w:r>
            <w:r>
              <w:rPr>
                <w:sz w:val="24"/>
              </w:rPr>
              <w:t>经信用中国（</w:t>
            </w:r>
            <w:r>
              <w:fldChar w:fldCharType="begin"/>
            </w:r>
            <w:r>
              <w:instrText xml:space="preserve"> HYPERLINK "http://www.creditchina.gov.cn/" \h </w:instrText>
            </w:r>
            <w:r>
              <w:fldChar w:fldCharType="separate"/>
            </w:r>
            <w:r>
              <w:rPr>
                <w:rFonts w:ascii="Arial" w:eastAsia="Arial"/>
                <w:sz w:val="24"/>
              </w:rPr>
              <w:t>www.creditchina.gov.cn</w:t>
            </w:r>
            <w:r>
              <w:rPr>
                <w:rFonts w:ascii="Arial" w:eastAsia="Arial"/>
                <w:sz w:val="24"/>
              </w:rPr>
              <w:fldChar w:fldCharType="end"/>
            </w:r>
            <w:r>
              <w:rPr>
                <w:sz w:val="24"/>
              </w:rPr>
              <w:t>）、中国政府采购</w:t>
            </w:r>
            <w:r>
              <w:rPr>
                <w:spacing w:val="4"/>
                <w:sz w:val="24"/>
              </w:rPr>
              <w:t>网</w:t>
            </w:r>
            <w:r>
              <w:rPr>
                <w:sz w:val="24"/>
              </w:rPr>
              <w:t>（</w:t>
            </w:r>
            <w:r>
              <w:fldChar w:fldCharType="begin"/>
            </w:r>
            <w:r>
              <w:instrText xml:space="preserve"> HYPERLINK "http://www.ccgp.gov.cn/" \h </w:instrText>
            </w:r>
            <w:r>
              <w:fldChar w:fldCharType="separate"/>
            </w:r>
            <w:r>
              <w:rPr>
                <w:rFonts w:ascii="Arial" w:eastAsia="Arial"/>
                <w:sz w:val="24"/>
              </w:rPr>
              <w:t>www.ccgp.gov.cn</w:t>
            </w:r>
            <w:r>
              <w:rPr>
                <w:rFonts w:ascii="Arial" w:eastAsia="Arial"/>
                <w:sz w:val="24"/>
              </w:rPr>
              <w:fldChar w:fldCharType="end"/>
            </w:r>
            <w:r>
              <w:rPr>
                <w:sz w:val="24"/>
              </w:rPr>
              <w:t>）</w:t>
            </w:r>
            <w:r>
              <w:rPr>
                <w:spacing w:val="4"/>
                <w:sz w:val="24"/>
              </w:rPr>
              <w:t>等渠道查询后，列入失信被执行人、</w:t>
            </w:r>
            <w:r>
              <w:rPr>
                <w:sz w:val="24"/>
              </w:rPr>
              <w:t>重大税收违法案件当事人名单、政府采购严重违法失信行为记</w:t>
            </w:r>
          </w:p>
          <w:p>
            <w:pPr>
              <w:pStyle w:val="14"/>
              <w:spacing w:line="304" w:lineRule="exact"/>
              <w:ind w:left="105"/>
              <w:rPr>
                <w:sz w:val="24"/>
              </w:rPr>
            </w:pPr>
            <w:r>
              <w:rPr>
                <w:sz w:val="24"/>
              </w:rPr>
              <w:t>录名单的，取消投标资格。（提供</w:t>
            </w:r>
            <w:r>
              <w:rPr>
                <w:rFonts w:ascii="Arial" w:hAnsi="Arial" w:eastAsia="Arial"/>
                <w:sz w:val="24"/>
              </w:rPr>
              <w:t>“</w:t>
            </w:r>
            <w:r>
              <w:rPr>
                <w:sz w:val="24"/>
              </w:rPr>
              <w:t>信用中国</w:t>
            </w:r>
            <w:r>
              <w:rPr>
                <w:rFonts w:ascii="Arial" w:hAnsi="Arial" w:eastAsia="Arial"/>
                <w:sz w:val="24"/>
              </w:rPr>
              <w:t>”</w:t>
            </w:r>
            <w:r>
              <w:rPr>
                <w:sz w:val="24"/>
              </w:rPr>
              <w:t>网站无任何不良</w:t>
            </w:r>
          </w:p>
        </w:tc>
      </w:tr>
    </w:tbl>
    <w:p>
      <w:pPr>
        <w:spacing w:after="0" w:line="304" w:lineRule="exact"/>
        <w:rPr>
          <w:sz w:val="24"/>
        </w:rPr>
        <w:sectPr>
          <w:pgSz w:w="11910" w:h="16840"/>
          <w:pgMar w:top="1180" w:right="720" w:bottom="1120" w:left="740" w:header="711" w:footer="923" w:gutter="0"/>
        </w:sectPr>
      </w:pPr>
    </w:p>
    <w:p>
      <w:pPr>
        <w:pStyle w:val="2"/>
        <w:spacing w:before="9"/>
        <w:rPr>
          <w:rFonts w:ascii="Times New Roman"/>
          <w:sz w:val="5"/>
        </w:rPr>
      </w:pPr>
    </w:p>
    <w:tbl>
      <w:tblPr>
        <w:tblStyle w:val="9"/>
        <w:tblW w:w="0" w:type="auto"/>
        <w:tblInd w:w="5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2"/>
        <w:gridCol w:w="1918"/>
        <w:gridCol w:w="6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92" w:type="dxa"/>
          </w:tcPr>
          <w:p>
            <w:pPr>
              <w:pStyle w:val="14"/>
              <w:rPr>
                <w:rFonts w:ascii="Times New Roman"/>
                <w:sz w:val="22"/>
              </w:rPr>
            </w:pPr>
          </w:p>
        </w:tc>
        <w:tc>
          <w:tcPr>
            <w:tcW w:w="1918" w:type="dxa"/>
          </w:tcPr>
          <w:p>
            <w:pPr>
              <w:pStyle w:val="14"/>
              <w:rPr>
                <w:rFonts w:ascii="Times New Roman"/>
                <w:sz w:val="22"/>
              </w:rPr>
            </w:pPr>
          </w:p>
        </w:tc>
        <w:tc>
          <w:tcPr>
            <w:tcW w:w="6733" w:type="dxa"/>
          </w:tcPr>
          <w:p>
            <w:pPr>
              <w:pStyle w:val="14"/>
              <w:spacing w:line="307" w:lineRule="exact"/>
              <w:ind w:left="105"/>
              <w:rPr>
                <w:sz w:val="24"/>
              </w:rPr>
            </w:pPr>
            <w:r>
              <w:rPr>
                <w:sz w:val="24"/>
              </w:rPr>
              <w:t>记录的查询截图）。</w:t>
            </w:r>
          </w:p>
          <w:p>
            <w:pPr>
              <w:pStyle w:val="14"/>
              <w:spacing w:before="24" w:line="468" w:lineRule="exact"/>
              <w:ind w:left="105" w:right="94"/>
              <w:rPr>
                <w:sz w:val="24"/>
              </w:rPr>
            </w:pPr>
            <w:r>
              <w:rPr>
                <w:spacing w:val="-16"/>
                <w:sz w:val="24"/>
              </w:rPr>
              <w:t>（</w:t>
            </w:r>
            <w:r>
              <w:rPr>
                <w:rFonts w:ascii="Arial" w:eastAsia="Arial"/>
                <w:spacing w:val="-16"/>
                <w:sz w:val="24"/>
              </w:rPr>
              <w:t>6</w:t>
            </w:r>
            <w:r>
              <w:rPr>
                <w:spacing w:val="-16"/>
                <w:sz w:val="24"/>
              </w:rPr>
              <w:t>）</w:t>
            </w:r>
            <w:r>
              <w:rPr>
                <w:spacing w:val="-5"/>
                <w:sz w:val="24"/>
              </w:rPr>
              <w:t>投标人营业执照内必须包含相关货物的经营范围，并在人</w:t>
            </w:r>
            <w:r>
              <w:rPr>
                <w:sz w:val="24"/>
              </w:rPr>
              <w:t>员、设备、资金等方面具备相应的供货能力。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2" w:hRule="atLeast"/>
        </w:trPr>
        <w:tc>
          <w:tcPr>
            <w:tcW w:w="792" w:type="dxa"/>
          </w:tcPr>
          <w:p>
            <w:pPr>
              <w:pStyle w:val="14"/>
              <w:rPr>
                <w:rFonts w:ascii="Times New Roman"/>
                <w:sz w:val="26"/>
              </w:rPr>
            </w:pPr>
          </w:p>
          <w:p>
            <w:pPr>
              <w:pStyle w:val="14"/>
              <w:rPr>
                <w:rFonts w:ascii="Times New Roman"/>
                <w:sz w:val="26"/>
              </w:rPr>
            </w:pPr>
          </w:p>
          <w:p>
            <w:pPr>
              <w:pStyle w:val="14"/>
              <w:rPr>
                <w:rFonts w:ascii="Times New Roman"/>
                <w:sz w:val="26"/>
              </w:rPr>
            </w:pPr>
          </w:p>
          <w:p>
            <w:pPr>
              <w:pStyle w:val="14"/>
              <w:spacing w:before="9"/>
              <w:rPr>
                <w:rFonts w:ascii="Times New Roman"/>
                <w:sz w:val="32"/>
              </w:rPr>
            </w:pPr>
          </w:p>
          <w:p>
            <w:pPr>
              <w:pStyle w:val="14"/>
              <w:ind w:right="246"/>
              <w:jc w:val="right"/>
              <w:rPr>
                <w:rFonts w:ascii="Arial"/>
                <w:sz w:val="24"/>
              </w:rPr>
            </w:pPr>
            <w:r>
              <w:rPr>
                <w:rFonts w:ascii="Arial"/>
                <w:w w:val="95"/>
                <w:sz w:val="24"/>
              </w:rPr>
              <w:t>11</w:t>
            </w:r>
          </w:p>
        </w:tc>
        <w:tc>
          <w:tcPr>
            <w:tcW w:w="1918"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ind w:left="105"/>
              <w:rPr>
                <w:sz w:val="24"/>
              </w:rPr>
            </w:pPr>
            <w:r>
              <w:rPr>
                <w:sz w:val="24"/>
              </w:rPr>
              <w:t>磋商保证金</w:t>
            </w:r>
          </w:p>
        </w:tc>
        <w:tc>
          <w:tcPr>
            <w:tcW w:w="6733" w:type="dxa"/>
          </w:tcPr>
          <w:p>
            <w:pPr>
              <w:pStyle w:val="14"/>
              <w:spacing w:before="2" w:line="362" w:lineRule="auto"/>
              <w:ind w:left="105" w:right="1356"/>
              <w:rPr>
                <w:rFonts w:hint="eastAsia" w:eastAsia="宋体"/>
                <w:sz w:val="24"/>
                <w:lang w:eastAsia="zh-CN"/>
              </w:rPr>
            </w:pPr>
            <w:r>
              <w:rPr>
                <w:sz w:val="24"/>
              </w:rPr>
              <w:t>投标保证金：</w:t>
            </w:r>
            <w:r>
              <w:rPr>
                <w:rFonts w:hint="eastAsia" w:ascii="Arial" w:eastAsia="宋体"/>
                <w:sz w:val="24"/>
                <w:lang w:eastAsia="zh-CN"/>
              </w:rPr>
              <w:t>10000</w:t>
            </w:r>
            <w:r>
              <w:rPr>
                <w:rFonts w:ascii="Arial" w:eastAsia="Arial"/>
                <w:sz w:val="24"/>
              </w:rPr>
              <w:t>.00</w:t>
            </w:r>
            <w:r>
              <w:rPr>
                <w:sz w:val="24"/>
              </w:rPr>
              <w:t>元整（大写：</w:t>
            </w:r>
            <w:r>
              <w:rPr>
                <w:rFonts w:hint="eastAsia"/>
                <w:sz w:val="24"/>
                <w:lang w:eastAsia="zh-CN"/>
              </w:rPr>
              <w:t>壹万元整</w:t>
            </w:r>
            <w:r>
              <w:rPr>
                <w:sz w:val="24"/>
              </w:rPr>
              <w:t>）； 账户名：</w:t>
            </w:r>
            <w:r>
              <w:rPr>
                <w:rFonts w:hint="eastAsia"/>
                <w:sz w:val="24"/>
                <w:lang w:eastAsia="zh-CN"/>
              </w:rPr>
              <w:t>鸿利项目管理有限公司青海分公司</w:t>
            </w:r>
          </w:p>
          <w:p>
            <w:pPr>
              <w:pStyle w:val="14"/>
              <w:spacing w:before="5" w:line="362" w:lineRule="auto"/>
              <w:ind w:left="105" w:right="1659" w:rightChars="0"/>
              <w:rPr>
                <w:rFonts w:hint="eastAsia"/>
                <w:sz w:val="24"/>
                <w:lang w:eastAsia="zh-CN"/>
              </w:rPr>
            </w:pPr>
            <w:r>
              <w:rPr>
                <w:sz w:val="24"/>
              </w:rPr>
              <w:t>开户行：</w:t>
            </w:r>
            <w:r>
              <w:rPr>
                <w:rFonts w:hint="eastAsia"/>
                <w:sz w:val="24"/>
                <w:lang w:eastAsia="zh-CN"/>
              </w:rPr>
              <w:t>中国建设银行西宁昆仑中路支行</w:t>
            </w:r>
          </w:p>
          <w:p>
            <w:pPr>
              <w:pStyle w:val="14"/>
              <w:spacing w:before="5" w:line="362" w:lineRule="auto"/>
              <w:ind w:left="105" w:right="1659" w:rightChars="0"/>
              <w:rPr>
                <w:rFonts w:hint="eastAsia" w:ascii="Arial" w:eastAsia="宋体"/>
                <w:sz w:val="24"/>
                <w:lang w:eastAsia="zh-CN"/>
              </w:rPr>
            </w:pPr>
            <w:r>
              <w:rPr>
                <w:rFonts w:hint="eastAsia"/>
                <w:sz w:val="24"/>
                <w:lang w:eastAsia="zh-CN"/>
              </w:rPr>
              <w:t>银行</w:t>
            </w:r>
            <w:r>
              <w:rPr>
                <w:sz w:val="24"/>
              </w:rPr>
              <w:t>账号：</w:t>
            </w:r>
            <w:r>
              <w:rPr>
                <w:rFonts w:hint="eastAsia" w:ascii="Arial"/>
                <w:sz w:val="24"/>
                <w:lang w:eastAsia="zh-CN"/>
              </w:rPr>
              <w:t>6305 0145 3604 0000 0043</w:t>
            </w:r>
          </w:p>
          <w:p>
            <w:pPr>
              <w:pStyle w:val="14"/>
              <w:spacing w:before="158"/>
              <w:ind w:left="105"/>
              <w:rPr>
                <w:sz w:val="24"/>
              </w:rPr>
            </w:pPr>
            <w:r>
              <w:rPr>
                <w:spacing w:val="-8"/>
                <w:sz w:val="24"/>
              </w:rPr>
              <w:t>缴费时间：供应商在磋商截止期前一工作日</w:t>
            </w:r>
            <w:r>
              <w:rPr>
                <w:sz w:val="24"/>
              </w:rPr>
              <w:t>（</w:t>
            </w:r>
            <w:r>
              <w:rPr>
                <w:rFonts w:hint="eastAsia" w:ascii="Arial" w:eastAsia="宋体"/>
                <w:b w:val="0"/>
                <w:bCs w:val="0"/>
                <w:sz w:val="24"/>
                <w:lang w:eastAsia="zh-CN"/>
              </w:rPr>
              <w:t>投标截止时间之前</w:t>
            </w:r>
            <w:r>
              <w:rPr>
                <w:sz w:val="24"/>
              </w:rPr>
              <w:t>），以银行到账时间为准。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792" w:type="dxa"/>
          </w:tcPr>
          <w:p>
            <w:pPr>
              <w:pStyle w:val="14"/>
              <w:rPr>
                <w:rFonts w:ascii="Times New Roman"/>
                <w:sz w:val="26"/>
              </w:rPr>
            </w:pPr>
          </w:p>
          <w:p>
            <w:pPr>
              <w:pStyle w:val="14"/>
              <w:rPr>
                <w:rFonts w:ascii="Times New Roman"/>
                <w:sz w:val="26"/>
              </w:rPr>
            </w:pPr>
          </w:p>
          <w:p>
            <w:pPr>
              <w:pStyle w:val="14"/>
              <w:spacing w:before="5"/>
              <w:rPr>
                <w:rFonts w:ascii="Times New Roman"/>
                <w:sz w:val="38"/>
              </w:rPr>
            </w:pPr>
          </w:p>
          <w:p>
            <w:pPr>
              <w:pStyle w:val="14"/>
              <w:ind w:right="246"/>
              <w:jc w:val="right"/>
              <w:rPr>
                <w:rFonts w:ascii="Arial"/>
                <w:sz w:val="24"/>
              </w:rPr>
            </w:pPr>
            <w:r>
              <w:rPr>
                <w:rFonts w:ascii="Arial"/>
                <w:w w:val="95"/>
                <w:sz w:val="24"/>
              </w:rPr>
              <w:t>12</w:t>
            </w:r>
          </w:p>
        </w:tc>
        <w:tc>
          <w:tcPr>
            <w:tcW w:w="1918" w:type="dxa"/>
          </w:tcPr>
          <w:p>
            <w:pPr>
              <w:pStyle w:val="14"/>
              <w:rPr>
                <w:rFonts w:ascii="Times New Roman"/>
                <w:sz w:val="24"/>
              </w:rPr>
            </w:pPr>
          </w:p>
          <w:p>
            <w:pPr>
              <w:pStyle w:val="14"/>
              <w:rPr>
                <w:rFonts w:ascii="Times New Roman"/>
                <w:sz w:val="24"/>
              </w:rPr>
            </w:pPr>
          </w:p>
          <w:p>
            <w:pPr>
              <w:pStyle w:val="14"/>
              <w:spacing w:before="2"/>
              <w:rPr>
                <w:rFonts w:ascii="Times New Roman"/>
                <w:sz w:val="33"/>
              </w:rPr>
            </w:pPr>
          </w:p>
          <w:p>
            <w:pPr>
              <w:pStyle w:val="14"/>
              <w:ind w:left="105"/>
              <w:rPr>
                <w:sz w:val="24"/>
              </w:rPr>
            </w:pPr>
            <w:r>
              <w:rPr>
                <w:sz w:val="24"/>
              </w:rPr>
              <w:t>缴费方式</w:t>
            </w:r>
          </w:p>
        </w:tc>
        <w:tc>
          <w:tcPr>
            <w:tcW w:w="6733" w:type="dxa"/>
          </w:tcPr>
          <w:p>
            <w:pPr>
              <w:pStyle w:val="14"/>
              <w:spacing w:line="364" w:lineRule="auto"/>
              <w:ind w:left="105" w:right="-29"/>
              <w:rPr>
                <w:sz w:val="24"/>
              </w:rPr>
            </w:pPr>
            <w:r>
              <w:rPr>
                <w:sz w:val="24"/>
              </w:rPr>
              <w:t>缴费方式：磋商保证金应当以转账、支票、汇票、本票或者金融机构、担保机构出具的保函等非现金形式提交。通过银行转</w:t>
            </w:r>
            <w:r>
              <w:rPr>
                <w:spacing w:val="-15"/>
                <w:sz w:val="24"/>
              </w:rPr>
              <w:t>账的，必须由供应商从其基本账户</w:t>
            </w:r>
            <w:r>
              <w:rPr>
                <w:sz w:val="24"/>
              </w:rPr>
              <w:t>（需提供开户许可证</w:t>
            </w:r>
            <w:r>
              <w:rPr>
                <w:spacing w:val="-82"/>
                <w:sz w:val="24"/>
              </w:rPr>
              <w:t>）汇</w:t>
            </w:r>
            <w:r>
              <w:rPr>
                <w:sz w:val="24"/>
              </w:rPr>
              <w:t>（转） 入采购代理机构指定账户。</w:t>
            </w:r>
          </w:p>
          <w:p>
            <w:pPr>
              <w:pStyle w:val="14"/>
              <w:spacing w:line="305" w:lineRule="exact"/>
              <w:ind w:left="105"/>
              <w:rPr>
                <w:sz w:val="24"/>
              </w:rPr>
            </w:pPr>
            <w:r>
              <w:rPr>
                <w:sz w:val="24"/>
              </w:rPr>
              <w:t>供应商未按照磋商文件要求提交投标保证金的，投标无效。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792" w:type="dxa"/>
          </w:tcPr>
          <w:p>
            <w:pPr>
              <w:pStyle w:val="14"/>
              <w:rPr>
                <w:rFonts w:ascii="Times New Roman"/>
                <w:sz w:val="26"/>
              </w:rPr>
            </w:pPr>
          </w:p>
          <w:p>
            <w:pPr>
              <w:pStyle w:val="14"/>
              <w:spacing w:before="7"/>
              <w:rPr>
                <w:rFonts w:ascii="Times New Roman"/>
                <w:sz w:val="23"/>
              </w:rPr>
            </w:pPr>
          </w:p>
          <w:p>
            <w:pPr>
              <w:pStyle w:val="14"/>
              <w:spacing w:before="1"/>
              <w:ind w:right="246"/>
              <w:jc w:val="right"/>
              <w:rPr>
                <w:rFonts w:ascii="Arial"/>
                <w:sz w:val="24"/>
              </w:rPr>
            </w:pPr>
            <w:r>
              <w:rPr>
                <w:rFonts w:ascii="Arial"/>
                <w:w w:val="95"/>
                <w:sz w:val="24"/>
              </w:rPr>
              <w:t>13</w:t>
            </w:r>
          </w:p>
        </w:tc>
        <w:tc>
          <w:tcPr>
            <w:tcW w:w="1918" w:type="dxa"/>
          </w:tcPr>
          <w:p>
            <w:pPr>
              <w:pStyle w:val="14"/>
              <w:rPr>
                <w:rFonts w:ascii="Times New Roman"/>
                <w:sz w:val="24"/>
              </w:rPr>
            </w:pPr>
          </w:p>
          <w:p>
            <w:pPr>
              <w:pStyle w:val="14"/>
              <w:spacing w:before="191"/>
              <w:ind w:left="105"/>
              <w:rPr>
                <w:sz w:val="24"/>
              </w:rPr>
            </w:pPr>
            <w:r>
              <w:rPr>
                <w:sz w:val="24"/>
              </w:rPr>
              <w:t>磋商保证金退还</w:t>
            </w:r>
          </w:p>
        </w:tc>
        <w:tc>
          <w:tcPr>
            <w:tcW w:w="6733" w:type="dxa"/>
          </w:tcPr>
          <w:p>
            <w:pPr>
              <w:pStyle w:val="14"/>
              <w:spacing w:line="307" w:lineRule="exact"/>
              <w:ind w:left="105"/>
              <w:rPr>
                <w:sz w:val="24"/>
              </w:rPr>
            </w:pPr>
            <w:r>
              <w:rPr>
                <w:sz w:val="24"/>
              </w:rPr>
              <w:t xml:space="preserve">未中标供应商的投标保证金自中标通知书发出之日起 </w:t>
            </w:r>
            <w:r>
              <w:rPr>
                <w:rFonts w:ascii="Arial" w:eastAsia="Arial"/>
                <w:sz w:val="24"/>
              </w:rPr>
              <w:t xml:space="preserve">5 </w:t>
            </w:r>
            <w:r>
              <w:rPr>
                <w:sz w:val="24"/>
              </w:rPr>
              <w:t>个工作</w:t>
            </w:r>
          </w:p>
          <w:p>
            <w:pPr>
              <w:pStyle w:val="14"/>
              <w:spacing w:before="8" w:line="460" w:lineRule="atLeast"/>
              <w:ind w:left="105" w:right="93"/>
              <w:rPr>
                <w:sz w:val="24"/>
              </w:rPr>
            </w:pPr>
            <w:r>
              <w:rPr>
                <w:sz w:val="24"/>
              </w:rPr>
              <w:t xml:space="preserve">日内退还（非现金形式）；中标供应商的投标保证金，自政府采购合同签订之日起 </w:t>
            </w:r>
            <w:r>
              <w:rPr>
                <w:rFonts w:ascii="Arial" w:eastAsia="Arial"/>
                <w:sz w:val="24"/>
              </w:rPr>
              <w:t xml:space="preserve">5 </w:t>
            </w:r>
            <w:r>
              <w:rPr>
                <w:sz w:val="24"/>
              </w:rPr>
              <w:t>个工作日内退还（非现金形式）。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2" w:hRule="atLeast"/>
        </w:trPr>
        <w:tc>
          <w:tcPr>
            <w:tcW w:w="792" w:type="dxa"/>
          </w:tcPr>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spacing w:before="179"/>
              <w:ind w:right="246"/>
              <w:jc w:val="right"/>
              <w:rPr>
                <w:rFonts w:ascii="Arial"/>
                <w:sz w:val="24"/>
              </w:rPr>
            </w:pPr>
            <w:r>
              <w:rPr>
                <w:rFonts w:ascii="Arial"/>
                <w:w w:val="95"/>
                <w:sz w:val="24"/>
              </w:rPr>
              <w:t>14</w:t>
            </w:r>
          </w:p>
        </w:tc>
        <w:tc>
          <w:tcPr>
            <w:tcW w:w="1918"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
              <w:rPr>
                <w:rFonts w:ascii="Times New Roman"/>
                <w:sz w:val="22"/>
              </w:rPr>
            </w:pPr>
          </w:p>
          <w:p>
            <w:pPr>
              <w:pStyle w:val="14"/>
              <w:spacing w:line="362" w:lineRule="auto"/>
              <w:ind w:left="105" w:right="97"/>
              <w:rPr>
                <w:sz w:val="24"/>
              </w:rPr>
            </w:pPr>
            <w:r>
              <w:rPr>
                <w:sz w:val="24"/>
              </w:rPr>
              <w:t>磋商响应文件编制要求</w:t>
            </w:r>
          </w:p>
        </w:tc>
        <w:tc>
          <w:tcPr>
            <w:tcW w:w="6733" w:type="dxa"/>
          </w:tcPr>
          <w:p>
            <w:pPr>
              <w:pStyle w:val="14"/>
              <w:numPr>
                <w:ilvl w:val="0"/>
                <w:numId w:val="7"/>
              </w:numPr>
              <w:tabs>
                <w:tab w:val="left" w:pos="310"/>
              </w:tabs>
              <w:spacing w:before="0" w:after="0" w:line="364" w:lineRule="auto"/>
              <w:ind w:left="105" w:right="93" w:firstLine="0"/>
              <w:jc w:val="both"/>
              <w:rPr>
                <w:sz w:val="24"/>
              </w:rPr>
            </w:pPr>
            <w:r>
              <w:rPr>
                <w:sz w:val="24"/>
              </w:rPr>
              <w:t>供应商应按照磋商文件所提供的磋商响应文件格式，分别填</w:t>
            </w:r>
            <w:r>
              <w:rPr>
                <w:spacing w:val="-1"/>
                <w:sz w:val="24"/>
              </w:rPr>
              <w:t>写磋商文件第五部分的内容，并由法定代表人或委托代理人按</w:t>
            </w:r>
            <w:r>
              <w:rPr>
                <w:sz w:val="24"/>
              </w:rPr>
              <w:t>要求签字和（或）盖章并加盖公章。</w:t>
            </w:r>
          </w:p>
          <w:p>
            <w:pPr>
              <w:pStyle w:val="14"/>
              <w:numPr>
                <w:ilvl w:val="0"/>
                <w:numId w:val="7"/>
              </w:numPr>
              <w:tabs>
                <w:tab w:val="left" w:pos="309"/>
              </w:tabs>
              <w:spacing w:before="0" w:after="0" w:line="364" w:lineRule="auto"/>
              <w:ind w:left="105" w:right="-29" w:firstLine="0"/>
              <w:jc w:val="left"/>
              <w:rPr>
                <w:sz w:val="24"/>
              </w:rPr>
            </w:pPr>
            <w:r>
              <w:rPr>
                <w:spacing w:val="-3"/>
                <w:sz w:val="24"/>
              </w:rPr>
              <w:t>供应商应按磋商文件要求准备磋商响应文件</w:t>
            </w:r>
            <w:r>
              <w:rPr>
                <w:sz w:val="24"/>
              </w:rPr>
              <w:t>（</w:t>
            </w:r>
            <w:r>
              <w:rPr>
                <w:rFonts w:ascii="Arial" w:hAnsi="Arial" w:eastAsia="Arial"/>
                <w:sz w:val="24"/>
              </w:rPr>
              <w:t>1</w:t>
            </w:r>
            <w:r>
              <w:rPr>
                <w:rFonts w:ascii="Arial" w:hAnsi="Arial" w:eastAsia="Arial"/>
                <w:spacing w:val="-6"/>
                <w:sz w:val="24"/>
              </w:rPr>
              <w:t xml:space="preserve"> </w:t>
            </w:r>
            <w:r>
              <w:rPr>
                <w:spacing w:val="-9"/>
                <w:sz w:val="24"/>
              </w:rPr>
              <w:t>份正本、</w:t>
            </w:r>
            <w:r>
              <w:rPr>
                <w:rFonts w:ascii="Arial" w:hAnsi="Arial" w:eastAsia="Arial"/>
                <w:sz w:val="24"/>
              </w:rPr>
              <w:t>2</w:t>
            </w:r>
            <w:r>
              <w:rPr>
                <w:rFonts w:ascii="Arial" w:hAnsi="Arial" w:eastAsia="Arial"/>
                <w:spacing w:val="-6"/>
                <w:sz w:val="24"/>
              </w:rPr>
              <w:t xml:space="preserve"> </w:t>
            </w:r>
            <w:r>
              <w:rPr>
                <w:sz w:val="24"/>
              </w:rPr>
              <w:t>份</w:t>
            </w:r>
            <w:r>
              <w:rPr>
                <w:spacing w:val="-4"/>
                <w:sz w:val="24"/>
              </w:rPr>
              <w:t xml:space="preserve">副本和相应的电子文档 </w:t>
            </w:r>
            <w:r>
              <w:rPr>
                <w:rFonts w:ascii="Arial" w:hAnsi="Arial" w:eastAsia="Arial"/>
                <w:sz w:val="24"/>
              </w:rPr>
              <w:t>1</w:t>
            </w:r>
            <w:r>
              <w:rPr>
                <w:rFonts w:ascii="Arial" w:hAnsi="Arial" w:eastAsia="Arial"/>
                <w:spacing w:val="20"/>
                <w:sz w:val="24"/>
              </w:rPr>
              <w:t xml:space="preserve"> </w:t>
            </w:r>
            <w:r>
              <w:rPr>
                <w:sz w:val="24"/>
              </w:rPr>
              <w:t>份（</w:t>
            </w:r>
            <w:r>
              <w:rPr>
                <w:rFonts w:ascii="Arial" w:hAnsi="Arial" w:eastAsia="Arial"/>
                <w:sz w:val="24"/>
              </w:rPr>
              <w:t>PDF</w:t>
            </w:r>
            <w:r>
              <w:rPr>
                <w:rFonts w:ascii="Arial" w:hAnsi="Arial" w:eastAsia="Arial"/>
                <w:spacing w:val="20"/>
                <w:sz w:val="24"/>
              </w:rPr>
              <w:t xml:space="preserve"> </w:t>
            </w:r>
            <w:r>
              <w:rPr>
                <w:sz w:val="24"/>
              </w:rPr>
              <w:t>格式</w:t>
            </w:r>
            <w:r>
              <w:rPr>
                <w:spacing w:val="-120"/>
                <w:sz w:val="24"/>
              </w:rPr>
              <w:t>）</w:t>
            </w:r>
            <w:r>
              <w:rPr>
                <w:sz w:val="24"/>
              </w:rPr>
              <w:t>。每份磋商响应文件都必须清楚地标明</w:t>
            </w:r>
            <w:r>
              <w:rPr>
                <w:rFonts w:ascii="Arial" w:hAnsi="Arial" w:eastAsia="Arial"/>
                <w:sz w:val="24"/>
              </w:rPr>
              <w:t>“</w:t>
            </w:r>
            <w:r>
              <w:rPr>
                <w:sz w:val="24"/>
              </w:rPr>
              <w:t>正本</w:t>
            </w:r>
            <w:r>
              <w:rPr>
                <w:rFonts w:ascii="Arial" w:hAnsi="Arial" w:eastAsia="Arial"/>
                <w:sz w:val="24"/>
              </w:rPr>
              <w:t>”</w:t>
            </w:r>
            <w:r>
              <w:rPr>
                <w:sz w:val="24"/>
              </w:rPr>
              <w:t>或</w:t>
            </w:r>
            <w:r>
              <w:rPr>
                <w:rFonts w:ascii="Arial" w:hAnsi="Arial" w:eastAsia="Arial"/>
                <w:sz w:val="24"/>
              </w:rPr>
              <w:t>“</w:t>
            </w:r>
            <w:r>
              <w:rPr>
                <w:sz w:val="24"/>
              </w:rPr>
              <w:t>副本</w:t>
            </w:r>
            <w:r>
              <w:rPr>
                <w:rFonts w:ascii="Arial" w:hAnsi="Arial" w:eastAsia="Arial"/>
                <w:sz w:val="24"/>
              </w:rPr>
              <w:t>”</w:t>
            </w:r>
            <w:r>
              <w:rPr>
                <w:spacing w:val="-7"/>
                <w:sz w:val="24"/>
              </w:rPr>
              <w:t>等字样。磋商响应文件统一使</w:t>
            </w:r>
            <w:r>
              <w:rPr>
                <w:spacing w:val="-34"/>
                <w:sz w:val="24"/>
              </w:rPr>
              <w:t xml:space="preserve">用 </w:t>
            </w:r>
            <w:r>
              <w:rPr>
                <w:rFonts w:ascii="Arial" w:hAnsi="Arial" w:eastAsia="Arial"/>
                <w:sz w:val="24"/>
              </w:rPr>
              <w:t>A4</w:t>
            </w:r>
            <w:r>
              <w:rPr>
                <w:rFonts w:ascii="Arial" w:hAnsi="Arial" w:eastAsia="Arial"/>
                <w:spacing w:val="-6"/>
                <w:sz w:val="24"/>
              </w:rPr>
              <w:t xml:space="preserve"> </w:t>
            </w:r>
            <w:r>
              <w:rPr>
                <w:spacing w:val="-4"/>
                <w:sz w:val="24"/>
              </w:rPr>
              <w:t xml:space="preserve">幅面的纸张印制，必须胶装成册并编码且须加盖骑缝章， </w:t>
            </w:r>
            <w:r>
              <w:rPr>
                <w:sz w:val="24"/>
              </w:rPr>
              <w:t>书脊处注明项目名称、投标单位，其他方式装订的磋商响应文</w:t>
            </w:r>
          </w:p>
          <w:p>
            <w:pPr>
              <w:pStyle w:val="14"/>
              <w:spacing w:line="306" w:lineRule="exact"/>
              <w:ind w:left="105"/>
              <w:rPr>
                <w:sz w:val="24"/>
              </w:rPr>
            </w:pPr>
            <w:r>
              <w:rPr>
                <w:sz w:val="24"/>
              </w:rPr>
              <w:t>件一概按无效标处理。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792" w:type="dxa"/>
          </w:tcPr>
          <w:p>
            <w:pPr>
              <w:pStyle w:val="14"/>
              <w:rPr>
                <w:rFonts w:ascii="Times New Roman"/>
                <w:sz w:val="26"/>
              </w:rPr>
            </w:pPr>
          </w:p>
          <w:p>
            <w:pPr>
              <w:pStyle w:val="14"/>
              <w:rPr>
                <w:rFonts w:ascii="Times New Roman"/>
                <w:sz w:val="26"/>
              </w:rPr>
            </w:pPr>
          </w:p>
          <w:p>
            <w:pPr>
              <w:pStyle w:val="14"/>
              <w:spacing w:before="206"/>
              <w:ind w:right="246"/>
              <w:jc w:val="right"/>
              <w:rPr>
                <w:rFonts w:ascii="Arial"/>
                <w:sz w:val="24"/>
              </w:rPr>
            </w:pPr>
            <w:r>
              <w:rPr>
                <w:rFonts w:ascii="Arial"/>
                <w:w w:val="95"/>
                <w:sz w:val="24"/>
              </w:rPr>
              <w:t>15</w:t>
            </w:r>
          </w:p>
        </w:tc>
        <w:tc>
          <w:tcPr>
            <w:tcW w:w="1918" w:type="dxa"/>
          </w:tcPr>
          <w:p>
            <w:pPr>
              <w:pStyle w:val="14"/>
              <w:rPr>
                <w:rFonts w:ascii="Times New Roman"/>
                <w:sz w:val="24"/>
              </w:rPr>
            </w:pPr>
          </w:p>
          <w:p>
            <w:pPr>
              <w:pStyle w:val="14"/>
              <w:spacing w:before="189" w:line="364" w:lineRule="auto"/>
              <w:ind w:left="105" w:right="97"/>
              <w:rPr>
                <w:sz w:val="24"/>
              </w:rPr>
            </w:pPr>
            <w:r>
              <w:rPr>
                <w:sz w:val="24"/>
              </w:rPr>
              <w:t>磋商响应文件的密封</w:t>
            </w:r>
          </w:p>
        </w:tc>
        <w:tc>
          <w:tcPr>
            <w:tcW w:w="6733" w:type="dxa"/>
          </w:tcPr>
          <w:p>
            <w:pPr>
              <w:pStyle w:val="14"/>
              <w:spacing w:line="362" w:lineRule="auto"/>
              <w:ind w:left="105" w:right="93"/>
              <w:rPr>
                <w:rFonts w:ascii="Arial" w:hAnsi="Arial" w:eastAsia="Arial"/>
                <w:sz w:val="24"/>
              </w:rPr>
            </w:pPr>
            <w:r>
              <w:rPr>
                <w:sz w:val="24"/>
              </w:rPr>
              <w:t>磋商响应文件外层密封袋的标注：采购项目名称、采购项目编号、供应商名称、年月日、送达地址以及</w:t>
            </w:r>
            <w:r>
              <w:rPr>
                <w:rFonts w:ascii="Arial" w:hAnsi="Arial" w:eastAsia="Arial"/>
                <w:sz w:val="24"/>
              </w:rPr>
              <w:t>“</w:t>
            </w:r>
            <w:r>
              <w:rPr>
                <w:sz w:val="24"/>
              </w:rPr>
              <w:t xml:space="preserve">于 </w:t>
            </w:r>
            <w:r>
              <w:rPr>
                <w:rFonts w:ascii="Arial" w:hAnsi="Arial" w:eastAsia="Arial"/>
                <w:sz w:val="24"/>
              </w:rPr>
              <w:t>20**</w:t>
            </w:r>
            <w:r>
              <w:rPr>
                <w:sz w:val="24"/>
              </w:rPr>
              <w:t>年</w:t>
            </w:r>
            <w:r>
              <w:rPr>
                <w:rFonts w:ascii="Arial" w:hAnsi="Arial" w:eastAsia="Arial"/>
                <w:sz w:val="24"/>
              </w:rPr>
              <w:t>**</w:t>
            </w:r>
            <w:r>
              <w:rPr>
                <w:sz w:val="24"/>
              </w:rPr>
              <w:t>月</w:t>
            </w:r>
            <w:r>
              <w:rPr>
                <w:rFonts w:ascii="Arial" w:hAnsi="Arial" w:eastAsia="Arial"/>
                <w:sz w:val="24"/>
              </w:rPr>
              <w:t>**</w:t>
            </w:r>
            <w:r>
              <w:rPr>
                <w:sz w:val="24"/>
              </w:rPr>
              <w:t>日</w:t>
            </w:r>
            <w:r>
              <w:rPr>
                <w:rFonts w:ascii="Arial" w:hAnsi="Arial" w:eastAsia="Arial"/>
                <w:sz w:val="24"/>
              </w:rPr>
              <w:t>**</w:t>
            </w:r>
          </w:p>
          <w:p>
            <w:pPr>
              <w:pStyle w:val="14"/>
              <w:spacing w:before="4"/>
              <w:ind w:left="105"/>
              <w:rPr>
                <w:sz w:val="24"/>
              </w:rPr>
            </w:pPr>
            <w:r>
              <w:rPr>
                <w:sz w:val="24"/>
              </w:rPr>
              <w:t>（开标时间）之前不准启封</w:t>
            </w:r>
            <w:r>
              <w:rPr>
                <w:rFonts w:ascii="Arial" w:hAnsi="Arial" w:eastAsia="Arial"/>
                <w:sz w:val="24"/>
              </w:rPr>
              <w:t>”</w:t>
            </w:r>
            <w:r>
              <w:rPr>
                <w:sz w:val="24"/>
              </w:rPr>
              <w:t>字样；</w:t>
            </w:r>
          </w:p>
          <w:p>
            <w:pPr>
              <w:pStyle w:val="14"/>
              <w:spacing w:before="158"/>
              <w:ind w:left="105"/>
              <w:rPr>
                <w:rFonts w:ascii="Arial" w:hAnsi="Arial" w:eastAsia="Arial"/>
                <w:sz w:val="24"/>
              </w:rPr>
            </w:pPr>
            <w:r>
              <w:rPr>
                <w:sz w:val="24"/>
              </w:rPr>
              <w:t>磋商响应文件的正本与副本须分别密封，并标记</w:t>
            </w:r>
            <w:r>
              <w:rPr>
                <w:rFonts w:ascii="Arial" w:hAnsi="Arial" w:eastAsia="Arial"/>
                <w:sz w:val="24"/>
              </w:rPr>
              <w:t>“</w:t>
            </w:r>
            <w:r>
              <w:rPr>
                <w:sz w:val="24"/>
              </w:rPr>
              <w:t>正本</w:t>
            </w:r>
            <w:r>
              <w:rPr>
                <w:rFonts w:ascii="Arial" w:hAnsi="Arial" w:eastAsia="Arial"/>
                <w:sz w:val="24"/>
              </w:rPr>
              <w:t>”</w:t>
            </w:r>
            <w:r>
              <w:rPr>
                <w:sz w:val="24"/>
              </w:rPr>
              <w:t>或</w:t>
            </w:r>
            <w:r>
              <w:rPr>
                <w:rFonts w:ascii="Arial" w:hAnsi="Arial" w:eastAsia="Arial"/>
                <w:sz w:val="24"/>
              </w:rPr>
              <w:t>“</w:t>
            </w:r>
            <w:r>
              <w:rPr>
                <w:sz w:val="24"/>
              </w:rPr>
              <w:t>副本</w:t>
            </w:r>
            <w:r>
              <w:rPr>
                <w:rFonts w:ascii="Arial" w:hAnsi="Arial" w:eastAsia="Arial"/>
                <w:sz w:val="24"/>
              </w:rPr>
              <w:t>”</w:t>
            </w:r>
          </w:p>
        </w:tc>
      </w:tr>
    </w:tbl>
    <w:p>
      <w:pPr>
        <w:spacing w:after="0"/>
        <w:rPr>
          <w:rFonts w:ascii="Arial" w:hAnsi="Arial" w:eastAsia="Arial"/>
          <w:sz w:val="24"/>
        </w:rPr>
        <w:sectPr>
          <w:pgSz w:w="11910" w:h="16840"/>
          <w:pgMar w:top="1180" w:right="720" w:bottom="1120" w:left="740" w:header="711" w:footer="923" w:gutter="0"/>
        </w:sectPr>
      </w:pPr>
    </w:p>
    <w:p>
      <w:pPr>
        <w:pStyle w:val="2"/>
        <w:spacing w:before="9"/>
        <w:rPr>
          <w:rFonts w:ascii="Times New Roman"/>
          <w:sz w:val="5"/>
        </w:rPr>
      </w:pPr>
    </w:p>
    <w:tbl>
      <w:tblPr>
        <w:tblStyle w:val="9"/>
        <w:tblW w:w="0" w:type="auto"/>
        <w:tblInd w:w="5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2"/>
        <w:gridCol w:w="1918"/>
        <w:gridCol w:w="6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792" w:type="dxa"/>
          </w:tcPr>
          <w:p>
            <w:pPr>
              <w:pStyle w:val="14"/>
              <w:rPr>
                <w:rFonts w:ascii="Times New Roman"/>
                <w:sz w:val="22"/>
              </w:rPr>
            </w:pPr>
          </w:p>
        </w:tc>
        <w:tc>
          <w:tcPr>
            <w:tcW w:w="1918" w:type="dxa"/>
          </w:tcPr>
          <w:p>
            <w:pPr>
              <w:pStyle w:val="14"/>
              <w:rPr>
                <w:rFonts w:ascii="Times New Roman"/>
                <w:sz w:val="22"/>
              </w:rPr>
            </w:pPr>
          </w:p>
        </w:tc>
        <w:tc>
          <w:tcPr>
            <w:tcW w:w="6733" w:type="dxa"/>
          </w:tcPr>
          <w:p>
            <w:pPr>
              <w:pStyle w:val="14"/>
              <w:spacing w:line="307" w:lineRule="exact"/>
              <w:ind w:left="105"/>
              <w:rPr>
                <w:sz w:val="24"/>
              </w:rPr>
            </w:pPr>
            <w:r>
              <w:rPr>
                <w:sz w:val="24"/>
              </w:rPr>
              <w:t>字样加贴密封条，并在密封包装的封口处加盖投标单位公章和</w:t>
            </w:r>
          </w:p>
          <w:p>
            <w:pPr>
              <w:pStyle w:val="14"/>
              <w:spacing w:before="158"/>
              <w:ind w:left="105"/>
              <w:rPr>
                <w:sz w:val="24"/>
              </w:rPr>
            </w:pPr>
            <w:r>
              <w:rPr>
                <w:sz w:val="24"/>
              </w:rPr>
              <w:t>密封章（未按要求密封的磋商响应文件将不予接收）。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792" w:type="dxa"/>
          </w:tcPr>
          <w:p>
            <w:pPr>
              <w:pStyle w:val="14"/>
              <w:spacing w:before="5"/>
              <w:rPr>
                <w:rFonts w:ascii="Times New Roman"/>
                <w:sz w:val="29"/>
              </w:rPr>
            </w:pPr>
          </w:p>
          <w:p>
            <w:pPr>
              <w:pStyle w:val="14"/>
              <w:ind w:right="246"/>
              <w:jc w:val="right"/>
              <w:rPr>
                <w:rFonts w:ascii="Arial"/>
                <w:sz w:val="24"/>
              </w:rPr>
            </w:pPr>
            <w:r>
              <w:rPr>
                <w:rFonts w:ascii="Arial"/>
                <w:w w:val="95"/>
                <w:sz w:val="24"/>
              </w:rPr>
              <w:t>16</w:t>
            </w:r>
          </w:p>
        </w:tc>
        <w:tc>
          <w:tcPr>
            <w:tcW w:w="1918" w:type="dxa"/>
          </w:tcPr>
          <w:p>
            <w:pPr>
              <w:pStyle w:val="14"/>
              <w:spacing w:line="307" w:lineRule="exact"/>
              <w:ind w:left="105"/>
              <w:rPr>
                <w:sz w:val="24"/>
              </w:rPr>
            </w:pPr>
            <w:r>
              <w:rPr>
                <w:sz w:val="24"/>
              </w:rPr>
              <w:t>递交磋商响应文</w:t>
            </w:r>
          </w:p>
          <w:p>
            <w:pPr>
              <w:pStyle w:val="14"/>
              <w:spacing w:before="160"/>
              <w:ind w:left="105"/>
              <w:rPr>
                <w:sz w:val="24"/>
              </w:rPr>
            </w:pPr>
            <w:r>
              <w:rPr>
                <w:sz w:val="24"/>
              </w:rPr>
              <w:t>件方式</w:t>
            </w:r>
          </w:p>
        </w:tc>
        <w:tc>
          <w:tcPr>
            <w:tcW w:w="6733" w:type="dxa"/>
          </w:tcPr>
          <w:p>
            <w:pPr>
              <w:pStyle w:val="14"/>
              <w:spacing w:before="2"/>
              <w:rPr>
                <w:rFonts w:ascii="Times New Roman"/>
                <w:sz w:val="20"/>
              </w:rPr>
            </w:pPr>
          </w:p>
          <w:p>
            <w:pPr>
              <w:pStyle w:val="14"/>
              <w:ind w:left="105"/>
              <w:rPr>
                <w:sz w:val="24"/>
              </w:rPr>
            </w:pPr>
            <w:r>
              <w:rPr>
                <w:sz w:val="24"/>
              </w:rPr>
              <w:t>现场递交，不接受邮寄。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92" w:type="dxa"/>
          </w:tcPr>
          <w:p>
            <w:pPr>
              <w:pStyle w:val="14"/>
              <w:spacing w:before="105"/>
              <w:ind w:right="246"/>
              <w:jc w:val="right"/>
              <w:rPr>
                <w:rFonts w:ascii="Arial"/>
                <w:sz w:val="24"/>
              </w:rPr>
            </w:pPr>
            <w:r>
              <w:rPr>
                <w:rFonts w:ascii="Arial"/>
                <w:w w:val="95"/>
                <w:sz w:val="24"/>
              </w:rPr>
              <w:t>17</w:t>
            </w:r>
          </w:p>
        </w:tc>
        <w:tc>
          <w:tcPr>
            <w:tcW w:w="1918" w:type="dxa"/>
          </w:tcPr>
          <w:p>
            <w:pPr>
              <w:pStyle w:val="14"/>
              <w:spacing w:line="307" w:lineRule="exact"/>
              <w:ind w:left="105"/>
              <w:rPr>
                <w:sz w:val="24"/>
              </w:rPr>
            </w:pPr>
            <w:r>
              <w:rPr>
                <w:sz w:val="24"/>
              </w:rPr>
              <w:t>投标截止时间</w:t>
            </w:r>
          </w:p>
        </w:tc>
        <w:tc>
          <w:tcPr>
            <w:tcW w:w="6733" w:type="dxa"/>
          </w:tcPr>
          <w:p>
            <w:pPr>
              <w:pStyle w:val="14"/>
              <w:spacing w:line="307" w:lineRule="exact"/>
              <w:ind w:left="105"/>
              <w:rPr>
                <w:rFonts w:hint="eastAsia" w:eastAsia="宋体"/>
                <w:sz w:val="24"/>
                <w:lang w:eastAsia="zh-CN"/>
              </w:rPr>
            </w:pPr>
            <w:r>
              <w:rPr>
                <w:rFonts w:hint="eastAsia" w:ascii="Arial"/>
                <w:sz w:val="24"/>
                <w:lang w:eastAsia="zh-CN"/>
              </w:rPr>
              <w:t>2020 年 09 月 17日 下午 14：30（北京时间）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92" w:type="dxa"/>
          </w:tcPr>
          <w:p>
            <w:pPr>
              <w:pStyle w:val="14"/>
              <w:spacing w:before="105"/>
              <w:ind w:right="246"/>
              <w:jc w:val="right"/>
              <w:rPr>
                <w:rFonts w:ascii="Arial"/>
                <w:sz w:val="24"/>
              </w:rPr>
            </w:pPr>
            <w:r>
              <w:rPr>
                <w:rFonts w:ascii="Arial"/>
                <w:w w:val="95"/>
                <w:sz w:val="24"/>
              </w:rPr>
              <w:t>18</w:t>
            </w:r>
          </w:p>
        </w:tc>
        <w:tc>
          <w:tcPr>
            <w:tcW w:w="1918" w:type="dxa"/>
          </w:tcPr>
          <w:p>
            <w:pPr>
              <w:pStyle w:val="14"/>
              <w:spacing w:line="307" w:lineRule="exact"/>
              <w:ind w:left="105"/>
              <w:rPr>
                <w:sz w:val="24"/>
              </w:rPr>
            </w:pPr>
            <w:r>
              <w:rPr>
                <w:sz w:val="24"/>
              </w:rPr>
              <w:t>开标时间</w:t>
            </w:r>
          </w:p>
        </w:tc>
        <w:tc>
          <w:tcPr>
            <w:tcW w:w="6733" w:type="dxa"/>
          </w:tcPr>
          <w:p>
            <w:pPr>
              <w:pStyle w:val="14"/>
              <w:spacing w:line="307" w:lineRule="exact"/>
              <w:ind w:left="105"/>
              <w:rPr>
                <w:rFonts w:hint="eastAsia" w:eastAsia="宋体"/>
                <w:sz w:val="24"/>
                <w:lang w:eastAsia="zh-CN"/>
              </w:rPr>
            </w:pPr>
            <w:r>
              <w:rPr>
                <w:rFonts w:hint="eastAsia" w:ascii="Arial"/>
                <w:sz w:val="24"/>
                <w:lang w:eastAsia="zh-CN"/>
              </w:rPr>
              <w:t>2020 年 09 月 17日 下午 14：30（北京时间）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792" w:type="dxa"/>
          </w:tcPr>
          <w:p>
            <w:pPr>
              <w:pStyle w:val="14"/>
              <w:spacing w:before="137"/>
              <w:ind w:right="246"/>
              <w:jc w:val="right"/>
              <w:rPr>
                <w:rFonts w:ascii="Arial"/>
                <w:sz w:val="24"/>
              </w:rPr>
            </w:pPr>
            <w:r>
              <w:rPr>
                <w:rFonts w:ascii="Arial"/>
                <w:w w:val="95"/>
                <w:sz w:val="24"/>
              </w:rPr>
              <w:t>19</w:t>
            </w:r>
          </w:p>
        </w:tc>
        <w:tc>
          <w:tcPr>
            <w:tcW w:w="1918" w:type="dxa"/>
          </w:tcPr>
          <w:p>
            <w:pPr>
              <w:pStyle w:val="14"/>
              <w:spacing w:before="33"/>
              <w:ind w:left="105"/>
              <w:rPr>
                <w:sz w:val="24"/>
              </w:rPr>
            </w:pPr>
            <w:r>
              <w:rPr>
                <w:sz w:val="24"/>
              </w:rPr>
              <w:t>开标地点</w:t>
            </w:r>
          </w:p>
        </w:tc>
        <w:tc>
          <w:tcPr>
            <w:tcW w:w="6733" w:type="dxa"/>
          </w:tcPr>
          <w:p>
            <w:pPr>
              <w:pStyle w:val="14"/>
              <w:spacing w:before="33"/>
              <w:ind w:left="105"/>
              <w:rPr>
                <w:rFonts w:hint="eastAsia" w:eastAsia="宋体"/>
                <w:sz w:val="24"/>
                <w:lang w:eastAsia="zh-CN"/>
              </w:rPr>
            </w:pPr>
            <w:r>
              <w:rPr>
                <w:rFonts w:hint="eastAsia"/>
                <w:sz w:val="24"/>
                <w:lang w:eastAsia="zh-CN"/>
              </w:rPr>
              <w:t>鸿利项目管理有限公司（西宁市城东区建国南路新千广场19号楼12层1205室）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792" w:type="dxa"/>
          </w:tcPr>
          <w:p>
            <w:pPr>
              <w:pStyle w:val="14"/>
              <w:rPr>
                <w:rFonts w:ascii="Times New Roman"/>
                <w:sz w:val="26"/>
              </w:rPr>
            </w:pPr>
          </w:p>
          <w:p>
            <w:pPr>
              <w:pStyle w:val="14"/>
              <w:spacing w:before="191"/>
              <w:ind w:right="246"/>
              <w:jc w:val="right"/>
              <w:rPr>
                <w:rFonts w:ascii="Arial"/>
                <w:sz w:val="24"/>
              </w:rPr>
            </w:pPr>
            <w:r>
              <w:rPr>
                <w:rFonts w:ascii="Arial"/>
                <w:w w:val="95"/>
                <w:sz w:val="24"/>
              </w:rPr>
              <w:t>20</w:t>
            </w:r>
          </w:p>
        </w:tc>
        <w:tc>
          <w:tcPr>
            <w:tcW w:w="1918" w:type="dxa"/>
          </w:tcPr>
          <w:p>
            <w:pPr>
              <w:pStyle w:val="14"/>
              <w:rPr>
                <w:rFonts w:ascii="Times New Roman"/>
                <w:sz w:val="24"/>
              </w:rPr>
            </w:pPr>
          </w:p>
          <w:p>
            <w:pPr>
              <w:pStyle w:val="14"/>
              <w:spacing w:before="189"/>
              <w:ind w:left="105"/>
              <w:rPr>
                <w:sz w:val="24"/>
              </w:rPr>
            </w:pPr>
            <w:r>
              <w:rPr>
                <w:sz w:val="24"/>
              </w:rPr>
              <w:t>答疑澄清方式</w:t>
            </w:r>
          </w:p>
        </w:tc>
        <w:tc>
          <w:tcPr>
            <w:tcW w:w="6733" w:type="dxa"/>
          </w:tcPr>
          <w:p>
            <w:pPr>
              <w:pStyle w:val="14"/>
              <w:spacing w:line="362" w:lineRule="auto"/>
              <w:ind w:left="105" w:right="130"/>
              <w:rPr>
                <w:sz w:val="24"/>
              </w:rPr>
            </w:pPr>
            <w:r>
              <w:rPr>
                <w:sz w:val="24"/>
              </w:rPr>
              <w:t>采用现场答疑。供应商须提供准确的联系方式（手机和固定电话），应在规定的时间内到达评审现场进行答疑澄清，如在规</w:t>
            </w:r>
          </w:p>
          <w:p>
            <w:pPr>
              <w:pStyle w:val="14"/>
              <w:spacing w:before="5"/>
              <w:ind w:left="105"/>
              <w:rPr>
                <w:sz w:val="24"/>
              </w:rPr>
            </w:pPr>
            <w:r>
              <w:rPr>
                <w:sz w:val="24"/>
              </w:rPr>
              <w:t>定的时间内联系无果或未按时到达的，视同放弃答疑。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8" w:hRule="atLeast"/>
        </w:trPr>
        <w:tc>
          <w:tcPr>
            <w:tcW w:w="792" w:type="dxa"/>
          </w:tcPr>
          <w:p>
            <w:pPr>
              <w:pStyle w:val="14"/>
              <w:rPr>
                <w:rFonts w:ascii="Times New Roman"/>
                <w:sz w:val="26"/>
              </w:rPr>
            </w:pPr>
          </w:p>
          <w:p>
            <w:pPr>
              <w:pStyle w:val="14"/>
              <w:rPr>
                <w:rFonts w:ascii="Times New Roman"/>
                <w:sz w:val="26"/>
              </w:rPr>
            </w:pPr>
          </w:p>
          <w:p>
            <w:pPr>
              <w:pStyle w:val="14"/>
              <w:rPr>
                <w:rFonts w:ascii="Times New Roman"/>
                <w:sz w:val="26"/>
              </w:rPr>
            </w:pPr>
          </w:p>
          <w:p>
            <w:pPr>
              <w:pStyle w:val="14"/>
              <w:rPr>
                <w:rFonts w:ascii="Times New Roman"/>
                <w:sz w:val="26"/>
              </w:rPr>
            </w:pPr>
          </w:p>
          <w:p>
            <w:pPr>
              <w:pStyle w:val="14"/>
              <w:spacing w:before="227"/>
              <w:ind w:right="246"/>
              <w:jc w:val="right"/>
              <w:rPr>
                <w:rFonts w:ascii="Arial"/>
                <w:sz w:val="24"/>
              </w:rPr>
            </w:pPr>
            <w:r>
              <w:rPr>
                <w:rFonts w:ascii="Arial"/>
                <w:w w:val="95"/>
                <w:sz w:val="24"/>
              </w:rPr>
              <w:t>21</w:t>
            </w:r>
          </w:p>
        </w:tc>
        <w:tc>
          <w:tcPr>
            <w:tcW w:w="1918"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7"/>
              <w:rPr>
                <w:rFonts w:ascii="Times New Roman"/>
                <w:sz w:val="25"/>
              </w:rPr>
            </w:pPr>
          </w:p>
          <w:p>
            <w:pPr>
              <w:pStyle w:val="14"/>
              <w:ind w:left="105"/>
              <w:rPr>
                <w:sz w:val="24"/>
              </w:rPr>
            </w:pPr>
            <w:r>
              <w:rPr>
                <w:sz w:val="24"/>
              </w:rPr>
              <w:t>代理服务费收取</w:t>
            </w:r>
          </w:p>
        </w:tc>
        <w:tc>
          <w:tcPr>
            <w:tcW w:w="6733" w:type="dxa"/>
          </w:tcPr>
          <w:p>
            <w:pPr>
              <w:pStyle w:val="14"/>
              <w:spacing w:line="307" w:lineRule="exact"/>
              <w:ind w:left="105"/>
              <w:rPr>
                <w:sz w:val="24"/>
              </w:rPr>
            </w:pPr>
            <w:r>
              <w:rPr>
                <w:sz w:val="24"/>
              </w:rPr>
              <w:t>收取对象：成交供应商。</w:t>
            </w:r>
          </w:p>
          <w:p>
            <w:pPr>
              <w:pStyle w:val="14"/>
              <w:spacing w:before="158" w:line="364" w:lineRule="auto"/>
              <w:ind w:left="105" w:right="94"/>
              <w:jc w:val="both"/>
              <w:rPr>
                <w:sz w:val="24"/>
              </w:rPr>
            </w:pPr>
            <w:r>
              <w:rPr>
                <w:sz w:val="24"/>
              </w:rPr>
              <w:t>收费标准：以中标金额作为计算基数参照《磋商代理服务收费管理暂行办法》（计价格</w:t>
            </w:r>
            <w:r>
              <w:rPr>
                <w:rFonts w:ascii="Arial" w:eastAsia="Arial"/>
                <w:sz w:val="24"/>
              </w:rPr>
              <w:t>[2002]1980</w:t>
            </w:r>
            <w:r>
              <w:rPr>
                <w:sz w:val="24"/>
              </w:rPr>
              <w:t>号）</w:t>
            </w:r>
            <w:r>
              <w:rPr>
                <w:spacing w:val="-2"/>
                <w:sz w:val="24"/>
              </w:rPr>
              <w:t>和《国家发展改革委办公厅关于磋商代理服务收费有关问题的通知》（发改办价格</w:t>
            </w:r>
            <w:r>
              <w:rPr>
                <w:rFonts w:ascii="Arial" w:eastAsia="Arial"/>
                <w:spacing w:val="-2"/>
                <w:sz w:val="24"/>
              </w:rPr>
              <w:t>[2003]857</w:t>
            </w:r>
            <w:r>
              <w:rPr>
                <w:spacing w:val="-2"/>
                <w:sz w:val="24"/>
              </w:rPr>
              <w:t>号</w:t>
            </w:r>
            <w:r>
              <w:rPr>
                <w:spacing w:val="-36"/>
                <w:sz w:val="24"/>
              </w:rPr>
              <w:t>）</w:t>
            </w:r>
            <w:r>
              <w:rPr>
                <w:spacing w:val="-7"/>
                <w:sz w:val="24"/>
              </w:rPr>
              <w:t>的规定，在合同签订前由中标人向采购代理机构</w:t>
            </w:r>
            <w:r>
              <w:rPr>
                <w:sz w:val="24"/>
              </w:rPr>
              <w:t>交纳。如供应商报名参加本项目投标，则视同完全响应此项要</w:t>
            </w:r>
          </w:p>
          <w:p>
            <w:pPr>
              <w:pStyle w:val="14"/>
              <w:spacing w:line="306" w:lineRule="exact"/>
              <w:ind w:left="105"/>
              <w:rPr>
                <w:sz w:val="24"/>
              </w:rPr>
            </w:pPr>
            <w:r>
              <w:rPr>
                <w:sz w:val="24"/>
              </w:rPr>
              <w:t>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92" w:type="dxa"/>
          </w:tcPr>
          <w:p>
            <w:pPr>
              <w:pStyle w:val="14"/>
              <w:spacing w:before="24"/>
              <w:ind w:right="246"/>
              <w:jc w:val="right"/>
              <w:rPr>
                <w:rFonts w:ascii="Arial"/>
                <w:sz w:val="24"/>
              </w:rPr>
            </w:pPr>
            <w:r>
              <w:rPr>
                <w:rFonts w:ascii="Arial"/>
                <w:w w:val="95"/>
                <w:sz w:val="24"/>
              </w:rPr>
              <w:t>22</w:t>
            </w:r>
          </w:p>
        </w:tc>
        <w:tc>
          <w:tcPr>
            <w:tcW w:w="1918" w:type="dxa"/>
          </w:tcPr>
          <w:p>
            <w:pPr>
              <w:pStyle w:val="14"/>
              <w:ind w:left="105"/>
              <w:rPr>
                <w:sz w:val="24"/>
              </w:rPr>
            </w:pPr>
            <w:r>
              <w:rPr>
                <w:sz w:val="24"/>
              </w:rPr>
              <w:t>合同签订有效期</w:t>
            </w:r>
          </w:p>
        </w:tc>
        <w:tc>
          <w:tcPr>
            <w:tcW w:w="6733" w:type="dxa"/>
          </w:tcPr>
          <w:p>
            <w:pPr>
              <w:pStyle w:val="14"/>
              <w:ind w:left="105"/>
              <w:rPr>
                <w:sz w:val="24"/>
              </w:rPr>
            </w:pPr>
            <w:r>
              <w:rPr>
                <w:sz w:val="24"/>
              </w:rPr>
              <w:t>自中标通知书发出之日起</w:t>
            </w:r>
            <w:r>
              <w:rPr>
                <w:rFonts w:ascii="Arial" w:eastAsia="Arial"/>
                <w:sz w:val="24"/>
              </w:rPr>
              <w:t>30</w:t>
            </w:r>
            <w:r>
              <w:rPr>
                <w:sz w:val="24"/>
              </w:rPr>
              <w:t>日内与采购人签订供货合同。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792" w:type="dxa"/>
          </w:tcPr>
          <w:p>
            <w:pPr>
              <w:pStyle w:val="14"/>
              <w:spacing w:before="6"/>
              <w:rPr>
                <w:rFonts w:ascii="Times New Roman"/>
                <w:sz w:val="22"/>
              </w:rPr>
            </w:pPr>
          </w:p>
          <w:p>
            <w:pPr>
              <w:pStyle w:val="14"/>
              <w:ind w:right="246"/>
              <w:jc w:val="right"/>
              <w:rPr>
                <w:rFonts w:ascii="Arial"/>
                <w:sz w:val="24"/>
              </w:rPr>
            </w:pPr>
            <w:r>
              <w:rPr>
                <w:rFonts w:ascii="Arial"/>
                <w:w w:val="95"/>
                <w:sz w:val="24"/>
              </w:rPr>
              <w:t>23</w:t>
            </w:r>
          </w:p>
        </w:tc>
        <w:tc>
          <w:tcPr>
            <w:tcW w:w="1918" w:type="dxa"/>
          </w:tcPr>
          <w:p>
            <w:pPr>
              <w:pStyle w:val="14"/>
              <w:spacing w:before="2"/>
              <w:ind w:left="105"/>
              <w:rPr>
                <w:sz w:val="24"/>
              </w:rPr>
            </w:pPr>
            <w:r>
              <w:rPr>
                <w:sz w:val="24"/>
              </w:rPr>
              <w:t>政府采购合同备</w:t>
            </w:r>
          </w:p>
          <w:p>
            <w:pPr>
              <w:pStyle w:val="14"/>
              <w:spacing w:before="158"/>
              <w:ind w:left="105"/>
              <w:rPr>
                <w:sz w:val="24"/>
              </w:rPr>
            </w:pPr>
            <w:r>
              <w:rPr>
                <w:sz w:val="24"/>
              </w:rPr>
              <w:t>案</w:t>
            </w:r>
          </w:p>
        </w:tc>
        <w:tc>
          <w:tcPr>
            <w:tcW w:w="6733" w:type="dxa"/>
          </w:tcPr>
          <w:p>
            <w:pPr>
              <w:pStyle w:val="14"/>
              <w:spacing w:before="2"/>
              <w:ind w:left="105"/>
              <w:rPr>
                <w:sz w:val="24"/>
              </w:rPr>
            </w:pPr>
            <w:r>
              <w:rPr>
                <w:sz w:val="24"/>
              </w:rPr>
              <w:t>采购合同全数返回采购代理机构鉴</w:t>
            </w:r>
            <w:r>
              <w:rPr>
                <w:rFonts w:hint="eastAsia"/>
                <w:sz w:val="24"/>
                <w:lang w:eastAsia="zh-CN"/>
              </w:rPr>
              <w:t>字、</w:t>
            </w:r>
            <w:r>
              <w:rPr>
                <w:sz w:val="24"/>
              </w:rPr>
              <w:t>盖章。</w:t>
            </w:r>
          </w:p>
          <w:p>
            <w:pPr>
              <w:pStyle w:val="14"/>
              <w:spacing w:before="158"/>
              <w:ind w:left="105"/>
              <w:rPr>
                <w:sz w:val="24"/>
              </w:rPr>
            </w:pPr>
            <w:r>
              <w:rPr>
                <w:sz w:val="24"/>
              </w:rPr>
              <w:t>采购代理机构留存</w:t>
            </w:r>
            <w:r>
              <w:rPr>
                <w:rFonts w:hint="eastAsia"/>
                <w:sz w:val="24"/>
                <w:lang w:eastAsia="zh-CN"/>
              </w:rPr>
              <w:t>壹</w:t>
            </w:r>
            <w:r>
              <w:rPr>
                <w:sz w:val="24"/>
              </w:rPr>
              <w:t>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92" w:type="dxa"/>
          </w:tcPr>
          <w:p>
            <w:pPr>
              <w:pStyle w:val="14"/>
              <w:spacing w:before="24"/>
              <w:ind w:right="246"/>
              <w:jc w:val="right"/>
              <w:rPr>
                <w:rFonts w:ascii="Arial"/>
                <w:sz w:val="24"/>
              </w:rPr>
            </w:pPr>
            <w:r>
              <w:rPr>
                <w:rFonts w:ascii="Arial"/>
                <w:w w:val="95"/>
                <w:sz w:val="24"/>
              </w:rPr>
              <w:t>24</w:t>
            </w:r>
          </w:p>
        </w:tc>
        <w:tc>
          <w:tcPr>
            <w:tcW w:w="1918" w:type="dxa"/>
          </w:tcPr>
          <w:p>
            <w:pPr>
              <w:pStyle w:val="14"/>
              <w:spacing w:line="307" w:lineRule="exact"/>
              <w:ind w:left="105"/>
              <w:rPr>
                <w:sz w:val="24"/>
              </w:rPr>
            </w:pPr>
            <w:r>
              <w:rPr>
                <w:sz w:val="24"/>
              </w:rPr>
              <w:t>磋商有效期</w:t>
            </w:r>
          </w:p>
        </w:tc>
        <w:tc>
          <w:tcPr>
            <w:tcW w:w="6733" w:type="dxa"/>
          </w:tcPr>
          <w:p>
            <w:pPr>
              <w:pStyle w:val="14"/>
              <w:spacing w:line="307" w:lineRule="exact"/>
              <w:ind w:left="105"/>
              <w:rPr>
                <w:sz w:val="24"/>
              </w:rPr>
            </w:pPr>
            <w:r>
              <w:rPr>
                <w:rFonts w:hint="eastAsia"/>
                <w:sz w:val="24"/>
                <w:lang w:eastAsia="zh-CN"/>
              </w:rPr>
              <w:t>本次投标有效期为开标之日起60个工作日</w:t>
            </w:r>
            <w:r>
              <w:rPr>
                <w:sz w:val="24"/>
              </w:rPr>
              <w:t>。</w:t>
            </w:r>
          </w:p>
        </w:tc>
      </w:tr>
    </w:tbl>
    <w:p>
      <w:pPr>
        <w:spacing w:after="0" w:line="307" w:lineRule="exact"/>
        <w:rPr>
          <w:sz w:val="24"/>
        </w:rPr>
        <w:sectPr>
          <w:pgSz w:w="11910" w:h="16840"/>
          <w:pgMar w:top="1180" w:right="720" w:bottom="1120" w:left="740" w:header="711" w:footer="923" w:gutter="0"/>
        </w:sectPr>
      </w:pPr>
    </w:p>
    <w:p>
      <w:pPr>
        <w:pStyle w:val="3"/>
        <w:ind w:right="410"/>
      </w:pPr>
      <w:bookmarkStart w:id="2" w:name="_TOC_250066"/>
      <w:bookmarkEnd w:id="2"/>
      <w:r>
        <w:t>第三部分投标人须知</w:t>
      </w:r>
    </w:p>
    <w:p>
      <w:pPr>
        <w:pStyle w:val="2"/>
        <w:spacing w:before="8"/>
        <w:rPr>
          <w:sz w:val="13"/>
        </w:rPr>
      </w:pPr>
    </w:p>
    <w:p>
      <w:pPr>
        <w:spacing w:before="61"/>
        <w:ind w:left="396" w:right="412" w:firstLine="0"/>
        <w:jc w:val="center"/>
        <w:rPr>
          <w:b/>
          <w:sz w:val="28"/>
        </w:rPr>
      </w:pPr>
      <w:bookmarkStart w:id="3" w:name="_TOC_250065"/>
      <w:bookmarkEnd w:id="3"/>
      <w:r>
        <w:rPr>
          <w:b/>
          <w:sz w:val="28"/>
        </w:rPr>
        <w:t>一、说明</w:t>
      </w:r>
    </w:p>
    <w:p>
      <w:pPr>
        <w:pStyle w:val="13"/>
        <w:numPr>
          <w:ilvl w:val="0"/>
          <w:numId w:val="8"/>
        </w:numPr>
        <w:tabs>
          <w:tab w:val="left" w:pos="711"/>
        </w:tabs>
        <w:spacing w:before="188" w:after="0" w:line="240" w:lineRule="auto"/>
        <w:ind w:left="710" w:right="0" w:hanging="203"/>
        <w:jc w:val="left"/>
        <w:rPr>
          <w:b/>
          <w:sz w:val="24"/>
        </w:rPr>
      </w:pPr>
      <w:bookmarkStart w:id="4" w:name="_TOC_250064"/>
      <w:bookmarkEnd w:id="4"/>
      <w:r>
        <w:rPr>
          <w:b/>
          <w:sz w:val="24"/>
        </w:rPr>
        <w:t>适用范围</w:t>
      </w:r>
    </w:p>
    <w:p>
      <w:pPr>
        <w:pStyle w:val="2"/>
        <w:spacing w:before="161"/>
        <w:ind w:left="988"/>
      </w:pPr>
      <w:r>
        <w:t>本次磋商依据采购人的采购计划，仅适用于本采购文件中所述的项目。</w:t>
      </w:r>
    </w:p>
    <w:p>
      <w:pPr>
        <w:pStyle w:val="13"/>
        <w:numPr>
          <w:ilvl w:val="0"/>
          <w:numId w:val="8"/>
        </w:numPr>
        <w:tabs>
          <w:tab w:val="left" w:pos="711"/>
        </w:tabs>
        <w:spacing w:before="158" w:after="0" w:line="240" w:lineRule="auto"/>
        <w:ind w:left="710" w:right="0" w:hanging="203"/>
        <w:jc w:val="left"/>
        <w:rPr>
          <w:b/>
          <w:sz w:val="24"/>
        </w:rPr>
      </w:pPr>
      <w:bookmarkStart w:id="5" w:name="_TOC_250063"/>
      <w:bookmarkEnd w:id="5"/>
      <w:r>
        <w:rPr>
          <w:b/>
          <w:sz w:val="24"/>
        </w:rPr>
        <w:t>采购方式、合格的投标人</w:t>
      </w:r>
    </w:p>
    <w:p>
      <w:pPr>
        <w:pStyle w:val="13"/>
        <w:numPr>
          <w:ilvl w:val="1"/>
          <w:numId w:val="8"/>
        </w:numPr>
        <w:tabs>
          <w:tab w:val="left" w:pos="1325"/>
        </w:tabs>
        <w:spacing w:before="160" w:after="0" w:line="240" w:lineRule="auto"/>
        <w:ind w:left="1324" w:right="0" w:hanging="337"/>
        <w:jc w:val="left"/>
        <w:rPr>
          <w:sz w:val="24"/>
        </w:rPr>
      </w:pPr>
      <w:r>
        <w:rPr>
          <w:spacing w:val="-1"/>
          <w:sz w:val="24"/>
        </w:rPr>
        <w:t>本次磋商采取竞争性磋商方式。</w:t>
      </w:r>
    </w:p>
    <w:p>
      <w:pPr>
        <w:pStyle w:val="13"/>
        <w:numPr>
          <w:ilvl w:val="1"/>
          <w:numId w:val="8"/>
        </w:numPr>
        <w:tabs>
          <w:tab w:val="left" w:pos="1325"/>
        </w:tabs>
        <w:spacing w:before="158" w:after="0" w:line="240" w:lineRule="auto"/>
        <w:ind w:left="1324" w:right="0" w:hanging="337"/>
        <w:jc w:val="left"/>
        <w:rPr>
          <w:sz w:val="24"/>
        </w:rPr>
      </w:pPr>
      <w:r>
        <w:rPr>
          <w:sz w:val="24"/>
        </w:rPr>
        <w:t>合格的供应商：</w:t>
      </w:r>
    </w:p>
    <w:p>
      <w:pPr>
        <w:pStyle w:val="13"/>
        <w:numPr>
          <w:ilvl w:val="0"/>
          <w:numId w:val="9"/>
        </w:numPr>
        <w:tabs>
          <w:tab w:val="left" w:pos="1604"/>
        </w:tabs>
        <w:spacing w:before="161" w:after="0" w:line="364" w:lineRule="auto"/>
        <w:ind w:left="508" w:right="522" w:firstLine="480"/>
        <w:jc w:val="left"/>
        <w:rPr>
          <w:sz w:val="24"/>
        </w:rPr>
      </w:pPr>
      <w:r>
        <w:rPr>
          <w:spacing w:val="-8"/>
          <w:sz w:val="24"/>
        </w:rPr>
        <w:t>符合《中华人民共和国政府采购法》第</w:t>
      </w:r>
      <w:r>
        <w:rPr>
          <w:rFonts w:ascii="Arial" w:eastAsia="Arial"/>
          <w:sz w:val="24"/>
        </w:rPr>
        <w:t>22</w:t>
      </w:r>
      <w:r>
        <w:rPr>
          <w:spacing w:val="-6"/>
          <w:sz w:val="24"/>
        </w:rPr>
        <w:t>条及《中华人民共和国政府采购法实</w:t>
      </w:r>
      <w:r>
        <w:rPr>
          <w:spacing w:val="-3"/>
          <w:sz w:val="24"/>
        </w:rPr>
        <w:t>施条例》第</w:t>
      </w:r>
      <w:r>
        <w:rPr>
          <w:rFonts w:ascii="Arial" w:eastAsia="Arial"/>
          <w:sz w:val="24"/>
        </w:rPr>
        <w:t>17</w:t>
      </w:r>
      <w:r>
        <w:rPr>
          <w:spacing w:val="-1"/>
          <w:sz w:val="24"/>
        </w:rPr>
        <w:t>条之规定，并提供下列材料：</w:t>
      </w:r>
    </w:p>
    <w:p>
      <w:pPr>
        <w:pStyle w:val="13"/>
        <w:numPr>
          <w:ilvl w:val="0"/>
          <w:numId w:val="9"/>
        </w:numPr>
        <w:tabs>
          <w:tab w:val="left" w:pos="1604"/>
        </w:tabs>
        <w:spacing w:before="0" w:after="0" w:line="364" w:lineRule="auto"/>
        <w:ind w:left="508" w:right="523" w:firstLine="480"/>
        <w:jc w:val="left"/>
        <w:rPr>
          <w:sz w:val="24"/>
        </w:rPr>
      </w:pPr>
      <w:r>
        <w:rPr>
          <w:spacing w:val="-4"/>
          <w:sz w:val="24"/>
        </w:rPr>
        <w:t>单位负责人为同一人或者存在直接控股、管理关系的不同供应商，不得参加同一合同项下的政府采购活动。否则，皆取消投标资格；</w:t>
      </w:r>
    </w:p>
    <w:p>
      <w:pPr>
        <w:pStyle w:val="13"/>
        <w:numPr>
          <w:ilvl w:val="0"/>
          <w:numId w:val="9"/>
        </w:numPr>
        <w:tabs>
          <w:tab w:val="left" w:pos="1604"/>
        </w:tabs>
        <w:spacing w:before="0" w:after="0" w:line="306" w:lineRule="exact"/>
        <w:ind w:left="1603" w:right="0" w:hanging="616"/>
        <w:jc w:val="left"/>
        <w:rPr>
          <w:sz w:val="24"/>
        </w:rPr>
      </w:pPr>
      <w:r>
        <w:rPr>
          <w:sz w:val="24"/>
        </w:rPr>
        <w:t>本项目不接受联合体方式进行投标。</w:t>
      </w:r>
    </w:p>
    <w:p>
      <w:pPr>
        <w:pStyle w:val="13"/>
        <w:numPr>
          <w:ilvl w:val="0"/>
          <w:numId w:val="8"/>
        </w:numPr>
        <w:tabs>
          <w:tab w:val="left" w:pos="711"/>
        </w:tabs>
        <w:spacing w:before="160" w:after="0" w:line="240" w:lineRule="auto"/>
        <w:ind w:left="710" w:right="0" w:hanging="203"/>
        <w:jc w:val="left"/>
        <w:rPr>
          <w:b/>
          <w:sz w:val="24"/>
        </w:rPr>
      </w:pPr>
      <w:bookmarkStart w:id="6" w:name="_TOC_250062"/>
      <w:bookmarkEnd w:id="6"/>
      <w:r>
        <w:rPr>
          <w:b/>
          <w:sz w:val="24"/>
        </w:rPr>
        <w:t>磋商费用</w:t>
      </w:r>
    </w:p>
    <w:p>
      <w:pPr>
        <w:pStyle w:val="2"/>
        <w:spacing w:before="158" w:line="364" w:lineRule="auto"/>
        <w:ind w:left="508" w:right="526" w:firstLine="480"/>
      </w:pPr>
      <w:r>
        <w:t>供应商应自愿承担与参加本次磋商有关的费用。采购代理机构对供应商发生的费用不承担任何责任。</w:t>
      </w:r>
    </w:p>
    <w:p>
      <w:pPr>
        <w:spacing w:before="0" w:line="356" w:lineRule="exact"/>
        <w:ind w:left="396" w:right="412" w:firstLine="0"/>
        <w:jc w:val="center"/>
        <w:rPr>
          <w:b/>
          <w:sz w:val="28"/>
        </w:rPr>
      </w:pPr>
      <w:bookmarkStart w:id="7" w:name="_TOC_250061"/>
      <w:bookmarkEnd w:id="7"/>
      <w:r>
        <w:rPr>
          <w:b/>
          <w:sz w:val="28"/>
        </w:rPr>
        <w:t>二、磋商文件说明</w:t>
      </w:r>
    </w:p>
    <w:p>
      <w:pPr>
        <w:pStyle w:val="13"/>
        <w:numPr>
          <w:ilvl w:val="0"/>
          <w:numId w:val="8"/>
        </w:numPr>
        <w:tabs>
          <w:tab w:val="left" w:pos="711"/>
        </w:tabs>
        <w:spacing w:before="187" w:after="0" w:line="240" w:lineRule="auto"/>
        <w:ind w:left="710" w:right="0" w:hanging="203"/>
        <w:jc w:val="left"/>
        <w:rPr>
          <w:b/>
          <w:sz w:val="24"/>
        </w:rPr>
      </w:pPr>
      <w:bookmarkStart w:id="8" w:name="_TOC_250060"/>
      <w:bookmarkEnd w:id="8"/>
      <w:r>
        <w:rPr>
          <w:b/>
          <w:sz w:val="24"/>
        </w:rPr>
        <w:t>磋商文件的构成</w:t>
      </w:r>
    </w:p>
    <w:p>
      <w:pPr>
        <w:pStyle w:val="13"/>
        <w:numPr>
          <w:ilvl w:val="1"/>
          <w:numId w:val="8"/>
        </w:numPr>
        <w:tabs>
          <w:tab w:val="left" w:pos="1325"/>
        </w:tabs>
        <w:spacing w:before="161" w:after="0" w:line="240" w:lineRule="auto"/>
        <w:ind w:left="1324" w:right="0" w:hanging="337"/>
        <w:jc w:val="left"/>
        <w:rPr>
          <w:sz w:val="24"/>
        </w:rPr>
      </w:pPr>
      <w:r>
        <w:rPr>
          <w:sz w:val="24"/>
        </w:rPr>
        <w:t>磋商文件包括：</w:t>
      </w:r>
    </w:p>
    <w:p>
      <w:pPr>
        <w:pStyle w:val="13"/>
        <w:numPr>
          <w:ilvl w:val="0"/>
          <w:numId w:val="10"/>
        </w:numPr>
        <w:tabs>
          <w:tab w:val="left" w:pos="1604"/>
        </w:tabs>
        <w:spacing w:before="158" w:after="0" w:line="240" w:lineRule="auto"/>
        <w:ind w:left="1603" w:right="0" w:hanging="616"/>
        <w:jc w:val="left"/>
        <w:rPr>
          <w:sz w:val="24"/>
        </w:rPr>
      </w:pPr>
      <w:r>
        <w:rPr>
          <w:sz w:val="24"/>
        </w:rPr>
        <w:t>磋商邀请</w:t>
      </w:r>
    </w:p>
    <w:p>
      <w:pPr>
        <w:pStyle w:val="13"/>
        <w:numPr>
          <w:ilvl w:val="0"/>
          <w:numId w:val="10"/>
        </w:numPr>
        <w:tabs>
          <w:tab w:val="left" w:pos="1604"/>
        </w:tabs>
        <w:spacing w:before="161" w:after="0" w:line="240" w:lineRule="auto"/>
        <w:ind w:left="1603" w:right="0" w:hanging="616"/>
        <w:jc w:val="left"/>
        <w:rPr>
          <w:sz w:val="24"/>
        </w:rPr>
      </w:pPr>
      <w:r>
        <w:rPr>
          <w:sz w:val="24"/>
        </w:rPr>
        <w:t>供应商须知前附表</w:t>
      </w:r>
    </w:p>
    <w:p>
      <w:pPr>
        <w:pStyle w:val="13"/>
        <w:numPr>
          <w:ilvl w:val="0"/>
          <w:numId w:val="10"/>
        </w:numPr>
        <w:tabs>
          <w:tab w:val="left" w:pos="1604"/>
        </w:tabs>
        <w:spacing w:before="158" w:after="0" w:line="240" w:lineRule="auto"/>
        <w:ind w:left="1603" w:right="0" w:hanging="616"/>
        <w:jc w:val="left"/>
        <w:rPr>
          <w:sz w:val="24"/>
        </w:rPr>
      </w:pPr>
      <w:r>
        <w:rPr>
          <w:sz w:val="24"/>
        </w:rPr>
        <w:t>供应商须知</w:t>
      </w:r>
    </w:p>
    <w:p>
      <w:pPr>
        <w:pStyle w:val="13"/>
        <w:numPr>
          <w:ilvl w:val="0"/>
          <w:numId w:val="10"/>
        </w:numPr>
        <w:tabs>
          <w:tab w:val="left" w:pos="1604"/>
        </w:tabs>
        <w:spacing w:before="160" w:after="0" w:line="240" w:lineRule="auto"/>
        <w:ind w:left="1603" w:right="0" w:hanging="616"/>
        <w:jc w:val="left"/>
        <w:rPr>
          <w:sz w:val="24"/>
        </w:rPr>
      </w:pPr>
      <w:r>
        <w:rPr>
          <w:sz w:val="24"/>
        </w:rPr>
        <w:t>评审程序及方法</w:t>
      </w:r>
    </w:p>
    <w:p>
      <w:pPr>
        <w:pStyle w:val="13"/>
        <w:numPr>
          <w:ilvl w:val="0"/>
          <w:numId w:val="10"/>
        </w:numPr>
        <w:tabs>
          <w:tab w:val="left" w:pos="1604"/>
        </w:tabs>
        <w:spacing w:before="159" w:after="0" w:line="240" w:lineRule="auto"/>
        <w:ind w:left="1603" w:right="0" w:hanging="616"/>
        <w:jc w:val="left"/>
        <w:rPr>
          <w:sz w:val="24"/>
        </w:rPr>
      </w:pPr>
      <w:r>
        <w:rPr>
          <w:sz w:val="24"/>
        </w:rPr>
        <w:t>政府采购项目合同书范本（货物类）</w:t>
      </w:r>
    </w:p>
    <w:p>
      <w:pPr>
        <w:pStyle w:val="13"/>
        <w:numPr>
          <w:ilvl w:val="0"/>
          <w:numId w:val="10"/>
        </w:numPr>
        <w:tabs>
          <w:tab w:val="left" w:pos="1604"/>
        </w:tabs>
        <w:spacing w:before="160" w:after="0" w:line="240" w:lineRule="auto"/>
        <w:ind w:left="1603" w:right="0" w:hanging="616"/>
        <w:jc w:val="left"/>
        <w:rPr>
          <w:sz w:val="24"/>
        </w:rPr>
      </w:pPr>
      <w:r>
        <w:rPr>
          <w:sz w:val="24"/>
        </w:rPr>
        <w:t>磋商文件格式</w:t>
      </w:r>
    </w:p>
    <w:p>
      <w:pPr>
        <w:pStyle w:val="13"/>
        <w:numPr>
          <w:ilvl w:val="0"/>
          <w:numId w:val="10"/>
        </w:numPr>
        <w:tabs>
          <w:tab w:val="left" w:pos="1604"/>
        </w:tabs>
        <w:spacing w:before="158" w:after="0" w:line="240" w:lineRule="auto"/>
        <w:ind w:left="1603" w:right="0" w:hanging="616"/>
        <w:jc w:val="left"/>
        <w:rPr>
          <w:sz w:val="24"/>
        </w:rPr>
      </w:pPr>
      <w:r>
        <w:rPr>
          <w:sz w:val="24"/>
        </w:rPr>
        <w:t>磋商过程中发生的澄清、变更和补充文件</w:t>
      </w:r>
    </w:p>
    <w:p>
      <w:pPr>
        <w:pStyle w:val="13"/>
        <w:numPr>
          <w:ilvl w:val="1"/>
          <w:numId w:val="8"/>
        </w:numPr>
        <w:tabs>
          <w:tab w:val="left" w:pos="1447"/>
        </w:tabs>
        <w:spacing w:before="161" w:after="0" w:line="364" w:lineRule="auto"/>
        <w:ind w:left="508" w:right="524" w:firstLine="480"/>
        <w:jc w:val="both"/>
        <w:rPr>
          <w:sz w:val="24"/>
        </w:rPr>
      </w:pPr>
      <w:r>
        <w:rPr>
          <w:sz w:val="24"/>
        </w:rPr>
        <w:t>供应商应认真阅读磋商文件中列示的事项、格式、条款和要求等内容。如果供应</w:t>
      </w:r>
      <w:r>
        <w:rPr>
          <w:spacing w:val="-1"/>
          <w:sz w:val="24"/>
        </w:rPr>
        <w:t>商未按磋商文件要求提交全部资料，或者对磋商文件未作出实质性响应的，根据相关法规</w:t>
      </w:r>
      <w:r>
        <w:rPr>
          <w:sz w:val="24"/>
        </w:rPr>
        <w:t>要求，此类投标将被拒绝（视为无效投标）。</w:t>
      </w:r>
    </w:p>
    <w:p>
      <w:pPr>
        <w:pStyle w:val="13"/>
        <w:numPr>
          <w:ilvl w:val="0"/>
          <w:numId w:val="8"/>
        </w:numPr>
        <w:tabs>
          <w:tab w:val="left" w:pos="711"/>
        </w:tabs>
        <w:spacing w:before="0" w:after="0" w:line="307" w:lineRule="exact"/>
        <w:ind w:left="710" w:right="0" w:hanging="203"/>
        <w:jc w:val="left"/>
        <w:rPr>
          <w:b/>
          <w:sz w:val="24"/>
        </w:rPr>
      </w:pPr>
      <w:bookmarkStart w:id="9" w:name="_TOC_250059"/>
      <w:bookmarkEnd w:id="9"/>
      <w:r>
        <w:rPr>
          <w:b/>
          <w:sz w:val="24"/>
        </w:rPr>
        <w:t>磋商文件、磋商活动和中标结果的质疑</w:t>
      </w:r>
    </w:p>
    <w:p>
      <w:pPr>
        <w:pStyle w:val="2"/>
        <w:spacing w:before="158"/>
        <w:ind w:left="988"/>
      </w:pPr>
      <w:r>
        <w:t>参加磋商的供应商认为磋商文件、磋商活动和中标、成交结果使自己的权益受到损害</w:t>
      </w:r>
    </w:p>
    <w:p>
      <w:pPr>
        <w:spacing w:after="0"/>
        <w:sectPr>
          <w:pgSz w:w="11910" w:h="16840"/>
          <w:pgMar w:top="1180" w:right="720" w:bottom="1120" w:left="740" w:header="711" w:footer="923" w:gutter="0"/>
        </w:sectPr>
      </w:pPr>
    </w:p>
    <w:p>
      <w:pPr>
        <w:pStyle w:val="2"/>
        <w:spacing w:before="67" w:line="364" w:lineRule="auto"/>
        <w:ind w:left="508" w:right="283"/>
      </w:pPr>
      <w:r>
        <w:rPr>
          <w:spacing w:val="-11"/>
        </w:rPr>
        <w:t>的，可以在知道或者应知其权益受到损害之日起</w:t>
      </w:r>
      <w:r>
        <w:rPr>
          <w:rFonts w:ascii="Arial" w:eastAsia="Arial"/>
        </w:rPr>
        <w:t>7</w:t>
      </w:r>
      <w:r>
        <w:rPr>
          <w:spacing w:val="-11"/>
        </w:rPr>
        <w:t>个工作日内以书面形式</w:t>
      </w:r>
      <w:r>
        <w:t>（</w:t>
      </w:r>
      <w:r>
        <w:rPr>
          <w:spacing w:val="-17"/>
        </w:rPr>
        <w:t>如信件、传真等</w:t>
      </w:r>
      <w:r>
        <w:t>） 向采购人或者采购代理机构提出质疑，不接受匿名质疑。采购人或采购代理机构在收到供 应商的书面质疑后</w:t>
      </w:r>
      <w:r>
        <w:rPr>
          <w:rFonts w:ascii="Arial" w:eastAsia="Arial"/>
        </w:rPr>
        <w:t>7</w:t>
      </w:r>
      <w:r>
        <w:rPr>
          <w:spacing w:val="-10"/>
        </w:rPr>
        <w:t xml:space="preserve">个工作日内予以答复，并将答复事宜在青海政府采购信息网上发布公告， </w:t>
      </w:r>
      <w:r>
        <w:t>告知本项目的所有潜在供应商。</w:t>
      </w:r>
    </w:p>
    <w:p>
      <w:pPr>
        <w:pStyle w:val="2"/>
        <w:spacing w:line="306" w:lineRule="exact"/>
        <w:ind w:left="988"/>
      </w:pPr>
      <w:r>
        <w:t>质疑时效期间的计算：</w:t>
      </w:r>
    </w:p>
    <w:p>
      <w:pPr>
        <w:pStyle w:val="13"/>
        <w:numPr>
          <w:ilvl w:val="0"/>
          <w:numId w:val="11"/>
        </w:numPr>
        <w:tabs>
          <w:tab w:val="left" w:pos="1604"/>
        </w:tabs>
        <w:spacing w:before="158" w:after="0" w:line="364" w:lineRule="auto"/>
        <w:ind w:left="508" w:right="523" w:firstLine="480"/>
        <w:jc w:val="left"/>
        <w:rPr>
          <w:sz w:val="24"/>
        </w:rPr>
      </w:pPr>
      <w:r>
        <w:rPr>
          <w:spacing w:val="-3"/>
          <w:sz w:val="24"/>
        </w:rPr>
        <w:t>对可以质疑的磋商文件提出质疑的，为收到磋商文件之日或磋商文件公告期限</w:t>
      </w:r>
      <w:r>
        <w:rPr>
          <w:spacing w:val="-4"/>
          <w:sz w:val="24"/>
        </w:rPr>
        <w:t>届满之日；</w:t>
      </w:r>
    </w:p>
    <w:p>
      <w:pPr>
        <w:pStyle w:val="13"/>
        <w:numPr>
          <w:ilvl w:val="0"/>
          <w:numId w:val="11"/>
        </w:numPr>
        <w:tabs>
          <w:tab w:val="left" w:pos="1604"/>
        </w:tabs>
        <w:spacing w:before="0" w:after="0" w:line="306" w:lineRule="exact"/>
        <w:ind w:left="1603" w:right="0" w:hanging="616"/>
        <w:jc w:val="left"/>
        <w:rPr>
          <w:sz w:val="24"/>
        </w:rPr>
      </w:pPr>
      <w:r>
        <w:rPr>
          <w:sz w:val="24"/>
        </w:rPr>
        <w:t>对磋商过程提出质疑的，为磋商程序各环节结束之日；</w:t>
      </w:r>
    </w:p>
    <w:p>
      <w:pPr>
        <w:pStyle w:val="13"/>
        <w:numPr>
          <w:ilvl w:val="0"/>
          <w:numId w:val="11"/>
        </w:numPr>
        <w:tabs>
          <w:tab w:val="left" w:pos="1604"/>
        </w:tabs>
        <w:spacing w:before="161" w:after="0" w:line="240" w:lineRule="auto"/>
        <w:ind w:left="1603" w:right="0" w:hanging="616"/>
        <w:jc w:val="left"/>
        <w:rPr>
          <w:sz w:val="24"/>
        </w:rPr>
      </w:pPr>
      <w:r>
        <w:rPr>
          <w:sz w:val="24"/>
        </w:rPr>
        <w:t>对中标结果提出质疑的，为中标公告期限届满之日。</w:t>
      </w:r>
    </w:p>
    <w:p>
      <w:pPr>
        <w:pStyle w:val="13"/>
        <w:numPr>
          <w:ilvl w:val="0"/>
          <w:numId w:val="8"/>
        </w:numPr>
        <w:tabs>
          <w:tab w:val="left" w:pos="711"/>
        </w:tabs>
        <w:spacing w:before="158" w:after="0" w:line="240" w:lineRule="auto"/>
        <w:ind w:left="710" w:right="0" w:hanging="203"/>
        <w:jc w:val="left"/>
        <w:rPr>
          <w:b/>
          <w:sz w:val="24"/>
        </w:rPr>
      </w:pPr>
      <w:bookmarkStart w:id="10" w:name="_TOC_250058"/>
      <w:bookmarkEnd w:id="10"/>
      <w:r>
        <w:rPr>
          <w:b/>
          <w:sz w:val="24"/>
        </w:rPr>
        <w:t>磋商文件的修改</w:t>
      </w:r>
    </w:p>
    <w:p>
      <w:pPr>
        <w:pStyle w:val="13"/>
        <w:numPr>
          <w:ilvl w:val="1"/>
          <w:numId w:val="8"/>
        </w:numPr>
        <w:tabs>
          <w:tab w:val="left" w:pos="1445"/>
        </w:tabs>
        <w:spacing w:before="161" w:after="0" w:line="240" w:lineRule="auto"/>
        <w:ind w:left="1444" w:right="0" w:hanging="457"/>
        <w:jc w:val="both"/>
        <w:rPr>
          <w:sz w:val="24"/>
        </w:rPr>
      </w:pPr>
      <w:r>
        <w:rPr>
          <w:spacing w:val="-6"/>
          <w:sz w:val="24"/>
        </w:rPr>
        <w:t>在磋商截止期前，采购人或采购代理机构可对磋商文件进行必要的修改或者澄清。</w:t>
      </w:r>
    </w:p>
    <w:p>
      <w:pPr>
        <w:pStyle w:val="13"/>
        <w:numPr>
          <w:ilvl w:val="1"/>
          <w:numId w:val="8"/>
        </w:numPr>
        <w:tabs>
          <w:tab w:val="left" w:pos="1447"/>
        </w:tabs>
        <w:spacing w:before="158" w:after="0" w:line="364" w:lineRule="auto"/>
        <w:ind w:left="508" w:right="524" w:firstLine="480"/>
        <w:jc w:val="both"/>
        <w:rPr>
          <w:sz w:val="24"/>
        </w:rPr>
      </w:pPr>
      <w:r>
        <w:rPr>
          <w:sz w:val="24"/>
        </w:rPr>
        <w:t>采购代理机构对已发出磋商文件进行必要的澄清或者修改的，澄清或者修改的内容可能影响磋商响应文件编制的，在磋商文件要求提交磋商响应文件截止时间</w:t>
      </w:r>
      <w:r>
        <w:rPr>
          <w:rFonts w:ascii="Arial" w:eastAsia="Arial"/>
          <w:sz w:val="24"/>
        </w:rPr>
        <w:t>15</w:t>
      </w:r>
      <w:r>
        <w:rPr>
          <w:spacing w:val="-4"/>
          <w:sz w:val="24"/>
        </w:rPr>
        <w:t>日前，在</w:t>
      </w:r>
      <w:r>
        <w:rPr>
          <w:sz w:val="24"/>
        </w:rPr>
        <w:t>青海政府采购信息网上发布公告；不足</w:t>
      </w:r>
      <w:r>
        <w:rPr>
          <w:rFonts w:ascii="Arial" w:eastAsia="Arial"/>
          <w:sz w:val="24"/>
        </w:rPr>
        <w:t>15</w:t>
      </w:r>
      <w:r>
        <w:rPr>
          <w:spacing w:val="-1"/>
          <w:sz w:val="24"/>
        </w:rPr>
        <w:t>日的，顺延提交磋商响应文件的截止时间。该澄</w:t>
      </w:r>
      <w:r>
        <w:rPr>
          <w:sz w:val="24"/>
        </w:rPr>
        <w:t>清或者修改的内容为磋商文件的组成部分。</w:t>
      </w:r>
    </w:p>
    <w:p>
      <w:pPr>
        <w:pStyle w:val="13"/>
        <w:numPr>
          <w:ilvl w:val="1"/>
          <w:numId w:val="8"/>
        </w:numPr>
        <w:tabs>
          <w:tab w:val="left" w:pos="1447"/>
        </w:tabs>
        <w:spacing w:before="0" w:after="0" w:line="364" w:lineRule="auto"/>
        <w:ind w:left="508" w:right="523" w:firstLine="480"/>
        <w:jc w:val="both"/>
        <w:rPr>
          <w:sz w:val="24"/>
        </w:rPr>
      </w:pPr>
      <w:r>
        <w:rPr>
          <w:sz w:val="24"/>
        </w:rPr>
        <w:t>在投标截止时间前，采购人或采购代理机构可以视采购具体情况，延长磋商截止</w:t>
      </w:r>
      <w:r>
        <w:rPr>
          <w:spacing w:val="-1"/>
          <w:sz w:val="24"/>
        </w:rPr>
        <w:t>时间和磋商时间，并在磋商文件要求提交磋商响应文件的截止时间三日前，将变更时间以书面形式通知所有购买了磋商文件的供应商，同时在发布本次磋商公告的网站发布变更公</w:t>
      </w:r>
      <w:r>
        <w:rPr>
          <w:sz w:val="24"/>
        </w:rPr>
        <w:t>告。</w:t>
      </w:r>
    </w:p>
    <w:p>
      <w:pPr>
        <w:spacing w:before="0" w:line="355" w:lineRule="exact"/>
        <w:ind w:left="397" w:right="410" w:firstLine="0"/>
        <w:jc w:val="center"/>
        <w:rPr>
          <w:b/>
          <w:sz w:val="28"/>
        </w:rPr>
      </w:pPr>
      <w:bookmarkStart w:id="11" w:name="_TOC_250057"/>
      <w:bookmarkEnd w:id="11"/>
      <w:r>
        <w:rPr>
          <w:b/>
          <w:sz w:val="28"/>
        </w:rPr>
        <w:t>三、磋商文件的编制</w:t>
      </w:r>
    </w:p>
    <w:p>
      <w:pPr>
        <w:pStyle w:val="13"/>
        <w:numPr>
          <w:ilvl w:val="0"/>
          <w:numId w:val="8"/>
        </w:numPr>
        <w:tabs>
          <w:tab w:val="left" w:pos="711"/>
        </w:tabs>
        <w:spacing w:before="187" w:after="0" w:line="240" w:lineRule="auto"/>
        <w:ind w:left="710" w:right="0" w:hanging="203"/>
        <w:jc w:val="left"/>
        <w:rPr>
          <w:b/>
          <w:sz w:val="24"/>
        </w:rPr>
      </w:pPr>
      <w:bookmarkStart w:id="12" w:name="_TOC_250056"/>
      <w:bookmarkEnd w:id="12"/>
      <w:r>
        <w:rPr>
          <w:b/>
          <w:sz w:val="24"/>
        </w:rPr>
        <w:t>磋商文件的语言及度量衡单位</w:t>
      </w:r>
    </w:p>
    <w:p>
      <w:pPr>
        <w:pStyle w:val="13"/>
        <w:numPr>
          <w:ilvl w:val="1"/>
          <w:numId w:val="8"/>
        </w:numPr>
        <w:tabs>
          <w:tab w:val="left" w:pos="1330"/>
        </w:tabs>
        <w:spacing w:before="158" w:after="0" w:line="364" w:lineRule="auto"/>
        <w:ind w:left="508" w:right="536" w:firstLine="480"/>
        <w:jc w:val="left"/>
        <w:rPr>
          <w:sz w:val="24"/>
        </w:rPr>
      </w:pPr>
      <w:r>
        <w:rPr>
          <w:spacing w:val="3"/>
          <w:sz w:val="24"/>
        </w:rPr>
        <w:t>供应商提交的磋商响应文件以及供应商与采购代理机构就此磋商发生的所有来往函电均应使用简体中文。</w:t>
      </w:r>
    </w:p>
    <w:p>
      <w:pPr>
        <w:pStyle w:val="13"/>
        <w:numPr>
          <w:ilvl w:val="1"/>
          <w:numId w:val="8"/>
        </w:numPr>
        <w:tabs>
          <w:tab w:val="left" w:pos="1447"/>
        </w:tabs>
        <w:spacing w:before="0" w:after="0" w:line="364" w:lineRule="auto"/>
        <w:ind w:left="508" w:right="532" w:firstLine="480"/>
        <w:jc w:val="left"/>
        <w:rPr>
          <w:sz w:val="24"/>
        </w:rPr>
      </w:pPr>
      <w:r>
        <w:rPr>
          <w:spacing w:val="-1"/>
          <w:sz w:val="24"/>
        </w:rPr>
        <w:t>除磋商文件中另有规定外，磋商响应文件所使用的度量衡单位，均须采用国家法</w:t>
      </w:r>
      <w:r>
        <w:rPr>
          <w:sz w:val="24"/>
        </w:rPr>
        <w:t>定计量单位。</w:t>
      </w:r>
    </w:p>
    <w:p>
      <w:pPr>
        <w:pStyle w:val="13"/>
        <w:numPr>
          <w:ilvl w:val="1"/>
          <w:numId w:val="8"/>
        </w:numPr>
        <w:tabs>
          <w:tab w:val="left" w:pos="1447"/>
        </w:tabs>
        <w:spacing w:before="0" w:after="0" w:line="364" w:lineRule="auto"/>
        <w:ind w:left="508" w:right="532" w:firstLine="480"/>
        <w:jc w:val="left"/>
        <w:rPr>
          <w:sz w:val="24"/>
        </w:rPr>
      </w:pPr>
      <w:r>
        <w:rPr>
          <w:spacing w:val="-1"/>
          <w:sz w:val="24"/>
        </w:rPr>
        <w:t>附有外文资料的须翻译成中文，并加盖供应商公章，如果翻译的中文资料与外文</w:t>
      </w:r>
      <w:r>
        <w:rPr>
          <w:sz w:val="24"/>
        </w:rPr>
        <w:t>资料出现差异与矛盾时，以中文为准，其准确性由供应商负责。</w:t>
      </w:r>
    </w:p>
    <w:p>
      <w:pPr>
        <w:pStyle w:val="13"/>
        <w:numPr>
          <w:ilvl w:val="0"/>
          <w:numId w:val="8"/>
        </w:numPr>
        <w:tabs>
          <w:tab w:val="left" w:pos="711"/>
        </w:tabs>
        <w:spacing w:before="0" w:after="0" w:line="306" w:lineRule="exact"/>
        <w:ind w:left="710" w:right="0" w:hanging="203"/>
        <w:jc w:val="left"/>
        <w:rPr>
          <w:b/>
          <w:sz w:val="24"/>
        </w:rPr>
      </w:pPr>
      <w:bookmarkStart w:id="13" w:name="_TOC_250055"/>
      <w:bookmarkEnd w:id="13"/>
      <w:r>
        <w:rPr>
          <w:b/>
          <w:sz w:val="24"/>
        </w:rPr>
        <w:t>磋商报价及币种</w:t>
      </w:r>
    </w:p>
    <w:p>
      <w:pPr>
        <w:pStyle w:val="13"/>
        <w:numPr>
          <w:ilvl w:val="1"/>
          <w:numId w:val="8"/>
        </w:numPr>
        <w:tabs>
          <w:tab w:val="left" w:pos="1325"/>
        </w:tabs>
        <w:spacing w:before="159" w:after="0" w:line="362" w:lineRule="auto"/>
        <w:ind w:left="508" w:right="524" w:firstLine="480"/>
        <w:jc w:val="left"/>
        <w:rPr>
          <w:sz w:val="24"/>
        </w:rPr>
      </w:pPr>
      <w:r>
        <w:rPr>
          <w:spacing w:val="-7"/>
          <w:sz w:val="24"/>
        </w:rPr>
        <w:t>磋商报价为磋商总价。磋商报价必须包括：产品费、验收费、手续费、包装费、运</w:t>
      </w:r>
      <w:r>
        <w:rPr>
          <w:spacing w:val="-8"/>
          <w:sz w:val="24"/>
        </w:rPr>
        <w:t>输费、保险费、安装费、调试费、培训费、售前、售中、售后服务费、中标服务费、入关</w:t>
      </w:r>
    </w:p>
    <w:p>
      <w:pPr>
        <w:spacing w:after="0" w:line="362" w:lineRule="auto"/>
        <w:jc w:val="left"/>
        <w:rPr>
          <w:sz w:val="24"/>
        </w:rPr>
        <w:sectPr>
          <w:pgSz w:w="11910" w:h="16840"/>
          <w:pgMar w:top="1180" w:right="720" w:bottom="1120" w:left="740" w:header="711" w:footer="923" w:gutter="0"/>
        </w:sectPr>
      </w:pPr>
    </w:p>
    <w:p>
      <w:pPr>
        <w:pStyle w:val="2"/>
        <w:spacing w:before="67"/>
        <w:ind w:left="508"/>
      </w:pPr>
      <w:r>
        <w:t>手续费及不可预见费等全部费用。</w:t>
      </w:r>
    </w:p>
    <w:p>
      <w:pPr>
        <w:pStyle w:val="13"/>
        <w:numPr>
          <w:ilvl w:val="1"/>
          <w:numId w:val="8"/>
        </w:numPr>
        <w:tabs>
          <w:tab w:val="left" w:pos="1325"/>
        </w:tabs>
        <w:spacing w:before="158" w:after="0" w:line="240" w:lineRule="auto"/>
        <w:ind w:left="1324" w:right="0" w:hanging="337"/>
        <w:jc w:val="left"/>
        <w:rPr>
          <w:sz w:val="24"/>
        </w:rPr>
      </w:pPr>
      <w:r>
        <w:rPr>
          <w:spacing w:val="-1"/>
          <w:sz w:val="24"/>
        </w:rPr>
        <w:t>磋商报价应注明有效期，有效期应与磋商有效期一致。</w:t>
      </w:r>
    </w:p>
    <w:p>
      <w:pPr>
        <w:pStyle w:val="13"/>
        <w:numPr>
          <w:ilvl w:val="1"/>
          <w:numId w:val="8"/>
        </w:numPr>
        <w:tabs>
          <w:tab w:val="left" w:pos="1325"/>
        </w:tabs>
        <w:spacing w:before="161" w:after="0" w:line="362" w:lineRule="auto"/>
        <w:ind w:left="508" w:right="523" w:firstLine="480"/>
        <w:jc w:val="left"/>
        <w:rPr>
          <w:sz w:val="24"/>
        </w:rPr>
      </w:pPr>
      <w:r>
        <w:rPr>
          <w:spacing w:val="-4"/>
          <w:sz w:val="24"/>
        </w:rPr>
        <w:t>供应商应根据磋商文件规定的格式完整填写所有内容，并保证所提供的全部资料真</w:t>
      </w:r>
      <w:r>
        <w:rPr>
          <w:sz w:val="24"/>
        </w:rPr>
        <w:t>实可信，自愿承担相应责任。</w:t>
      </w:r>
    </w:p>
    <w:p>
      <w:pPr>
        <w:pStyle w:val="13"/>
        <w:numPr>
          <w:ilvl w:val="1"/>
          <w:numId w:val="8"/>
        </w:numPr>
        <w:tabs>
          <w:tab w:val="left" w:pos="1325"/>
        </w:tabs>
        <w:spacing w:before="5" w:after="0" w:line="240" w:lineRule="auto"/>
        <w:ind w:left="1324" w:right="0" w:hanging="337"/>
        <w:jc w:val="left"/>
        <w:rPr>
          <w:sz w:val="24"/>
        </w:rPr>
      </w:pPr>
      <w:r>
        <w:rPr>
          <w:spacing w:val="-1"/>
          <w:sz w:val="24"/>
        </w:rPr>
        <w:t>磋商报价为闭口价，即中标后在合同有效期内价格不变。</w:t>
      </w:r>
    </w:p>
    <w:p>
      <w:pPr>
        <w:pStyle w:val="13"/>
        <w:numPr>
          <w:ilvl w:val="1"/>
          <w:numId w:val="8"/>
        </w:numPr>
        <w:tabs>
          <w:tab w:val="left" w:pos="1325"/>
        </w:tabs>
        <w:spacing w:before="158" w:after="0" w:line="240" w:lineRule="auto"/>
        <w:ind w:left="1324" w:right="0" w:hanging="337"/>
        <w:jc w:val="left"/>
        <w:rPr>
          <w:sz w:val="24"/>
        </w:rPr>
      </w:pPr>
      <w:r>
        <w:rPr>
          <w:spacing w:val="-1"/>
          <w:sz w:val="24"/>
        </w:rPr>
        <w:t>磋商币种是人民币。</w:t>
      </w:r>
    </w:p>
    <w:p>
      <w:pPr>
        <w:pStyle w:val="13"/>
        <w:numPr>
          <w:ilvl w:val="0"/>
          <w:numId w:val="8"/>
        </w:numPr>
        <w:tabs>
          <w:tab w:val="left" w:pos="711"/>
        </w:tabs>
        <w:spacing w:before="161" w:after="0" w:line="240" w:lineRule="auto"/>
        <w:ind w:left="710" w:right="0" w:hanging="203"/>
        <w:jc w:val="left"/>
        <w:rPr>
          <w:b/>
          <w:sz w:val="24"/>
        </w:rPr>
      </w:pPr>
      <w:bookmarkStart w:id="14" w:name="_TOC_250054"/>
      <w:bookmarkEnd w:id="14"/>
      <w:r>
        <w:rPr>
          <w:b/>
          <w:sz w:val="24"/>
        </w:rPr>
        <w:t>磋商保证金</w:t>
      </w:r>
    </w:p>
    <w:p>
      <w:pPr>
        <w:pStyle w:val="13"/>
        <w:numPr>
          <w:ilvl w:val="1"/>
          <w:numId w:val="8"/>
        </w:numPr>
        <w:tabs>
          <w:tab w:val="left" w:pos="1325"/>
        </w:tabs>
        <w:spacing w:before="158" w:after="0" w:line="364" w:lineRule="auto"/>
        <w:ind w:left="508" w:right="521" w:firstLine="480"/>
        <w:jc w:val="left"/>
        <w:rPr>
          <w:sz w:val="24"/>
        </w:rPr>
      </w:pPr>
      <w:r>
        <w:rPr>
          <w:spacing w:val="-4"/>
          <w:sz w:val="24"/>
        </w:rPr>
        <w:t>供应商应将磋商保证金缴款证明做为磋商响应文件的内容一并提供。交纳的磋商保</w:t>
      </w:r>
      <w:r>
        <w:rPr>
          <w:sz w:val="24"/>
        </w:rPr>
        <w:t>证金用于因供应商的行为使本次磋商活动受到损失的抵项。</w:t>
      </w:r>
    </w:p>
    <w:p>
      <w:pPr>
        <w:pStyle w:val="13"/>
        <w:numPr>
          <w:ilvl w:val="1"/>
          <w:numId w:val="8"/>
        </w:numPr>
        <w:tabs>
          <w:tab w:val="left" w:pos="1325"/>
        </w:tabs>
        <w:spacing w:before="0" w:after="0" w:line="364" w:lineRule="auto"/>
        <w:ind w:left="508" w:right="523" w:firstLine="480"/>
        <w:jc w:val="left"/>
        <w:rPr>
          <w:sz w:val="24"/>
        </w:rPr>
      </w:pPr>
      <w:r>
        <w:rPr>
          <w:spacing w:val="-4"/>
          <w:sz w:val="24"/>
        </w:rPr>
        <w:t>供应商应在投标截止期前一工作日将磋商保证金缴纳到采购代理机构账户，以银行</w:t>
      </w:r>
      <w:r>
        <w:rPr>
          <w:sz w:val="24"/>
        </w:rPr>
        <w:t>到账时间为准。</w:t>
      </w:r>
    </w:p>
    <w:p>
      <w:pPr>
        <w:pStyle w:val="13"/>
        <w:numPr>
          <w:ilvl w:val="1"/>
          <w:numId w:val="8"/>
        </w:numPr>
        <w:tabs>
          <w:tab w:val="left" w:pos="1325"/>
        </w:tabs>
        <w:spacing w:before="0" w:after="0" w:line="364" w:lineRule="auto"/>
        <w:ind w:left="508" w:right="523" w:firstLine="480"/>
        <w:jc w:val="both"/>
        <w:rPr>
          <w:sz w:val="24"/>
        </w:rPr>
      </w:pPr>
      <w:r>
        <w:rPr>
          <w:spacing w:val="-6"/>
          <w:sz w:val="24"/>
        </w:rPr>
        <w:t>磋商保证金应当以转账、支票、汇票、本票或者金融机构、担保机构出具的保函等</w:t>
      </w:r>
      <w:r>
        <w:rPr>
          <w:sz w:val="24"/>
        </w:rPr>
        <w:t>非现金形式提交，通过银行转账的，必须从供应商基本账户直接汇（转）</w:t>
      </w:r>
      <w:r>
        <w:rPr>
          <w:spacing w:val="-2"/>
          <w:sz w:val="24"/>
        </w:rPr>
        <w:t>入采购代理机构</w:t>
      </w:r>
      <w:r>
        <w:rPr>
          <w:sz w:val="24"/>
        </w:rPr>
        <w:t>指定账户。</w:t>
      </w:r>
    </w:p>
    <w:p>
      <w:pPr>
        <w:pStyle w:val="13"/>
        <w:numPr>
          <w:ilvl w:val="1"/>
          <w:numId w:val="8"/>
        </w:numPr>
        <w:tabs>
          <w:tab w:val="left" w:pos="1325"/>
        </w:tabs>
        <w:spacing w:before="0" w:after="0" w:line="307" w:lineRule="exact"/>
        <w:ind w:left="1324" w:right="0" w:hanging="337"/>
        <w:jc w:val="left"/>
        <w:rPr>
          <w:sz w:val="24"/>
        </w:rPr>
      </w:pPr>
      <w:r>
        <w:rPr>
          <w:spacing w:val="-1"/>
          <w:sz w:val="24"/>
        </w:rPr>
        <w:t>未按磋商文件要求在规定时间前交纳规定数额投标保证金的磋商将被拒绝。</w:t>
      </w:r>
    </w:p>
    <w:p>
      <w:pPr>
        <w:pStyle w:val="13"/>
        <w:numPr>
          <w:ilvl w:val="1"/>
          <w:numId w:val="8"/>
        </w:numPr>
        <w:tabs>
          <w:tab w:val="left" w:pos="1325"/>
        </w:tabs>
        <w:spacing w:before="158" w:after="0" w:line="362" w:lineRule="auto"/>
        <w:ind w:left="508" w:right="519" w:firstLine="480"/>
        <w:jc w:val="left"/>
        <w:rPr>
          <w:sz w:val="24"/>
        </w:rPr>
      </w:pPr>
      <w:r>
        <w:rPr>
          <w:spacing w:val="-1"/>
          <w:sz w:val="24"/>
        </w:rPr>
        <w:t>未中标人的磋商保证金自中标通知书发出之日起</w:t>
      </w:r>
      <w:r>
        <w:rPr>
          <w:rFonts w:ascii="Arial" w:eastAsia="Arial"/>
          <w:sz w:val="24"/>
        </w:rPr>
        <w:t>5</w:t>
      </w:r>
      <w:r>
        <w:rPr>
          <w:spacing w:val="-13"/>
          <w:sz w:val="24"/>
        </w:rPr>
        <w:t>个工作日内退还</w:t>
      </w:r>
      <w:r>
        <w:rPr>
          <w:sz w:val="24"/>
        </w:rPr>
        <w:t>（非现金形式</w:t>
      </w:r>
      <w:r>
        <w:rPr>
          <w:spacing w:val="-51"/>
          <w:sz w:val="24"/>
        </w:rPr>
        <w:t xml:space="preserve">）； </w:t>
      </w:r>
      <w:r>
        <w:rPr>
          <w:sz w:val="24"/>
        </w:rPr>
        <w:t>中标人的磋商保证金，自政府采购合同签订之日起</w:t>
      </w:r>
      <w:r>
        <w:rPr>
          <w:rFonts w:ascii="Arial" w:eastAsia="Arial"/>
          <w:sz w:val="24"/>
        </w:rPr>
        <w:t>5</w:t>
      </w:r>
      <w:r>
        <w:rPr>
          <w:sz w:val="24"/>
        </w:rPr>
        <w:t>个工作日内退还（非现金形式）。</w:t>
      </w:r>
    </w:p>
    <w:p>
      <w:pPr>
        <w:pStyle w:val="13"/>
        <w:numPr>
          <w:ilvl w:val="1"/>
          <w:numId w:val="8"/>
        </w:numPr>
        <w:tabs>
          <w:tab w:val="left" w:pos="1325"/>
        </w:tabs>
        <w:spacing w:before="5" w:after="0" w:line="240" w:lineRule="auto"/>
        <w:ind w:left="1324" w:right="0" w:hanging="337"/>
        <w:jc w:val="left"/>
        <w:rPr>
          <w:sz w:val="24"/>
        </w:rPr>
      </w:pPr>
      <w:r>
        <w:rPr>
          <w:spacing w:val="-1"/>
          <w:sz w:val="24"/>
        </w:rPr>
        <w:t>下列任何情况发生时，磋商保证金将不予退还：</w:t>
      </w:r>
    </w:p>
    <w:p>
      <w:pPr>
        <w:pStyle w:val="13"/>
        <w:numPr>
          <w:ilvl w:val="0"/>
          <w:numId w:val="12"/>
        </w:numPr>
        <w:tabs>
          <w:tab w:val="left" w:pos="1604"/>
        </w:tabs>
        <w:spacing w:before="159" w:after="0" w:line="364" w:lineRule="auto"/>
        <w:ind w:left="508" w:right="283" w:firstLine="480"/>
        <w:jc w:val="left"/>
        <w:rPr>
          <w:sz w:val="24"/>
        </w:rPr>
      </w:pPr>
      <w:r>
        <w:rPr>
          <w:sz w:val="24"/>
        </w:rPr>
        <w:t>供应商在递交磋商响应文件的截止时间前未到达现场并且没有以书面形式如信函</w:t>
      </w:r>
      <w:r>
        <w:rPr>
          <w:spacing w:val="-4"/>
          <w:sz w:val="24"/>
        </w:rPr>
        <w:t>、传真等告知采购代理机构要撤其磋商的；</w:t>
      </w:r>
    </w:p>
    <w:p>
      <w:pPr>
        <w:pStyle w:val="13"/>
        <w:numPr>
          <w:ilvl w:val="0"/>
          <w:numId w:val="12"/>
        </w:numPr>
        <w:tabs>
          <w:tab w:val="left" w:pos="1604"/>
        </w:tabs>
        <w:spacing w:before="0" w:after="0" w:line="306" w:lineRule="exact"/>
        <w:ind w:left="1603" w:right="0" w:hanging="616"/>
        <w:jc w:val="left"/>
        <w:rPr>
          <w:sz w:val="24"/>
        </w:rPr>
      </w:pPr>
      <w:r>
        <w:rPr>
          <w:sz w:val="24"/>
        </w:rPr>
        <w:t>中标人在规定期限内未能按规定签订合同或未按规定缴纳中标服务费；</w:t>
      </w:r>
    </w:p>
    <w:p>
      <w:pPr>
        <w:pStyle w:val="13"/>
        <w:numPr>
          <w:ilvl w:val="0"/>
          <w:numId w:val="12"/>
        </w:numPr>
        <w:tabs>
          <w:tab w:val="left" w:pos="1604"/>
        </w:tabs>
        <w:spacing w:before="160" w:after="0" w:line="240" w:lineRule="auto"/>
        <w:ind w:left="1603" w:right="0" w:hanging="616"/>
        <w:jc w:val="left"/>
        <w:rPr>
          <w:sz w:val="24"/>
        </w:rPr>
      </w:pPr>
      <w:r>
        <w:rPr>
          <w:sz w:val="24"/>
        </w:rPr>
        <w:t>提供虚假材料谋取中标的；</w:t>
      </w:r>
    </w:p>
    <w:p>
      <w:pPr>
        <w:pStyle w:val="13"/>
        <w:numPr>
          <w:ilvl w:val="0"/>
          <w:numId w:val="12"/>
        </w:numPr>
        <w:tabs>
          <w:tab w:val="left" w:pos="1604"/>
        </w:tabs>
        <w:spacing w:before="158" w:after="0" w:line="240" w:lineRule="auto"/>
        <w:ind w:left="1603" w:right="0" w:hanging="616"/>
        <w:jc w:val="left"/>
        <w:rPr>
          <w:sz w:val="24"/>
        </w:rPr>
      </w:pPr>
      <w:r>
        <w:rPr>
          <w:spacing w:val="-5"/>
          <w:sz w:val="24"/>
        </w:rPr>
        <w:t>将中标项目转让给他人，或者在磋商响应文件中未说明，将中标项目分包给他人</w:t>
      </w:r>
    </w:p>
    <w:p>
      <w:pPr>
        <w:pStyle w:val="2"/>
        <w:spacing w:before="161"/>
        <w:ind w:left="508"/>
      </w:pPr>
      <w:r>
        <w:t>的；</w:t>
      </w:r>
    </w:p>
    <w:p>
      <w:pPr>
        <w:pStyle w:val="13"/>
        <w:numPr>
          <w:ilvl w:val="0"/>
          <w:numId w:val="12"/>
        </w:numPr>
        <w:tabs>
          <w:tab w:val="left" w:pos="1604"/>
        </w:tabs>
        <w:spacing w:before="158" w:after="0" w:line="240" w:lineRule="auto"/>
        <w:ind w:left="1603" w:right="0" w:hanging="616"/>
        <w:jc w:val="left"/>
        <w:rPr>
          <w:sz w:val="24"/>
        </w:rPr>
      </w:pPr>
      <w:r>
        <w:rPr>
          <w:sz w:val="24"/>
        </w:rPr>
        <w:t>拒绝履行合同义务的；</w:t>
      </w:r>
    </w:p>
    <w:p>
      <w:pPr>
        <w:pStyle w:val="13"/>
        <w:numPr>
          <w:ilvl w:val="0"/>
          <w:numId w:val="12"/>
        </w:numPr>
        <w:tabs>
          <w:tab w:val="left" w:pos="1604"/>
        </w:tabs>
        <w:spacing w:before="160" w:after="0" w:line="240" w:lineRule="auto"/>
        <w:ind w:left="1603" w:right="0" w:hanging="616"/>
        <w:jc w:val="left"/>
        <w:rPr>
          <w:sz w:val="24"/>
        </w:rPr>
      </w:pPr>
      <w:r>
        <w:rPr>
          <w:sz w:val="24"/>
        </w:rPr>
        <w:t>法律、法规规定的其他情形。</w:t>
      </w:r>
    </w:p>
    <w:p>
      <w:pPr>
        <w:pStyle w:val="13"/>
        <w:numPr>
          <w:ilvl w:val="0"/>
          <w:numId w:val="8"/>
        </w:numPr>
        <w:tabs>
          <w:tab w:val="left" w:pos="845"/>
        </w:tabs>
        <w:spacing w:before="159" w:after="0" w:line="240" w:lineRule="auto"/>
        <w:ind w:left="844" w:right="0" w:hanging="337"/>
        <w:jc w:val="left"/>
        <w:rPr>
          <w:b/>
          <w:sz w:val="24"/>
        </w:rPr>
      </w:pPr>
      <w:bookmarkStart w:id="15" w:name="_TOC_250053"/>
      <w:bookmarkEnd w:id="15"/>
      <w:r>
        <w:rPr>
          <w:b/>
          <w:sz w:val="24"/>
        </w:rPr>
        <w:t>磋商有效期</w:t>
      </w:r>
    </w:p>
    <w:p>
      <w:pPr>
        <w:pStyle w:val="2"/>
        <w:spacing w:before="161"/>
        <w:ind w:left="988"/>
      </w:pPr>
      <w:r>
        <w:rPr>
          <w:rFonts w:hint="eastAsia"/>
          <w:lang w:eastAsia="zh-CN"/>
        </w:rPr>
        <w:t>本次投标有效期为开标之日起</w:t>
      </w:r>
      <w:r>
        <w:rPr>
          <w:rFonts w:hint="eastAsia"/>
          <w:lang w:val="en-US" w:eastAsia="zh-CN"/>
        </w:rPr>
        <w:t xml:space="preserve"> </w:t>
      </w:r>
      <w:r>
        <w:rPr>
          <w:rFonts w:hint="eastAsia"/>
          <w:lang w:eastAsia="zh-CN"/>
        </w:rPr>
        <w:t>60</w:t>
      </w:r>
      <w:r>
        <w:rPr>
          <w:rFonts w:hint="eastAsia"/>
          <w:lang w:val="en-US" w:eastAsia="zh-CN"/>
        </w:rPr>
        <w:t xml:space="preserve"> </w:t>
      </w:r>
      <w:r>
        <w:rPr>
          <w:rFonts w:hint="eastAsia"/>
          <w:lang w:eastAsia="zh-CN"/>
        </w:rPr>
        <w:t>个工作日。</w:t>
      </w:r>
    </w:p>
    <w:p>
      <w:pPr>
        <w:pStyle w:val="13"/>
        <w:numPr>
          <w:ilvl w:val="0"/>
          <w:numId w:val="8"/>
        </w:numPr>
        <w:tabs>
          <w:tab w:val="left" w:pos="831"/>
        </w:tabs>
        <w:spacing w:before="158" w:after="0" w:line="240" w:lineRule="auto"/>
        <w:ind w:left="830" w:right="0" w:hanging="323"/>
        <w:jc w:val="left"/>
        <w:rPr>
          <w:b/>
          <w:sz w:val="24"/>
        </w:rPr>
      </w:pPr>
      <w:bookmarkStart w:id="16" w:name="_TOC_250052"/>
      <w:bookmarkEnd w:id="16"/>
      <w:r>
        <w:rPr>
          <w:b/>
          <w:sz w:val="24"/>
        </w:rPr>
        <w:t>响应文件构成</w:t>
      </w:r>
    </w:p>
    <w:p>
      <w:pPr>
        <w:pStyle w:val="2"/>
        <w:spacing w:before="160" w:line="364" w:lineRule="auto"/>
        <w:ind w:left="508" w:right="526" w:firstLine="480"/>
      </w:pPr>
      <w:r>
        <w:t>供应商应提交相关证明材料，作为其参加磋商和中标后有能力履行合同的证明。编写的磋商响应文件须包括以下内容（格式见磋商文件第五部分）：</w:t>
      </w:r>
    </w:p>
    <w:p>
      <w:pPr>
        <w:spacing w:after="0" w:line="364" w:lineRule="auto"/>
        <w:sectPr>
          <w:pgSz w:w="11910" w:h="16840"/>
          <w:pgMar w:top="1180" w:right="720" w:bottom="1120" w:left="740" w:header="711" w:footer="923" w:gutter="0"/>
        </w:sectPr>
      </w:pPr>
    </w:p>
    <w:p>
      <w:pPr>
        <w:pStyle w:val="13"/>
        <w:numPr>
          <w:ilvl w:val="1"/>
          <w:numId w:val="8"/>
        </w:numPr>
        <w:tabs>
          <w:tab w:val="left" w:pos="1459"/>
        </w:tabs>
        <w:spacing w:before="67" w:after="0" w:line="240" w:lineRule="auto"/>
        <w:ind w:left="1458" w:right="0" w:hanging="471"/>
        <w:jc w:val="left"/>
        <w:rPr>
          <w:sz w:val="24"/>
        </w:rPr>
      </w:pPr>
      <w:r>
        <w:rPr>
          <w:sz w:val="24"/>
        </w:rPr>
        <w:t>磋商响应文件（</w:t>
      </w:r>
      <w:r>
        <w:rPr>
          <w:spacing w:val="-2"/>
          <w:sz w:val="24"/>
        </w:rPr>
        <w:t>上册</w:t>
      </w:r>
      <w:r>
        <w:rPr>
          <w:sz w:val="24"/>
        </w:rPr>
        <w:t>）（资格审查）</w:t>
      </w:r>
    </w:p>
    <w:p>
      <w:pPr>
        <w:pStyle w:val="13"/>
        <w:numPr>
          <w:ilvl w:val="0"/>
          <w:numId w:val="13"/>
        </w:numPr>
        <w:tabs>
          <w:tab w:val="left" w:pos="1604"/>
        </w:tabs>
        <w:spacing w:before="158" w:after="0" w:line="240" w:lineRule="auto"/>
        <w:ind w:left="1603" w:right="0" w:hanging="616"/>
        <w:jc w:val="left"/>
        <w:rPr>
          <w:sz w:val="24"/>
        </w:rPr>
      </w:pPr>
      <w:r>
        <w:rPr>
          <w:sz w:val="24"/>
        </w:rPr>
        <w:t>磋商函</w:t>
      </w:r>
    </w:p>
    <w:p>
      <w:pPr>
        <w:pStyle w:val="13"/>
        <w:numPr>
          <w:ilvl w:val="0"/>
          <w:numId w:val="13"/>
        </w:numPr>
        <w:tabs>
          <w:tab w:val="left" w:pos="1604"/>
        </w:tabs>
        <w:spacing w:before="161" w:after="0" w:line="240" w:lineRule="auto"/>
        <w:ind w:left="1603" w:right="0" w:hanging="616"/>
        <w:jc w:val="left"/>
        <w:rPr>
          <w:sz w:val="24"/>
        </w:rPr>
      </w:pPr>
      <w:r>
        <w:rPr>
          <w:sz w:val="24"/>
        </w:rPr>
        <w:t>法定代表人证明书</w:t>
      </w:r>
    </w:p>
    <w:p>
      <w:pPr>
        <w:pStyle w:val="13"/>
        <w:numPr>
          <w:ilvl w:val="0"/>
          <w:numId w:val="13"/>
        </w:numPr>
        <w:tabs>
          <w:tab w:val="left" w:pos="1604"/>
        </w:tabs>
        <w:spacing w:before="158" w:after="0" w:line="240" w:lineRule="auto"/>
        <w:ind w:left="1603" w:right="0" w:hanging="616"/>
        <w:jc w:val="left"/>
        <w:rPr>
          <w:sz w:val="24"/>
        </w:rPr>
      </w:pPr>
      <w:r>
        <w:rPr>
          <w:sz w:val="24"/>
        </w:rPr>
        <w:t>法定代表人授权书</w:t>
      </w:r>
    </w:p>
    <w:p>
      <w:pPr>
        <w:pStyle w:val="13"/>
        <w:numPr>
          <w:ilvl w:val="0"/>
          <w:numId w:val="13"/>
        </w:numPr>
        <w:tabs>
          <w:tab w:val="left" w:pos="1604"/>
        </w:tabs>
        <w:spacing w:before="161" w:after="0" w:line="240" w:lineRule="auto"/>
        <w:ind w:left="1603" w:right="0" w:hanging="616"/>
        <w:jc w:val="left"/>
        <w:rPr>
          <w:sz w:val="24"/>
        </w:rPr>
      </w:pPr>
      <w:r>
        <w:rPr>
          <w:sz w:val="24"/>
        </w:rPr>
        <w:t>供应商承诺函</w:t>
      </w:r>
    </w:p>
    <w:p>
      <w:pPr>
        <w:pStyle w:val="13"/>
        <w:numPr>
          <w:ilvl w:val="0"/>
          <w:numId w:val="13"/>
        </w:numPr>
        <w:tabs>
          <w:tab w:val="left" w:pos="1604"/>
        </w:tabs>
        <w:spacing w:before="158" w:after="0" w:line="240" w:lineRule="auto"/>
        <w:ind w:left="1603" w:right="0" w:hanging="616"/>
        <w:jc w:val="left"/>
        <w:rPr>
          <w:sz w:val="24"/>
        </w:rPr>
      </w:pPr>
      <w:r>
        <w:rPr>
          <w:sz w:val="24"/>
        </w:rPr>
        <w:t>供应商诚信承诺书</w:t>
      </w:r>
    </w:p>
    <w:p>
      <w:pPr>
        <w:pStyle w:val="13"/>
        <w:numPr>
          <w:ilvl w:val="0"/>
          <w:numId w:val="13"/>
        </w:numPr>
        <w:tabs>
          <w:tab w:val="left" w:pos="1604"/>
        </w:tabs>
        <w:spacing w:before="160" w:after="0" w:line="240" w:lineRule="auto"/>
        <w:ind w:left="1603" w:right="0" w:hanging="616"/>
        <w:jc w:val="left"/>
        <w:rPr>
          <w:sz w:val="24"/>
        </w:rPr>
      </w:pPr>
      <w:r>
        <w:rPr>
          <w:sz w:val="24"/>
        </w:rPr>
        <w:t>资格证明材料</w:t>
      </w:r>
    </w:p>
    <w:p>
      <w:pPr>
        <w:pStyle w:val="13"/>
        <w:numPr>
          <w:ilvl w:val="0"/>
          <w:numId w:val="13"/>
        </w:numPr>
        <w:tabs>
          <w:tab w:val="left" w:pos="1604"/>
        </w:tabs>
        <w:spacing w:before="158" w:after="0" w:line="240" w:lineRule="auto"/>
        <w:ind w:left="1603" w:right="0" w:hanging="616"/>
        <w:jc w:val="left"/>
        <w:rPr>
          <w:sz w:val="24"/>
        </w:rPr>
      </w:pPr>
      <w:r>
        <w:rPr>
          <w:sz w:val="24"/>
        </w:rPr>
        <w:t>财务状况、缴纳税收和社会保障资金证明</w:t>
      </w:r>
    </w:p>
    <w:p>
      <w:pPr>
        <w:pStyle w:val="13"/>
        <w:numPr>
          <w:ilvl w:val="0"/>
          <w:numId w:val="13"/>
        </w:numPr>
        <w:tabs>
          <w:tab w:val="left" w:pos="1604"/>
        </w:tabs>
        <w:spacing w:before="161" w:after="0" w:line="240" w:lineRule="auto"/>
        <w:ind w:left="1603" w:right="0" w:hanging="616"/>
        <w:jc w:val="left"/>
        <w:rPr>
          <w:sz w:val="24"/>
        </w:rPr>
      </w:pPr>
      <w:r>
        <w:rPr>
          <w:sz w:val="24"/>
        </w:rPr>
        <w:t>具备履行合同所必须的设备和专业技术能力证明</w:t>
      </w:r>
    </w:p>
    <w:p>
      <w:pPr>
        <w:pStyle w:val="13"/>
        <w:numPr>
          <w:ilvl w:val="0"/>
          <w:numId w:val="13"/>
        </w:numPr>
        <w:tabs>
          <w:tab w:val="left" w:pos="1604"/>
        </w:tabs>
        <w:spacing w:before="158" w:after="0" w:line="240" w:lineRule="auto"/>
        <w:ind w:left="1603" w:right="0" w:hanging="616"/>
        <w:jc w:val="left"/>
        <w:rPr>
          <w:sz w:val="24"/>
        </w:rPr>
      </w:pPr>
      <w:r>
        <w:rPr>
          <w:sz w:val="24"/>
        </w:rPr>
        <w:t>无重大违法记录声明</w:t>
      </w:r>
    </w:p>
    <w:p>
      <w:pPr>
        <w:pStyle w:val="13"/>
        <w:numPr>
          <w:ilvl w:val="0"/>
          <w:numId w:val="13"/>
        </w:numPr>
        <w:tabs>
          <w:tab w:val="left" w:pos="1739"/>
        </w:tabs>
        <w:spacing w:before="161" w:after="0" w:line="240" w:lineRule="auto"/>
        <w:ind w:left="1738" w:right="0" w:hanging="751"/>
        <w:jc w:val="left"/>
        <w:rPr>
          <w:sz w:val="24"/>
        </w:rPr>
      </w:pPr>
      <w:r>
        <w:rPr>
          <w:sz w:val="24"/>
        </w:rPr>
        <w:t>磋商保证金</w:t>
      </w:r>
    </w:p>
    <w:p>
      <w:pPr>
        <w:pStyle w:val="13"/>
        <w:numPr>
          <w:ilvl w:val="1"/>
          <w:numId w:val="8"/>
        </w:numPr>
        <w:tabs>
          <w:tab w:val="left" w:pos="1459"/>
        </w:tabs>
        <w:spacing w:before="158" w:after="0" w:line="240" w:lineRule="auto"/>
        <w:ind w:left="1458" w:right="0" w:hanging="471"/>
        <w:jc w:val="left"/>
        <w:rPr>
          <w:sz w:val="24"/>
        </w:rPr>
      </w:pPr>
      <w:r>
        <w:rPr>
          <w:sz w:val="24"/>
        </w:rPr>
        <w:t>磋商响应文件（</w:t>
      </w:r>
      <w:r>
        <w:rPr>
          <w:spacing w:val="-2"/>
          <w:sz w:val="24"/>
        </w:rPr>
        <w:t>下册</w:t>
      </w:r>
      <w:r>
        <w:rPr>
          <w:sz w:val="24"/>
        </w:rPr>
        <w:t>）</w:t>
      </w:r>
    </w:p>
    <w:p>
      <w:pPr>
        <w:pStyle w:val="13"/>
        <w:numPr>
          <w:ilvl w:val="0"/>
          <w:numId w:val="13"/>
        </w:numPr>
        <w:tabs>
          <w:tab w:val="left" w:pos="1739"/>
        </w:tabs>
        <w:spacing w:before="161" w:after="0" w:line="240" w:lineRule="auto"/>
        <w:ind w:left="1738" w:right="0" w:hanging="751"/>
        <w:jc w:val="left"/>
        <w:rPr>
          <w:sz w:val="24"/>
        </w:rPr>
      </w:pPr>
      <w:r>
        <w:rPr>
          <w:sz w:val="24"/>
        </w:rPr>
        <w:t>评分对照表</w:t>
      </w:r>
    </w:p>
    <w:p>
      <w:pPr>
        <w:pStyle w:val="13"/>
        <w:numPr>
          <w:ilvl w:val="0"/>
          <w:numId w:val="13"/>
        </w:numPr>
        <w:tabs>
          <w:tab w:val="left" w:pos="1739"/>
        </w:tabs>
        <w:spacing w:before="158" w:after="0" w:line="240" w:lineRule="auto"/>
        <w:ind w:left="1738" w:right="0" w:hanging="751"/>
        <w:jc w:val="left"/>
        <w:rPr>
          <w:sz w:val="24"/>
        </w:rPr>
      </w:pPr>
      <w:r>
        <w:rPr>
          <w:sz w:val="24"/>
        </w:rPr>
        <w:t>开标一览表（</w:t>
      </w:r>
      <w:r>
        <w:rPr>
          <w:spacing w:val="-2"/>
          <w:sz w:val="24"/>
        </w:rPr>
        <w:t>报价表</w:t>
      </w:r>
      <w:r>
        <w:rPr>
          <w:sz w:val="24"/>
        </w:rPr>
        <w:t>）</w:t>
      </w:r>
    </w:p>
    <w:p>
      <w:pPr>
        <w:pStyle w:val="13"/>
        <w:numPr>
          <w:ilvl w:val="0"/>
          <w:numId w:val="13"/>
        </w:numPr>
        <w:tabs>
          <w:tab w:val="left" w:pos="1739"/>
        </w:tabs>
        <w:spacing w:before="160" w:after="0" w:line="240" w:lineRule="auto"/>
        <w:ind w:left="1738" w:right="0" w:hanging="751"/>
        <w:jc w:val="left"/>
        <w:rPr>
          <w:sz w:val="24"/>
        </w:rPr>
      </w:pPr>
      <w:r>
        <w:rPr>
          <w:sz w:val="24"/>
        </w:rPr>
        <w:t>分项报价表</w:t>
      </w:r>
    </w:p>
    <w:p>
      <w:pPr>
        <w:pStyle w:val="13"/>
        <w:numPr>
          <w:ilvl w:val="0"/>
          <w:numId w:val="13"/>
        </w:numPr>
        <w:tabs>
          <w:tab w:val="left" w:pos="1739"/>
        </w:tabs>
        <w:spacing w:before="161" w:after="0" w:line="240" w:lineRule="auto"/>
        <w:ind w:left="1738" w:right="0" w:hanging="751"/>
        <w:jc w:val="left"/>
        <w:rPr>
          <w:sz w:val="24"/>
        </w:rPr>
      </w:pPr>
      <w:r>
        <w:rPr>
          <w:sz w:val="24"/>
        </w:rPr>
        <w:t>技术规格响应表</w:t>
      </w:r>
    </w:p>
    <w:p>
      <w:pPr>
        <w:pStyle w:val="13"/>
        <w:numPr>
          <w:ilvl w:val="0"/>
          <w:numId w:val="13"/>
        </w:numPr>
        <w:tabs>
          <w:tab w:val="left" w:pos="1739"/>
        </w:tabs>
        <w:spacing w:before="158" w:after="0" w:line="240" w:lineRule="auto"/>
        <w:ind w:left="1738" w:right="0" w:hanging="751"/>
        <w:jc w:val="left"/>
        <w:rPr>
          <w:sz w:val="24"/>
        </w:rPr>
      </w:pPr>
      <w:r>
        <w:rPr>
          <w:spacing w:val="-1"/>
          <w:sz w:val="24"/>
        </w:rPr>
        <w:t>磋商产品相关资料</w:t>
      </w:r>
    </w:p>
    <w:p>
      <w:pPr>
        <w:pStyle w:val="13"/>
        <w:numPr>
          <w:ilvl w:val="0"/>
          <w:numId w:val="13"/>
        </w:numPr>
        <w:tabs>
          <w:tab w:val="left" w:pos="1739"/>
        </w:tabs>
        <w:spacing w:before="160" w:after="0" w:line="240" w:lineRule="auto"/>
        <w:ind w:left="1738" w:right="0" w:hanging="751"/>
        <w:jc w:val="left"/>
        <w:rPr>
          <w:sz w:val="24"/>
        </w:rPr>
      </w:pPr>
      <w:r>
        <w:rPr>
          <w:spacing w:val="-1"/>
          <w:sz w:val="24"/>
        </w:rPr>
        <w:t>供应商类似业绩证明材料</w:t>
      </w:r>
    </w:p>
    <w:p>
      <w:pPr>
        <w:pStyle w:val="13"/>
        <w:numPr>
          <w:ilvl w:val="0"/>
          <w:numId w:val="13"/>
        </w:numPr>
        <w:tabs>
          <w:tab w:val="left" w:pos="1739"/>
        </w:tabs>
        <w:spacing w:before="159" w:after="0" w:line="240" w:lineRule="auto"/>
        <w:ind w:left="1738" w:right="0" w:hanging="751"/>
        <w:jc w:val="left"/>
        <w:rPr>
          <w:sz w:val="24"/>
        </w:rPr>
      </w:pPr>
      <w:r>
        <w:rPr>
          <w:sz w:val="24"/>
        </w:rPr>
        <w:t>制造（生产）</w:t>
      </w:r>
      <w:r>
        <w:rPr>
          <w:spacing w:val="-2"/>
          <w:sz w:val="24"/>
        </w:rPr>
        <w:t>企业小型、微型企业声明函、从业人员声明函</w:t>
      </w:r>
    </w:p>
    <w:p>
      <w:pPr>
        <w:pStyle w:val="13"/>
        <w:numPr>
          <w:ilvl w:val="0"/>
          <w:numId w:val="13"/>
        </w:numPr>
        <w:tabs>
          <w:tab w:val="left" w:pos="1739"/>
        </w:tabs>
        <w:spacing w:before="160" w:after="0" w:line="240" w:lineRule="auto"/>
        <w:ind w:left="1738" w:right="0" w:hanging="751"/>
        <w:jc w:val="left"/>
        <w:rPr>
          <w:sz w:val="24"/>
        </w:rPr>
      </w:pPr>
      <w:r>
        <w:rPr>
          <w:spacing w:val="-1"/>
          <w:sz w:val="24"/>
        </w:rPr>
        <w:t>残疾人福利性单位声明函</w:t>
      </w:r>
    </w:p>
    <w:p>
      <w:pPr>
        <w:pStyle w:val="13"/>
        <w:numPr>
          <w:ilvl w:val="0"/>
          <w:numId w:val="13"/>
        </w:numPr>
        <w:tabs>
          <w:tab w:val="left" w:pos="1739"/>
        </w:tabs>
        <w:spacing w:before="158" w:after="0" w:line="240" w:lineRule="auto"/>
        <w:ind w:left="1738" w:right="0" w:hanging="751"/>
        <w:jc w:val="left"/>
        <w:rPr>
          <w:sz w:val="24"/>
        </w:rPr>
      </w:pPr>
      <w:r>
        <w:rPr>
          <w:spacing w:val="-1"/>
          <w:sz w:val="24"/>
        </w:rPr>
        <w:t>供应商认为在其他方面有必要说明的事项</w:t>
      </w:r>
    </w:p>
    <w:p>
      <w:pPr>
        <w:pStyle w:val="13"/>
        <w:numPr>
          <w:ilvl w:val="0"/>
          <w:numId w:val="13"/>
        </w:numPr>
        <w:tabs>
          <w:tab w:val="left" w:pos="1739"/>
        </w:tabs>
        <w:spacing w:before="161" w:after="0" w:line="240" w:lineRule="auto"/>
        <w:ind w:left="1738" w:right="0" w:hanging="751"/>
        <w:jc w:val="left"/>
        <w:rPr>
          <w:sz w:val="24"/>
        </w:rPr>
      </w:pPr>
      <w:r>
        <w:rPr>
          <w:sz w:val="24"/>
        </w:rPr>
        <w:t>磋商最终报价表</w:t>
      </w:r>
    </w:p>
    <w:p>
      <w:pPr>
        <w:spacing w:before="158" w:line="364" w:lineRule="auto"/>
        <w:ind w:left="508" w:right="527" w:firstLine="482"/>
        <w:jc w:val="both"/>
        <w:rPr>
          <w:b/>
          <w:sz w:val="24"/>
        </w:rPr>
      </w:pPr>
      <w:r>
        <w:rPr>
          <w:b/>
          <w:sz w:val="24"/>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pPr>
        <w:pStyle w:val="13"/>
        <w:numPr>
          <w:ilvl w:val="0"/>
          <w:numId w:val="8"/>
        </w:numPr>
        <w:tabs>
          <w:tab w:val="left" w:pos="965"/>
        </w:tabs>
        <w:spacing w:before="0" w:after="0" w:line="307" w:lineRule="exact"/>
        <w:ind w:left="964" w:right="0" w:hanging="457"/>
        <w:jc w:val="both"/>
        <w:rPr>
          <w:b/>
          <w:sz w:val="24"/>
        </w:rPr>
      </w:pPr>
      <w:bookmarkStart w:id="17" w:name="_TOC_250051"/>
      <w:bookmarkEnd w:id="17"/>
      <w:r>
        <w:rPr>
          <w:b/>
          <w:sz w:val="24"/>
        </w:rPr>
        <w:t>磋商文件的编制要求</w:t>
      </w:r>
    </w:p>
    <w:p>
      <w:pPr>
        <w:pStyle w:val="13"/>
        <w:numPr>
          <w:ilvl w:val="1"/>
          <w:numId w:val="8"/>
        </w:numPr>
        <w:tabs>
          <w:tab w:val="left" w:pos="1459"/>
        </w:tabs>
        <w:spacing w:before="159" w:after="0" w:line="364" w:lineRule="auto"/>
        <w:ind w:left="508" w:right="525" w:firstLine="480"/>
        <w:jc w:val="left"/>
        <w:rPr>
          <w:sz w:val="24"/>
        </w:rPr>
      </w:pPr>
      <w:r>
        <w:rPr>
          <w:spacing w:val="-1"/>
          <w:sz w:val="24"/>
        </w:rPr>
        <w:t>供应商应按照磋商文件所提供的磋商响应文件格式，分别填写磋商文件第五部分</w:t>
      </w:r>
      <w:r>
        <w:rPr>
          <w:sz w:val="24"/>
        </w:rPr>
        <w:t>的内容，并由法定代表人或委托代理人按要求签字、加盖公章。</w:t>
      </w:r>
    </w:p>
    <w:p>
      <w:pPr>
        <w:pStyle w:val="13"/>
        <w:numPr>
          <w:ilvl w:val="1"/>
          <w:numId w:val="8"/>
        </w:numPr>
        <w:tabs>
          <w:tab w:val="left" w:pos="1459"/>
        </w:tabs>
        <w:spacing w:before="0" w:after="0" w:line="364" w:lineRule="auto"/>
        <w:ind w:left="508" w:right="519" w:firstLine="480"/>
        <w:jc w:val="left"/>
        <w:rPr>
          <w:sz w:val="24"/>
        </w:rPr>
      </w:pPr>
      <w:r>
        <w:rPr>
          <w:spacing w:val="-5"/>
          <w:sz w:val="24"/>
        </w:rPr>
        <w:t>供应商应按磋商文件要求准备磋商响应文件</w:t>
      </w:r>
      <w:r>
        <w:rPr>
          <w:sz w:val="24"/>
        </w:rPr>
        <w:t>（</w:t>
      </w:r>
      <w:r>
        <w:rPr>
          <w:rFonts w:ascii="Arial" w:hAnsi="Arial" w:eastAsia="Arial"/>
          <w:sz w:val="24"/>
        </w:rPr>
        <w:t>1</w:t>
      </w:r>
      <w:r>
        <w:rPr>
          <w:spacing w:val="-25"/>
          <w:sz w:val="24"/>
        </w:rPr>
        <w:t>份正本</w:t>
      </w:r>
      <w:r>
        <w:rPr>
          <w:sz w:val="24"/>
        </w:rPr>
        <w:t>（</w:t>
      </w:r>
      <w:r>
        <w:rPr>
          <w:spacing w:val="-20"/>
          <w:sz w:val="24"/>
        </w:rPr>
        <w:t>上、下册</w:t>
      </w:r>
      <w:r>
        <w:rPr>
          <w:spacing w:val="-75"/>
          <w:sz w:val="24"/>
        </w:rPr>
        <w:t>）</w:t>
      </w:r>
      <w:r>
        <w:rPr>
          <w:spacing w:val="-74"/>
          <w:sz w:val="24"/>
        </w:rPr>
        <w:t>、</w:t>
      </w:r>
      <w:r>
        <w:rPr>
          <w:rFonts w:ascii="Arial" w:hAnsi="Arial" w:eastAsia="Arial"/>
          <w:sz w:val="24"/>
        </w:rPr>
        <w:t>2</w:t>
      </w:r>
      <w:r>
        <w:rPr>
          <w:spacing w:val="-25"/>
          <w:sz w:val="24"/>
        </w:rPr>
        <w:t>份副本</w:t>
      </w:r>
      <w:r>
        <w:rPr>
          <w:sz w:val="24"/>
        </w:rPr>
        <w:t>（上、下册）和相应的电子文档</w:t>
      </w:r>
      <w:r>
        <w:rPr>
          <w:rFonts w:ascii="Arial" w:hAnsi="Arial" w:eastAsia="Arial"/>
          <w:spacing w:val="3"/>
          <w:sz w:val="24"/>
        </w:rPr>
        <w:t>1</w:t>
      </w:r>
      <w:r>
        <w:rPr>
          <w:sz w:val="24"/>
        </w:rPr>
        <w:t>份（上、下册））。每份磋商响应文件都必须清楚地标明</w:t>
      </w:r>
      <w:r>
        <w:rPr>
          <w:rFonts w:ascii="Arial" w:hAnsi="Arial" w:eastAsia="Arial"/>
          <w:sz w:val="24"/>
        </w:rPr>
        <w:t>“</w:t>
      </w:r>
      <w:r>
        <w:rPr>
          <w:sz w:val="24"/>
        </w:rPr>
        <w:t>正本</w:t>
      </w:r>
    </w:p>
    <w:p>
      <w:pPr>
        <w:pStyle w:val="2"/>
        <w:ind w:left="508"/>
      </w:pPr>
      <w:r>
        <w:t>（上、下册）</w:t>
      </w:r>
      <w:r>
        <w:rPr>
          <w:rFonts w:ascii="Arial" w:hAnsi="Arial" w:eastAsia="Arial"/>
        </w:rPr>
        <w:t>”</w:t>
      </w:r>
      <w:r>
        <w:t>或</w:t>
      </w:r>
      <w:r>
        <w:rPr>
          <w:rFonts w:ascii="Arial" w:hAnsi="Arial" w:eastAsia="Arial"/>
        </w:rPr>
        <w:t>“</w:t>
      </w:r>
      <w:r>
        <w:t>副本（上、下册）</w:t>
      </w:r>
      <w:r>
        <w:rPr>
          <w:rFonts w:ascii="Arial" w:hAnsi="Arial" w:eastAsia="Arial"/>
        </w:rPr>
        <w:t>”</w:t>
      </w:r>
      <w:r>
        <w:t>字样。若发生正本和副本不符，以正本磋商响应文件</w:t>
      </w:r>
    </w:p>
    <w:p>
      <w:pPr>
        <w:spacing w:after="0"/>
        <w:sectPr>
          <w:pgSz w:w="11910" w:h="16840"/>
          <w:pgMar w:top="1180" w:right="720" w:bottom="1120" w:left="740" w:header="711" w:footer="923" w:gutter="0"/>
        </w:sectPr>
      </w:pPr>
    </w:p>
    <w:p>
      <w:pPr>
        <w:pStyle w:val="2"/>
        <w:spacing w:before="67" w:line="364" w:lineRule="auto"/>
        <w:ind w:left="508" w:right="410"/>
      </w:pPr>
      <w:r>
        <w:t>为准。磋商响应文件统一使用</w:t>
      </w:r>
      <w:r>
        <w:rPr>
          <w:rFonts w:ascii="Arial" w:eastAsia="Arial"/>
        </w:rPr>
        <w:t>A4</w:t>
      </w:r>
      <w:r>
        <w:t>幅面的纸张印制，必须胶装成册并编码且须加盖骑缝章， 书脊处注明项目名称（上、下册）、磋商单位，其他方式装订的磋商响应文件一概按无效标处理。</w:t>
      </w:r>
    </w:p>
    <w:p>
      <w:pPr>
        <w:pStyle w:val="13"/>
        <w:numPr>
          <w:ilvl w:val="1"/>
          <w:numId w:val="8"/>
        </w:numPr>
        <w:tabs>
          <w:tab w:val="left" w:pos="1459"/>
        </w:tabs>
        <w:spacing w:before="0" w:after="0" w:line="364" w:lineRule="auto"/>
        <w:ind w:left="508" w:right="524" w:firstLine="480"/>
        <w:jc w:val="both"/>
        <w:rPr>
          <w:sz w:val="24"/>
        </w:rPr>
      </w:pPr>
      <w:r>
        <w:rPr>
          <w:sz w:val="24"/>
        </w:rPr>
        <w:t>磋商响应文件的正本和副本均需打印或用不褪色、不变质的墨水书写，并由供应</w:t>
      </w:r>
      <w:r>
        <w:rPr>
          <w:spacing w:val="-1"/>
          <w:sz w:val="24"/>
        </w:rPr>
        <w:t>商的法定代表人或其委托代理人在规定签章处签字、盖章。磋商响应文件副本可采用正本</w:t>
      </w:r>
      <w:r>
        <w:rPr>
          <w:spacing w:val="-5"/>
          <w:sz w:val="24"/>
        </w:rPr>
        <w:t>的复印件加盖骑缝章，电子文档采用</w:t>
      </w:r>
      <w:r>
        <w:rPr>
          <w:rFonts w:ascii="Arial" w:eastAsia="Arial"/>
          <w:sz w:val="24"/>
        </w:rPr>
        <w:t>U</w:t>
      </w:r>
      <w:r>
        <w:rPr>
          <w:spacing w:val="-3"/>
          <w:sz w:val="24"/>
        </w:rPr>
        <w:t>盘制作，</w:t>
      </w:r>
      <w:r>
        <w:rPr>
          <w:rFonts w:ascii="Arial" w:eastAsia="Arial"/>
          <w:spacing w:val="-11"/>
          <w:sz w:val="24"/>
        </w:rPr>
        <w:t>PDF</w:t>
      </w:r>
      <w:r>
        <w:rPr>
          <w:spacing w:val="-5"/>
          <w:sz w:val="24"/>
        </w:rPr>
        <w:t>格式与正本内容完全一致，包括封面、</w:t>
      </w:r>
      <w:r>
        <w:rPr>
          <w:sz w:val="24"/>
        </w:rPr>
        <w:t>页码、签字、盖章等，并在</w:t>
      </w:r>
      <w:r>
        <w:rPr>
          <w:rFonts w:ascii="Arial" w:eastAsia="Arial"/>
          <w:sz w:val="24"/>
        </w:rPr>
        <w:t>U</w:t>
      </w:r>
      <w:r>
        <w:rPr>
          <w:sz w:val="24"/>
        </w:rPr>
        <w:t>盘标注项目编号及供应商名称。其他方式装订的一概按无效标处理。</w:t>
      </w:r>
    </w:p>
    <w:p>
      <w:pPr>
        <w:pStyle w:val="13"/>
        <w:numPr>
          <w:ilvl w:val="1"/>
          <w:numId w:val="8"/>
        </w:numPr>
        <w:tabs>
          <w:tab w:val="left" w:pos="1459"/>
        </w:tabs>
        <w:spacing w:before="0" w:after="0" w:line="364" w:lineRule="auto"/>
        <w:ind w:left="508" w:right="525" w:firstLine="480"/>
        <w:jc w:val="left"/>
        <w:rPr>
          <w:sz w:val="24"/>
        </w:rPr>
      </w:pPr>
      <w:r>
        <w:rPr>
          <w:spacing w:val="-1"/>
          <w:sz w:val="24"/>
        </w:rPr>
        <w:t>磋商响应文件中不得行间插字、涂改或增删，如有修改错漏处，须由供应商企业</w:t>
      </w:r>
      <w:r>
        <w:rPr>
          <w:sz w:val="24"/>
        </w:rPr>
        <w:t>法人或其委托代理人签字或（和）盖个人印鉴。</w:t>
      </w:r>
    </w:p>
    <w:p>
      <w:pPr>
        <w:spacing w:before="0" w:line="357" w:lineRule="exact"/>
        <w:ind w:left="3669" w:right="0" w:firstLine="0"/>
        <w:jc w:val="left"/>
        <w:rPr>
          <w:b/>
          <w:sz w:val="28"/>
        </w:rPr>
      </w:pPr>
      <w:bookmarkStart w:id="18" w:name="_TOC_250050"/>
      <w:bookmarkEnd w:id="18"/>
      <w:r>
        <w:rPr>
          <w:b/>
          <w:sz w:val="28"/>
        </w:rPr>
        <w:t>四、磋商响应文件的递交</w:t>
      </w:r>
    </w:p>
    <w:p>
      <w:pPr>
        <w:pStyle w:val="13"/>
        <w:numPr>
          <w:ilvl w:val="0"/>
          <w:numId w:val="8"/>
        </w:numPr>
        <w:tabs>
          <w:tab w:val="left" w:pos="965"/>
        </w:tabs>
        <w:spacing w:before="183" w:after="0" w:line="240" w:lineRule="auto"/>
        <w:ind w:left="964" w:right="0" w:hanging="457"/>
        <w:jc w:val="both"/>
        <w:rPr>
          <w:b/>
          <w:sz w:val="24"/>
        </w:rPr>
      </w:pPr>
      <w:bookmarkStart w:id="19" w:name="_TOC_250049"/>
      <w:bookmarkEnd w:id="19"/>
      <w:r>
        <w:rPr>
          <w:b/>
          <w:sz w:val="24"/>
        </w:rPr>
        <w:t>磋商响应文件的密封和标记</w:t>
      </w:r>
    </w:p>
    <w:p>
      <w:pPr>
        <w:pStyle w:val="13"/>
        <w:numPr>
          <w:ilvl w:val="1"/>
          <w:numId w:val="8"/>
        </w:numPr>
        <w:tabs>
          <w:tab w:val="left" w:pos="1459"/>
        </w:tabs>
        <w:spacing w:before="158" w:after="0" w:line="364" w:lineRule="auto"/>
        <w:ind w:left="508" w:right="526" w:firstLine="480"/>
        <w:jc w:val="both"/>
        <w:rPr>
          <w:sz w:val="24"/>
        </w:rPr>
      </w:pPr>
      <w:r>
        <w:rPr>
          <w:spacing w:val="-1"/>
          <w:sz w:val="24"/>
        </w:rPr>
        <w:t>磋商响应文件正本、所有副本和电子文档，应分别封装于不同的密封袋内，密封</w:t>
      </w:r>
      <w:r>
        <w:rPr>
          <w:sz w:val="24"/>
        </w:rPr>
        <w:t>袋上应分别标上</w:t>
      </w:r>
      <w:r>
        <w:rPr>
          <w:rFonts w:ascii="Arial" w:hAnsi="Arial" w:eastAsia="Arial"/>
          <w:sz w:val="24"/>
        </w:rPr>
        <w:t>“</w:t>
      </w:r>
      <w:r>
        <w:rPr>
          <w:sz w:val="24"/>
        </w:rPr>
        <w:t>正本</w:t>
      </w:r>
      <w:r>
        <w:rPr>
          <w:rFonts w:ascii="Arial" w:hAnsi="Arial" w:eastAsia="Arial"/>
          <w:sz w:val="24"/>
        </w:rPr>
        <w:t>”</w:t>
      </w:r>
      <w:r>
        <w:rPr>
          <w:spacing w:val="-15"/>
          <w:sz w:val="24"/>
        </w:rPr>
        <w:t>、</w:t>
      </w:r>
      <w:r>
        <w:rPr>
          <w:rFonts w:ascii="Arial" w:hAnsi="Arial" w:eastAsia="Arial"/>
          <w:sz w:val="24"/>
        </w:rPr>
        <w:t>“</w:t>
      </w:r>
      <w:r>
        <w:rPr>
          <w:sz w:val="24"/>
        </w:rPr>
        <w:t>副本</w:t>
      </w:r>
      <w:r>
        <w:rPr>
          <w:rFonts w:ascii="Arial" w:hAnsi="Arial" w:eastAsia="Arial"/>
          <w:sz w:val="24"/>
        </w:rPr>
        <w:t>”</w:t>
      </w:r>
      <w:r>
        <w:rPr>
          <w:spacing w:val="-7"/>
          <w:sz w:val="24"/>
        </w:rPr>
        <w:t xml:space="preserve">、 </w:t>
      </w:r>
      <w:r>
        <w:rPr>
          <w:rFonts w:ascii="Arial" w:hAnsi="Arial" w:eastAsia="Arial"/>
          <w:sz w:val="24"/>
        </w:rPr>
        <w:t>“</w:t>
      </w:r>
      <w:r>
        <w:rPr>
          <w:sz w:val="24"/>
        </w:rPr>
        <w:t>电子文档</w:t>
      </w:r>
      <w:r>
        <w:rPr>
          <w:rFonts w:ascii="Arial" w:hAnsi="Arial" w:eastAsia="Arial"/>
          <w:sz w:val="24"/>
        </w:rPr>
        <w:t>”</w:t>
      </w:r>
      <w:r>
        <w:rPr>
          <w:spacing w:val="-7"/>
          <w:sz w:val="24"/>
        </w:rPr>
        <w:t>字样，并注明供应商名称、采购项目编号、采</w:t>
      </w:r>
      <w:r>
        <w:rPr>
          <w:sz w:val="24"/>
        </w:rPr>
        <w:t>购项目名称及分包号（如有分包）。</w:t>
      </w:r>
    </w:p>
    <w:p>
      <w:pPr>
        <w:pStyle w:val="13"/>
        <w:numPr>
          <w:ilvl w:val="1"/>
          <w:numId w:val="8"/>
        </w:numPr>
        <w:tabs>
          <w:tab w:val="left" w:pos="1459"/>
        </w:tabs>
        <w:spacing w:before="0" w:after="0" w:line="307" w:lineRule="exact"/>
        <w:ind w:left="1458" w:right="0" w:hanging="471"/>
        <w:jc w:val="left"/>
        <w:rPr>
          <w:sz w:val="24"/>
        </w:rPr>
      </w:pPr>
      <w:r>
        <w:rPr>
          <w:spacing w:val="-1"/>
          <w:sz w:val="24"/>
        </w:rPr>
        <w:t>密封后的磋商响应文件均应：</w:t>
      </w:r>
    </w:p>
    <w:p>
      <w:pPr>
        <w:pStyle w:val="13"/>
        <w:numPr>
          <w:ilvl w:val="0"/>
          <w:numId w:val="14"/>
        </w:numPr>
        <w:tabs>
          <w:tab w:val="left" w:pos="1283"/>
        </w:tabs>
        <w:spacing w:before="161" w:after="0" w:line="240" w:lineRule="auto"/>
        <w:ind w:left="1282" w:right="0" w:hanging="295"/>
        <w:jc w:val="left"/>
        <w:rPr>
          <w:sz w:val="24"/>
        </w:rPr>
      </w:pPr>
      <w:r>
        <w:rPr>
          <w:sz w:val="24"/>
        </w:rPr>
        <w:t>按</w:t>
      </w:r>
      <w:r>
        <w:rPr>
          <w:rFonts w:ascii="Arial" w:hAnsi="Arial" w:eastAsia="Arial"/>
          <w:sz w:val="24"/>
        </w:rPr>
        <w:t>“</w:t>
      </w:r>
      <w:r>
        <w:rPr>
          <w:sz w:val="24"/>
        </w:rPr>
        <w:t>供应商磋商前须知</w:t>
      </w:r>
      <w:r>
        <w:rPr>
          <w:rFonts w:ascii="Arial" w:hAnsi="Arial" w:eastAsia="Arial"/>
          <w:sz w:val="24"/>
        </w:rPr>
        <w:t>”</w:t>
      </w:r>
      <w:r>
        <w:rPr>
          <w:sz w:val="24"/>
        </w:rPr>
        <w:t>注明的时间、地址送达；</w:t>
      </w:r>
    </w:p>
    <w:p>
      <w:pPr>
        <w:spacing w:after="0" w:line="240" w:lineRule="auto"/>
        <w:jc w:val="left"/>
        <w:rPr>
          <w:sz w:val="24"/>
        </w:rPr>
        <w:sectPr>
          <w:pgSz w:w="11910" w:h="16840"/>
          <w:pgMar w:top="1180" w:right="720" w:bottom="1120" w:left="740" w:header="711" w:footer="923" w:gutter="0"/>
        </w:sectPr>
      </w:pPr>
    </w:p>
    <w:p>
      <w:pPr>
        <w:pStyle w:val="13"/>
        <w:numPr>
          <w:ilvl w:val="0"/>
          <w:numId w:val="14"/>
        </w:numPr>
        <w:tabs>
          <w:tab w:val="left" w:pos="1402"/>
        </w:tabs>
        <w:spacing w:before="158" w:after="0" w:line="364" w:lineRule="auto"/>
        <w:ind w:left="508" w:right="0" w:firstLine="480"/>
        <w:jc w:val="left"/>
        <w:rPr>
          <w:sz w:val="24"/>
        </w:rPr>
      </w:pPr>
      <w:r>
        <w:rPr>
          <w:sz w:val="24"/>
        </w:rPr>
        <w:t>磋商响应文件密封袋用</w:t>
      </w:r>
      <w:r>
        <w:rPr>
          <w:rFonts w:ascii="Arial" w:hAnsi="Arial" w:eastAsia="Arial"/>
          <w:spacing w:val="-1"/>
          <w:sz w:val="24"/>
        </w:rPr>
        <w:t>“</w:t>
      </w:r>
      <w:r>
        <w:rPr>
          <w:sz w:val="24"/>
        </w:rPr>
        <w:t>于</w:t>
      </w:r>
      <w:r>
        <w:rPr>
          <w:rFonts w:ascii="Arial" w:hAnsi="Arial" w:eastAsia="Arial"/>
          <w:w w:val="99"/>
          <w:sz w:val="24"/>
        </w:rPr>
        <w:t>20**</w:t>
      </w:r>
      <w:r>
        <w:rPr>
          <w:sz w:val="24"/>
        </w:rPr>
        <w:t>年</w:t>
      </w:r>
      <w:r>
        <w:rPr>
          <w:rFonts w:ascii="Arial" w:hAnsi="Arial" w:eastAsia="Arial"/>
          <w:w w:val="99"/>
          <w:sz w:val="24"/>
        </w:rPr>
        <w:t>**</w:t>
      </w:r>
      <w:r>
        <w:rPr>
          <w:sz w:val="24"/>
        </w:rPr>
        <w:t>月</w:t>
      </w:r>
      <w:r>
        <w:rPr>
          <w:rFonts w:ascii="Arial" w:hAnsi="Arial" w:eastAsia="Arial"/>
          <w:w w:val="99"/>
          <w:sz w:val="24"/>
        </w:rPr>
        <w:t>**</w:t>
      </w:r>
      <w:r>
        <w:rPr>
          <w:sz w:val="24"/>
        </w:rPr>
        <w:t>日</w:t>
      </w:r>
      <w:r>
        <w:rPr>
          <w:rFonts w:ascii="Arial" w:hAnsi="Arial" w:eastAsia="Arial"/>
          <w:spacing w:val="-22"/>
          <w:w w:val="99"/>
          <w:sz w:val="24"/>
        </w:rPr>
        <w:t>*</w:t>
      </w:r>
      <w:r>
        <w:rPr>
          <w:spacing w:val="-231"/>
          <w:sz w:val="24"/>
        </w:rPr>
        <w:t>（</w:t>
      </w:r>
      <w:r>
        <w:rPr>
          <w:rFonts w:ascii="Arial" w:hAnsi="Arial" w:eastAsia="Arial"/>
          <w:spacing w:val="-5"/>
          <w:w w:val="99"/>
          <w:sz w:val="24"/>
        </w:rPr>
        <w:t>*</w:t>
      </w:r>
      <w:r>
        <w:rPr>
          <w:sz w:val="24"/>
        </w:rPr>
        <w:t>并加盖密封章。</w:t>
      </w:r>
    </w:p>
    <w:p>
      <w:pPr>
        <w:pStyle w:val="2"/>
        <w:spacing w:before="158"/>
      </w:pPr>
      <w:r>
        <w:br w:type="column"/>
      </w:r>
      <w:r>
        <w:t>北京时间</w:t>
      </w:r>
      <w:r>
        <w:rPr>
          <w:spacing w:val="-108"/>
        </w:rPr>
        <w:t>）</w:t>
      </w:r>
      <w:r>
        <w:t>之前不准启封</w:t>
      </w:r>
      <w:r>
        <w:rPr>
          <w:rFonts w:ascii="Arial" w:hAnsi="Arial" w:eastAsia="Arial"/>
        </w:rPr>
        <w:t>”</w:t>
      </w:r>
      <w:r>
        <w:t>的标签密封，</w:t>
      </w:r>
    </w:p>
    <w:p>
      <w:pPr>
        <w:spacing w:after="0"/>
        <w:sectPr>
          <w:type w:val="continuous"/>
          <w:pgSz w:w="11910" w:h="16840"/>
          <w:pgMar w:top="1580" w:right="720" w:bottom="280" w:left="740" w:header="720" w:footer="720" w:gutter="0"/>
          <w:cols w:equalWidth="0" w:num="2">
            <w:col w:w="5857" w:space="40"/>
            <w:col w:w="4553"/>
          </w:cols>
        </w:sectPr>
      </w:pPr>
    </w:p>
    <w:p>
      <w:pPr>
        <w:pStyle w:val="13"/>
        <w:numPr>
          <w:ilvl w:val="1"/>
          <w:numId w:val="8"/>
        </w:numPr>
        <w:tabs>
          <w:tab w:val="left" w:pos="1459"/>
        </w:tabs>
        <w:spacing w:before="0" w:after="0" w:line="364" w:lineRule="auto"/>
        <w:ind w:left="508" w:right="405" w:firstLine="480"/>
        <w:jc w:val="left"/>
        <w:rPr>
          <w:sz w:val="24"/>
        </w:rPr>
      </w:pPr>
      <w:r>
        <w:rPr>
          <w:sz w:val="24"/>
        </w:rPr>
        <w:t>如果供应商未按第</w:t>
      </w:r>
      <w:r>
        <w:rPr>
          <w:rFonts w:ascii="Arial" w:eastAsia="Arial"/>
          <w:sz w:val="24"/>
        </w:rPr>
        <w:t>13.1</w:t>
      </w:r>
      <w:r>
        <w:rPr>
          <w:rFonts w:ascii="Arial" w:eastAsia="Arial"/>
          <w:spacing w:val="26"/>
          <w:sz w:val="24"/>
        </w:rPr>
        <w:t xml:space="preserve">- </w:t>
      </w:r>
      <w:r>
        <w:rPr>
          <w:rFonts w:ascii="Arial" w:eastAsia="Arial"/>
          <w:sz w:val="24"/>
        </w:rPr>
        <w:t>13.2</w:t>
      </w:r>
      <w:r>
        <w:rPr>
          <w:sz w:val="24"/>
        </w:rPr>
        <w:t>条要求将磋商响应文件密封或在密封袋上加写标记， 采购代理机构对误投或过早启封概不负责。由此造成提前启封的磋商响应文件，采购代理机构予以拒绝，并退回供应商。</w:t>
      </w:r>
    </w:p>
    <w:p>
      <w:pPr>
        <w:pStyle w:val="13"/>
        <w:numPr>
          <w:ilvl w:val="1"/>
          <w:numId w:val="8"/>
        </w:numPr>
        <w:tabs>
          <w:tab w:val="left" w:pos="1459"/>
        </w:tabs>
        <w:spacing w:before="0" w:after="0" w:line="307" w:lineRule="exact"/>
        <w:ind w:left="1458" w:right="0" w:hanging="471"/>
        <w:jc w:val="left"/>
        <w:rPr>
          <w:sz w:val="24"/>
        </w:rPr>
      </w:pPr>
      <w:r>
        <w:rPr>
          <w:spacing w:val="-1"/>
          <w:sz w:val="24"/>
        </w:rPr>
        <w:t>供应商以电报、电话、传真形式磋商的，采购代理机构概不接受。</w:t>
      </w:r>
    </w:p>
    <w:p>
      <w:pPr>
        <w:pStyle w:val="13"/>
        <w:numPr>
          <w:ilvl w:val="0"/>
          <w:numId w:val="8"/>
        </w:numPr>
        <w:tabs>
          <w:tab w:val="left" w:pos="965"/>
        </w:tabs>
        <w:spacing w:before="157" w:after="0" w:line="240" w:lineRule="auto"/>
        <w:ind w:left="964" w:right="0" w:hanging="457"/>
        <w:jc w:val="both"/>
        <w:rPr>
          <w:b/>
          <w:sz w:val="24"/>
        </w:rPr>
      </w:pPr>
      <w:bookmarkStart w:id="20" w:name="_TOC_250048"/>
      <w:bookmarkEnd w:id="20"/>
      <w:r>
        <w:rPr>
          <w:b/>
          <w:sz w:val="24"/>
        </w:rPr>
        <w:t>递送磋商响应文件的地点、截止日期</w:t>
      </w:r>
    </w:p>
    <w:p>
      <w:pPr>
        <w:pStyle w:val="13"/>
        <w:numPr>
          <w:ilvl w:val="1"/>
          <w:numId w:val="8"/>
        </w:numPr>
        <w:tabs>
          <w:tab w:val="left" w:pos="1459"/>
        </w:tabs>
        <w:spacing w:before="161" w:after="0" w:line="240" w:lineRule="auto"/>
        <w:ind w:left="1458" w:right="0" w:hanging="471"/>
        <w:jc w:val="left"/>
        <w:rPr>
          <w:sz w:val="24"/>
        </w:rPr>
      </w:pPr>
      <w:r>
        <w:rPr>
          <w:spacing w:val="-1"/>
          <w:sz w:val="24"/>
        </w:rPr>
        <w:t>所有磋商响应文件都必须按磋商文件规定的磋商截止时间之前送达开标地点。</w:t>
      </w:r>
    </w:p>
    <w:p>
      <w:pPr>
        <w:pStyle w:val="13"/>
        <w:numPr>
          <w:ilvl w:val="1"/>
          <w:numId w:val="8"/>
        </w:numPr>
        <w:tabs>
          <w:tab w:val="left" w:pos="1459"/>
        </w:tabs>
        <w:spacing w:before="158" w:after="0" w:line="240" w:lineRule="auto"/>
        <w:ind w:left="1458" w:right="0" w:hanging="471"/>
        <w:jc w:val="left"/>
        <w:rPr>
          <w:sz w:val="24"/>
        </w:rPr>
      </w:pPr>
      <w:r>
        <w:rPr>
          <w:spacing w:val="-1"/>
          <w:sz w:val="24"/>
        </w:rPr>
        <w:t>采购代理机构将拒绝接受在磋商截止时间之后送达的磋商响应文件。</w:t>
      </w:r>
    </w:p>
    <w:p>
      <w:pPr>
        <w:pStyle w:val="13"/>
        <w:numPr>
          <w:ilvl w:val="1"/>
          <w:numId w:val="8"/>
        </w:numPr>
        <w:tabs>
          <w:tab w:val="left" w:pos="1459"/>
        </w:tabs>
        <w:spacing w:before="161" w:after="0" w:line="364" w:lineRule="auto"/>
        <w:ind w:left="508" w:right="522" w:firstLine="480"/>
        <w:jc w:val="both"/>
        <w:rPr>
          <w:sz w:val="24"/>
        </w:rPr>
      </w:pPr>
      <w:r>
        <w:rPr>
          <w:spacing w:val="-1"/>
          <w:sz w:val="24"/>
        </w:rPr>
        <w:t>采购人和采购代理机构可以按照第</w:t>
      </w:r>
      <w:r>
        <w:rPr>
          <w:rFonts w:ascii="Arial" w:eastAsia="Arial"/>
          <w:sz w:val="24"/>
        </w:rPr>
        <w:t>6</w:t>
      </w:r>
      <w:r>
        <w:rPr>
          <w:spacing w:val="-10"/>
          <w:sz w:val="24"/>
        </w:rPr>
        <w:t>条规定，通过修改磋商文件自行决定酌情延长</w:t>
      </w:r>
      <w:r>
        <w:rPr>
          <w:spacing w:val="-1"/>
          <w:sz w:val="24"/>
        </w:rPr>
        <w:t>磋商截止期，在此情况下，采购人与采购代理机构和供应商受磋商截止时间制约的所有权</w:t>
      </w:r>
      <w:r>
        <w:rPr>
          <w:sz w:val="24"/>
        </w:rPr>
        <w:t>利和义务均延长至新的截止日期。</w:t>
      </w:r>
    </w:p>
    <w:p>
      <w:pPr>
        <w:pStyle w:val="13"/>
        <w:numPr>
          <w:ilvl w:val="0"/>
          <w:numId w:val="8"/>
        </w:numPr>
        <w:tabs>
          <w:tab w:val="left" w:pos="965"/>
        </w:tabs>
        <w:spacing w:before="0" w:after="0" w:line="304" w:lineRule="exact"/>
        <w:ind w:left="964" w:right="0" w:hanging="457"/>
        <w:jc w:val="both"/>
        <w:rPr>
          <w:b/>
          <w:sz w:val="24"/>
        </w:rPr>
      </w:pPr>
      <w:bookmarkStart w:id="21" w:name="_TOC_250047"/>
      <w:bookmarkEnd w:id="21"/>
      <w:r>
        <w:rPr>
          <w:b/>
          <w:sz w:val="24"/>
        </w:rPr>
        <w:t>磋商响应文件的撤回和修改</w:t>
      </w:r>
    </w:p>
    <w:p>
      <w:pPr>
        <w:spacing w:after="0" w:line="304" w:lineRule="exact"/>
        <w:jc w:val="both"/>
        <w:rPr>
          <w:sz w:val="24"/>
        </w:rPr>
        <w:sectPr>
          <w:type w:val="continuous"/>
          <w:pgSz w:w="11910" w:h="16840"/>
          <w:pgMar w:top="1580" w:right="720" w:bottom="280" w:left="740" w:header="720" w:footer="720" w:gutter="0"/>
        </w:sectPr>
      </w:pPr>
    </w:p>
    <w:p>
      <w:pPr>
        <w:pStyle w:val="13"/>
        <w:numPr>
          <w:ilvl w:val="1"/>
          <w:numId w:val="8"/>
        </w:numPr>
        <w:tabs>
          <w:tab w:val="left" w:pos="1459"/>
        </w:tabs>
        <w:spacing w:before="67" w:after="0" w:line="364" w:lineRule="auto"/>
        <w:ind w:left="508" w:right="524" w:firstLine="480"/>
        <w:jc w:val="both"/>
        <w:rPr>
          <w:sz w:val="24"/>
        </w:rPr>
      </w:pPr>
      <w:r>
        <w:rPr>
          <w:sz w:val="24"/>
        </w:rPr>
        <w:t>允许供应商在磋商截止期前撤回其磋商响应文件（须以书面形式通知采购代理机构）</w:t>
      </w:r>
      <w:r>
        <w:rPr>
          <w:spacing w:val="-1"/>
          <w:sz w:val="24"/>
        </w:rPr>
        <w:t>，磋商截止期后不得撤回其磋商响应文件。否则，其磋商保证金将不予退还，上缴同</w:t>
      </w:r>
      <w:r>
        <w:rPr>
          <w:sz w:val="24"/>
        </w:rPr>
        <w:t>级财政部门。</w:t>
      </w:r>
    </w:p>
    <w:p>
      <w:pPr>
        <w:pStyle w:val="13"/>
        <w:numPr>
          <w:ilvl w:val="1"/>
          <w:numId w:val="8"/>
        </w:numPr>
        <w:tabs>
          <w:tab w:val="left" w:pos="1459"/>
        </w:tabs>
        <w:spacing w:before="0" w:after="0" w:line="305" w:lineRule="exact"/>
        <w:ind w:left="1458" w:right="1279" w:hanging="1459"/>
        <w:jc w:val="left"/>
        <w:rPr>
          <w:sz w:val="24"/>
        </w:rPr>
      </w:pPr>
      <w:r>
        <w:rPr>
          <w:spacing w:val="-1"/>
          <w:sz w:val="24"/>
        </w:rPr>
        <w:t>无论供应商是否中标，供应商递交的一切磋商材料均不予退还。</w:t>
      </w:r>
    </w:p>
    <w:p>
      <w:pPr>
        <w:spacing w:before="159"/>
        <w:ind w:left="396" w:right="412" w:firstLine="0"/>
        <w:jc w:val="center"/>
        <w:rPr>
          <w:b/>
          <w:sz w:val="28"/>
        </w:rPr>
      </w:pPr>
      <w:bookmarkStart w:id="22" w:name="_TOC_250046"/>
      <w:bookmarkEnd w:id="22"/>
      <w:r>
        <w:rPr>
          <w:b/>
          <w:sz w:val="28"/>
        </w:rPr>
        <w:t>五、开标</w:t>
      </w:r>
    </w:p>
    <w:p>
      <w:pPr>
        <w:pStyle w:val="2"/>
        <w:spacing w:before="8"/>
        <w:rPr>
          <w:b/>
          <w:sz w:val="8"/>
        </w:rPr>
      </w:pPr>
    </w:p>
    <w:p>
      <w:pPr>
        <w:pStyle w:val="13"/>
        <w:numPr>
          <w:ilvl w:val="0"/>
          <w:numId w:val="8"/>
        </w:numPr>
        <w:tabs>
          <w:tab w:val="left" w:pos="845"/>
        </w:tabs>
        <w:spacing w:before="77" w:after="0" w:line="240" w:lineRule="auto"/>
        <w:ind w:left="844" w:right="0" w:hanging="337"/>
        <w:jc w:val="left"/>
        <w:rPr>
          <w:b/>
          <w:sz w:val="24"/>
        </w:rPr>
      </w:pPr>
      <w:bookmarkStart w:id="23" w:name="_TOC_250045"/>
      <w:bookmarkEnd w:id="23"/>
      <w:r>
        <w:rPr>
          <w:b/>
          <w:sz w:val="24"/>
        </w:rPr>
        <w:t>磋商过程</w:t>
      </w:r>
    </w:p>
    <w:p>
      <w:pPr>
        <w:pStyle w:val="13"/>
        <w:numPr>
          <w:ilvl w:val="1"/>
          <w:numId w:val="8"/>
        </w:numPr>
        <w:tabs>
          <w:tab w:val="left" w:pos="1459"/>
        </w:tabs>
        <w:spacing w:before="158" w:after="0" w:line="364" w:lineRule="auto"/>
        <w:ind w:left="508" w:right="525" w:firstLine="480"/>
        <w:jc w:val="left"/>
        <w:rPr>
          <w:sz w:val="24"/>
        </w:rPr>
      </w:pPr>
      <w:r>
        <w:rPr>
          <w:spacing w:val="-1"/>
          <w:sz w:val="24"/>
        </w:rPr>
        <w:t>采购代理机构按本文件中确定的时间和地点组织磋商开标。供应商须派法定代表</w:t>
      </w:r>
      <w:r>
        <w:rPr>
          <w:sz w:val="24"/>
        </w:rPr>
        <w:t>人或委托代理人参加并签到以证明其出席开标会议，否则视为自动放弃。</w:t>
      </w:r>
    </w:p>
    <w:p>
      <w:pPr>
        <w:pStyle w:val="13"/>
        <w:numPr>
          <w:ilvl w:val="1"/>
          <w:numId w:val="8"/>
        </w:numPr>
        <w:tabs>
          <w:tab w:val="left" w:pos="1459"/>
        </w:tabs>
        <w:spacing w:before="0" w:after="0" w:line="364" w:lineRule="auto"/>
        <w:ind w:left="508" w:right="525" w:firstLine="480"/>
        <w:jc w:val="left"/>
        <w:rPr>
          <w:sz w:val="24"/>
        </w:rPr>
      </w:pPr>
      <w:r>
        <w:rPr>
          <w:spacing w:val="-1"/>
          <w:sz w:val="24"/>
        </w:rPr>
        <w:t>开标工作由采购代理机构组织，采购人、采购管理、纪检监察等有关方面代表可</w:t>
      </w:r>
      <w:r>
        <w:rPr>
          <w:sz w:val="24"/>
        </w:rPr>
        <w:t>根据采购项目的具体情况列席。</w:t>
      </w:r>
    </w:p>
    <w:p>
      <w:pPr>
        <w:pStyle w:val="13"/>
        <w:numPr>
          <w:ilvl w:val="1"/>
          <w:numId w:val="8"/>
        </w:numPr>
        <w:tabs>
          <w:tab w:val="left" w:pos="1459"/>
        </w:tabs>
        <w:spacing w:before="0" w:after="0" w:line="364" w:lineRule="auto"/>
        <w:ind w:left="508" w:right="521" w:firstLine="480"/>
        <w:jc w:val="both"/>
        <w:rPr>
          <w:sz w:val="24"/>
        </w:rPr>
      </w:pPr>
      <w:r>
        <w:rPr>
          <w:spacing w:val="-2"/>
          <w:sz w:val="24"/>
        </w:rPr>
        <w:t>开标时，</w:t>
      </w:r>
      <w:r>
        <w:rPr>
          <w:rFonts w:ascii="Arial" w:hAnsi="Arial" w:eastAsia="Arial"/>
          <w:spacing w:val="-5"/>
          <w:sz w:val="24"/>
        </w:rPr>
        <w:t>“</w:t>
      </w:r>
      <w:r>
        <w:rPr>
          <w:spacing w:val="-1"/>
          <w:sz w:val="24"/>
        </w:rPr>
        <w:t>开标一览表</w:t>
      </w:r>
      <w:r>
        <w:rPr>
          <w:rFonts w:ascii="Arial" w:hAnsi="Arial" w:eastAsia="Arial"/>
          <w:sz w:val="24"/>
        </w:rPr>
        <w:t>”</w:t>
      </w:r>
      <w:r>
        <w:rPr>
          <w:sz w:val="24"/>
        </w:rPr>
        <w:t>中的报价与磋商文件中</w:t>
      </w:r>
      <w:r>
        <w:rPr>
          <w:rFonts w:ascii="Arial" w:hAnsi="Arial" w:eastAsia="Arial"/>
          <w:sz w:val="24"/>
        </w:rPr>
        <w:t>“</w:t>
      </w:r>
      <w:r>
        <w:rPr>
          <w:sz w:val="24"/>
        </w:rPr>
        <w:t>报价一览表</w:t>
      </w:r>
      <w:r>
        <w:rPr>
          <w:rFonts w:ascii="Arial" w:hAnsi="Arial" w:eastAsia="Arial"/>
          <w:sz w:val="24"/>
        </w:rPr>
        <w:t>”</w:t>
      </w:r>
      <w:r>
        <w:rPr>
          <w:spacing w:val="-2"/>
          <w:sz w:val="24"/>
        </w:rPr>
        <w:t>内容不一致的，以开标</w:t>
      </w:r>
      <w:r>
        <w:rPr>
          <w:spacing w:val="-3"/>
          <w:sz w:val="24"/>
        </w:rPr>
        <w:t>时的报价为准。磋商响应文件中大写金额与小写金额不一致的，以大写金额为准；总价金</w:t>
      </w:r>
      <w:r>
        <w:rPr>
          <w:spacing w:val="-1"/>
          <w:sz w:val="24"/>
        </w:rPr>
        <w:t>额与按单价汇总金额不一致的，以单价汇总金额计算结果为准；单价金额小数点有明显错位的，以总价为准，并修改单价；对不同文字文本磋商响应文件的解释发生异议的，以中</w:t>
      </w:r>
      <w:r>
        <w:rPr>
          <w:sz w:val="24"/>
        </w:rPr>
        <w:t>文文本为准。若供应商拒绝接受，其磋商将被拒绝。</w:t>
      </w:r>
    </w:p>
    <w:p>
      <w:pPr>
        <w:pStyle w:val="13"/>
        <w:numPr>
          <w:ilvl w:val="1"/>
          <w:numId w:val="8"/>
        </w:numPr>
        <w:tabs>
          <w:tab w:val="left" w:pos="1459"/>
        </w:tabs>
        <w:spacing w:before="0" w:after="0" w:line="364" w:lineRule="auto"/>
        <w:ind w:left="508" w:right="525" w:firstLine="480"/>
        <w:jc w:val="left"/>
        <w:rPr>
          <w:sz w:val="24"/>
        </w:rPr>
      </w:pPr>
      <w:r>
        <w:rPr>
          <w:spacing w:val="-1"/>
          <w:sz w:val="24"/>
        </w:rPr>
        <w:t>身份验证：供应商在磋商响应文件正本拆封以后，出示法定代表人或委托代理人</w:t>
      </w:r>
      <w:r>
        <w:rPr>
          <w:sz w:val="24"/>
        </w:rPr>
        <w:t>的有效身份证明，身份不符或提供不全的按无效磋商处理。</w:t>
      </w:r>
    </w:p>
    <w:p>
      <w:pPr>
        <w:pStyle w:val="13"/>
        <w:numPr>
          <w:ilvl w:val="1"/>
          <w:numId w:val="8"/>
        </w:numPr>
        <w:tabs>
          <w:tab w:val="left" w:pos="1459"/>
        </w:tabs>
        <w:spacing w:before="0" w:after="0" w:line="364" w:lineRule="auto"/>
        <w:ind w:left="508" w:right="524" w:firstLine="480"/>
        <w:jc w:val="both"/>
        <w:rPr>
          <w:sz w:val="24"/>
        </w:rPr>
      </w:pPr>
      <w:r>
        <w:rPr>
          <w:sz w:val="24"/>
        </w:rPr>
        <w:t>答疑：本项目的评标委员会对供应商的磋商响应文件进行评审，并根据评审情况</w:t>
      </w:r>
      <w:r>
        <w:rPr>
          <w:spacing w:val="-1"/>
          <w:sz w:val="24"/>
        </w:rPr>
        <w:t>确定答疑时间，供应商应在规定的时间内到达评审现场进行答疑澄清，如在规定的时间内</w:t>
      </w:r>
      <w:r>
        <w:rPr>
          <w:sz w:val="24"/>
        </w:rPr>
        <w:t>联系无果或未按时到现场答疑的，视同放弃答疑。</w:t>
      </w:r>
    </w:p>
    <w:p>
      <w:pPr>
        <w:spacing w:before="0" w:line="357" w:lineRule="exact"/>
        <w:ind w:left="397" w:right="410" w:firstLine="0"/>
        <w:jc w:val="center"/>
        <w:rPr>
          <w:b/>
          <w:sz w:val="28"/>
        </w:rPr>
      </w:pPr>
      <w:bookmarkStart w:id="24" w:name="_TOC_250044"/>
      <w:bookmarkEnd w:id="24"/>
      <w:r>
        <w:rPr>
          <w:b/>
          <w:sz w:val="28"/>
        </w:rPr>
        <w:t>六、评审程序及方法</w:t>
      </w:r>
    </w:p>
    <w:p>
      <w:pPr>
        <w:pStyle w:val="2"/>
        <w:spacing w:before="3"/>
        <w:rPr>
          <w:b/>
          <w:sz w:val="8"/>
        </w:rPr>
      </w:pPr>
    </w:p>
    <w:p>
      <w:pPr>
        <w:pStyle w:val="13"/>
        <w:numPr>
          <w:ilvl w:val="0"/>
          <w:numId w:val="15"/>
        </w:numPr>
        <w:tabs>
          <w:tab w:val="left" w:pos="838"/>
        </w:tabs>
        <w:spacing w:before="78" w:after="0" w:line="240" w:lineRule="auto"/>
        <w:ind w:left="837" w:right="0" w:hanging="330"/>
        <w:jc w:val="left"/>
        <w:rPr>
          <w:b/>
          <w:sz w:val="24"/>
        </w:rPr>
      </w:pPr>
      <w:bookmarkStart w:id="25" w:name="_TOC_250043"/>
      <w:bookmarkEnd w:id="25"/>
      <w:r>
        <w:rPr>
          <w:b/>
          <w:sz w:val="24"/>
        </w:rPr>
        <w:t>评标委员会</w:t>
      </w:r>
    </w:p>
    <w:p>
      <w:pPr>
        <w:pStyle w:val="13"/>
        <w:numPr>
          <w:ilvl w:val="1"/>
          <w:numId w:val="15"/>
        </w:numPr>
        <w:tabs>
          <w:tab w:val="left" w:pos="1579"/>
        </w:tabs>
        <w:spacing w:before="158" w:after="0" w:line="240" w:lineRule="auto"/>
        <w:ind w:left="1578" w:right="0" w:hanging="591"/>
        <w:jc w:val="left"/>
        <w:rPr>
          <w:sz w:val="24"/>
        </w:rPr>
      </w:pPr>
      <w:r>
        <w:rPr>
          <w:spacing w:val="-1"/>
          <w:sz w:val="24"/>
        </w:rPr>
        <w:t>采购代理机构负责组织评标工作，并履行下列职责：</w:t>
      </w:r>
    </w:p>
    <w:p>
      <w:pPr>
        <w:pStyle w:val="13"/>
        <w:numPr>
          <w:ilvl w:val="0"/>
          <w:numId w:val="16"/>
        </w:numPr>
        <w:tabs>
          <w:tab w:val="left" w:pos="1604"/>
        </w:tabs>
        <w:spacing w:before="160" w:after="0" w:line="362" w:lineRule="auto"/>
        <w:ind w:left="508" w:right="523" w:firstLine="480"/>
        <w:jc w:val="left"/>
        <w:rPr>
          <w:sz w:val="24"/>
        </w:rPr>
      </w:pPr>
      <w:r>
        <w:rPr>
          <w:spacing w:val="-3"/>
          <w:sz w:val="24"/>
        </w:rPr>
        <w:t>核对评审专家身份和采购人代表授权函，对评审专家在政府采购活动中的职责</w:t>
      </w:r>
      <w:r>
        <w:rPr>
          <w:spacing w:val="-4"/>
          <w:sz w:val="24"/>
        </w:rPr>
        <w:t>履行情况予以记录，并及时将有关违法违规行为向财政部门报告；</w:t>
      </w:r>
    </w:p>
    <w:p>
      <w:pPr>
        <w:pStyle w:val="13"/>
        <w:numPr>
          <w:ilvl w:val="0"/>
          <w:numId w:val="16"/>
        </w:numPr>
        <w:tabs>
          <w:tab w:val="left" w:pos="1604"/>
        </w:tabs>
        <w:spacing w:before="6" w:after="0" w:line="240" w:lineRule="auto"/>
        <w:ind w:left="1603" w:right="0" w:hanging="616"/>
        <w:jc w:val="left"/>
        <w:rPr>
          <w:sz w:val="24"/>
        </w:rPr>
      </w:pPr>
      <w:r>
        <w:rPr>
          <w:sz w:val="24"/>
        </w:rPr>
        <w:t>宣布评标纪律；</w:t>
      </w:r>
    </w:p>
    <w:p>
      <w:pPr>
        <w:pStyle w:val="13"/>
        <w:numPr>
          <w:ilvl w:val="0"/>
          <w:numId w:val="16"/>
        </w:numPr>
        <w:tabs>
          <w:tab w:val="left" w:pos="1604"/>
        </w:tabs>
        <w:spacing w:before="158" w:after="0" w:line="240" w:lineRule="auto"/>
        <w:ind w:left="1603" w:right="0" w:hanging="616"/>
        <w:jc w:val="left"/>
        <w:rPr>
          <w:sz w:val="24"/>
        </w:rPr>
      </w:pPr>
      <w:r>
        <w:rPr>
          <w:sz w:val="24"/>
        </w:rPr>
        <w:t>公布磋商人名单，告知评审专家应当回避的情形；</w:t>
      </w:r>
    </w:p>
    <w:p>
      <w:pPr>
        <w:pStyle w:val="13"/>
        <w:numPr>
          <w:ilvl w:val="0"/>
          <w:numId w:val="16"/>
        </w:numPr>
        <w:tabs>
          <w:tab w:val="left" w:pos="1604"/>
        </w:tabs>
        <w:spacing w:before="161" w:after="0" w:line="240" w:lineRule="auto"/>
        <w:ind w:left="1603" w:right="0" w:hanging="616"/>
        <w:jc w:val="left"/>
        <w:rPr>
          <w:sz w:val="24"/>
        </w:rPr>
      </w:pPr>
      <w:r>
        <w:rPr>
          <w:sz w:val="24"/>
        </w:rPr>
        <w:t>组织评标委员会推选评标组长，采购人代表不得担任组长；</w:t>
      </w:r>
    </w:p>
    <w:p>
      <w:pPr>
        <w:pStyle w:val="13"/>
        <w:numPr>
          <w:ilvl w:val="0"/>
          <w:numId w:val="16"/>
        </w:numPr>
        <w:tabs>
          <w:tab w:val="left" w:pos="1604"/>
        </w:tabs>
        <w:spacing w:before="158" w:after="0" w:line="240" w:lineRule="auto"/>
        <w:ind w:left="1603" w:right="0" w:hanging="616"/>
        <w:jc w:val="left"/>
        <w:rPr>
          <w:sz w:val="24"/>
        </w:rPr>
      </w:pPr>
      <w:r>
        <w:rPr>
          <w:sz w:val="24"/>
        </w:rPr>
        <w:t>在评标期间采取必要的通讯管理措施，保证评标活动不受外界干扰；</w:t>
      </w:r>
    </w:p>
    <w:p>
      <w:pPr>
        <w:pStyle w:val="13"/>
        <w:numPr>
          <w:ilvl w:val="0"/>
          <w:numId w:val="16"/>
        </w:numPr>
        <w:tabs>
          <w:tab w:val="left" w:pos="1604"/>
        </w:tabs>
        <w:spacing w:before="160" w:after="0" w:line="240" w:lineRule="auto"/>
        <w:ind w:left="1603" w:right="0" w:hanging="616"/>
        <w:jc w:val="left"/>
        <w:rPr>
          <w:sz w:val="24"/>
        </w:rPr>
      </w:pPr>
      <w:r>
        <w:rPr>
          <w:sz w:val="24"/>
        </w:rPr>
        <w:t>根据评标委员会的要求介绍政府采购相关政策法规、磋商文件文件；</w:t>
      </w:r>
    </w:p>
    <w:p>
      <w:pPr>
        <w:spacing w:after="0" w:line="240" w:lineRule="auto"/>
        <w:jc w:val="left"/>
        <w:rPr>
          <w:sz w:val="24"/>
        </w:rPr>
        <w:sectPr>
          <w:pgSz w:w="11910" w:h="16840"/>
          <w:pgMar w:top="1180" w:right="720" w:bottom="1120" w:left="740" w:header="711" w:footer="923" w:gutter="0"/>
        </w:sectPr>
      </w:pPr>
    </w:p>
    <w:p>
      <w:pPr>
        <w:pStyle w:val="13"/>
        <w:numPr>
          <w:ilvl w:val="0"/>
          <w:numId w:val="16"/>
        </w:numPr>
        <w:tabs>
          <w:tab w:val="left" w:pos="1604"/>
        </w:tabs>
        <w:spacing w:before="67" w:after="0" w:line="364" w:lineRule="auto"/>
        <w:ind w:left="508" w:right="523" w:firstLine="480"/>
        <w:jc w:val="left"/>
        <w:rPr>
          <w:sz w:val="24"/>
        </w:rPr>
      </w:pPr>
      <w:r>
        <w:rPr>
          <w:spacing w:val="-6"/>
          <w:sz w:val="24"/>
        </w:rPr>
        <w:t>维护评标秩序，监督评标委员会依照磋商文件文件规定的评标程序、方法和标</w:t>
      </w:r>
      <w:r>
        <w:rPr>
          <w:spacing w:val="-4"/>
          <w:sz w:val="24"/>
        </w:rPr>
        <w:t>准进行独立评审，及时制止和纠正采购人代表、评审专家的倾向性言论或者违法违规行为；</w:t>
      </w:r>
    </w:p>
    <w:p>
      <w:pPr>
        <w:pStyle w:val="13"/>
        <w:numPr>
          <w:ilvl w:val="0"/>
          <w:numId w:val="16"/>
        </w:numPr>
        <w:tabs>
          <w:tab w:val="left" w:pos="1604"/>
        </w:tabs>
        <w:spacing w:before="0" w:after="0" w:line="362" w:lineRule="auto"/>
        <w:ind w:left="508" w:right="522" w:firstLine="480"/>
        <w:jc w:val="left"/>
        <w:rPr>
          <w:sz w:val="24"/>
        </w:rPr>
      </w:pPr>
      <w:r>
        <w:rPr>
          <w:spacing w:val="-3"/>
          <w:sz w:val="24"/>
        </w:rPr>
        <w:t>核对评标结果，有</w:t>
      </w:r>
      <w:r>
        <w:rPr>
          <w:rFonts w:ascii="Arial" w:eastAsia="Arial"/>
          <w:sz w:val="24"/>
        </w:rPr>
        <w:t>20.4</w:t>
      </w:r>
      <w:r>
        <w:rPr>
          <w:spacing w:val="-5"/>
          <w:sz w:val="24"/>
        </w:rPr>
        <w:t>规定情形的，要求评标委员会复核或者书面说明理由，评</w:t>
      </w:r>
      <w:r>
        <w:rPr>
          <w:sz w:val="24"/>
        </w:rPr>
        <w:t>标委员会拒绝的，应予记录并向本级财政部门报告；</w:t>
      </w:r>
    </w:p>
    <w:p>
      <w:pPr>
        <w:pStyle w:val="13"/>
        <w:numPr>
          <w:ilvl w:val="0"/>
          <w:numId w:val="16"/>
        </w:numPr>
        <w:tabs>
          <w:tab w:val="left" w:pos="1604"/>
        </w:tabs>
        <w:spacing w:before="4" w:after="0" w:line="362" w:lineRule="auto"/>
        <w:ind w:left="508" w:right="403" w:firstLine="480"/>
        <w:jc w:val="left"/>
        <w:rPr>
          <w:sz w:val="24"/>
        </w:rPr>
      </w:pPr>
      <w:r>
        <w:rPr>
          <w:spacing w:val="-10"/>
          <w:sz w:val="24"/>
        </w:rPr>
        <w:t>评审工作完成后，按照规定由采购人向评审专家支付劳务报酬和异地评审差旅费</w:t>
      </w:r>
      <w:r>
        <w:rPr>
          <w:spacing w:val="-4"/>
          <w:sz w:val="24"/>
        </w:rPr>
        <w:t>，不得向评审专家以外的其他人员支付评审劳务报酬；</w:t>
      </w:r>
    </w:p>
    <w:p>
      <w:pPr>
        <w:pStyle w:val="13"/>
        <w:numPr>
          <w:ilvl w:val="0"/>
          <w:numId w:val="16"/>
        </w:numPr>
        <w:tabs>
          <w:tab w:val="left" w:pos="1739"/>
        </w:tabs>
        <w:spacing w:before="5" w:after="0" w:line="240" w:lineRule="auto"/>
        <w:ind w:left="1738" w:right="0" w:hanging="751"/>
        <w:jc w:val="left"/>
        <w:rPr>
          <w:sz w:val="24"/>
        </w:rPr>
      </w:pPr>
      <w:r>
        <w:rPr>
          <w:spacing w:val="-1"/>
          <w:sz w:val="24"/>
        </w:rPr>
        <w:t>处理与评标有关的其他事项。</w:t>
      </w:r>
    </w:p>
    <w:p>
      <w:pPr>
        <w:pStyle w:val="2"/>
        <w:spacing w:before="158" w:line="364" w:lineRule="auto"/>
        <w:ind w:left="508" w:right="526" w:firstLine="480"/>
      </w:pPr>
      <w:r>
        <w:t>采购人可以在评标前说明项目背景和采购需求，说明内容不得含有歧视性、倾向性意见，不得超出磋商文件文件所述范围。说明应当提交书面材料，并随采购文件一并存档。</w:t>
      </w:r>
    </w:p>
    <w:p>
      <w:pPr>
        <w:pStyle w:val="13"/>
        <w:numPr>
          <w:ilvl w:val="1"/>
          <w:numId w:val="15"/>
        </w:numPr>
        <w:tabs>
          <w:tab w:val="left" w:pos="1579"/>
        </w:tabs>
        <w:spacing w:before="0" w:after="0" w:line="307" w:lineRule="exact"/>
        <w:ind w:left="1578" w:right="0" w:hanging="591"/>
        <w:jc w:val="left"/>
        <w:rPr>
          <w:sz w:val="24"/>
        </w:rPr>
      </w:pPr>
      <w:r>
        <w:rPr>
          <w:spacing w:val="-1"/>
          <w:sz w:val="24"/>
        </w:rPr>
        <w:t>评标委员会负责具体评标事务，并独立履行下列职责：</w:t>
      </w:r>
    </w:p>
    <w:p>
      <w:pPr>
        <w:pStyle w:val="13"/>
        <w:numPr>
          <w:ilvl w:val="0"/>
          <w:numId w:val="17"/>
        </w:numPr>
        <w:tabs>
          <w:tab w:val="left" w:pos="1604"/>
        </w:tabs>
        <w:spacing w:before="161" w:after="0" w:line="362" w:lineRule="auto"/>
        <w:ind w:left="508" w:right="519" w:firstLine="480"/>
        <w:jc w:val="left"/>
        <w:rPr>
          <w:sz w:val="24"/>
        </w:rPr>
      </w:pPr>
      <w:r>
        <w:rPr>
          <w:spacing w:val="-7"/>
          <w:sz w:val="24"/>
        </w:rPr>
        <w:t>严格遵守评审工作纪律，按照客观、公正、审慎的原则，根据采购文件规定的评</w:t>
      </w:r>
      <w:r>
        <w:rPr>
          <w:sz w:val="24"/>
        </w:rPr>
        <w:t>审程序、评审方法和评审标准进行独立评审；</w:t>
      </w:r>
    </w:p>
    <w:p>
      <w:pPr>
        <w:pStyle w:val="13"/>
        <w:numPr>
          <w:ilvl w:val="0"/>
          <w:numId w:val="17"/>
        </w:numPr>
        <w:tabs>
          <w:tab w:val="left" w:pos="1604"/>
        </w:tabs>
        <w:spacing w:before="5" w:after="0" w:line="362" w:lineRule="auto"/>
        <w:ind w:left="508" w:right="523" w:firstLine="480"/>
        <w:jc w:val="left"/>
        <w:rPr>
          <w:sz w:val="24"/>
        </w:rPr>
      </w:pPr>
      <w:r>
        <w:rPr>
          <w:spacing w:val="-4"/>
          <w:sz w:val="24"/>
        </w:rPr>
        <w:t>现采购文件内容违反国家有关强制性规定或者采购文件存在歧义、重大缺陷导致</w:t>
      </w:r>
      <w:r>
        <w:rPr>
          <w:sz w:val="24"/>
        </w:rPr>
        <w:t>评审工作无法进行时，应当停止评审并向采购人或者采购代理机构书面说明情况；</w:t>
      </w:r>
    </w:p>
    <w:p>
      <w:pPr>
        <w:pStyle w:val="13"/>
        <w:numPr>
          <w:ilvl w:val="0"/>
          <w:numId w:val="17"/>
        </w:numPr>
        <w:tabs>
          <w:tab w:val="left" w:pos="1604"/>
        </w:tabs>
        <w:spacing w:before="5" w:after="0" w:line="240" w:lineRule="auto"/>
        <w:ind w:left="1603" w:right="0" w:hanging="616"/>
        <w:jc w:val="left"/>
        <w:rPr>
          <w:sz w:val="24"/>
        </w:rPr>
      </w:pPr>
      <w:r>
        <w:rPr>
          <w:sz w:val="24"/>
        </w:rPr>
        <w:t>审查、评价磋商响应文件是否符合磋商文件文件的商务、技术等实质性要求；</w:t>
      </w:r>
    </w:p>
    <w:p>
      <w:pPr>
        <w:pStyle w:val="13"/>
        <w:numPr>
          <w:ilvl w:val="0"/>
          <w:numId w:val="17"/>
        </w:numPr>
        <w:tabs>
          <w:tab w:val="left" w:pos="1604"/>
        </w:tabs>
        <w:spacing w:before="160" w:after="0" w:line="240" w:lineRule="auto"/>
        <w:ind w:left="1603" w:right="0" w:hanging="616"/>
        <w:jc w:val="left"/>
        <w:rPr>
          <w:sz w:val="24"/>
        </w:rPr>
      </w:pPr>
      <w:r>
        <w:rPr>
          <w:sz w:val="24"/>
        </w:rPr>
        <w:t>要求磋商人对磋商响应文件有关事项作出澄清或者说明；</w:t>
      </w:r>
    </w:p>
    <w:p>
      <w:pPr>
        <w:pStyle w:val="13"/>
        <w:numPr>
          <w:ilvl w:val="0"/>
          <w:numId w:val="17"/>
        </w:numPr>
        <w:tabs>
          <w:tab w:val="left" w:pos="1604"/>
        </w:tabs>
        <w:spacing w:before="158" w:after="0" w:line="240" w:lineRule="auto"/>
        <w:ind w:left="1603" w:right="0" w:hanging="616"/>
        <w:jc w:val="left"/>
        <w:rPr>
          <w:sz w:val="24"/>
        </w:rPr>
      </w:pPr>
      <w:r>
        <w:rPr>
          <w:sz w:val="24"/>
        </w:rPr>
        <w:t>对磋商响应文件进行比较和评价；</w:t>
      </w:r>
    </w:p>
    <w:p>
      <w:pPr>
        <w:pStyle w:val="13"/>
        <w:numPr>
          <w:ilvl w:val="0"/>
          <w:numId w:val="17"/>
        </w:numPr>
        <w:tabs>
          <w:tab w:val="left" w:pos="1604"/>
        </w:tabs>
        <w:spacing w:before="161" w:after="0" w:line="240" w:lineRule="auto"/>
        <w:ind w:left="1603" w:right="0" w:hanging="616"/>
        <w:jc w:val="left"/>
        <w:rPr>
          <w:sz w:val="24"/>
        </w:rPr>
      </w:pPr>
      <w:r>
        <w:rPr>
          <w:sz w:val="24"/>
        </w:rPr>
        <w:t>确定中标候选人名单，以及根据采购人委托直接确定中标人；</w:t>
      </w:r>
    </w:p>
    <w:p>
      <w:pPr>
        <w:pStyle w:val="13"/>
        <w:numPr>
          <w:ilvl w:val="0"/>
          <w:numId w:val="17"/>
        </w:numPr>
        <w:tabs>
          <w:tab w:val="left" w:pos="1604"/>
        </w:tabs>
        <w:spacing w:before="158" w:after="0" w:line="364" w:lineRule="auto"/>
        <w:ind w:left="508" w:right="522" w:firstLine="480"/>
        <w:jc w:val="left"/>
        <w:rPr>
          <w:sz w:val="24"/>
        </w:rPr>
      </w:pPr>
      <w:r>
        <w:rPr>
          <w:spacing w:val="-7"/>
          <w:sz w:val="24"/>
        </w:rPr>
        <w:t>配合答复供应商的询问、质疑和投诉等事项，不得泄露评审文件、评审情况和在</w:t>
      </w:r>
      <w:r>
        <w:rPr>
          <w:sz w:val="24"/>
        </w:rPr>
        <w:t>评审过程中获悉的商业秘密；</w:t>
      </w:r>
    </w:p>
    <w:p>
      <w:pPr>
        <w:pStyle w:val="13"/>
        <w:numPr>
          <w:ilvl w:val="0"/>
          <w:numId w:val="17"/>
        </w:numPr>
        <w:tabs>
          <w:tab w:val="left" w:pos="1604"/>
        </w:tabs>
        <w:spacing w:before="0" w:after="0" w:line="306" w:lineRule="exact"/>
        <w:ind w:left="1603" w:right="0" w:hanging="616"/>
        <w:jc w:val="left"/>
        <w:rPr>
          <w:sz w:val="24"/>
        </w:rPr>
      </w:pPr>
      <w:r>
        <w:rPr>
          <w:sz w:val="24"/>
        </w:rPr>
        <w:t>向采购人、采购代理机构或者有关部门报告评标中发现的违法行为。</w:t>
      </w:r>
    </w:p>
    <w:p>
      <w:pPr>
        <w:pStyle w:val="13"/>
        <w:numPr>
          <w:ilvl w:val="1"/>
          <w:numId w:val="15"/>
        </w:numPr>
        <w:tabs>
          <w:tab w:val="left" w:pos="1579"/>
        </w:tabs>
        <w:spacing w:before="161" w:after="0" w:line="362" w:lineRule="auto"/>
        <w:ind w:left="508" w:right="521" w:firstLine="480"/>
        <w:jc w:val="left"/>
        <w:rPr>
          <w:sz w:val="24"/>
        </w:rPr>
      </w:pPr>
      <w:r>
        <w:rPr>
          <w:sz w:val="24"/>
        </w:rPr>
        <w:t>评标委员会由采购人代表和评审专家组成，成员人数应当为</w:t>
      </w:r>
      <w:r>
        <w:rPr>
          <w:rFonts w:ascii="Arial" w:eastAsia="Arial"/>
          <w:sz w:val="24"/>
        </w:rPr>
        <w:t>5</w:t>
      </w:r>
      <w:r>
        <w:rPr>
          <w:spacing w:val="-2"/>
          <w:sz w:val="24"/>
        </w:rPr>
        <w:t>人以上单数，其中</w:t>
      </w:r>
      <w:r>
        <w:rPr>
          <w:sz w:val="24"/>
        </w:rPr>
        <w:t>评审专家不得少于成员总数的三分之二。</w:t>
      </w:r>
    </w:p>
    <w:p>
      <w:pPr>
        <w:pStyle w:val="2"/>
        <w:spacing w:before="5"/>
        <w:ind w:left="988"/>
      </w:pPr>
      <w:r>
        <w:t>采购项目符合下列情形之一的，评标委员会成员人数应当为</w:t>
      </w:r>
      <w:r>
        <w:rPr>
          <w:rFonts w:ascii="Arial" w:eastAsia="Arial"/>
        </w:rPr>
        <w:t>7</w:t>
      </w:r>
      <w:r>
        <w:t>人以上单数：</w:t>
      </w:r>
    </w:p>
    <w:p>
      <w:pPr>
        <w:pStyle w:val="13"/>
        <w:numPr>
          <w:ilvl w:val="0"/>
          <w:numId w:val="18"/>
        </w:numPr>
        <w:tabs>
          <w:tab w:val="left" w:pos="1604"/>
        </w:tabs>
        <w:spacing w:before="158" w:after="0" w:line="240" w:lineRule="auto"/>
        <w:ind w:left="1603" w:right="0" w:hanging="616"/>
        <w:jc w:val="left"/>
        <w:rPr>
          <w:sz w:val="24"/>
        </w:rPr>
      </w:pPr>
      <w:r>
        <w:rPr>
          <w:sz w:val="24"/>
        </w:rPr>
        <w:t>采购预算金额在</w:t>
      </w:r>
      <w:r>
        <w:rPr>
          <w:rFonts w:ascii="Arial" w:eastAsia="Arial"/>
          <w:sz w:val="24"/>
        </w:rPr>
        <w:t>1000</w:t>
      </w:r>
      <w:r>
        <w:rPr>
          <w:sz w:val="24"/>
        </w:rPr>
        <w:t>万元以上；</w:t>
      </w:r>
    </w:p>
    <w:p>
      <w:pPr>
        <w:pStyle w:val="13"/>
        <w:numPr>
          <w:ilvl w:val="0"/>
          <w:numId w:val="18"/>
        </w:numPr>
        <w:tabs>
          <w:tab w:val="left" w:pos="1604"/>
        </w:tabs>
        <w:spacing w:before="160" w:after="0" w:line="240" w:lineRule="auto"/>
        <w:ind w:left="1603" w:right="0" w:hanging="616"/>
        <w:jc w:val="left"/>
        <w:rPr>
          <w:sz w:val="24"/>
        </w:rPr>
      </w:pPr>
      <w:r>
        <w:rPr>
          <w:sz w:val="24"/>
        </w:rPr>
        <w:t>技术复杂；</w:t>
      </w:r>
    </w:p>
    <w:p>
      <w:pPr>
        <w:pStyle w:val="13"/>
        <w:numPr>
          <w:ilvl w:val="0"/>
          <w:numId w:val="18"/>
        </w:numPr>
        <w:tabs>
          <w:tab w:val="left" w:pos="1604"/>
        </w:tabs>
        <w:spacing w:before="159" w:after="0" w:line="240" w:lineRule="auto"/>
        <w:ind w:left="1603" w:right="0" w:hanging="616"/>
        <w:jc w:val="left"/>
        <w:rPr>
          <w:sz w:val="24"/>
        </w:rPr>
      </w:pPr>
      <w:r>
        <w:rPr>
          <w:sz w:val="24"/>
        </w:rPr>
        <w:t>社会影响较大。</w:t>
      </w:r>
    </w:p>
    <w:p>
      <w:pPr>
        <w:pStyle w:val="2"/>
        <w:spacing w:before="160" w:line="362" w:lineRule="auto"/>
        <w:ind w:left="508" w:right="519" w:firstLine="480"/>
      </w:pPr>
      <w:r>
        <w:t>评审专家对本单位的采购项目只能作为采购人代表参与评标。采购代理机构工作人员不得参加由本机构代理的政府采购项目的评标。</w:t>
      </w:r>
    </w:p>
    <w:p>
      <w:pPr>
        <w:pStyle w:val="2"/>
        <w:spacing w:before="5"/>
        <w:ind w:left="988"/>
      </w:pPr>
      <w:r>
        <w:t>评标委员会成员名单在评标结果公告前应当保密。</w:t>
      </w:r>
    </w:p>
    <w:p>
      <w:pPr>
        <w:pStyle w:val="13"/>
        <w:numPr>
          <w:ilvl w:val="1"/>
          <w:numId w:val="15"/>
        </w:numPr>
        <w:tabs>
          <w:tab w:val="left" w:pos="1579"/>
        </w:tabs>
        <w:spacing w:before="161" w:after="0" w:line="240" w:lineRule="auto"/>
        <w:ind w:left="1578" w:right="0" w:hanging="591"/>
        <w:jc w:val="left"/>
        <w:rPr>
          <w:sz w:val="24"/>
        </w:rPr>
      </w:pPr>
      <w:r>
        <w:rPr>
          <w:spacing w:val="-3"/>
          <w:sz w:val="24"/>
        </w:rPr>
        <w:t>采购代理机构应当从省级以上财政部门设立的政府采购评审专家库中，通过随机</w:t>
      </w:r>
    </w:p>
    <w:p>
      <w:pPr>
        <w:spacing w:after="0" w:line="240" w:lineRule="auto"/>
        <w:jc w:val="left"/>
        <w:rPr>
          <w:sz w:val="24"/>
        </w:rPr>
        <w:sectPr>
          <w:pgSz w:w="11910" w:h="16840"/>
          <w:pgMar w:top="1180" w:right="720" w:bottom="1120" w:left="740" w:header="711" w:footer="923" w:gutter="0"/>
        </w:sectPr>
      </w:pPr>
    </w:p>
    <w:p>
      <w:pPr>
        <w:pStyle w:val="2"/>
        <w:spacing w:before="67" w:line="364" w:lineRule="auto"/>
        <w:ind w:left="508" w:right="524"/>
        <w:jc w:val="both"/>
      </w:pPr>
      <w:r>
        <w:t>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3"/>
        <w:numPr>
          <w:ilvl w:val="1"/>
          <w:numId w:val="15"/>
        </w:numPr>
        <w:tabs>
          <w:tab w:val="left" w:pos="1579"/>
        </w:tabs>
        <w:spacing w:before="0" w:after="0" w:line="364" w:lineRule="auto"/>
        <w:ind w:left="508" w:right="523" w:firstLine="480"/>
        <w:jc w:val="both"/>
        <w:rPr>
          <w:sz w:val="24"/>
        </w:rPr>
      </w:pPr>
      <w:r>
        <w:rPr>
          <w:spacing w:val="-6"/>
          <w:sz w:val="24"/>
        </w:rPr>
        <w:t>评标中因评标委员会成员缺席、回避或者健康等特殊原因导致评标委员会组成不</w:t>
      </w:r>
      <w:r>
        <w:rPr>
          <w:spacing w:val="-1"/>
          <w:sz w:val="24"/>
        </w:rPr>
        <w:t>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w:t>
      </w:r>
      <w:r>
        <w:rPr>
          <w:sz w:val="24"/>
        </w:rPr>
        <w:t>评标委员会所作出的评标意见无效。</w:t>
      </w:r>
    </w:p>
    <w:p>
      <w:pPr>
        <w:pStyle w:val="2"/>
        <w:spacing w:line="364" w:lineRule="auto"/>
        <w:ind w:left="508" w:right="526" w:firstLine="480"/>
      </w:pPr>
      <w:r>
        <w:t>采购代理机构应当将变更、重新组建评标委员会的情况予以记录，并随采购文件一并存档。</w:t>
      </w:r>
    </w:p>
    <w:p>
      <w:pPr>
        <w:pStyle w:val="13"/>
        <w:numPr>
          <w:ilvl w:val="1"/>
          <w:numId w:val="15"/>
        </w:numPr>
        <w:tabs>
          <w:tab w:val="left" w:pos="1579"/>
        </w:tabs>
        <w:spacing w:before="0" w:after="0" w:line="364" w:lineRule="auto"/>
        <w:ind w:left="508" w:right="407" w:firstLine="480"/>
        <w:jc w:val="left"/>
        <w:rPr>
          <w:sz w:val="24"/>
        </w:rPr>
      </w:pPr>
      <w:r>
        <w:rPr>
          <w:sz w:val="24"/>
        </w:rPr>
        <w:t>采购人、采购代理机构应当采取必要措施，保证评标在严格保密的情况下进行。除采购人代表、评标现场组织人员外，采购人的其他工作人员以及与评标工作无关的人员不得进入评标现场。</w:t>
      </w:r>
    </w:p>
    <w:p>
      <w:pPr>
        <w:pStyle w:val="2"/>
        <w:spacing w:line="305" w:lineRule="exact"/>
        <w:ind w:left="988"/>
      </w:pPr>
      <w:r>
        <w:t>有关人员对评标情况以及在评标过程中获悉的国家秘密、商业秘密负有保密责任。</w:t>
      </w:r>
    </w:p>
    <w:p>
      <w:pPr>
        <w:pStyle w:val="13"/>
        <w:numPr>
          <w:ilvl w:val="0"/>
          <w:numId w:val="19"/>
        </w:numPr>
        <w:tabs>
          <w:tab w:val="left" w:pos="845"/>
        </w:tabs>
        <w:spacing w:before="155" w:after="0" w:line="240" w:lineRule="auto"/>
        <w:ind w:left="844" w:right="0" w:hanging="337"/>
        <w:jc w:val="left"/>
        <w:rPr>
          <w:b/>
          <w:sz w:val="24"/>
        </w:rPr>
      </w:pPr>
      <w:bookmarkStart w:id="26" w:name="_TOC_250042"/>
      <w:bookmarkEnd w:id="26"/>
      <w:r>
        <w:rPr>
          <w:b/>
          <w:sz w:val="24"/>
        </w:rPr>
        <w:t>评审工作程序</w:t>
      </w:r>
    </w:p>
    <w:p>
      <w:pPr>
        <w:pStyle w:val="13"/>
        <w:numPr>
          <w:ilvl w:val="1"/>
          <w:numId w:val="19"/>
        </w:numPr>
        <w:tabs>
          <w:tab w:val="left" w:pos="1579"/>
        </w:tabs>
        <w:spacing w:before="161" w:after="0" w:line="364" w:lineRule="auto"/>
        <w:ind w:left="508" w:right="523" w:firstLine="480"/>
        <w:jc w:val="both"/>
        <w:rPr>
          <w:sz w:val="24"/>
        </w:rPr>
      </w:pPr>
      <w:r>
        <w:rPr>
          <w:spacing w:val="-7"/>
          <w:sz w:val="24"/>
        </w:rPr>
        <w:t>进入磋商阶段后，磋商小组成员按照客观、公正、审慎的原则，根据磋商文件规</w:t>
      </w:r>
      <w:r>
        <w:rPr>
          <w:spacing w:val="-1"/>
          <w:sz w:val="24"/>
        </w:rPr>
        <w:t>定的评审程序、评审方法和评审标准进行独立开展评审工作，负责审议所有响应文件，并</w:t>
      </w:r>
      <w:r>
        <w:rPr>
          <w:sz w:val="24"/>
        </w:rPr>
        <w:t>按先初审、后详审的程序对响应文件进行评审、评分。</w:t>
      </w:r>
    </w:p>
    <w:p>
      <w:pPr>
        <w:pStyle w:val="13"/>
        <w:numPr>
          <w:ilvl w:val="2"/>
          <w:numId w:val="19"/>
        </w:numPr>
        <w:tabs>
          <w:tab w:val="left" w:pos="1778"/>
        </w:tabs>
        <w:spacing w:before="0" w:after="0" w:line="364" w:lineRule="auto"/>
        <w:ind w:left="508" w:right="523" w:firstLine="480"/>
        <w:jc w:val="both"/>
        <w:rPr>
          <w:sz w:val="24"/>
        </w:rPr>
      </w:pPr>
      <w:r>
        <w:rPr>
          <w:spacing w:val="-3"/>
          <w:sz w:val="24"/>
        </w:rPr>
        <w:t>初审阶段为资格性审查和符合性审查。响应文件在响应磋商文件要求方面出现</w:t>
      </w:r>
      <w:r>
        <w:rPr>
          <w:sz w:val="24"/>
        </w:rPr>
        <w:t>的偏离，分为实质性偏离和非实质性偏离。</w:t>
      </w:r>
    </w:p>
    <w:p>
      <w:pPr>
        <w:pStyle w:val="13"/>
        <w:numPr>
          <w:ilvl w:val="2"/>
          <w:numId w:val="19"/>
        </w:numPr>
        <w:tabs>
          <w:tab w:val="left" w:pos="1778"/>
        </w:tabs>
        <w:spacing w:before="0" w:after="0" w:line="364" w:lineRule="auto"/>
        <w:ind w:left="508" w:right="523" w:firstLine="480"/>
        <w:jc w:val="both"/>
        <w:rPr>
          <w:sz w:val="24"/>
        </w:rPr>
      </w:pPr>
      <w:r>
        <w:rPr>
          <w:spacing w:val="-3"/>
          <w:sz w:val="24"/>
        </w:rPr>
        <w:t>实质性偏离是指响应文件未能实质性响应磋商文件的要求。以下情况属于实质</w:t>
      </w:r>
      <w:r>
        <w:rPr>
          <w:sz w:val="24"/>
        </w:rPr>
        <w:t>性偏离，响应文件有下列情况之一的，按无效文件处理。</w:t>
      </w:r>
    </w:p>
    <w:p>
      <w:pPr>
        <w:pStyle w:val="13"/>
        <w:numPr>
          <w:ilvl w:val="0"/>
          <w:numId w:val="20"/>
        </w:numPr>
        <w:tabs>
          <w:tab w:val="left" w:pos="1604"/>
        </w:tabs>
        <w:spacing w:before="0" w:after="0" w:line="306" w:lineRule="exact"/>
        <w:ind w:left="1603" w:right="0" w:hanging="616"/>
        <w:jc w:val="left"/>
        <w:rPr>
          <w:sz w:val="24"/>
        </w:rPr>
      </w:pPr>
      <w:r>
        <w:rPr>
          <w:sz w:val="24"/>
        </w:rPr>
        <w:t>不符合第</w:t>
      </w:r>
      <w:r>
        <w:rPr>
          <w:rFonts w:ascii="Arial" w:hAnsi="Arial" w:eastAsia="Arial"/>
          <w:sz w:val="24"/>
        </w:rPr>
        <w:t>2.2</w:t>
      </w:r>
      <w:r>
        <w:rPr>
          <w:sz w:val="24"/>
        </w:rPr>
        <w:t>款</w:t>
      </w:r>
      <w:r>
        <w:rPr>
          <w:rFonts w:ascii="Arial" w:hAnsi="Arial" w:eastAsia="Arial"/>
          <w:spacing w:val="-4"/>
          <w:sz w:val="24"/>
        </w:rPr>
        <w:t>“</w:t>
      </w:r>
      <w:r>
        <w:rPr>
          <w:sz w:val="24"/>
        </w:rPr>
        <w:t>合格的供应商</w:t>
      </w:r>
      <w:r>
        <w:rPr>
          <w:rFonts w:ascii="Arial" w:hAnsi="Arial" w:eastAsia="Arial"/>
          <w:sz w:val="24"/>
        </w:rPr>
        <w:t>”</w:t>
      </w:r>
      <w:r>
        <w:rPr>
          <w:sz w:val="24"/>
        </w:rPr>
        <w:t>之规定的；</w:t>
      </w:r>
    </w:p>
    <w:p>
      <w:pPr>
        <w:pStyle w:val="13"/>
        <w:numPr>
          <w:ilvl w:val="0"/>
          <w:numId w:val="20"/>
        </w:numPr>
        <w:tabs>
          <w:tab w:val="left" w:pos="1604"/>
        </w:tabs>
        <w:spacing w:before="157" w:after="0" w:line="240" w:lineRule="auto"/>
        <w:ind w:left="1603" w:right="0" w:hanging="616"/>
        <w:jc w:val="left"/>
        <w:rPr>
          <w:sz w:val="24"/>
        </w:rPr>
      </w:pPr>
      <w:r>
        <w:rPr>
          <w:sz w:val="24"/>
        </w:rPr>
        <w:t>未按磋商文件要求提交或未足额提交磋商保证金的；</w:t>
      </w:r>
    </w:p>
    <w:p>
      <w:pPr>
        <w:pStyle w:val="13"/>
        <w:numPr>
          <w:ilvl w:val="0"/>
          <w:numId w:val="20"/>
        </w:numPr>
        <w:tabs>
          <w:tab w:val="left" w:pos="1604"/>
        </w:tabs>
        <w:spacing w:before="158" w:after="0" w:line="240" w:lineRule="auto"/>
        <w:ind w:left="1603" w:right="0" w:hanging="616"/>
        <w:jc w:val="left"/>
        <w:rPr>
          <w:sz w:val="24"/>
        </w:rPr>
      </w:pPr>
      <w:r>
        <w:rPr>
          <w:sz w:val="24"/>
        </w:rPr>
        <w:t>未按第</w:t>
      </w:r>
      <w:r>
        <w:rPr>
          <w:rFonts w:ascii="Arial" w:eastAsia="Arial"/>
          <w:sz w:val="24"/>
        </w:rPr>
        <w:t>11.1</w:t>
      </w:r>
      <w:r>
        <w:rPr>
          <w:sz w:val="24"/>
        </w:rPr>
        <w:t>款（</w:t>
      </w:r>
      <w:r>
        <w:rPr>
          <w:rFonts w:ascii="Arial" w:eastAsia="Arial"/>
          <w:sz w:val="24"/>
        </w:rPr>
        <w:t>1</w:t>
      </w:r>
      <w:r>
        <w:rPr>
          <w:sz w:val="24"/>
        </w:rPr>
        <w:t>）</w:t>
      </w:r>
      <w:r>
        <w:rPr>
          <w:rFonts w:ascii="Arial" w:eastAsia="Arial"/>
          <w:sz w:val="24"/>
        </w:rPr>
        <w:t>-</w:t>
      </w:r>
      <w:r>
        <w:rPr>
          <w:sz w:val="24"/>
        </w:rPr>
        <w:t>（</w:t>
      </w:r>
      <w:r>
        <w:rPr>
          <w:rFonts w:ascii="Arial" w:eastAsia="Arial"/>
          <w:sz w:val="24"/>
        </w:rPr>
        <w:t>1</w:t>
      </w:r>
      <w:r>
        <w:rPr>
          <w:rFonts w:hint="eastAsia" w:ascii="Arial" w:eastAsia="宋体"/>
          <w:sz w:val="24"/>
          <w:lang w:val="en-US" w:eastAsia="zh-CN"/>
        </w:rPr>
        <w:t>5</w:t>
      </w:r>
      <w:r>
        <w:rPr>
          <w:sz w:val="24"/>
        </w:rPr>
        <w:t>）要求提供相关资料的；</w:t>
      </w:r>
    </w:p>
    <w:p>
      <w:pPr>
        <w:pStyle w:val="13"/>
        <w:numPr>
          <w:ilvl w:val="0"/>
          <w:numId w:val="20"/>
        </w:numPr>
        <w:tabs>
          <w:tab w:val="left" w:pos="1604"/>
        </w:tabs>
        <w:spacing w:before="160" w:after="0" w:line="240" w:lineRule="auto"/>
        <w:ind w:left="1603" w:right="0" w:hanging="616"/>
        <w:jc w:val="left"/>
        <w:rPr>
          <w:sz w:val="24"/>
        </w:rPr>
      </w:pPr>
      <w:r>
        <w:rPr>
          <w:sz w:val="24"/>
        </w:rPr>
        <w:t>响应文件内容没有按磋商文件规定和要求签字、盖章的；</w:t>
      </w:r>
    </w:p>
    <w:p>
      <w:pPr>
        <w:pStyle w:val="13"/>
        <w:numPr>
          <w:ilvl w:val="0"/>
          <w:numId w:val="20"/>
        </w:numPr>
        <w:tabs>
          <w:tab w:val="left" w:pos="1604"/>
        </w:tabs>
        <w:spacing w:before="159" w:after="0" w:line="240" w:lineRule="auto"/>
        <w:ind w:left="1603" w:right="0" w:hanging="616"/>
        <w:jc w:val="left"/>
        <w:rPr>
          <w:sz w:val="24"/>
        </w:rPr>
      </w:pPr>
      <w:r>
        <w:rPr>
          <w:sz w:val="24"/>
        </w:rPr>
        <w:t>响应文件编排混乱，且擅自修改磋商文件规定的格式内容的；</w:t>
      </w:r>
    </w:p>
    <w:p>
      <w:pPr>
        <w:pStyle w:val="13"/>
        <w:numPr>
          <w:ilvl w:val="0"/>
          <w:numId w:val="20"/>
        </w:numPr>
        <w:tabs>
          <w:tab w:val="left" w:pos="1604"/>
        </w:tabs>
        <w:spacing w:before="160" w:after="0" w:line="240" w:lineRule="auto"/>
        <w:ind w:left="1603" w:right="0" w:hanging="616"/>
        <w:jc w:val="left"/>
        <w:rPr>
          <w:sz w:val="24"/>
        </w:rPr>
      </w:pPr>
      <w:r>
        <w:rPr>
          <w:sz w:val="24"/>
        </w:rPr>
        <w:t>交货时间、磋商有效期、法定代表人授权期限不能满足磋商文件要求的；</w:t>
      </w:r>
    </w:p>
    <w:p>
      <w:pPr>
        <w:pStyle w:val="13"/>
        <w:numPr>
          <w:ilvl w:val="0"/>
          <w:numId w:val="20"/>
        </w:numPr>
        <w:tabs>
          <w:tab w:val="left" w:pos="1604"/>
        </w:tabs>
        <w:spacing w:before="159" w:after="0" w:line="240" w:lineRule="auto"/>
        <w:ind w:left="1603" w:right="0" w:hanging="616"/>
        <w:jc w:val="left"/>
        <w:rPr>
          <w:sz w:val="24"/>
        </w:rPr>
      </w:pPr>
      <w:r>
        <w:rPr>
          <w:sz w:val="24"/>
        </w:rPr>
        <w:t>磋商产品的技术规格、技术标准明显不符合采购项目要求的；</w:t>
      </w:r>
    </w:p>
    <w:p>
      <w:pPr>
        <w:pStyle w:val="13"/>
        <w:numPr>
          <w:ilvl w:val="0"/>
          <w:numId w:val="20"/>
        </w:numPr>
        <w:tabs>
          <w:tab w:val="left" w:pos="1604"/>
        </w:tabs>
        <w:spacing w:before="160" w:after="0" w:line="240" w:lineRule="auto"/>
        <w:ind w:left="1603" w:right="0" w:hanging="616"/>
        <w:jc w:val="left"/>
        <w:rPr>
          <w:sz w:val="24"/>
        </w:rPr>
      </w:pPr>
      <w:r>
        <w:rPr>
          <w:sz w:val="24"/>
        </w:rPr>
        <w:t>响应文件中附有采购人不能接受的条件的；</w:t>
      </w:r>
    </w:p>
    <w:p>
      <w:pPr>
        <w:pStyle w:val="13"/>
        <w:numPr>
          <w:ilvl w:val="0"/>
          <w:numId w:val="20"/>
        </w:numPr>
        <w:tabs>
          <w:tab w:val="left" w:pos="1604"/>
        </w:tabs>
        <w:spacing w:before="160" w:after="0" w:line="240" w:lineRule="auto"/>
        <w:ind w:left="1603" w:right="0" w:hanging="616"/>
        <w:jc w:val="left"/>
        <w:rPr>
          <w:sz w:val="24"/>
        </w:rPr>
      </w:pPr>
      <w:r>
        <w:rPr>
          <w:sz w:val="24"/>
        </w:rPr>
        <w:t>磋商小组认为应按无效响应处理的其他情况；</w:t>
      </w:r>
    </w:p>
    <w:p>
      <w:pPr>
        <w:spacing w:after="0" w:line="240" w:lineRule="auto"/>
        <w:jc w:val="left"/>
        <w:rPr>
          <w:sz w:val="24"/>
        </w:rPr>
        <w:sectPr>
          <w:pgSz w:w="11910" w:h="16840"/>
          <w:pgMar w:top="1180" w:right="720" w:bottom="1120" w:left="740" w:header="711" w:footer="923" w:gutter="0"/>
        </w:sectPr>
      </w:pPr>
    </w:p>
    <w:p>
      <w:pPr>
        <w:pStyle w:val="13"/>
        <w:numPr>
          <w:ilvl w:val="0"/>
          <w:numId w:val="20"/>
        </w:numPr>
        <w:tabs>
          <w:tab w:val="left" w:pos="1739"/>
        </w:tabs>
        <w:spacing w:before="67" w:after="0" w:line="240" w:lineRule="auto"/>
        <w:ind w:left="1738" w:right="0" w:hanging="751"/>
        <w:jc w:val="left"/>
        <w:rPr>
          <w:sz w:val="24"/>
        </w:rPr>
      </w:pPr>
      <w:r>
        <w:rPr>
          <w:spacing w:val="-1"/>
          <w:sz w:val="24"/>
        </w:rPr>
        <w:t>法律、法规规定的其他情形。</w:t>
      </w:r>
    </w:p>
    <w:p>
      <w:pPr>
        <w:pStyle w:val="13"/>
        <w:numPr>
          <w:ilvl w:val="2"/>
          <w:numId w:val="19"/>
        </w:numPr>
        <w:tabs>
          <w:tab w:val="left" w:pos="1778"/>
        </w:tabs>
        <w:spacing w:before="158" w:after="0" w:line="240" w:lineRule="auto"/>
        <w:ind w:left="1778" w:right="0" w:hanging="790"/>
        <w:jc w:val="left"/>
        <w:rPr>
          <w:sz w:val="24"/>
        </w:rPr>
      </w:pPr>
      <w:r>
        <w:rPr>
          <w:spacing w:val="-1"/>
          <w:sz w:val="24"/>
        </w:rPr>
        <w:t>磋商文件报价出现前后不一致的，按照下列规定修正：</w:t>
      </w:r>
    </w:p>
    <w:p>
      <w:pPr>
        <w:pStyle w:val="13"/>
        <w:numPr>
          <w:ilvl w:val="0"/>
          <w:numId w:val="21"/>
        </w:numPr>
        <w:tabs>
          <w:tab w:val="left" w:pos="1604"/>
        </w:tabs>
        <w:spacing w:before="161" w:after="0" w:line="362" w:lineRule="auto"/>
        <w:ind w:left="508" w:right="523" w:firstLine="480"/>
        <w:jc w:val="left"/>
        <w:rPr>
          <w:sz w:val="24"/>
        </w:rPr>
      </w:pPr>
      <w:r>
        <w:rPr>
          <w:spacing w:val="-3"/>
          <w:sz w:val="24"/>
        </w:rPr>
        <w:t>磋商文件中报价一览表</w:t>
      </w:r>
      <w:r>
        <w:rPr>
          <w:sz w:val="24"/>
        </w:rPr>
        <w:t>（报价表</w:t>
      </w:r>
      <w:r>
        <w:rPr>
          <w:spacing w:val="-20"/>
          <w:sz w:val="24"/>
        </w:rPr>
        <w:t>）</w:t>
      </w:r>
      <w:r>
        <w:rPr>
          <w:spacing w:val="-4"/>
          <w:sz w:val="24"/>
        </w:rPr>
        <w:t>内容与磋商响应文件中相应内容不一致的，以</w:t>
      </w:r>
      <w:r>
        <w:rPr>
          <w:sz w:val="24"/>
        </w:rPr>
        <w:t>报价一览表（报价表）为准；</w:t>
      </w:r>
    </w:p>
    <w:p>
      <w:pPr>
        <w:pStyle w:val="13"/>
        <w:numPr>
          <w:ilvl w:val="0"/>
          <w:numId w:val="21"/>
        </w:numPr>
        <w:tabs>
          <w:tab w:val="left" w:pos="1604"/>
        </w:tabs>
        <w:spacing w:before="5" w:after="0" w:line="240" w:lineRule="auto"/>
        <w:ind w:left="1603" w:right="0" w:hanging="616"/>
        <w:jc w:val="left"/>
        <w:rPr>
          <w:sz w:val="24"/>
        </w:rPr>
      </w:pPr>
      <w:r>
        <w:rPr>
          <w:sz w:val="24"/>
        </w:rPr>
        <w:t>大写金额和小写金额不一致的，以大写金额为准；</w:t>
      </w:r>
    </w:p>
    <w:p>
      <w:pPr>
        <w:pStyle w:val="13"/>
        <w:numPr>
          <w:ilvl w:val="0"/>
          <w:numId w:val="21"/>
        </w:numPr>
        <w:tabs>
          <w:tab w:val="left" w:pos="1604"/>
        </w:tabs>
        <w:spacing w:before="158" w:after="0" w:line="240" w:lineRule="auto"/>
        <w:ind w:left="1603" w:right="0" w:hanging="616"/>
        <w:jc w:val="left"/>
        <w:rPr>
          <w:sz w:val="24"/>
        </w:rPr>
      </w:pPr>
      <w:r>
        <w:rPr>
          <w:spacing w:val="-4"/>
          <w:sz w:val="24"/>
        </w:rPr>
        <w:t>单价金额小数点或者百分比有明显错位的，以报价一览表的总价为准，并修改单</w:t>
      </w:r>
    </w:p>
    <w:p>
      <w:pPr>
        <w:pStyle w:val="2"/>
        <w:spacing w:before="161"/>
        <w:ind w:left="508"/>
      </w:pPr>
      <w:r>
        <w:t>价；</w:t>
      </w:r>
    </w:p>
    <w:p>
      <w:pPr>
        <w:pStyle w:val="13"/>
        <w:numPr>
          <w:ilvl w:val="0"/>
          <w:numId w:val="21"/>
        </w:numPr>
        <w:tabs>
          <w:tab w:val="left" w:pos="1604"/>
        </w:tabs>
        <w:spacing w:before="158" w:after="0" w:line="240" w:lineRule="auto"/>
        <w:ind w:left="1603" w:right="0" w:hanging="616"/>
        <w:jc w:val="left"/>
        <w:rPr>
          <w:sz w:val="24"/>
        </w:rPr>
      </w:pPr>
      <w:r>
        <w:rPr>
          <w:sz w:val="24"/>
        </w:rPr>
        <w:t>总价金额与按单价汇总金额不一致的，以单价金额计算结果为准。</w:t>
      </w:r>
    </w:p>
    <w:p>
      <w:pPr>
        <w:pStyle w:val="2"/>
        <w:spacing w:before="160"/>
        <w:ind w:left="988"/>
      </w:pPr>
      <w:r>
        <w:t>同时出现两种以上不一致的，按照前款规定的顺序修正。修正后的报价按</w:t>
      </w:r>
      <w:r>
        <w:rPr>
          <w:rFonts w:ascii="Arial" w:eastAsia="Arial"/>
        </w:rPr>
        <w:t>19.1.1</w:t>
      </w:r>
      <w:r>
        <w:t>第二</w:t>
      </w:r>
    </w:p>
    <w:p>
      <w:pPr>
        <w:pStyle w:val="2"/>
        <w:spacing w:before="159"/>
        <w:ind w:left="508"/>
      </w:pPr>
      <w:r>
        <w:t>款的规定经磋商人确认后产生约束力，磋商人不确认的，其磋商无效。</w:t>
      </w:r>
    </w:p>
    <w:p>
      <w:pPr>
        <w:pStyle w:val="13"/>
        <w:numPr>
          <w:ilvl w:val="1"/>
          <w:numId w:val="19"/>
        </w:numPr>
        <w:tabs>
          <w:tab w:val="left" w:pos="1579"/>
        </w:tabs>
        <w:spacing w:before="160" w:after="0" w:line="240" w:lineRule="auto"/>
        <w:ind w:left="1578" w:right="0" w:hanging="591"/>
        <w:jc w:val="both"/>
        <w:rPr>
          <w:sz w:val="24"/>
        </w:rPr>
      </w:pPr>
      <w:r>
        <w:rPr>
          <w:sz w:val="24"/>
        </w:rPr>
        <w:t>评审过程中，在同等条件下，优先采购具有环境标志、节能、自主创新的产品。</w:t>
      </w:r>
    </w:p>
    <w:p>
      <w:pPr>
        <w:pStyle w:val="2"/>
        <w:spacing w:before="158" w:line="364" w:lineRule="auto"/>
        <w:ind w:left="508" w:right="520"/>
        <w:jc w:val="both"/>
      </w:pPr>
      <w:r>
        <w:t>（</w:t>
      </w:r>
      <w:r>
        <w:rPr>
          <w:spacing w:val="-11"/>
        </w:rPr>
        <w:t>注：环境标志产品是指由财政部、国家环境保护总局颁布的</w:t>
      </w:r>
      <w:r>
        <w:rPr>
          <w:rFonts w:ascii="Arial" w:hAnsi="Arial" w:eastAsia="Arial"/>
        </w:rPr>
        <w:t>“</w:t>
      </w:r>
      <w:r>
        <w:t>环境标志产品政府采购清单</w:t>
      </w:r>
      <w:r>
        <w:rPr>
          <w:rFonts w:ascii="Arial" w:hAnsi="Arial" w:eastAsia="Arial"/>
          <w:spacing w:val="-16"/>
        </w:rPr>
        <w:t xml:space="preserve">” </w:t>
      </w:r>
      <w:r>
        <w:rPr>
          <w:spacing w:val="-3"/>
        </w:rPr>
        <w:t>中的有效期内的产品；节能产品是指由财政部、国家发展改革委颁布的</w:t>
      </w:r>
      <w:r>
        <w:rPr>
          <w:rFonts w:ascii="Arial" w:hAnsi="Arial" w:eastAsia="Arial"/>
        </w:rPr>
        <w:t>“</w:t>
      </w:r>
      <w:r>
        <w:rPr>
          <w:spacing w:val="-2"/>
        </w:rPr>
        <w:t>节能产品政府采购</w:t>
      </w:r>
      <w:r>
        <w:t>清单</w:t>
      </w:r>
      <w:r>
        <w:rPr>
          <w:rFonts w:ascii="Arial" w:hAnsi="Arial" w:eastAsia="Arial"/>
        </w:rPr>
        <w:t>”</w:t>
      </w:r>
      <w:r>
        <w:t>中的有效期内的产品。）</w:t>
      </w:r>
    </w:p>
    <w:p>
      <w:pPr>
        <w:pStyle w:val="2"/>
        <w:spacing w:line="364" w:lineRule="auto"/>
        <w:ind w:left="508" w:right="524" w:firstLine="480"/>
        <w:jc w:val="both"/>
      </w:pPr>
      <w:r>
        <w:rPr>
          <w:spacing w:val="-21"/>
        </w:rPr>
        <w:t>根据《政府采购促进中小企业发展暂行办法》，属小型、微型企业制造的货物</w:t>
      </w:r>
      <w:r>
        <w:t>（产品</w:t>
      </w:r>
      <w:r>
        <w:rPr>
          <w:spacing w:val="-44"/>
        </w:rPr>
        <w:t xml:space="preserve">）， </w:t>
      </w:r>
      <w:r>
        <w:rPr>
          <w:spacing w:val="-6"/>
        </w:rPr>
        <w:t>磋商人须提供该制造</w:t>
      </w:r>
      <w:r>
        <w:t>（生产</w:t>
      </w:r>
      <w:r>
        <w:rPr>
          <w:spacing w:val="-53"/>
        </w:rPr>
        <w:t>）</w:t>
      </w:r>
      <w:r>
        <w:rPr>
          <w:spacing w:val="-21"/>
        </w:rPr>
        <w:t xml:space="preserve">企业出具的《小型、微型企业声明函》、《从业人员声明函》， </w:t>
      </w:r>
      <w:r>
        <w:rPr>
          <w:spacing w:val="-1"/>
        </w:rPr>
        <w:t>其划型标准严格按照国家工信部、国家统计局、国家发改委、财政部出台的《中小企业划</w:t>
      </w:r>
      <w:r>
        <w:t>型标准规定</w:t>
      </w:r>
      <w:r>
        <w:rPr>
          <w:spacing w:val="-154"/>
        </w:rPr>
        <w:t>》</w:t>
      </w:r>
      <w:r>
        <w:t>（工信部联企业</w:t>
      </w:r>
      <w:r>
        <w:rPr>
          <w:rFonts w:ascii="Arial" w:eastAsia="Arial"/>
        </w:rPr>
        <w:t>[2011]300</w:t>
      </w:r>
      <w:r>
        <w:t>号</w:t>
      </w:r>
      <w:r>
        <w:rPr>
          <w:spacing w:val="-77"/>
        </w:rPr>
        <w:t>）</w:t>
      </w:r>
      <w:r>
        <w:rPr>
          <w:spacing w:val="-20"/>
        </w:rPr>
        <w:t>执行。磋商人提供的《小型、微型企业声明函》、</w:t>
      </w:r>
    </w:p>
    <w:p>
      <w:pPr>
        <w:pStyle w:val="2"/>
        <w:spacing w:line="306" w:lineRule="exact"/>
        <w:ind w:left="508"/>
      </w:pPr>
      <w:r>
        <w:t>《从业人员声明函》资料必须真实，否则，按照有关规定予以处理。</w:t>
      </w:r>
    </w:p>
    <w:p>
      <w:pPr>
        <w:pStyle w:val="2"/>
        <w:spacing w:before="160" w:line="364" w:lineRule="auto"/>
        <w:ind w:left="508" w:right="524" w:firstLine="480"/>
        <w:jc w:val="both"/>
      </w:pPr>
      <w:r>
        <w:rPr>
          <w:spacing w:val="-1"/>
        </w:rPr>
        <w:t>根据财政部、民政部、中国残疾人联合会出台的《关于促进残疾人就业政府采购政策</w:t>
      </w:r>
      <w:r>
        <w:rPr>
          <w:spacing w:val="-5"/>
        </w:rPr>
        <w:t>的通知》</w:t>
      </w:r>
      <w:r>
        <w:t>（财库</w:t>
      </w:r>
      <w:r>
        <w:rPr>
          <w:rFonts w:ascii="Arial" w:eastAsia="Arial"/>
        </w:rPr>
        <w:t>[2017]141</w:t>
      </w:r>
      <w:r>
        <w:t>号</w:t>
      </w:r>
      <w:r>
        <w:rPr>
          <w:spacing w:val="-10"/>
        </w:rPr>
        <w:t>），</w:t>
      </w:r>
      <w:r>
        <w:rPr>
          <w:spacing w:val="-3"/>
        </w:rPr>
        <w:t>属残疾人福利性单位的，磋商人须提供《残疾人福利性单位声明函》（</w:t>
      </w:r>
      <w:r>
        <w:rPr>
          <w:spacing w:val="-2"/>
        </w:rPr>
        <w:t>详见附件</w:t>
      </w:r>
      <w:r>
        <w:rPr>
          <w:rFonts w:ascii="Arial" w:eastAsia="Arial"/>
        </w:rPr>
        <w:t>18</w:t>
      </w:r>
      <w:r>
        <w:t>），</w:t>
      </w:r>
      <w:r>
        <w:rPr>
          <w:spacing w:val="-1"/>
        </w:rPr>
        <w:t>并由磋商人加盖公章，残疾人福利性单位视同小型、微型企业，享受预留份额、评标中价格扣除等促进中小企业发展的政府采购政策。向残疾人福利性单位采购的金额，计入面向中小企业采购的统计数据。磋商人提供的《残疾人福利性单</w:t>
      </w:r>
      <w:r>
        <w:t>位声明函》资料必须真实，否则，按照有关规定予以处理。</w:t>
      </w:r>
    </w:p>
    <w:p>
      <w:pPr>
        <w:pStyle w:val="13"/>
        <w:numPr>
          <w:ilvl w:val="1"/>
          <w:numId w:val="19"/>
        </w:numPr>
        <w:tabs>
          <w:tab w:val="left" w:pos="1579"/>
        </w:tabs>
        <w:spacing w:before="0" w:after="0" w:line="364" w:lineRule="auto"/>
        <w:ind w:left="508" w:right="522" w:firstLine="480"/>
        <w:jc w:val="both"/>
        <w:rPr>
          <w:sz w:val="24"/>
        </w:rPr>
      </w:pPr>
      <w:r>
        <w:rPr>
          <w:spacing w:val="-7"/>
          <w:sz w:val="24"/>
        </w:rPr>
        <w:t>在评审过程中，评标委员会成员对需要共同认定的事项存在争议的，应当按照少</w:t>
      </w:r>
      <w:r>
        <w:rPr>
          <w:spacing w:val="-1"/>
          <w:sz w:val="24"/>
        </w:rPr>
        <w:t>数服从多数的原则作出结论。持不同意见的评标委员会成员应当在评标报告上签署不同意</w:t>
      </w:r>
      <w:r>
        <w:rPr>
          <w:sz w:val="24"/>
        </w:rPr>
        <w:t>见及理由，否则视为同意评标报告。</w:t>
      </w:r>
    </w:p>
    <w:p>
      <w:pPr>
        <w:pStyle w:val="13"/>
        <w:numPr>
          <w:ilvl w:val="1"/>
          <w:numId w:val="19"/>
        </w:numPr>
        <w:tabs>
          <w:tab w:val="left" w:pos="1579"/>
        </w:tabs>
        <w:spacing w:before="0" w:after="0" w:line="364" w:lineRule="auto"/>
        <w:ind w:left="508" w:right="523" w:firstLine="480"/>
        <w:jc w:val="both"/>
        <w:rPr>
          <w:sz w:val="24"/>
        </w:rPr>
      </w:pPr>
      <w:r>
        <w:rPr>
          <w:spacing w:val="-5"/>
          <w:sz w:val="24"/>
        </w:rPr>
        <w:t>评标委员会应当按照磋商文件文件中规定的评标方法和标准，对符合性审查合格</w:t>
      </w:r>
      <w:r>
        <w:rPr>
          <w:sz w:val="24"/>
        </w:rPr>
        <w:t>的磋商响应文件进行商务和技术评估，综合比较与评价。</w:t>
      </w:r>
    </w:p>
    <w:p>
      <w:pPr>
        <w:pStyle w:val="13"/>
        <w:numPr>
          <w:ilvl w:val="1"/>
          <w:numId w:val="19"/>
        </w:numPr>
        <w:tabs>
          <w:tab w:val="left" w:pos="1579"/>
        </w:tabs>
        <w:spacing w:before="0" w:after="0" w:line="240" w:lineRule="auto"/>
        <w:ind w:left="1578" w:right="0" w:hanging="591"/>
        <w:jc w:val="both"/>
        <w:rPr>
          <w:sz w:val="24"/>
        </w:rPr>
      </w:pPr>
      <w:r>
        <w:rPr>
          <w:spacing w:val="-3"/>
          <w:sz w:val="24"/>
        </w:rPr>
        <w:t>评标委员会认为磋商人的报价明显低于其他通过符合性审查磋商人的报价，有可</w:t>
      </w:r>
    </w:p>
    <w:p>
      <w:pPr>
        <w:spacing w:after="0" w:line="240" w:lineRule="auto"/>
        <w:jc w:val="both"/>
        <w:rPr>
          <w:sz w:val="24"/>
        </w:rPr>
        <w:sectPr>
          <w:pgSz w:w="11910" w:h="16840"/>
          <w:pgMar w:top="1180" w:right="720" w:bottom="1120" w:left="740" w:header="711" w:footer="923" w:gutter="0"/>
        </w:sectPr>
      </w:pPr>
    </w:p>
    <w:p>
      <w:pPr>
        <w:pStyle w:val="2"/>
        <w:spacing w:before="67" w:line="364" w:lineRule="auto"/>
        <w:ind w:left="508" w:right="342"/>
      </w:pPr>
      <w:r>
        <w:t>能影响产品质量或者不能诚信履约的，应当要求其在评标现场合理的时间内提供书面说明， 必要时提交相关证明材料；磋商人不能证明其报价合理性的，评标委员会应当将其作为无效磋商处理。</w:t>
      </w:r>
    </w:p>
    <w:p>
      <w:pPr>
        <w:pStyle w:val="13"/>
        <w:numPr>
          <w:ilvl w:val="1"/>
          <w:numId w:val="19"/>
        </w:numPr>
        <w:tabs>
          <w:tab w:val="left" w:pos="1579"/>
        </w:tabs>
        <w:spacing w:before="0" w:after="0" w:line="364" w:lineRule="auto"/>
        <w:ind w:left="508" w:right="523" w:firstLine="480"/>
        <w:jc w:val="both"/>
        <w:rPr>
          <w:sz w:val="24"/>
        </w:rPr>
      </w:pPr>
      <w:r>
        <w:rPr>
          <w:spacing w:val="-6"/>
          <w:sz w:val="24"/>
        </w:rPr>
        <w:t>提供相同品牌产品且通过资格审查、符合性审查的不同磋商人参加同一合同项下</w:t>
      </w:r>
      <w:r>
        <w:rPr>
          <w:spacing w:val="-1"/>
          <w:sz w:val="24"/>
        </w:rPr>
        <w:t>磋商的，按一家磋商人计算，评审后得分最高的同品牌磋商人获得中标人推荐资格；评审得分相同的，由采购人或者采购人委托评标委员会按照磋商文件文件规定的方式确定一个磋商人获得中标人推荐资格，磋商文件文件未规定的采取随机抽取方式确定，其他同品牌磋商人不作为中标候选人。非单一产品采购项目，采购人应当根据采购项目技术构成、产品价格比重等合理确定核心产品，并在磋商文件文件中载明。多家磋商人提供的核心产品</w:t>
      </w:r>
      <w:r>
        <w:rPr>
          <w:sz w:val="24"/>
        </w:rPr>
        <w:t>品牌相同的，按前两款规定处理。</w:t>
      </w:r>
    </w:p>
    <w:p>
      <w:pPr>
        <w:pStyle w:val="13"/>
        <w:numPr>
          <w:ilvl w:val="0"/>
          <w:numId w:val="19"/>
        </w:numPr>
        <w:tabs>
          <w:tab w:val="left" w:pos="845"/>
        </w:tabs>
        <w:spacing w:before="0" w:after="0" w:line="305" w:lineRule="exact"/>
        <w:ind w:left="844" w:right="0" w:hanging="337"/>
        <w:jc w:val="left"/>
        <w:rPr>
          <w:b/>
          <w:sz w:val="24"/>
        </w:rPr>
      </w:pPr>
      <w:bookmarkStart w:id="27" w:name="_TOC_250041"/>
      <w:bookmarkEnd w:id="27"/>
      <w:r>
        <w:rPr>
          <w:b/>
          <w:sz w:val="24"/>
        </w:rPr>
        <w:t>评审方法和标准</w:t>
      </w:r>
    </w:p>
    <w:p>
      <w:pPr>
        <w:pStyle w:val="13"/>
        <w:numPr>
          <w:ilvl w:val="1"/>
          <w:numId w:val="19"/>
        </w:numPr>
        <w:tabs>
          <w:tab w:val="left" w:pos="1579"/>
        </w:tabs>
        <w:spacing w:before="155" w:after="0" w:line="364" w:lineRule="auto"/>
        <w:ind w:left="508" w:right="524" w:firstLine="480"/>
        <w:jc w:val="both"/>
        <w:rPr>
          <w:sz w:val="24"/>
        </w:rPr>
      </w:pPr>
      <w:r>
        <w:rPr>
          <w:spacing w:val="-20"/>
          <w:sz w:val="24"/>
        </w:rPr>
        <w:t>依照《中华人民共和国政府采购法》、《中华人民共和国政府采购法实施条例》、</w:t>
      </w:r>
      <w:r>
        <w:rPr>
          <w:spacing w:val="-1"/>
          <w:sz w:val="24"/>
        </w:rPr>
        <w:t>财政部《政府采购货物和服务招投标管理办法》等法律法规的规定，结合该项目的特点制</w:t>
      </w:r>
      <w:r>
        <w:rPr>
          <w:sz w:val="24"/>
        </w:rPr>
        <w:t>定本评审办法。</w:t>
      </w:r>
    </w:p>
    <w:p>
      <w:pPr>
        <w:pStyle w:val="13"/>
        <w:numPr>
          <w:ilvl w:val="1"/>
          <w:numId w:val="19"/>
        </w:numPr>
        <w:tabs>
          <w:tab w:val="left" w:pos="1579"/>
        </w:tabs>
        <w:spacing w:before="0" w:after="0" w:line="307" w:lineRule="exact"/>
        <w:ind w:left="1578" w:right="0" w:hanging="591"/>
        <w:jc w:val="both"/>
        <w:rPr>
          <w:sz w:val="24"/>
        </w:rPr>
      </w:pPr>
      <w:r>
        <w:rPr>
          <w:spacing w:val="-1"/>
          <w:sz w:val="24"/>
        </w:rPr>
        <w:t>本次评审方法采用综合评分法。</w:t>
      </w:r>
    </w:p>
    <w:p>
      <w:pPr>
        <w:pStyle w:val="2"/>
        <w:spacing w:before="161" w:line="362" w:lineRule="auto"/>
        <w:ind w:left="508" w:right="525" w:firstLine="480"/>
      </w:pPr>
      <w:r>
        <w:t>综合评分法，是指磋商响应文件满足磋商文件文件全部实质性要求，且按照评审因素的量化指标评审得分最高的磋商人为中标候选人的评标方法。</w:t>
      </w:r>
    </w:p>
    <w:p>
      <w:pPr>
        <w:pStyle w:val="2"/>
        <w:spacing w:before="5" w:line="364" w:lineRule="auto"/>
        <w:ind w:left="508" w:right="521" w:firstLine="480"/>
      </w:pPr>
      <w:r>
        <w:t>评审因素的设定应当与磋商人所提供货物服务的质量相关，包括磋商报价、技术或者服务水平、履约能力、售后服务等。资格条件不得作为评审因素。</w:t>
      </w:r>
    </w:p>
    <w:p>
      <w:pPr>
        <w:pStyle w:val="2"/>
        <w:spacing w:line="307" w:lineRule="exact"/>
        <w:ind w:left="988"/>
      </w:pPr>
      <w:r>
        <w:t>评审标准和分值分配如下：</w:t>
      </w:r>
    </w:p>
    <w:p/>
    <w:p>
      <w:pPr>
        <w:ind w:firstLine="480"/>
        <w:jc w:val="left"/>
        <w:rPr>
          <w:rFonts w:ascii="宋体" w:hAnsi="宋体"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评审标准和分值分配：</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评分细则：</w:t>
      </w:r>
    </w:p>
    <w:tbl>
      <w:tblPr>
        <w:tblStyle w:val="9"/>
        <w:tblW w:w="9432" w:type="dxa"/>
        <w:jc w:val="center"/>
        <w:tblLayout w:type="fixed"/>
        <w:tblCellMar>
          <w:top w:w="0" w:type="dxa"/>
          <w:left w:w="108" w:type="dxa"/>
          <w:bottom w:w="0" w:type="dxa"/>
          <w:right w:w="108" w:type="dxa"/>
        </w:tblCellMar>
      </w:tblPr>
      <w:tblGrid>
        <w:gridCol w:w="1006"/>
        <w:gridCol w:w="1299"/>
        <w:gridCol w:w="7127"/>
      </w:tblGrid>
      <w:tr>
        <w:tblPrEx>
          <w:tblCellMar>
            <w:top w:w="0" w:type="dxa"/>
            <w:left w:w="108" w:type="dxa"/>
            <w:bottom w:w="0" w:type="dxa"/>
            <w:right w:w="108" w:type="dxa"/>
          </w:tblCellMar>
        </w:tblPrEx>
        <w:trPr>
          <w:trHeight w:val="415" w:hRule="atLeast"/>
          <w:jc w:val="center"/>
        </w:trPr>
        <w:tc>
          <w:tcPr>
            <w:tcW w:w="1006"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firstLine="0" w:firstLineChars="0"/>
              <w:jc w:val="center"/>
              <w:rPr>
                <w:color w:val="000000"/>
                <w:lang w:val="zh-CN"/>
              </w:rPr>
            </w:pPr>
            <w:r>
              <w:rPr>
                <w:color w:val="000000"/>
                <w:lang w:val="zh-CN"/>
              </w:rPr>
              <w:t>评审项目</w:t>
            </w:r>
          </w:p>
        </w:tc>
        <w:tc>
          <w:tcPr>
            <w:tcW w:w="1299"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firstLine="0" w:firstLineChars="0"/>
              <w:jc w:val="center"/>
              <w:rPr>
                <w:color w:val="000000"/>
              </w:rPr>
            </w:pPr>
            <w:r>
              <w:rPr>
                <w:color w:val="000000"/>
              </w:rPr>
              <w:t>内容</w:t>
            </w:r>
          </w:p>
        </w:tc>
        <w:tc>
          <w:tcPr>
            <w:tcW w:w="7127"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firstLine="480"/>
              <w:jc w:val="center"/>
              <w:rPr>
                <w:color w:val="000000"/>
                <w:lang w:val="zh-CN"/>
              </w:rPr>
            </w:pPr>
            <w:r>
              <w:rPr>
                <w:rFonts w:hint="eastAsia"/>
                <w:color w:val="000000"/>
              </w:rPr>
              <w:t>评审标准</w:t>
            </w:r>
          </w:p>
        </w:tc>
      </w:tr>
      <w:tr>
        <w:tblPrEx>
          <w:tblCellMar>
            <w:top w:w="0" w:type="dxa"/>
            <w:left w:w="108" w:type="dxa"/>
            <w:bottom w:w="0" w:type="dxa"/>
            <w:right w:w="108" w:type="dxa"/>
          </w:tblCellMar>
        </w:tblPrEx>
        <w:trPr>
          <w:trHeight w:val="415" w:hRule="atLeast"/>
          <w:jc w:val="center"/>
        </w:trPr>
        <w:tc>
          <w:tcPr>
            <w:tcW w:w="1006"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right="-88" w:rightChars="-40" w:firstLine="0" w:firstLineChars="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w:t>
            </w:r>
          </w:p>
          <w:p>
            <w:pPr>
              <w:pStyle w:val="7"/>
              <w:spacing w:line="360" w:lineRule="auto"/>
              <w:ind w:right="-88" w:rightChars="-40" w:firstLine="0" w:firstLineChars="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w:t>
            </w:r>
          </w:p>
          <w:p>
            <w:pPr>
              <w:pStyle w:val="7"/>
              <w:spacing w:line="360" w:lineRule="auto"/>
              <w:ind w:left="-220" w:leftChars="-100" w:right="-88" w:rightChars="-40" w:firstLine="0" w:firstLineChars="0"/>
              <w:jc w:val="right"/>
              <w:rPr>
                <w:rFonts w:ascii="宋体" w:hAnsi="宋体"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30分</w:t>
            </w:r>
            <w:r>
              <w:rPr>
                <w:rFonts w:hint="eastAsia" w:cs="宋体"/>
                <w:color w:val="000000" w:themeColor="text1"/>
                <w:lang w:eastAsia="zh-CN"/>
                <w14:textFill>
                  <w14:solidFill>
                    <w14:schemeClr w14:val="tx1"/>
                  </w14:solidFill>
                </w14:textFill>
              </w:rPr>
              <w:t>）</w:t>
            </w:r>
          </w:p>
        </w:tc>
        <w:tc>
          <w:tcPr>
            <w:tcW w:w="1299"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报价分</w:t>
            </w:r>
          </w:p>
          <w:p>
            <w:pPr>
              <w:pStyle w:val="7"/>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(30分)</w:t>
            </w:r>
          </w:p>
        </w:tc>
        <w:tc>
          <w:tcPr>
            <w:tcW w:w="7127" w:type="dxa"/>
            <w:tcBorders>
              <w:top w:val="single" w:color="000000" w:sz="6" w:space="0"/>
              <w:left w:val="single" w:color="000000" w:sz="6" w:space="0"/>
              <w:bottom w:val="single" w:color="000000" w:sz="6" w:space="0"/>
              <w:right w:val="single" w:color="000000" w:sz="6" w:space="0"/>
            </w:tcBorders>
            <w:vAlign w:val="center"/>
          </w:tcPr>
          <w:p>
            <w:pPr>
              <w:ind w:firstLine="0" w:firstLineChars="0"/>
              <w:rPr>
                <w:rFonts w:ascii="宋体" w:hAnsi="宋体"/>
              </w:rPr>
            </w:pPr>
            <w:r>
              <w:rPr>
                <w:rFonts w:hint="eastAsia" w:ascii="宋体" w:hAnsi="宋体"/>
              </w:rPr>
              <w:t>在所有的有效投标报价中，以最低投标报价为基准价，其价格分为满分。其他投标人的报价分统一按下列公式计算：投标报价得分=（评标基准价／投标报价）×价格权值（</w:t>
            </w:r>
            <w:r>
              <w:rPr>
                <w:rFonts w:ascii="宋体" w:hAnsi="宋体"/>
              </w:rPr>
              <w:t>3</w:t>
            </w:r>
            <w:r>
              <w:rPr>
                <w:rFonts w:hint="eastAsia" w:ascii="宋体" w:hAnsi="宋体"/>
              </w:rPr>
              <w:t>0%）×100（四舍五入后保留小数点后两位）。</w:t>
            </w:r>
          </w:p>
          <w:p>
            <w:pPr>
              <w:ind w:firstLine="0" w:firstLineChars="0"/>
              <w:rPr>
                <w:rFonts w:ascii="宋体" w:hAnsi="宋体"/>
              </w:rPr>
            </w:pPr>
            <w:r>
              <w:rPr>
                <w:rFonts w:hint="eastAsia" w:ascii="宋体" w:hAnsi="宋体"/>
              </w:rPr>
              <w:t>注：1、根据《政府采购促进中小企业发展暂行办法》的相关规定，对小型和微型企业制造（生产）产品的价格给予6%的扣除，用扣除后的价格参与评审。</w:t>
            </w:r>
          </w:p>
          <w:p>
            <w:pPr>
              <w:ind w:firstLine="0" w:firstLineChars="0"/>
              <w:rPr>
                <w:rFonts w:ascii="宋体" w:hAnsi="宋体"/>
              </w:rPr>
            </w:pPr>
            <w:r>
              <w:rPr>
                <w:rFonts w:hint="eastAsia" w:ascii="宋体" w:hAnsi="宋体"/>
              </w:rPr>
              <w:t>2、残疾人福利性单位属于小型、微型企业的，不重复享受政策。</w:t>
            </w:r>
          </w:p>
          <w:p>
            <w:pPr>
              <w:ind w:firstLine="0" w:firstLineChars="0"/>
              <w:rPr>
                <w:rFonts w:ascii="宋体" w:hAnsi="宋体"/>
              </w:rPr>
            </w:pPr>
            <w:r>
              <w:rPr>
                <w:rFonts w:hint="eastAsia" w:ascii="宋体" w:hAnsi="宋体"/>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415" w:hRule="atLeast"/>
          <w:jc w:val="center"/>
        </w:trPr>
        <w:tc>
          <w:tcPr>
            <w:tcW w:w="1006" w:type="dxa"/>
            <w:tcBorders>
              <w:top w:val="single" w:color="000000" w:sz="6" w:space="0"/>
              <w:left w:val="single" w:color="000000" w:sz="6" w:space="0"/>
              <w:right w:val="single" w:color="000000" w:sz="6" w:space="0"/>
            </w:tcBorders>
            <w:vAlign w:val="center"/>
          </w:tcPr>
          <w:p>
            <w:pPr>
              <w:pStyle w:val="7"/>
              <w:spacing w:line="360" w:lineRule="auto"/>
              <w:ind w:firstLine="0" w:firstLineChars="0"/>
              <w:jc w:val="center"/>
              <w:rPr>
                <w:rFonts w:hint="eastAsia"/>
                <w:color w:val="000000"/>
                <w:lang w:val="zh-CN"/>
              </w:rPr>
            </w:pPr>
          </w:p>
          <w:p>
            <w:pPr>
              <w:pStyle w:val="7"/>
              <w:spacing w:line="360" w:lineRule="auto"/>
              <w:ind w:firstLine="0" w:firstLineChars="0"/>
              <w:jc w:val="center"/>
              <w:rPr>
                <w:rFonts w:hint="eastAsia"/>
                <w:color w:val="000000"/>
                <w:lang w:val="zh-CN"/>
              </w:rPr>
            </w:pPr>
          </w:p>
          <w:p>
            <w:pPr>
              <w:pStyle w:val="7"/>
              <w:spacing w:line="360" w:lineRule="auto"/>
              <w:ind w:firstLine="0" w:firstLineChars="0"/>
              <w:jc w:val="center"/>
              <w:rPr>
                <w:rFonts w:hint="eastAsia"/>
                <w:color w:val="000000"/>
                <w:lang w:val="zh-CN"/>
              </w:rPr>
            </w:pPr>
          </w:p>
          <w:p>
            <w:pPr>
              <w:pStyle w:val="7"/>
              <w:spacing w:line="360" w:lineRule="auto"/>
              <w:ind w:firstLine="0" w:firstLineChars="0"/>
              <w:jc w:val="center"/>
              <w:rPr>
                <w:rFonts w:hint="eastAsia"/>
                <w:color w:val="000000"/>
                <w:lang w:val="zh-CN"/>
              </w:rPr>
            </w:pPr>
          </w:p>
          <w:p>
            <w:pPr>
              <w:pStyle w:val="7"/>
              <w:spacing w:line="360" w:lineRule="auto"/>
              <w:ind w:firstLine="0" w:firstLineChars="0"/>
              <w:jc w:val="center"/>
              <w:rPr>
                <w:rFonts w:hint="eastAsia"/>
                <w:color w:val="000000"/>
                <w:lang w:val="zh-CN"/>
              </w:rPr>
            </w:pPr>
          </w:p>
          <w:p>
            <w:pPr>
              <w:pStyle w:val="7"/>
              <w:spacing w:line="360" w:lineRule="auto"/>
              <w:ind w:right="-191" w:rightChars="-87" w:firstLine="0" w:firstLineChars="0"/>
              <w:jc w:val="center"/>
              <w:rPr>
                <w:color w:val="000000"/>
                <w:lang w:val="zh-CN"/>
              </w:rPr>
            </w:pPr>
            <w:r>
              <w:rPr>
                <w:rFonts w:hint="eastAsia"/>
                <w:color w:val="000000"/>
                <w:lang w:val="zh-CN"/>
              </w:rPr>
              <w:t>技术标</w:t>
            </w:r>
            <w:r>
              <w:rPr>
                <w:rFonts w:hint="eastAsia"/>
                <w:color w:val="000000"/>
              </w:rPr>
              <w:t>（</w:t>
            </w:r>
            <w:r>
              <w:rPr>
                <w:rFonts w:hint="eastAsia"/>
                <w:color w:val="000000"/>
                <w:lang w:val="en-US" w:eastAsia="zh-CN"/>
              </w:rPr>
              <w:t>45</w:t>
            </w:r>
            <w:r>
              <w:rPr>
                <w:rFonts w:hint="eastAsia"/>
                <w:color w:val="000000"/>
              </w:rPr>
              <w:t>分）</w:t>
            </w:r>
          </w:p>
        </w:tc>
        <w:tc>
          <w:tcPr>
            <w:tcW w:w="1299"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lang w:val="en-US"/>
              </w:rPr>
            </w:pPr>
          </w:p>
          <w:p>
            <w:pPr>
              <w:ind w:left="0" w:leftChars="0" w:firstLine="0" w:firstLineChars="0"/>
              <w:jc w:val="center"/>
              <w:rPr>
                <w:lang w:val="en-US"/>
              </w:rPr>
            </w:pPr>
          </w:p>
          <w:p>
            <w:pPr>
              <w:ind w:left="0" w:leftChars="0" w:firstLine="0" w:firstLineChars="0"/>
              <w:jc w:val="center"/>
              <w:rPr>
                <w:lang w:val="en-US"/>
              </w:rPr>
            </w:pPr>
          </w:p>
          <w:p>
            <w:pPr>
              <w:ind w:left="0" w:leftChars="0" w:firstLine="0" w:firstLineChars="0"/>
              <w:jc w:val="center"/>
              <w:rPr>
                <w:lang w:val="en-US"/>
              </w:rPr>
            </w:pPr>
          </w:p>
          <w:p>
            <w:pPr>
              <w:ind w:left="0" w:leftChars="0" w:firstLine="0" w:firstLineChars="0"/>
              <w:jc w:val="center"/>
              <w:rPr>
                <w:rFonts w:hint="eastAsia" w:eastAsia="宋体"/>
                <w:color w:val="000000" w:themeColor="text1"/>
                <w:lang w:val="en-US" w:eastAsia="zh-CN"/>
                <w14:textFill>
                  <w14:solidFill>
                    <w14:schemeClr w14:val="tx1"/>
                  </w14:solidFill>
                </w14:textFill>
              </w:rPr>
            </w:pPr>
            <w:r>
              <w:rPr>
                <w:lang w:val="en-US"/>
              </w:rPr>
              <w:t>技术参数响应</w:t>
            </w:r>
            <w:r>
              <w:rPr>
                <w:color w:val="000000" w:themeColor="text1"/>
                <w:lang w:val="en-US"/>
                <w14:textFill>
                  <w14:solidFill>
                    <w14:schemeClr w14:val="tx1"/>
                  </w14:solidFill>
                </w14:textFill>
              </w:rPr>
              <w:t>情</w:t>
            </w:r>
            <w:r>
              <w:rPr>
                <w:rFonts w:hint="eastAsia"/>
                <w:color w:val="000000" w:themeColor="text1"/>
                <w:lang w:val="en-US" w:eastAsia="zh-CN"/>
                <w14:textFill>
                  <w14:solidFill>
                    <w14:schemeClr w14:val="tx1"/>
                  </w14:solidFill>
                </w14:textFill>
              </w:rPr>
              <w:t>况</w:t>
            </w:r>
          </w:p>
          <w:p>
            <w:pPr>
              <w:pStyle w:val="7"/>
              <w:spacing w:line="360" w:lineRule="auto"/>
              <w:ind w:firstLine="0" w:firstLineChars="0"/>
              <w:jc w:val="center"/>
              <w:rPr>
                <w:color w:val="000000"/>
                <w:lang w:val="zh-CN"/>
              </w:rPr>
            </w:pP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分）</w:t>
            </w:r>
          </w:p>
        </w:tc>
        <w:tc>
          <w:tcPr>
            <w:tcW w:w="7127"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jc w:val="both"/>
              <w:rPr>
                <w:lang w:val="en-US"/>
              </w:rPr>
            </w:pPr>
            <w:r>
              <w:rPr>
                <w:lang w:val="en-US"/>
              </w:rPr>
              <w:t>投标人应如实填写《</w:t>
            </w:r>
            <w:bookmarkStart w:id="28" w:name="_Toc21393"/>
            <w:r>
              <w:rPr>
                <w:rFonts w:hint="eastAsia" w:ascii="宋体" w:hAnsi="宋体" w:eastAsia="宋体" w:cs="宋体"/>
                <w:color w:val="auto"/>
                <w:sz w:val="24"/>
                <w:szCs w:val="24"/>
              </w:rPr>
              <w:t>技术条款偏离表</w:t>
            </w:r>
            <w:bookmarkEnd w:id="28"/>
            <w:r>
              <w:rPr>
                <w:lang w:val="en-US"/>
              </w:rPr>
              <w:t>》评审委员会根据技术参数响应情况进行打分，各项技术参数指标及要求全</w:t>
            </w:r>
            <w:r>
              <w:rPr>
                <w:color w:val="000000" w:themeColor="text1"/>
                <w:lang w:val="en-US"/>
                <w14:textFill>
                  <w14:solidFill>
                    <w14:schemeClr w14:val="tx1"/>
                  </w14:solidFill>
                </w14:textFill>
              </w:rPr>
              <w:t>部</w:t>
            </w:r>
            <w:r>
              <w:rPr>
                <w:rFonts w:hint="eastAsia"/>
                <w:color w:val="000000" w:themeColor="text1"/>
                <w:lang w:val="en-US" w:eastAsia="zh-CN"/>
                <w14:textFill>
                  <w14:solidFill>
                    <w14:schemeClr w14:val="tx1"/>
                  </w14:solidFill>
                </w14:textFill>
              </w:rPr>
              <w:t>满</w:t>
            </w:r>
            <w:r>
              <w:rPr>
                <w:lang w:val="en-US"/>
              </w:rPr>
              <w:t>足的得满分4</w:t>
            </w:r>
            <w:r>
              <w:rPr>
                <w:rFonts w:hint="eastAsia"/>
                <w:lang w:val="en-US" w:eastAsia="zh-CN"/>
              </w:rPr>
              <w:t>5</w:t>
            </w:r>
            <w:r>
              <w:rPr>
                <w:lang w:val="en-US"/>
              </w:rPr>
              <w:t>分，带</w:t>
            </w:r>
            <w:r>
              <w:rPr>
                <w:rFonts w:hint="eastAsia" w:asciiTheme="majorEastAsia" w:hAnsiTheme="majorEastAsia" w:eastAsiaTheme="majorEastAsia" w:cstheme="majorEastAsia"/>
                <w:b/>
                <w:bCs/>
                <w:color w:val="auto"/>
                <w:kern w:val="0"/>
                <w:sz w:val="21"/>
                <w:szCs w:val="21"/>
                <w:lang w:val="en-US" w:eastAsia="zh-CN" w:bidi="ar-SA"/>
              </w:rPr>
              <w:t>★</w:t>
            </w:r>
            <w:r>
              <w:rPr>
                <w:lang w:val="en-US"/>
              </w:rPr>
              <w:t>的重要</w:t>
            </w:r>
            <w:r>
              <w:rPr>
                <w:rFonts w:hint="eastAsia"/>
                <w:lang w:val="en-US" w:eastAsia="zh-CN"/>
              </w:rPr>
              <w:t>指标必须完全响应（须提供相关证明材料），其余参数</w:t>
            </w:r>
            <w:r>
              <w:rPr>
                <w:lang w:val="en-US"/>
              </w:rPr>
              <w:t>每负偏离一项扣5分，扣完为止，最低得</w:t>
            </w:r>
            <w:r>
              <w:rPr>
                <w:rFonts w:hint="eastAsia"/>
                <w:lang w:val="en-US" w:eastAsia="zh-CN"/>
              </w:rPr>
              <w:t xml:space="preserve"> 0</w:t>
            </w:r>
            <w:r>
              <w:rPr>
                <w:lang w:val="en-US"/>
              </w:rPr>
              <w:t>分。未响应的参数按负偏离扣分，正偏离不加分。</w:t>
            </w:r>
          </w:p>
          <w:p>
            <w:pPr>
              <w:rPr>
                <w:color w:val="000000"/>
              </w:rPr>
            </w:pPr>
            <w:r>
              <w:rPr>
                <w:lang w:val="en-US"/>
              </w:rPr>
              <w:t>根据技术参数要求提供</w:t>
            </w:r>
            <w:r>
              <w:rPr>
                <w:rFonts w:hint="eastAsia"/>
                <w:lang w:val="en-US"/>
              </w:rPr>
              <w:t>生产厂商出具的检测报告</w:t>
            </w:r>
            <w:r>
              <w:rPr>
                <w:rFonts w:hint="eastAsia"/>
                <w:lang w:val="en-US" w:eastAsia="zh-CN"/>
              </w:rPr>
              <w:t>，彩页或质量合格证书</w:t>
            </w:r>
            <w:r>
              <w:rPr>
                <w:rFonts w:hint="eastAsia"/>
                <w:lang w:val="en-US"/>
              </w:rPr>
              <w:t>复印件为依据。</w:t>
            </w:r>
            <w:r>
              <w:rPr>
                <w:lang w:val="en-US"/>
              </w:rPr>
              <w:t>未提供或提供的</w:t>
            </w:r>
            <w:r>
              <w:rPr>
                <w:rFonts w:hint="eastAsia"/>
                <w:lang w:val="en-US"/>
              </w:rPr>
              <w:t>生产厂商出具的检测报告</w:t>
            </w:r>
            <w:r>
              <w:rPr>
                <w:rFonts w:hint="eastAsia"/>
                <w:lang w:val="en-US" w:eastAsia="zh-CN"/>
              </w:rPr>
              <w:t>，彩页或质量合格证书</w:t>
            </w:r>
            <w:r>
              <w:rPr>
                <w:rFonts w:hint="eastAsia"/>
                <w:lang w:val="en-US"/>
              </w:rPr>
              <w:t>不</w:t>
            </w:r>
            <w:r>
              <w:rPr>
                <w:lang w:val="en-US"/>
              </w:rPr>
              <w:t>符合要求的均视为负偏离。对于《</w:t>
            </w:r>
            <w:r>
              <w:rPr>
                <w:rFonts w:hint="eastAsia" w:ascii="宋体" w:hAnsi="宋体" w:eastAsia="宋体" w:cs="宋体"/>
                <w:color w:val="auto"/>
                <w:sz w:val="24"/>
                <w:szCs w:val="24"/>
              </w:rPr>
              <w:t>技术条款偏离表</w:t>
            </w:r>
            <w:r>
              <w:rPr>
                <w:lang w:val="en-US"/>
              </w:rPr>
              <w:t>》中投标技术响应与偏离情况填写不一致的，评委会可按负偏离处理。对于不同货物的技术要求中的相同项不满足时按一项不满足进行扣分，不对某一项技术要求重复扣分。</w:t>
            </w:r>
          </w:p>
        </w:tc>
      </w:tr>
      <w:tr>
        <w:tblPrEx>
          <w:tblCellMar>
            <w:top w:w="0" w:type="dxa"/>
            <w:left w:w="108" w:type="dxa"/>
            <w:bottom w:w="0" w:type="dxa"/>
            <w:right w:w="108" w:type="dxa"/>
          </w:tblCellMar>
        </w:tblPrEx>
        <w:trPr>
          <w:trHeight w:val="1773" w:hRule="atLeast"/>
          <w:jc w:val="center"/>
        </w:trPr>
        <w:tc>
          <w:tcPr>
            <w:tcW w:w="1006" w:type="dxa"/>
            <w:vMerge w:val="restart"/>
            <w:tcBorders>
              <w:top w:val="single" w:color="000000" w:sz="6" w:space="0"/>
              <w:left w:val="single" w:color="000000" w:sz="6" w:space="0"/>
              <w:right w:val="single" w:color="000000" w:sz="6" w:space="0"/>
            </w:tcBorders>
            <w:vAlign w:val="center"/>
          </w:tcPr>
          <w:p>
            <w:pPr>
              <w:pStyle w:val="7"/>
              <w:spacing w:line="360" w:lineRule="auto"/>
              <w:ind w:left="-220" w:leftChars="-100" w:firstLine="0" w:firstLineChars="0"/>
              <w:jc w:val="center"/>
              <w:rPr>
                <w:color w:val="000000"/>
                <w:lang w:val="zh-CN"/>
              </w:rPr>
            </w:pPr>
            <w:r>
              <w:rPr>
                <w:rFonts w:hint="eastAsia"/>
                <w:color w:val="000000"/>
                <w:lang w:val="zh-CN"/>
              </w:rPr>
              <w:t>履约能力</w:t>
            </w:r>
            <w:r>
              <w:rPr>
                <w:rFonts w:hint="eastAsia" w:ascii="宋体" w:hAnsi="宋体"/>
              </w:rPr>
              <w:t>(</w:t>
            </w:r>
            <w:r>
              <w:rPr>
                <w:rFonts w:hint="eastAsia"/>
                <w:lang w:val="en-US" w:eastAsia="zh-CN"/>
              </w:rPr>
              <w:t>15</w:t>
            </w:r>
            <w:r>
              <w:rPr>
                <w:rFonts w:hint="eastAsia" w:ascii="宋体" w:hAnsi="宋体"/>
              </w:rPr>
              <w:t>分)</w:t>
            </w:r>
          </w:p>
        </w:tc>
        <w:tc>
          <w:tcPr>
            <w:tcW w:w="1299"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firstLine="0" w:firstLineChars="0"/>
              <w:jc w:val="center"/>
              <w:rPr>
                <w:color w:val="000000"/>
                <w:lang w:val="zh-CN"/>
              </w:rPr>
            </w:pPr>
            <w:r>
              <w:rPr>
                <w:rFonts w:hint="eastAsia"/>
                <w:color w:val="000000"/>
                <w:lang w:val="zh-CN"/>
              </w:rPr>
              <w:t>类似业绩（</w:t>
            </w:r>
            <w:r>
              <w:rPr>
                <w:rFonts w:hint="eastAsia"/>
                <w:color w:val="000000"/>
                <w:lang w:val="en-US" w:eastAsia="zh-CN"/>
              </w:rPr>
              <w:t>5</w:t>
            </w:r>
            <w:r>
              <w:rPr>
                <w:rFonts w:hint="eastAsia"/>
                <w:color w:val="000000"/>
                <w:lang w:val="zh-CN"/>
              </w:rPr>
              <w:t>分）</w:t>
            </w:r>
          </w:p>
        </w:tc>
        <w:tc>
          <w:tcPr>
            <w:tcW w:w="7127" w:type="dxa"/>
            <w:tcBorders>
              <w:top w:val="single" w:color="000000" w:sz="6" w:space="0"/>
              <w:left w:val="single" w:color="000000" w:sz="6" w:space="0"/>
              <w:bottom w:val="single" w:color="auto" w:sz="4" w:space="0"/>
              <w:right w:val="single" w:color="000000" w:sz="6" w:space="0"/>
            </w:tcBorders>
            <w:vAlign w:val="center"/>
          </w:tcPr>
          <w:p>
            <w:pPr>
              <w:pStyle w:val="7"/>
              <w:spacing w:line="360" w:lineRule="auto"/>
              <w:ind w:firstLine="0" w:firstLineChars="0"/>
              <w:rPr>
                <w:color w:val="000000"/>
                <w:lang w:val="zh-CN"/>
              </w:rPr>
            </w:pPr>
            <w:r>
              <w:rPr>
                <w:rFonts w:hint="eastAsia"/>
                <w:color w:val="000000"/>
                <w:lang w:val="zh-CN"/>
              </w:rPr>
              <w:t>提供供应商</w:t>
            </w:r>
            <w:r>
              <w:rPr>
                <w:rFonts w:hint="eastAsia"/>
                <w:lang w:val="zh-CN"/>
              </w:rPr>
              <w:t>2017年8月</w:t>
            </w:r>
            <w:r>
              <w:rPr>
                <w:rFonts w:hint="eastAsia"/>
              </w:rPr>
              <w:t>7</w:t>
            </w:r>
            <w:r>
              <w:rPr>
                <w:rFonts w:hint="eastAsia"/>
                <w:lang w:val="zh-CN"/>
              </w:rPr>
              <w:t>日至2020年8月6日</w:t>
            </w:r>
            <w:r>
              <w:rPr>
                <w:rFonts w:hint="eastAsia"/>
                <w:color w:val="000000"/>
                <w:lang w:val="zh-CN"/>
              </w:rPr>
              <w:t>以来的类似业绩证明材料（</w:t>
            </w:r>
            <w:r>
              <w:rPr>
                <w:rFonts w:hint="eastAsia" w:ascii="宋体" w:hAnsi="宋体"/>
              </w:rPr>
              <w:t>需提供包含合同首页、标的及金额所在页、签字盖章页的合同复印件）</w:t>
            </w:r>
            <w:r>
              <w:rPr>
                <w:rFonts w:hint="eastAsia"/>
                <w:color w:val="000000"/>
                <w:lang w:val="zh-CN"/>
              </w:rPr>
              <w:t>每提供1项得分,满分</w:t>
            </w:r>
            <w:r>
              <w:rPr>
                <w:rFonts w:hint="eastAsia"/>
                <w:color w:val="000000"/>
                <w:lang w:val="en-US" w:eastAsia="zh-CN"/>
              </w:rPr>
              <w:t>5</w:t>
            </w:r>
            <w:r>
              <w:rPr>
                <w:rFonts w:hint="eastAsia"/>
                <w:color w:val="000000"/>
                <w:lang w:val="zh-CN"/>
              </w:rPr>
              <w:t>分；不提供不得分。</w:t>
            </w:r>
          </w:p>
        </w:tc>
      </w:tr>
      <w:tr>
        <w:tblPrEx>
          <w:tblCellMar>
            <w:top w:w="0" w:type="dxa"/>
            <w:left w:w="108" w:type="dxa"/>
            <w:bottom w:w="0" w:type="dxa"/>
            <w:right w:w="108" w:type="dxa"/>
          </w:tblCellMar>
        </w:tblPrEx>
        <w:trPr>
          <w:trHeight w:val="1458" w:hRule="atLeast"/>
          <w:jc w:val="center"/>
        </w:trPr>
        <w:tc>
          <w:tcPr>
            <w:tcW w:w="1006" w:type="dxa"/>
            <w:vMerge w:val="continue"/>
            <w:tcBorders>
              <w:left w:val="single" w:color="000000" w:sz="6" w:space="0"/>
              <w:bottom w:val="single" w:color="000000" w:sz="6" w:space="0"/>
              <w:right w:val="single" w:color="000000" w:sz="6" w:space="0"/>
            </w:tcBorders>
            <w:vAlign w:val="center"/>
          </w:tcPr>
          <w:p>
            <w:pPr>
              <w:pStyle w:val="7"/>
              <w:spacing w:line="360" w:lineRule="auto"/>
              <w:ind w:firstLine="480"/>
              <w:jc w:val="center"/>
              <w:rPr>
                <w:color w:val="000000"/>
                <w:lang w:val="zh-CN"/>
              </w:rPr>
            </w:pPr>
          </w:p>
        </w:tc>
        <w:tc>
          <w:tcPr>
            <w:tcW w:w="1299"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firstLine="0" w:firstLineChars="0"/>
              <w:jc w:val="center"/>
              <w:rPr>
                <w:color w:val="000000"/>
                <w:lang w:val="zh-CN"/>
              </w:rPr>
            </w:pPr>
            <w:r>
              <w:rPr>
                <w:rFonts w:hint="eastAsia"/>
                <w:color w:val="000000"/>
                <w:lang w:val="zh-CN"/>
              </w:rPr>
              <w:t>实施方案（</w:t>
            </w:r>
            <w:r>
              <w:rPr>
                <w:rFonts w:hint="eastAsia"/>
                <w:color w:val="000000"/>
                <w:lang w:val="en-US" w:eastAsia="zh-CN"/>
              </w:rPr>
              <w:t>10</w:t>
            </w:r>
            <w:r>
              <w:rPr>
                <w:rFonts w:hint="eastAsia"/>
                <w:color w:val="000000"/>
                <w:lang w:val="zh-CN"/>
              </w:rPr>
              <w:t>分）</w:t>
            </w:r>
          </w:p>
        </w:tc>
        <w:tc>
          <w:tcPr>
            <w:tcW w:w="7127" w:type="dxa"/>
            <w:tcBorders>
              <w:top w:val="single" w:color="auto" w:sz="4" w:space="0"/>
              <w:left w:val="single" w:color="000000" w:sz="6" w:space="0"/>
              <w:bottom w:val="single" w:color="000000" w:sz="6" w:space="0"/>
              <w:right w:val="single" w:color="000000" w:sz="6" w:space="0"/>
            </w:tcBorders>
            <w:vAlign w:val="center"/>
          </w:tcPr>
          <w:p>
            <w:pPr>
              <w:spacing w:line="360" w:lineRule="auto"/>
              <w:ind w:firstLine="0" w:firstLineChars="0"/>
              <w:rPr>
                <w:rFonts w:hint="default" w:ascii="宋体" w:hAnsi="宋体" w:eastAsia="宋体" w:cs="宋体"/>
                <w:color w:val="000000"/>
                <w:lang w:val="en-US" w:eastAsia="zh-CN"/>
              </w:rPr>
            </w:pPr>
            <w:r>
              <w:rPr>
                <w:rFonts w:hint="eastAsia" w:ascii="宋体" w:hAnsi="宋体" w:cs="宋体"/>
                <w:color w:val="000000"/>
              </w:rPr>
              <w:t>对供应商的</w:t>
            </w:r>
            <w:r>
              <w:rPr>
                <w:rFonts w:hint="eastAsia" w:ascii="宋体" w:hAnsi="宋体" w:cs="宋体"/>
              </w:rPr>
              <w:t>①</w:t>
            </w:r>
            <w:r>
              <w:rPr>
                <w:rFonts w:hint="eastAsia" w:ascii="宋体" w:hAnsi="宋体" w:cs="宋体"/>
                <w:color w:val="000000"/>
              </w:rPr>
              <w:t>量体方案</w:t>
            </w:r>
            <w:r>
              <w:rPr>
                <w:rFonts w:hint="eastAsia" w:ascii="宋体" w:hAnsi="宋体" w:cs="宋体"/>
              </w:rPr>
              <w:t>②</w:t>
            </w:r>
            <w:r>
              <w:rPr>
                <w:rFonts w:hint="eastAsia" w:ascii="宋体" w:hAnsi="宋体" w:cs="宋体"/>
                <w:color w:val="000000"/>
              </w:rPr>
              <w:t>成品配送方案</w:t>
            </w:r>
            <w:r>
              <w:rPr>
                <w:rFonts w:hint="eastAsia" w:ascii="宋体" w:hAnsi="宋体" w:cs="宋体"/>
              </w:rPr>
              <w:t>③</w:t>
            </w:r>
            <w:r>
              <w:t>实施计划方案</w:t>
            </w:r>
            <w:r>
              <w:rPr>
                <w:rFonts w:hint="eastAsia" w:ascii="宋体" w:hAnsi="宋体" w:cs="宋体"/>
              </w:rPr>
              <w:t>④</w:t>
            </w:r>
            <w:r>
              <w:t>实施团队</w:t>
            </w:r>
            <w:r>
              <w:rPr>
                <w:rFonts w:hint="eastAsia" w:ascii="宋体" w:hAnsi="宋体" w:cs="宋体"/>
              </w:rPr>
              <w:t>⑤</w:t>
            </w:r>
            <w:r>
              <w:t>实施进度</w:t>
            </w:r>
            <w:r>
              <w:rPr>
                <w:rFonts w:hint="eastAsia" w:ascii="宋体" w:hAnsi="宋体" w:cs="宋体"/>
              </w:rPr>
              <w:t>⑥</w:t>
            </w:r>
            <w:r>
              <w:t>质量控制措施</w:t>
            </w:r>
            <w:r>
              <w:rPr>
                <w:rFonts w:hint="eastAsia"/>
              </w:rPr>
              <w:t>等</w:t>
            </w:r>
            <w:r>
              <w:rPr>
                <w:rFonts w:hint="eastAsia" w:ascii="宋体" w:hAnsi="宋体" w:cs="宋体"/>
                <w:color w:val="000000"/>
              </w:rPr>
              <w:t>，</w:t>
            </w:r>
            <w:r>
              <w:t>以上</w:t>
            </w:r>
            <w:r>
              <w:rPr>
                <w:rFonts w:hint="eastAsia" w:ascii="宋体" w:hAnsi="宋体" w:cs="宋体"/>
                <w:color w:val="000000"/>
              </w:rPr>
              <w:t>方案等进行打分，方案合理、完善的得</w:t>
            </w:r>
            <w:r>
              <w:rPr>
                <w:rFonts w:hint="eastAsia" w:cs="宋体"/>
                <w:color w:val="000000"/>
                <w:lang w:val="en-US" w:eastAsia="zh-CN"/>
              </w:rPr>
              <w:t>10-5</w:t>
            </w:r>
            <w:r>
              <w:rPr>
                <w:rFonts w:hint="eastAsia" w:ascii="宋体" w:hAnsi="宋体" w:cs="宋体"/>
                <w:color w:val="000000"/>
              </w:rPr>
              <w:t>分，较合理、完善的得</w:t>
            </w:r>
            <w:r>
              <w:rPr>
                <w:rFonts w:hint="eastAsia" w:cs="宋体"/>
                <w:color w:val="000000"/>
                <w:lang w:val="en-US" w:eastAsia="zh-CN"/>
              </w:rPr>
              <w:t>4.9-1.1</w:t>
            </w:r>
            <w:r>
              <w:rPr>
                <w:rFonts w:hint="eastAsia" w:ascii="宋体" w:hAnsi="宋体" w:cs="宋体"/>
                <w:color w:val="000000"/>
              </w:rPr>
              <w:t>分，基本合理、完善的得1分</w:t>
            </w:r>
            <w:r>
              <w:rPr>
                <w:rFonts w:hint="eastAsia" w:cs="宋体"/>
                <w:color w:val="000000"/>
                <w:lang w:val="en-US" w:eastAsia="zh-CN"/>
              </w:rPr>
              <w:t>,不合理及没有提供的不得分</w:t>
            </w:r>
          </w:p>
        </w:tc>
      </w:tr>
      <w:tr>
        <w:tblPrEx>
          <w:tblCellMar>
            <w:top w:w="0" w:type="dxa"/>
            <w:left w:w="108" w:type="dxa"/>
            <w:bottom w:w="0" w:type="dxa"/>
            <w:right w:w="108" w:type="dxa"/>
          </w:tblCellMar>
        </w:tblPrEx>
        <w:trPr>
          <w:trHeight w:val="1458" w:hRule="atLeast"/>
          <w:jc w:val="center"/>
        </w:trPr>
        <w:tc>
          <w:tcPr>
            <w:tcW w:w="1006" w:type="dxa"/>
            <w:tcBorders>
              <w:top w:val="single" w:color="000000" w:sz="6" w:space="0"/>
              <w:left w:val="single" w:color="000000" w:sz="6" w:space="0"/>
              <w:bottom w:val="single" w:color="auto" w:sz="4" w:space="0"/>
              <w:right w:val="single" w:color="000000" w:sz="6" w:space="0"/>
            </w:tcBorders>
            <w:vAlign w:val="center"/>
          </w:tcPr>
          <w:p>
            <w:pPr>
              <w:pStyle w:val="7"/>
              <w:spacing w:line="360" w:lineRule="auto"/>
              <w:ind w:firstLine="0" w:firstLineChars="0"/>
              <w:jc w:val="center"/>
              <w:rPr>
                <w:color w:val="000000"/>
                <w:lang w:val="zh-CN"/>
              </w:rPr>
            </w:pPr>
            <w:r>
              <w:rPr>
                <w:rFonts w:hint="eastAsia"/>
                <w:color w:val="000000"/>
                <w:lang w:val="zh-CN"/>
              </w:rPr>
              <w:t>售后服务</w:t>
            </w:r>
          </w:p>
          <w:p>
            <w:pPr>
              <w:pStyle w:val="7"/>
              <w:spacing w:line="360" w:lineRule="auto"/>
              <w:ind w:firstLine="0" w:firstLineChars="0"/>
              <w:jc w:val="center"/>
              <w:rPr>
                <w:color w:val="000000"/>
                <w:lang w:val="zh-CN"/>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w:t>
            </w:r>
          </w:p>
        </w:tc>
        <w:tc>
          <w:tcPr>
            <w:tcW w:w="1299"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ind w:right="-235" w:rightChars="-107" w:firstLine="0" w:firstLineChars="0"/>
              <w:jc w:val="center"/>
              <w:rPr>
                <w:color w:val="000000"/>
                <w:lang w:val="zh-CN"/>
              </w:rPr>
            </w:pPr>
            <w:r>
              <w:rPr>
                <w:color w:val="000000"/>
                <w:lang w:val="zh-CN"/>
              </w:rPr>
              <w:t>售后服务方案（</w:t>
            </w:r>
            <w:r>
              <w:rPr>
                <w:rFonts w:hint="eastAsia"/>
                <w:color w:val="000000"/>
                <w:lang w:val="en-US" w:eastAsia="zh-CN"/>
              </w:rPr>
              <w:t>10</w:t>
            </w:r>
            <w:r>
              <w:rPr>
                <w:rFonts w:hint="eastAsia"/>
                <w:color w:val="000000"/>
                <w:lang w:val="zh-CN"/>
              </w:rPr>
              <w:t>分</w:t>
            </w:r>
            <w:r>
              <w:rPr>
                <w:color w:val="000000"/>
                <w:lang w:val="zh-CN"/>
              </w:rPr>
              <w:t>）</w:t>
            </w:r>
          </w:p>
        </w:tc>
        <w:tc>
          <w:tcPr>
            <w:tcW w:w="7127" w:type="dxa"/>
            <w:tcBorders>
              <w:top w:val="single" w:color="auto" w:sz="4" w:space="0"/>
              <w:left w:val="single" w:color="000000" w:sz="6" w:space="0"/>
              <w:bottom w:val="single" w:color="auto" w:sz="4" w:space="0"/>
              <w:right w:val="single" w:color="000000" w:sz="6" w:space="0"/>
            </w:tcBorders>
            <w:vAlign w:val="center"/>
          </w:tcPr>
          <w:p>
            <w:pPr>
              <w:pStyle w:val="7"/>
              <w:widowControl/>
              <w:shd w:val="clear" w:color="auto" w:fill="FFFFFF"/>
              <w:tabs>
                <w:tab w:val="left" w:pos="312"/>
              </w:tabs>
              <w:spacing w:line="360" w:lineRule="auto"/>
              <w:ind w:firstLine="0" w:firstLineChars="0"/>
              <w:rPr>
                <w:rFonts w:ascii="宋体" w:hAnsi="宋体"/>
                <w:color w:val="000000" w:themeColor="text1"/>
                <w14:textFill>
                  <w14:solidFill>
                    <w14:schemeClr w14:val="tx1"/>
                  </w14:solidFill>
                </w14:textFill>
              </w:rPr>
            </w:pPr>
            <w:r>
              <w:rPr>
                <w:rFonts w:hint="eastAsia" w:ascii="宋体" w:hAnsi="宋体" w:cs="宋体"/>
                <w:color w:val="000000"/>
              </w:rPr>
              <w:t>对投标人的售后服务方案、验收方案等进行打分，方案合理、完善的得</w:t>
            </w:r>
            <w:r>
              <w:rPr>
                <w:rFonts w:hint="eastAsia" w:cs="宋体"/>
                <w:color w:val="000000"/>
                <w:lang w:val="en-US" w:eastAsia="zh-CN"/>
              </w:rPr>
              <w:t>10-6</w:t>
            </w:r>
            <w:r>
              <w:rPr>
                <w:rFonts w:hint="eastAsia" w:ascii="宋体" w:hAnsi="宋体" w:cs="宋体"/>
                <w:color w:val="000000"/>
              </w:rPr>
              <w:t>分，较合理、完善的得</w:t>
            </w:r>
            <w:r>
              <w:rPr>
                <w:rFonts w:hint="eastAsia" w:cs="宋体"/>
                <w:color w:val="000000"/>
                <w:lang w:val="en-US" w:eastAsia="zh-CN"/>
              </w:rPr>
              <w:t>3-5</w:t>
            </w:r>
            <w:r>
              <w:rPr>
                <w:rFonts w:hint="eastAsia" w:ascii="宋体" w:hAnsi="宋体" w:cs="宋体"/>
                <w:color w:val="000000"/>
              </w:rPr>
              <w:t>分，基本合理、完善的得1分，</w:t>
            </w:r>
            <w:r>
              <w:rPr>
                <w:rFonts w:ascii="宋体" w:hAnsi="宋体" w:cs="宋体"/>
                <w:color w:val="000000"/>
              </w:rPr>
              <w:t>无</w:t>
            </w:r>
            <w:r>
              <w:rPr>
                <w:rFonts w:hint="eastAsia" w:ascii="宋体" w:hAnsi="宋体" w:cs="宋体"/>
                <w:color w:val="000000"/>
              </w:rPr>
              <w:t>售后服务</w:t>
            </w:r>
            <w:r>
              <w:rPr>
                <w:rFonts w:ascii="宋体" w:hAnsi="宋体" w:cs="宋体"/>
                <w:color w:val="000000"/>
              </w:rPr>
              <w:t>方案</w:t>
            </w:r>
            <w:r>
              <w:rPr>
                <w:rFonts w:hint="eastAsia" w:ascii="宋体" w:hAnsi="宋体" w:cs="宋体"/>
                <w:color w:val="000000"/>
              </w:rPr>
              <w:t>、</w:t>
            </w:r>
            <w:r>
              <w:rPr>
                <w:rFonts w:ascii="宋体" w:hAnsi="宋体" w:cs="宋体"/>
                <w:color w:val="000000"/>
              </w:rPr>
              <w:t>验收方案的</w:t>
            </w:r>
            <w:r>
              <w:rPr>
                <w:rFonts w:hint="eastAsia" w:ascii="宋体" w:hAnsi="宋体" w:cs="宋体"/>
                <w:color w:val="000000"/>
              </w:rPr>
              <w:t>得0分</w:t>
            </w:r>
            <w:r>
              <w:rPr>
                <w:rFonts w:ascii="宋体" w:hAnsi="宋体" w:cs="宋体"/>
                <w:color w:val="000000"/>
              </w:rPr>
              <w:t>。</w:t>
            </w:r>
          </w:p>
        </w:tc>
      </w:tr>
    </w:tbl>
    <w:p>
      <w:pPr>
        <w:ind w:firstLine="0" w:firstLineChars="0"/>
        <w:jc w:val="left"/>
        <w:rPr>
          <w:rFonts w:ascii="宋体" w:hAnsi="宋体" w:cs="宋体"/>
          <w:color w:val="000000" w:themeColor="text1"/>
          <w14:textFill>
            <w14:solidFill>
              <w14:schemeClr w14:val="tx1"/>
            </w14:solidFill>
          </w14:textFill>
        </w:rPr>
      </w:pPr>
    </w:p>
    <w:p/>
    <w:p>
      <w:pPr>
        <w:pStyle w:val="2"/>
      </w:pPr>
    </w:p>
    <w:p/>
    <w:p>
      <w:pPr>
        <w:pStyle w:val="2"/>
      </w:pPr>
    </w:p>
    <w:p/>
    <w:p>
      <w:pPr>
        <w:pStyle w:val="2"/>
        <w:spacing w:before="4"/>
        <w:rPr>
          <w:sz w:val="12"/>
        </w:rPr>
      </w:pPr>
    </w:p>
    <w:p>
      <w:pPr>
        <w:pStyle w:val="2"/>
        <w:spacing w:before="9"/>
        <w:rPr>
          <w:rFonts w:ascii="Times New Roman"/>
          <w:sz w:val="5"/>
        </w:rPr>
      </w:pPr>
    </w:p>
    <w:p>
      <w:pPr>
        <w:spacing w:after="0" w:line="240" w:lineRule="auto"/>
        <w:jc w:val="left"/>
        <w:rPr>
          <w:sz w:val="24"/>
        </w:rPr>
        <w:sectPr>
          <w:pgSz w:w="11910" w:h="16840"/>
          <w:pgMar w:top="1180" w:right="720" w:bottom="1120" w:left="740" w:header="711" w:footer="923" w:gutter="0"/>
        </w:sectPr>
      </w:pPr>
    </w:p>
    <w:p>
      <w:pPr>
        <w:pStyle w:val="2"/>
        <w:spacing w:before="9"/>
        <w:rPr>
          <w:rFonts w:ascii="Times New Roman"/>
          <w:sz w:val="5"/>
        </w:rPr>
      </w:pPr>
    </w:p>
    <w:p>
      <w:pPr>
        <w:pStyle w:val="13"/>
        <w:numPr>
          <w:ilvl w:val="1"/>
          <w:numId w:val="19"/>
        </w:numPr>
        <w:tabs>
          <w:tab w:val="left" w:pos="1579"/>
        </w:tabs>
        <w:spacing w:before="0" w:after="0" w:line="364" w:lineRule="auto"/>
        <w:ind w:left="508" w:right="521" w:firstLine="480"/>
        <w:jc w:val="both"/>
        <w:rPr>
          <w:sz w:val="24"/>
        </w:rPr>
      </w:pPr>
      <w:r>
        <w:rPr>
          <w:spacing w:val="-5"/>
          <w:sz w:val="24"/>
        </w:rPr>
        <w:t>评标结果按评审后得分由高到低顺序排列。得分相同的，按磋商报价由低到高顺</w:t>
      </w:r>
      <w:r>
        <w:rPr>
          <w:spacing w:val="-1"/>
          <w:sz w:val="24"/>
        </w:rPr>
        <w:t xml:space="preserve">序排列。得分且磋商报价相同的并列。磋商响应文件满足磋商文件文件全部实质性要求， </w:t>
      </w:r>
      <w:r>
        <w:rPr>
          <w:sz w:val="24"/>
        </w:rPr>
        <w:t>且按照评审因素的量化指标评审得分最高的磋商人为排名第一的中标候选人。</w:t>
      </w:r>
    </w:p>
    <w:p>
      <w:pPr>
        <w:pStyle w:val="13"/>
        <w:numPr>
          <w:ilvl w:val="1"/>
          <w:numId w:val="19"/>
        </w:numPr>
        <w:tabs>
          <w:tab w:val="left" w:pos="1579"/>
        </w:tabs>
        <w:spacing w:before="0" w:after="0" w:line="304" w:lineRule="exact"/>
        <w:ind w:left="1578" w:right="0" w:hanging="591"/>
        <w:jc w:val="both"/>
        <w:rPr>
          <w:sz w:val="24"/>
        </w:rPr>
      </w:pPr>
      <w:r>
        <w:rPr>
          <w:spacing w:val="-1"/>
          <w:sz w:val="24"/>
        </w:rPr>
        <w:t>评标结果汇总完成后，除下列情形外，任何人不得修改评标结果：</w:t>
      </w:r>
    </w:p>
    <w:p>
      <w:pPr>
        <w:pStyle w:val="13"/>
        <w:numPr>
          <w:ilvl w:val="0"/>
          <w:numId w:val="22"/>
        </w:numPr>
        <w:tabs>
          <w:tab w:val="left" w:pos="1604"/>
        </w:tabs>
        <w:spacing w:before="162" w:after="0" w:line="240" w:lineRule="auto"/>
        <w:ind w:left="1603" w:right="0" w:hanging="616"/>
        <w:jc w:val="left"/>
        <w:rPr>
          <w:sz w:val="24"/>
        </w:rPr>
      </w:pPr>
      <w:r>
        <w:rPr>
          <w:sz w:val="24"/>
        </w:rPr>
        <w:t>分值汇总计算错误的；</w:t>
      </w:r>
    </w:p>
    <w:p>
      <w:pPr>
        <w:pStyle w:val="13"/>
        <w:numPr>
          <w:ilvl w:val="0"/>
          <w:numId w:val="22"/>
        </w:numPr>
        <w:tabs>
          <w:tab w:val="left" w:pos="1604"/>
        </w:tabs>
        <w:spacing w:before="158" w:after="0" w:line="240" w:lineRule="auto"/>
        <w:ind w:left="1603" w:right="0" w:hanging="616"/>
        <w:jc w:val="left"/>
        <w:rPr>
          <w:sz w:val="24"/>
        </w:rPr>
      </w:pPr>
      <w:r>
        <w:rPr>
          <w:sz w:val="24"/>
        </w:rPr>
        <w:t>分项评分超出评分标准范围的；</w:t>
      </w:r>
    </w:p>
    <w:p>
      <w:pPr>
        <w:pStyle w:val="13"/>
        <w:numPr>
          <w:ilvl w:val="0"/>
          <w:numId w:val="22"/>
        </w:numPr>
        <w:tabs>
          <w:tab w:val="left" w:pos="1604"/>
        </w:tabs>
        <w:spacing w:before="160" w:after="0" w:line="240" w:lineRule="auto"/>
        <w:ind w:left="1603" w:right="0" w:hanging="616"/>
        <w:jc w:val="left"/>
        <w:rPr>
          <w:sz w:val="24"/>
        </w:rPr>
      </w:pPr>
      <w:r>
        <w:rPr>
          <w:sz w:val="24"/>
        </w:rPr>
        <w:t>评标委员会成员对客观评审因素评分不一致的；</w:t>
      </w:r>
    </w:p>
    <w:p>
      <w:pPr>
        <w:pStyle w:val="13"/>
        <w:numPr>
          <w:ilvl w:val="0"/>
          <w:numId w:val="22"/>
        </w:numPr>
        <w:tabs>
          <w:tab w:val="left" w:pos="1604"/>
        </w:tabs>
        <w:spacing w:before="158" w:after="0" w:line="240" w:lineRule="auto"/>
        <w:ind w:left="1603" w:right="0" w:hanging="616"/>
        <w:jc w:val="left"/>
        <w:rPr>
          <w:sz w:val="24"/>
        </w:rPr>
      </w:pPr>
      <w:r>
        <w:rPr>
          <w:sz w:val="24"/>
        </w:rPr>
        <w:t>经评标委员会认定评分畸高、畸低的。</w:t>
      </w:r>
    </w:p>
    <w:p>
      <w:pPr>
        <w:pStyle w:val="2"/>
        <w:spacing w:before="161" w:line="364" w:lineRule="auto"/>
        <w:ind w:left="508" w:right="524"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spacing w:line="364" w:lineRule="auto"/>
        <w:ind w:left="508" w:right="526" w:firstLine="480"/>
      </w:pPr>
      <w:r>
        <w:t>磋商人对以上情形提出质疑的，采购人或者采购代理机构可以组织原评标委员会进行重新评审，重新评审改变评标结果的，应当书面报告本级财政部门。</w:t>
      </w:r>
    </w:p>
    <w:p>
      <w:pPr>
        <w:spacing w:before="0" w:line="356" w:lineRule="exact"/>
        <w:ind w:left="4651" w:right="0" w:firstLine="0"/>
        <w:jc w:val="left"/>
        <w:rPr>
          <w:b/>
          <w:sz w:val="28"/>
        </w:rPr>
      </w:pPr>
      <w:bookmarkStart w:id="29" w:name="_TOC_250040"/>
      <w:bookmarkEnd w:id="29"/>
      <w:r>
        <w:rPr>
          <w:b/>
          <w:sz w:val="28"/>
        </w:rPr>
        <w:t>七、中标</w:t>
      </w:r>
    </w:p>
    <w:p>
      <w:pPr>
        <w:pStyle w:val="2"/>
        <w:spacing w:before="5"/>
        <w:rPr>
          <w:b/>
          <w:sz w:val="8"/>
        </w:rPr>
      </w:pPr>
    </w:p>
    <w:p>
      <w:pPr>
        <w:pStyle w:val="13"/>
        <w:numPr>
          <w:ilvl w:val="0"/>
          <w:numId w:val="19"/>
        </w:numPr>
        <w:tabs>
          <w:tab w:val="left" w:pos="845"/>
        </w:tabs>
        <w:spacing w:before="78" w:after="0" w:line="240" w:lineRule="auto"/>
        <w:ind w:left="844" w:right="0" w:hanging="337"/>
        <w:jc w:val="left"/>
        <w:rPr>
          <w:b/>
          <w:sz w:val="24"/>
        </w:rPr>
      </w:pPr>
      <w:bookmarkStart w:id="30" w:name="_TOC_250039"/>
      <w:bookmarkEnd w:id="30"/>
      <w:r>
        <w:rPr>
          <w:b/>
          <w:sz w:val="24"/>
        </w:rPr>
        <w:t>推荐并确定中标磋商人</w:t>
      </w:r>
    </w:p>
    <w:p>
      <w:pPr>
        <w:pStyle w:val="13"/>
        <w:numPr>
          <w:ilvl w:val="1"/>
          <w:numId w:val="19"/>
        </w:numPr>
        <w:tabs>
          <w:tab w:val="left" w:pos="1459"/>
        </w:tabs>
        <w:spacing w:before="160" w:after="0" w:line="362" w:lineRule="auto"/>
        <w:ind w:left="508" w:right="524" w:firstLine="480"/>
        <w:jc w:val="left"/>
        <w:rPr>
          <w:sz w:val="24"/>
        </w:rPr>
      </w:pPr>
      <w:r>
        <w:rPr>
          <w:sz w:val="24"/>
        </w:rPr>
        <w:t>磋商评标委员会根据评审总得分由高到低排序推荐预中标候选磋商人，并由采购人按顺序确定中标磋商人。</w:t>
      </w:r>
    </w:p>
    <w:p>
      <w:pPr>
        <w:pStyle w:val="13"/>
        <w:numPr>
          <w:ilvl w:val="1"/>
          <w:numId w:val="19"/>
        </w:numPr>
        <w:tabs>
          <w:tab w:val="left" w:pos="1459"/>
        </w:tabs>
        <w:spacing w:before="5" w:after="0" w:line="364" w:lineRule="auto"/>
        <w:ind w:left="508" w:right="524" w:firstLine="480"/>
        <w:jc w:val="both"/>
        <w:rPr>
          <w:sz w:val="24"/>
        </w:rPr>
      </w:pPr>
      <w:r>
        <w:rPr>
          <w:sz w:val="24"/>
        </w:rPr>
        <w:t>中标磋商人因不可抗力或自身原因不能履行合同时，采购人可以按照评审报告推</w:t>
      </w:r>
      <w:r>
        <w:rPr>
          <w:spacing w:val="-1"/>
          <w:sz w:val="24"/>
        </w:rPr>
        <w:t>荐的预中标候选磋商人名单排序，确定下一候选磋商人为中标磋商人，也可重新开展政府</w:t>
      </w:r>
      <w:r>
        <w:rPr>
          <w:sz w:val="24"/>
        </w:rPr>
        <w:t>采购活动。</w:t>
      </w:r>
    </w:p>
    <w:p>
      <w:pPr>
        <w:pStyle w:val="13"/>
        <w:numPr>
          <w:ilvl w:val="0"/>
          <w:numId w:val="19"/>
        </w:numPr>
        <w:tabs>
          <w:tab w:val="left" w:pos="845"/>
        </w:tabs>
        <w:spacing w:before="0" w:after="0" w:line="305" w:lineRule="exact"/>
        <w:ind w:left="844" w:right="0" w:hanging="337"/>
        <w:jc w:val="left"/>
        <w:rPr>
          <w:b/>
          <w:sz w:val="24"/>
        </w:rPr>
      </w:pPr>
      <w:bookmarkStart w:id="31" w:name="_TOC_250038"/>
      <w:bookmarkEnd w:id="31"/>
      <w:r>
        <w:rPr>
          <w:b/>
          <w:sz w:val="24"/>
        </w:rPr>
        <w:t>中标通知</w:t>
      </w:r>
    </w:p>
    <w:p>
      <w:pPr>
        <w:pStyle w:val="13"/>
        <w:numPr>
          <w:ilvl w:val="1"/>
          <w:numId w:val="23"/>
        </w:numPr>
        <w:tabs>
          <w:tab w:val="left" w:pos="1459"/>
        </w:tabs>
        <w:spacing w:before="161" w:after="0" w:line="362" w:lineRule="auto"/>
        <w:ind w:left="508" w:right="522" w:firstLine="480"/>
        <w:jc w:val="left"/>
        <w:rPr>
          <w:sz w:val="24"/>
        </w:rPr>
      </w:pPr>
      <w:r>
        <w:rPr>
          <w:spacing w:val="-1"/>
          <w:sz w:val="24"/>
        </w:rPr>
        <w:t>采购代理机构自中标磋商人确定之日起</w:t>
      </w:r>
      <w:r>
        <w:rPr>
          <w:rFonts w:ascii="Arial" w:eastAsia="Arial"/>
          <w:sz w:val="24"/>
        </w:rPr>
        <w:t>2</w:t>
      </w:r>
      <w:r>
        <w:rPr>
          <w:spacing w:val="-9"/>
          <w:sz w:val="24"/>
        </w:rPr>
        <w:t>个工作日内发出《中标通知书》，并在青</w:t>
      </w:r>
      <w:r>
        <w:rPr>
          <w:sz w:val="24"/>
        </w:rPr>
        <w:t>海政府采购信息网上公告中标结果。</w:t>
      </w:r>
    </w:p>
    <w:p>
      <w:pPr>
        <w:pStyle w:val="13"/>
        <w:numPr>
          <w:ilvl w:val="1"/>
          <w:numId w:val="23"/>
        </w:numPr>
        <w:tabs>
          <w:tab w:val="left" w:pos="1459"/>
        </w:tabs>
        <w:spacing w:before="5" w:after="0" w:line="240" w:lineRule="auto"/>
        <w:ind w:left="1458" w:right="0" w:hanging="471"/>
        <w:jc w:val="left"/>
        <w:rPr>
          <w:sz w:val="24"/>
        </w:rPr>
      </w:pPr>
      <w:r>
        <w:rPr>
          <w:sz w:val="24"/>
        </w:rPr>
        <w:t>《中标通知书》对采购人和中标磋商人具有同等效力，《中标通知书》发出后，</w:t>
      </w:r>
    </w:p>
    <w:p>
      <w:pPr>
        <w:spacing w:after="0" w:line="240" w:lineRule="auto"/>
        <w:jc w:val="left"/>
        <w:rPr>
          <w:sz w:val="24"/>
        </w:rPr>
        <w:sectPr>
          <w:pgSz w:w="11910" w:h="16840"/>
          <w:pgMar w:top="1180" w:right="720" w:bottom="1120" w:left="740" w:header="711" w:footer="923" w:gutter="0"/>
        </w:sectPr>
      </w:pPr>
    </w:p>
    <w:p>
      <w:pPr>
        <w:pStyle w:val="2"/>
        <w:spacing w:before="67"/>
        <w:ind w:left="397" w:right="412"/>
        <w:jc w:val="center"/>
      </w:pPr>
      <w:r>
        <w:t>采购人改变中标结果的，或者中标磋商人无正当理由放弃中标项目的，依法承担法律责任。</w:t>
      </w:r>
    </w:p>
    <w:p>
      <w:pPr>
        <w:spacing w:before="157"/>
        <w:ind w:left="396" w:right="412" w:firstLine="0"/>
        <w:jc w:val="center"/>
        <w:rPr>
          <w:b/>
          <w:sz w:val="28"/>
        </w:rPr>
      </w:pPr>
      <w:bookmarkStart w:id="32" w:name="_TOC_250037"/>
      <w:bookmarkEnd w:id="32"/>
      <w:r>
        <w:rPr>
          <w:b/>
          <w:sz w:val="28"/>
        </w:rPr>
        <w:t>八、授予合同</w:t>
      </w:r>
    </w:p>
    <w:p>
      <w:pPr>
        <w:pStyle w:val="2"/>
        <w:spacing w:before="8"/>
        <w:rPr>
          <w:b/>
          <w:sz w:val="8"/>
        </w:rPr>
      </w:pPr>
    </w:p>
    <w:p>
      <w:pPr>
        <w:pStyle w:val="13"/>
        <w:numPr>
          <w:ilvl w:val="0"/>
          <w:numId w:val="19"/>
        </w:numPr>
        <w:tabs>
          <w:tab w:val="left" w:pos="845"/>
        </w:tabs>
        <w:spacing w:before="77" w:after="0" w:line="240" w:lineRule="auto"/>
        <w:ind w:left="844" w:right="0" w:hanging="337"/>
        <w:jc w:val="left"/>
        <w:rPr>
          <w:b/>
          <w:sz w:val="24"/>
        </w:rPr>
      </w:pPr>
      <w:bookmarkStart w:id="33" w:name="_TOC_250036"/>
      <w:bookmarkEnd w:id="33"/>
      <w:r>
        <w:rPr>
          <w:b/>
          <w:sz w:val="24"/>
        </w:rPr>
        <w:t>签订合同</w:t>
      </w:r>
    </w:p>
    <w:p>
      <w:pPr>
        <w:pStyle w:val="13"/>
        <w:numPr>
          <w:ilvl w:val="1"/>
          <w:numId w:val="19"/>
        </w:numPr>
        <w:tabs>
          <w:tab w:val="left" w:pos="1459"/>
        </w:tabs>
        <w:spacing w:before="161" w:after="0" w:line="362" w:lineRule="auto"/>
        <w:ind w:left="508" w:right="522" w:firstLine="480"/>
        <w:jc w:val="left"/>
        <w:rPr>
          <w:sz w:val="24"/>
        </w:rPr>
      </w:pPr>
      <w:r>
        <w:rPr>
          <w:sz w:val="24"/>
        </w:rPr>
        <w:t>采购人与中标磋商人双方应当自《中标通知书》发出之日起</w:t>
      </w:r>
      <w:r>
        <w:rPr>
          <w:rFonts w:ascii="Arial" w:eastAsia="Arial"/>
          <w:sz w:val="24"/>
        </w:rPr>
        <w:t>30</w:t>
      </w:r>
      <w:r>
        <w:rPr>
          <w:sz w:val="24"/>
        </w:rPr>
        <w:t>日内，签订采购合同，送采购代理机构审核并备案。</w:t>
      </w:r>
    </w:p>
    <w:p>
      <w:pPr>
        <w:pStyle w:val="13"/>
        <w:numPr>
          <w:ilvl w:val="1"/>
          <w:numId w:val="19"/>
        </w:numPr>
        <w:tabs>
          <w:tab w:val="left" w:pos="1459"/>
        </w:tabs>
        <w:spacing w:before="4" w:after="0" w:line="364" w:lineRule="auto"/>
        <w:ind w:left="508" w:right="524" w:firstLine="480"/>
        <w:jc w:val="both"/>
        <w:rPr>
          <w:sz w:val="24"/>
        </w:rPr>
      </w:pPr>
      <w:r>
        <w:rPr>
          <w:sz w:val="24"/>
        </w:rPr>
        <w:t>中标磋商人在法定期限内无正当理由拒签合同的，按违约处理。同时，采购代理</w:t>
      </w:r>
      <w:r>
        <w:rPr>
          <w:spacing w:val="-1"/>
          <w:sz w:val="24"/>
        </w:rPr>
        <w:t>机构和采购磋商人可依评标排序重新确定中标磋商人，并协调双方签订采购合同，或重新</w:t>
      </w:r>
      <w:r>
        <w:rPr>
          <w:sz w:val="24"/>
        </w:rPr>
        <w:t>组织采购活动。</w:t>
      </w:r>
    </w:p>
    <w:p>
      <w:pPr>
        <w:pStyle w:val="13"/>
        <w:numPr>
          <w:ilvl w:val="1"/>
          <w:numId w:val="19"/>
        </w:numPr>
        <w:tabs>
          <w:tab w:val="left" w:pos="1459"/>
        </w:tabs>
        <w:spacing w:before="0" w:after="0" w:line="364" w:lineRule="auto"/>
        <w:ind w:left="508" w:right="525" w:firstLine="480"/>
        <w:jc w:val="left"/>
        <w:rPr>
          <w:sz w:val="24"/>
        </w:rPr>
      </w:pPr>
      <w:r>
        <w:rPr>
          <w:spacing w:val="-1"/>
          <w:sz w:val="24"/>
        </w:rPr>
        <w:t>采购磋商人不得向中标磋商人提出任何不合理的要求作为订立合同的条件，采购</w:t>
      </w:r>
      <w:r>
        <w:rPr>
          <w:sz w:val="24"/>
        </w:rPr>
        <w:t>人和中标磋商人不得私下订立背离合同实质性内容的协议。</w:t>
      </w:r>
    </w:p>
    <w:p>
      <w:pPr>
        <w:pStyle w:val="13"/>
        <w:numPr>
          <w:ilvl w:val="1"/>
          <w:numId w:val="19"/>
        </w:numPr>
        <w:tabs>
          <w:tab w:val="left" w:pos="1459"/>
        </w:tabs>
        <w:spacing w:before="0" w:after="0" w:line="364" w:lineRule="auto"/>
        <w:ind w:left="508" w:right="525" w:firstLine="480"/>
        <w:jc w:val="left"/>
        <w:rPr>
          <w:sz w:val="24"/>
        </w:rPr>
      </w:pPr>
      <w:r>
        <w:rPr>
          <w:spacing w:val="-1"/>
          <w:sz w:val="24"/>
        </w:rPr>
        <w:t>磋商文件、中标磋商人的磋商响应文件、《中标通知书》及其澄清、说明文件、</w:t>
      </w:r>
      <w:r>
        <w:rPr>
          <w:sz w:val="24"/>
        </w:rPr>
        <w:t>承诺等，均为签订采购合同的依据，作为采购合同的组成部分。</w:t>
      </w:r>
    </w:p>
    <w:p>
      <w:pPr>
        <w:pStyle w:val="13"/>
        <w:numPr>
          <w:ilvl w:val="1"/>
          <w:numId w:val="19"/>
        </w:numPr>
        <w:tabs>
          <w:tab w:val="left" w:pos="1459"/>
        </w:tabs>
        <w:spacing w:before="0" w:after="0" w:line="364" w:lineRule="auto"/>
        <w:ind w:left="508" w:right="522" w:firstLine="480"/>
        <w:jc w:val="left"/>
        <w:rPr>
          <w:sz w:val="24"/>
        </w:rPr>
      </w:pPr>
      <w:r>
        <w:rPr>
          <w:spacing w:val="-1"/>
          <w:sz w:val="24"/>
        </w:rPr>
        <w:t>采购合同签订之日起</w:t>
      </w:r>
      <w:r>
        <w:rPr>
          <w:rFonts w:ascii="Arial" w:eastAsia="Arial"/>
          <w:sz w:val="24"/>
        </w:rPr>
        <w:t>2</w:t>
      </w:r>
      <w:r>
        <w:rPr>
          <w:spacing w:val="-10"/>
          <w:sz w:val="24"/>
        </w:rPr>
        <w:t>个工作日内，由采购人将采购合同在青海政府采购信息网上</w:t>
      </w:r>
      <w:r>
        <w:rPr>
          <w:sz w:val="24"/>
        </w:rPr>
        <w:t>公告，但采购合同中涉及国家秘密、商业秘密的内容除外。</w:t>
      </w:r>
    </w:p>
    <w:p>
      <w:pPr>
        <w:spacing w:before="0" w:line="356" w:lineRule="exact"/>
        <w:ind w:left="4651" w:right="0" w:firstLine="0"/>
        <w:jc w:val="left"/>
        <w:rPr>
          <w:b/>
          <w:sz w:val="28"/>
        </w:rPr>
      </w:pPr>
      <w:bookmarkStart w:id="34" w:name="_TOC_250035"/>
      <w:bookmarkEnd w:id="34"/>
      <w:r>
        <w:rPr>
          <w:b/>
          <w:sz w:val="28"/>
        </w:rPr>
        <w:t>九、废标</w:t>
      </w:r>
    </w:p>
    <w:p>
      <w:pPr>
        <w:pStyle w:val="2"/>
        <w:spacing w:before="3"/>
        <w:rPr>
          <w:b/>
          <w:sz w:val="8"/>
        </w:rPr>
      </w:pPr>
    </w:p>
    <w:p>
      <w:pPr>
        <w:pStyle w:val="13"/>
        <w:numPr>
          <w:ilvl w:val="0"/>
          <w:numId w:val="19"/>
        </w:numPr>
        <w:tabs>
          <w:tab w:val="left" w:pos="965"/>
        </w:tabs>
        <w:spacing w:before="78" w:after="0" w:line="240" w:lineRule="auto"/>
        <w:ind w:left="964" w:right="0" w:hanging="457"/>
        <w:jc w:val="left"/>
        <w:rPr>
          <w:b/>
          <w:sz w:val="24"/>
        </w:rPr>
      </w:pPr>
      <w:bookmarkStart w:id="35" w:name="_TOC_250034"/>
      <w:bookmarkEnd w:id="35"/>
      <w:r>
        <w:rPr>
          <w:b/>
          <w:sz w:val="24"/>
        </w:rPr>
        <w:t>废标情形</w:t>
      </w:r>
    </w:p>
    <w:p>
      <w:pPr>
        <w:pStyle w:val="13"/>
        <w:numPr>
          <w:ilvl w:val="1"/>
          <w:numId w:val="19"/>
        </w:numPr>
        <w:tabs>
          <w:tab w:val="left" w:pos="1459"/>
        </w:tabs>
        <w:spacing w:before="160" w:after="0" w:line="240" w:lineRule="auto"/>
        <w:ind w:left="1458" w:right="0" w:hanging="471"/>
        <w:jc w:val="left"/>
        <w:rPr>
          <w:sz w:val="24"/>
        </w:rPr>
      </w:pPr>
      <w:r>
        <w:rPr>
          <w:spacing w:val="-1"/>
          <w:sz w:val="24"/>
        </w:rPr>
        <w:t>在磋商采购中，出现下列情形之一的，应予废标：</w:t>
      </w:r>
    </w:p>
    <w:p>
      <w:pPr>
        <w:pStyle w:val="13"/>
        <w:numPr>
          <w:ilvl w:val="0"/>
          <w:numId w:val="24"/>
        </w:numPr>
        <w:tabs>
          <w:tab w:val="left" w:pos="1604"/>
        </w:tabs>
        <w:spacing w:before="159" w:after="0" w:line="240" w:lineRule="auto"/>
        <w:ind w:left="1603" w:right="0" w:hanging="616"/>
        <w:jc w:val="left"/>
        <w:rPr>
          <w:sz w:val="24"/>
        </w:rPr>
      </w:pPr>
      <w:r>
        <w:rPr>
          <w:sz w:val="24"/>
        </w:rPr>
        <w:t>符合磋商条件的磋商人或者对磋商文件作出实质性响应的磋商人不足三家的。</w:t>
      </w:r>
    </w:p>
    <w:p>
      <w:pPr>
        <w:pStyle w:val="13"/>
        <w:numPr>
          <w:ilvl w:val="0"/>
          <w:numId w:val="24"/>
        </w:numPr>
        <w:tabs>
          <w:tab w:val="left" w:pos="1604"/>
        </w:tabs>
        <w:spacing w:before="160" w:after="0" w:line="240" w:lineRule="auto"/>
        <w:ind w:left="1603" w:right="0" w:hanging="616"/>
        <w:jc w:val="left"/>
        <w:rPr>
          <w:sz w:val="24"/>
        </w:rPr>
      </w:pPr>
      <w:r>
        <w:rPr>
          <w:sz w:val="24"/>
        </w:rPr>
        <w:t>出现影响采购活动正常推进的违法、违规行为的。</w:t>
      </w:r>
    </w:p>
    <w:p>
      <w:pPr>
        <w:pStyle w:val="13"/>
        <w:numPr>
          <w:ilvl w:val="0"/>
          <w:numId w:val="24"/>
        </w:numPr>
        <w:tabs>
          <w:tab w:val="left" w:pos="1604"/>
        </w:tabs>
        <w:spacing w:before="161" w:after="0" w:line="240" w:lineRule="auto"/>
        <w:ind w:left="1603" w:right="0" w:hanging="616"/>
        <w:jc w:val="left"/>
        <w:rPr>
          <w:sz w:val="24"/>
        </w:rPr>
      </w:pPr>
      <w:r>
        <w:rPr>
          <w:sz w:val="24"/>
        </w:rPr>
        <w:t>磋商人的报价均超出采购预算额度，采购人不能支付的。</w:t>
      </w:r>
    </w:p>
    <w:p>
      <w:pPr>
        <w:pStyle w:val="13"/>
        <w:numPr>
          <w:ilvl w:val="0"/>
          <w:numId w:val="24"/>
        </w:numPr>
        <w:tabs>
          <w:tab w:val="left" w:pos="1604"/>
        </w:tabs>
        <w:spacing w:before="158" w:after="0" w:line="240" w:lineRule="auto"/>
        <w:ind w:left="1603" w:right="0" w:hanging="616"/>
        <w:jc w:val="left"/>
        <w:rPr>
          <w:sz w:val="24"/>
        </w:rPr>
      </w:pPr>
      <w:r>
        <w:rPr>
          <w:sz w:val="24"/>
        </w:rPr>
        <w:t>因重大变故，采购任务取消的。</w:t>
      </w:r>
    </w:p>
    <w:p>
      <w:pPr>
        <w:pStyle w:val="13"/>
        <w:numPr>
          <w:ilvl w:val="1"/>
          <w:numId w:val="19"/>
        </w:numPr>
        <w:tabs>
          <w:tab w:val="left" w:pos="1459"/>
        </w:tabs>
        <w:spacing w:before="160" w:after="0" w:line="240" w:lineRule="auto"/>
        <w:ind w:left="1458" w:right="4669" w:hanging="1459"/>
        <w:jc w:val="right"/>
        <w:rPr>
          <w:sz w:val="24"/>
        </w:rPr>
      </w:pPr>
      <w:r>
        <w:rPr>
          <w:spacing w:val="-1"/>
          <w:sz w:val="24"/>
        </w:rPr>
        <w:t>废标后，由采购代理机构发布废标公告。</w:t>
      </w:r>
    </w:p>
    <w:p>
      <w:pPr>
        <w:spacing w:before="157"/>
        <w:ind w:left="0" w:right="4667" w:firstLine="0"/>
        <w:jc w:val="right"/>
        <w:rPr>
          <w:b/>
          <w:sz w:val="28"/>
        </w:rPr>
      </w:pPr>
      <w:bookmarkStart w:id="36" w:name="_TOC_250033"/>
      <w:bookmarkEnd w:id="36"/>
      <w:r>
        <w:rPr>
          <w:b/>
          <w:sz w:val="28"/>
        </w:rPr>
        <w:t>十、处罚</w:t>
      </w:r>
    </w:p>
    <w:p>
      <w:pPr>
        <w:pStyle w:val="2"/>
        <w:spacing w:before="8"/>
        <w:rPr>
          <w:b/>
          <w:sz w:val="8"/>
        </w:rPr>
      </w:pPr>
    </w:p>
    <w:p>
      <w:pPr>
        <w:pStyle w:val="13"/>
        <w:numPr>
          <w:ilvl w:val="0"/>
          <w:numId w:val="19"/>
        </w:numPr>
        <w:tabs>
          <w:tab w:val="left" w:pos="845"/>
        </w:tabs>
        <w:spacing w:before="77" w:after="0" w:line="240" w:lineRule="auto"/>
        <w:ind w:left="844" w:right="0" w:hanging="337"/>
        <w:jc w:val="left"/>
        <w:rPr>
          <w:b/>
          <w:sz w:val="24"/>
        </w:rPr>
      </w:pPr>
      <w:bookmarkStart w:id="37" w:name="_TOC_250032"/>
      <w:bookmarkEnd w:id="37"/>
      <w:r>
        <w:rPr>
          <w:b/>
          <w:sz w:val="24"/>
        </w:rPr>
        <w:t>处罚情形</w:t>
      </w:r>
    </w:p>
    <w:p>
      <w:pPr>
        <w:pStyle w:val="2"/>
        <w:spacing w:before="161" w:line="364" w:lineRule="auto"/>
        <w:ind w:left="508" w:right="526" w:firstLine="480"/>
      </w:pPr>
      <w:r>
        <w:t>中标磋商人有下列情形之一的，中标无效，磋商保证金、履约保证金不予退还。情节严重的，报同级财政部门依法进行处理：</w:t>
      </w:r>
    </w:p>
    <w:p>
      <w:pPr>
        <w:pStyle w:val="13"/>
        <w:numPr>
          <w:ilvl w:val="1"/>
          <w:numId w:val="19"/>
        </w:numPr>
        <w:tabs>
          <w:tab w:val="left" w:pos="1459"/>
        </w:tabs>
        <w:spacing w:before="0" w:after="0" w:line="307" w:lineRule="exact"/>
        <w:ind w:left="1458" w:right="0" w:hanging="471"/>
        <w:jc w:val="left"/>
        <w:rPr>
          <w:sz w:val="24"/>
        </w:rPr>
      </w:pPr>
      <w:r>
        <w:rPr>
          <w:spacing w:val="-1"/>
          <w:sz w:val="24"/>
        </w:rPr>
        <w:t>磋商人在磋商截止期后撤回其磋商响应文件的。</w:t>
      </w:r>
    </w:p>
    <w:p>
      <w:pPr>
        <w:pStyle w:val="13"/>
        <w:numPr>
          <w:ilvl w:val="1"/>
          <w:numId w:val="19"/>
        </w:numPr>
        <w:tabs>
          <w:tab w:val="left" w:pos="1459"/>
        </w:tabs>
        <w:spacing w:before="158" w:after="0" w:line="240" w:lineRule="auto"/>
        <w:ind w:left="1458" w:right="0" w:hanging="471"/>
        <w:jc w:val="left"/>
        <w:rPr>
          <w:sz w:val="24"/>
        </w:rPr>
      </w:pPr>
      <w:r>
        <w:rPr>
          <w:spacing w:val="-1"/>
          <w:sz w:val="24"/>
        </w:rPr>
        <w:t>提供虚假材料谋取中标的。</w:t>
      </w:r>
    </w:p>
    <w:p>
      <w:pPr>
        <w:pStyle w:val="13"/>
        <w:numPr>
          <w:ilvl w:val="1"/>
          <w:numId w:val="19"/>
        </w:numPr>
        <w:tabs>
          <w:tab w:val="left" w:pos="1459"/>
        </w:tabs>
        <w:spacing w:before="160" w:after="0" w:line="240" w:lineRule="auto"/>
        <w:ind w:left="1458" w:right="0" w:hanging="471"/>
        <w:jc w:val="left"/>
        <w:rPr>
          <w:sz w:val="24"/>
        </w:rPr>
      </w:pPr>
      <w:r>
        <w:rPr>
          <w:spacing w:val="-1"/>
          <w:sz w:val="24"/>
        </w:rPr>
        <w:t>采取不正当手段诋毁、排挤其他磋商人的。</w:t>
      </w:r>
    </w:p>
    <w:p>
      <w:pPr>
        <w:pStyle w:val="13"/>
        <w:numPr>
          <w:ilvl w:val="1"/>
          <w:numId w:val="19"/>
        </w:numPr>
        <w:tabs>
          <w:tab w:val="left" w:pos="1459"/>
        </w:tabs>
        <w:spacing w:before="158" w:after="0" w:line="240" w:lineRule="auto"/>
        <w:ind w:left="1458" w:right="0" w:hanging="471"/>
        <w:jc w:val="left"/>
        <w:rPr>
          <w:sz w:val="24"/>
        </w:rPr>
      </w:pPr>
      <w:r>
        <w:rPr>
          <w:spacing w:val="-1"/>
          <w:sz w:val="24"/>
        </w:rPr>
        <w:t>有恶意串通等不正当竞争行为的。</w:t>
      </w:r>
    </w:p>
    <w:p>
      <w:pPr>
        <w:spacing w:after="0" w:line="240" w:lineRule="auto"/>
        <w:jc w:val="left"/>
        <w:rPr>
          <w:sz w:val="24"/>
        </w:rPr>
        <w:sectPr>
          <w:pgSz w:w="11910" w:h="16840"/>
          <w:pgMar w:top="1180" w:right="720" w:bottom="1120" w:left="740" w:header="711" w:footer="923" w:gutter="0"/>
        </w:sectPr>
      </w:pPr>
    </w:p>
    <w:p>
      <w:pPr>
        <w:pStyle w:val="13"/>
        <w:numPr>
          <w:ilvl w:val="1"/>
          <w:numId w:val="19"/>
        </w:numPr>
        <w:tabs>
          <w:tab w:val="left" w:pos="1459"/>
        </w:tabs>
        <w:spacing w:before="67" w:after="0" w:line="240" w:lineRule="auto"/>
        <w:ind w:left="1458" w:right="0" w:hanging="471"/>
        <w:jc w:val="left"/>
        <w:rPr>
          <w:sz w:val="24"/>
        </w:rPr>
      </w:pPr>
      <w:r>
        <w:rPr>
          <w:spacing w:val="-1"/>
          <w:sz w:val="24"/>
        </w:rPr>
        <w:t>中标后无正当理由拒不与采购人签订采购合同的。</w:t>
      </w:r>
    </w:p>
    <w:p>
      <w:pPr>
        <w:pStyle w:val="13"/>
        <w:numPr>
          <w:ilvl w:val="1"/>
          <w:numId w:val="19"/>
        </w:numPr>
        <w:tabs>
          <w:tab w:val="left" w:pos="1459"/>
        </w:tabs>
        <w:spacing w:before="158" w:after="0" w:line="240" w:lineRule="auto"/>
        <w:ind w:left="1458" w:right="0" w:hanging="471"/>
        <w:jc w:val="left"/>
        <w:rPr>
          <w:sz w:val="24"/>
        </w:rPr>
      </w:pPr>
      <w:r>
        <w:rPr>
          <w:spacing w:val="-1"/>
          <w:sz w:val="24"/>
        </w:rPr>
        <w:t>未按照磋商、磋商文件确定的事项签订采购合同的。</w:t>
      </w:r>
    </w:p>
    <w:p>
      <w:pPr>
        <w:pStyle w:val="13"/>
        <w:numPr>
          <w:ilvl w:val="1"/>
          <w:numId w:val="19"/>
        </w:numPr>
        <w:tabs>
          <w:tab w:val="left" w:pos="1459"/>
        </w:tabs>
        <w:spacing w:before="161" w:after="0" w:line="240" w:lineRule="auto"/>
        <w:ind w:left="1458" w:right="0" w:hanging="471"/>
        <w:jc w:val="left"/>
        <w:rPr>
          <w:sz w:val="24"/>
        </w:rPr>
      </w:pPr>
      <w:r>
        <w:rPr>
          <w:spacing w:val="-1"/>
          <w:sz w:val="24"/>
        </w:rPr>
        <w:t>将政府采购合同转包的。</w:t>
      </w:r>
    </w:p>
    <w:p>
      <w:pPr>
        <w:pStyle w:val="13"/>
        <w:numPr>
          <w:ilvl w:val="1"/>
          <w:numId w:val="19"/>
        </w:numPr>
        <w:tabs>
          <w:tab w:val="left" w:pos="1459"/>
        </w:tabs>
        <w:spacing w:before="158" w:after="0" w:line="240" w:lineRule="auto"/>
        <w:ind w:left="1458" w:right="0" w:hanging="471"/>
        <w:jc w:val="left"/>
        <w:rPr>
          <w:sz w:val="24"/>
        </w:rPr>
      </w:pPr>
      <w:r>
        <w:rPr>
          <w:spacing w:val="-1"/>
          <w:sz w:val="24"/>
        </w:rPr>
        <w:t>提供假冒伪劣产品的。</w:t>
      </w:r>
    </w:p>
    <w:p>
      <w:pPr>
        <w:pStyle w:val="13"/>
        <w:numPr>
          <w:ilvl w:val="1"/>
          <w:numId w:val="19"/>
        </w:numPr>
        <w:tabs>
          <w:tab w:val="left" w:pos="1459"/>
        </w:tabs>
        <w:spacing w:before="161" w:after="0" w:line="240" w:lineRule="auto"/>
        <w:ind w:left="1458" w:right="0" w:hanging="471"/>
        <w:jc w:val="left"/>
        <w:rPr>
          <w:sz w:val="24"/>
        </w:rPr>
      </w:pPr>
      <w:r>
        <w:rPr>
          <w:spacing w:val="-1"/>
          <w:sz w:val="24"/>
        </w:rPr>
        <w:t>擅自变更、中止或者终止政府采购合同的。</w:t>
      </w:r>
    </w:p>
    <w:p>
      <w:pPr>
        <w:pStyle w:val="13"/>
        <w:numPr>
          <w:ilvl w:val="1"/>
          <w:numId w:val="19"/>
        </w:numPr>
        <w:tabs>
          <w:tab w:val="left" w:pos="1591"/>
        </w:tabs>
        <w:spacing w:before="158" w:after="0" w:line="240" w:lineRule="auto"/>
        <w:ind w:left="1590" w:right="0" w:hanging="603"/>
        <w:jc w:val="left"/>
        <w:rPr>
          <w:sz w:val="24"/>
        </w:rPr>
      </w:pPr>
      <w:r>
        <w:rPr>
          <w:spacing w:val="-1"/>
          <w:sz w:val="24"/>
        </w:rPr>
        <w:t>中标人签订合同后，不能履约或无故拖延履约期的。</w:t>
      </w:r>
    </w:p>
    <w:p>
      <w:pPr>
        <w:pStyle w:val="13"/>
        <w:numPr>
          <w:ilvl w:val="1"/>
          <w:numId w:val="19"/>
        </w:numPr>
        <w:tabs>
          <w:tab w:val="left" w:pos="1591"/>
        </w:tabs>
        <w:spacing w:before="160" w:after="0" w:line="240" w:lineRule="auto"/>
        <w:ind w:left="1590" w:right="0" w:hanging="603"/>
        <w:jc w:val="left"/>
        <w:rPr>
          <w:sz w:val="24"/>
        </w:rPr>
      </w:pPr>
      <w:r>
        <w:rPr>
          <w:spacing w:val="-1"/>
          <w:sz w:val="24"/>
        </w:rPr>
        <w:t>法律、法规规定的其他情形。</w:t>
      </w:r>
    </w:p>
    <w:p>
      <w:pPr>
        <w:spacing w:before="157"/>
        <w:ind w:left="396" w:right="412" w:firstLine="0"/>
        <w:jc w:val="center"/>
        <w:rPr>
          <w:b/>
          <w:sz w:val="28"/>
        </w:rPr>
      </w:pPr>
      <w:bookmarkStart w:id="38" w:name="_TOC_250031"/>
      <w:bookmarkEnd w:id="38"/>
      <w:r>
        <w:rPr>
          <w:b/>
          <w:sz w:val="28"/>
        </w:rPr>
        <w:t>十一、磋商代理服务收费标准</w:t>
      </w:r>
    </w:p>
    <w:p>
      <w:pPr>
        <w:pStyle w:val="2"/>
        <w:spacing w:before="8"/>
        <w:rPr>
          <w:b/>
          <w:sz w:val="14"/>
        </w:rPr>
      </w:pPr>
    </w:p>
    <w:tbl>
      <w:tblPr>
        <w:tblStyle w:val="9"/>
        <w:tblW w:w="0" w:type="auto"/>
        <w:tblInd w:w="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7"/>
        <w:gridCol w:w="3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7" w:type="dxa"/>
          </w:tcPr>
          <w:p>
            <w:pPr>
              <w:pStyle w:val="14"/>
              <w:ind w:left="892" w:right="410"/>
              <w:jc w:val="center"/>
              <w:rPr>
                <w:sz w:val="24"/>
              </w:rPr>
            </w:pPr>
            <w:r>
              <w:rPr>
                <w:sz w:val="24"/>
              </w:rPr>
              <w:t>服务类型、费率成交金额（万元）</w:t>
            </w:r>
          </w:p>
        </w:tc>
        <w:tc>
          <w:tcPr>
            <w:tcW w:w="3977" w:type="dxa"/>
          </w:tcPr>
          <w:p>
            <w:pPr>
              <w:pStyle w:val="14"/>
              <w:ind w:left="1727" w:right="1244"/>
              <w:jc w:val="center"/>
              <w:rPr>
                <w:sz w:val="24"/>
              </w:rPr>
            </w:pPr>
            <w:r>
              <w:rPr>
                <w:sz w:val="24"/>
              </w:rPr>
              <w:t>服务采购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4947" w:type="dxa"/>
          </w:tcPr>
          <w:p>
            <w:pPr>
              <w:pStyle w:val="14"/>
              <w:ind w:left="892" w:right="409"/>
              <w:jc w:val="center"/>
              <w:rPr>
                <w:sz w:val="24"/>
              </w:rPr>
            </w:pPr>
            <w:r>
              <w:rPr>
                <w:rFonts w:ascii="Arial" w:eastAsia="Arial"/>
                <w:sz w:val="24"/>
              </w:rPr>
              <w:t>100</w:t>
            </w:r>
            <w:r>
              <w:rPr>
                <w:sz w:val="24"/>
              </w:rPr>
              <w:t>以下</w:t>
            </w:r>
          </w:p>
        </w:tc>
        <w:tc>
          <w:tcPr>
            <w:tcW w:w="3977" w:type="dxa"/>
          </w:tcPr>
          <w:p>
            <w:pPr>
              <w:pStyle w:val="14"/>
              <w:spacing w:before="25"/>
              <w:ind w:left="1727" w:right="1242"/>
              <w:jc w:val="center"/>
              <w:rPr>
                <w:rFonts w:ascii="Arial"/>
                <w:sz w:val="24"/>
              </w:rPr>
            </w:pPr>
            <w:r>
              <w:rPr>
                <w:rFonts w:ascii="Arial"/>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947" w:type="dxa"/>
          </w:tcPr>
          <w:p>
            <w:pPr>
              <w:pStyle w:val="14"/>
              <w:ind w:left="892" w:right="407"/>
              <w:jc w:val="center"/>
              <w:rPr>
                <w:rFonts w:ascii="Arial" w:hAnsi="Arial"/>
                <w:sz w:val="24"/>
              </w:rPr>
            </w:pPr>
            <w:r>
              <w:rPr>
                <w:rFonts w:ascii="Arial" w:hAnsi="Arial"/>
                <w:sz w:val="24"/>
              </w:rPr>
              <w:t>100—500</w:t>
            </w:r>
          </w:p>
        </w:tc>
        <w:tc>
          <w:tcPr>
            <w:tcW w:w="3977" w:type="dxa"/>
          </w:tcPr>
          <w:p>
            <w:pPr>
              <w:pStyle w:val="14"/>
              <w:ind w:left="1727" w:right="1242"/>
              <w:jc w:val="center"/>
              <w:rPr>
                <w:rFonts w:ascii="Arial"/>
                <w:sz w:val="24"/>
              </w:rPr>
            </w:pPr>
            <w:r>
              <w:rPr>
                <w:rFonts w:ascii="Arial"/>
                <w:sz w:val="24"/>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947" w:type="dxa"/>
          </w:tcPr>
          <w:p>
            <w:pPr>
              <w:pStyle w:val="14"/>
              <w:spacing w:line="274" w:lineRule="exact"/>
              <w:ind w:left="891" w:right="410"/>
              <w:jc w:val="center"/>
              <w:rPr>
                <w:rFonts w:ascii="Arial" w:hAnsi="Arial"/>
                <w:sz w:val="24"/>
              </w:rPr>
            </w:pPr>
            <w:r>
              <w:rPr>
                <w:rFonts w:ascii="Arial" w:hAnsi="Arial"/>
                <w:sz w:val="24"/>
              </w:rPr>
              <w:t>500—1000</w:t>
            </w:r>
          </w:p>
        </w:tc>
        <w:tc>
          <w:tcPr>
            <w:tcW w:w="3977" w:type="dxa"/>
          </w:tcPr>
          <w:p>
            <w:pPr>
              <w:pStyle w:val="14"/>
              <w:spacing w:line="274" w:lineRule="exact"/>
              <w:ind w:left="1727" w:right="1242"/>
              <w:jc w:val="center"/>
              <w:rPr>
                <w:rFonts w:ascii="Arial"/>
                <w:sz w:val="24"/>
              </w:rPr>
            </w:pPr>
            <w:r>
              <w:rPr>
                <w:rFonts w:ascii="Arial"/>
                <w:sz w:val="24"/>
              </w:rPr>
              <w:t>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947" w:type="dxa"/>
          </w:tcPr>
          <w:p>
            <w:pPr>
              <w:pStyle w:val="14"/>
              <w:spacing w:line="274" w:lineRule="exact"/>
              <w:ind w:left="891" w:right="410"/>
              <w:jc w:val="center"/>
              <w:rPr>
                <w:rFonts w:ascii="Arial" w:hAnsi="Arial"/>
                <w:sz w:val="24"/>
              </w:rPr>
            </w:pPr>
            <w:r>
              <w:rPr>
                <w:rFonts w:ascii="Arial" w:hAnsi="Arial"/>
                <w:sz w:val="24"/>
              </w:rPr>
              <w:t>1000—5000</w:t>
            </w:r>
          </w:p>
        </w:tc>
        <w:tc>
          <w:tcPr>
            <w:tcW w:w="3977" w:type="dxa"/>
          </w:tcPr>
          <w:p>
            <w:pPr>
              <w:pStyle w:val="14"/>
              <w:spacing w:line="274" w:lineRule="exact"/>
              <w:ind w:left="1727" w:right="1242"/>
              <w:jc w:val="center"/>
              <w:rPr>
                <w:rFonts w:ascii="Arial"/>
                <w:sz w:val="24"/>
              </w:rPr>
            </w:pPr>
            <w:r>
              <w:rPr>
                <w:rFonts w:ascii="Arial"/>
                <w:sz w:val="24"/>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947" w:type="dxa"/>
          </w:tcPr>
          <w:p>
            <w:pPr>
              <w:pStyle w:val="14"/>
              <w:spacing w:line="274" w:lineRule="exact"/>
              <w:ind w:left="891" w:right="410"/>
              <w:jc w:val="center"/>
              <w:rPr>
                <w:rFonts w:ascii="Arial" w:hAnsi="Arial"/>
                <w:sz w:val="24"/>
              </w:rPr>
            </w:pPr>
            <w:r>
              <w:rPr>
                <w:rFonts w:ascii="Arial" w:hAnsi="Arial"/>
                <w:sz w:val="24"/>
              </w:rPr>
              <w:t>5000—10000</w:t>
            </w:r>
          </w:p>
        </w:tc>
        <w:tc>
          <w:tcPr>
            <w:tcW w:w="3977" w:type="dxa"/>
          </w:tcPr>
          <w:p>
            <w:pPr>
              <w:pStyle w:val="14"/>
              <w:spacing w:line="274" w:lineRule="exact"/>
              <w:ind w:left="1727" w:right="1242"/>
              <w:jc w:val="center"/>
              <w:rPr>
                <w:rFonts w:ascii="Arial"/>
                <w:sz w:val="24"/>
              </w:rPr>
            </w:pPr>
            <w:r>
              <w:rPr>
                <w:rFonts w:ascii="Arial"/>
                <w:sz w:val="24"/>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947" w:type="dxa"/>
          </w:tcPr>
          <w:p>
            <w:pPr>
              <w:pStyle w:val="14"/>
              <w:spacing w:line="274" w:lineRule="exact"/>
              <w:ind w:left="892" w:right="409"/>
              <w:jc w:val="center"/>
              <w:rPr>
                <w:rFonts w:ascii="Arial" w:hAnsi="Arial"/>
                <w:sz w:val="24"/>
              </w:rPr>
            </w:pPr>
            <w:r>
              <w:rPr>
                <w:rFonts w:ascii="Arial" w:hAnsi="Arial"/>
                <w:sz w:val="24"/>
              </w:rPr>
              <w:t>10000—100000</w:t>
            </w:r>
          </w:p>
        </w:tc>
        <w:tc>
          <w:tcPr>
            <w:tcW w:w="3977" w:type="dxa"/>
          </w:tcPr>
          <w:p>
            <w:pPr>
              <w:pStyle w:val="14"/>
              <w:spacing w:line="274" w:lineRule="exact"/>
              <w:ind w:left="1727" w:right="1242"/>
              <w:jc w:val="center"/>
              <w:rPr>
                <w:rFonts w:ascii="Arial"/>
                <w:sz w:val="24"/>
              </w:rPr>
            </w:pPr>
            <w:r>
              <w:rPr>
                <w:rFonts w:ascii="Arial"/>
                <w:sz w:val="24"/>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7" w:type="dxa"/>
          </w:tcPr>
          <w:p>
            <w:pPr>
              <w:pStyle w:val="14"/>
              <w:ind w:left="892" w:right="409"/>
              <w:jc w:val="center"/>
              <w:rPr>
                <w:sz w:val="24"/>
              </w:rPr>
            </w:pPr>
            <w:r>
              <w:rPr>
                <w:rFonts w:ascii="Arial" w:eastAsia="Arial"/>
                <w:sz w:val="24"/>
              </w:rPr>
              <w:t>1000000</w:t>
            </w:r>
            <w:r>
              <w:rPr>
                <w:sz w:val="24"/>
              </w:rPr>
              <w:t>以上</w:t>
            </w:r>
          </w:p>
        </w:tc>
        <w:tc>
          <w:tcPr>
            <w:tcW w:w="3977" w:type="dxa"/>
          </w:tcPr>
          <w:p>
            <w:pPr>
              <w:pStyle w:val="14"/>
              <w:spacing w:before="24"/>
              <w:ind w:left="1727" w:right="1242"/>
              <w:jc w:val="center"/>
              <w:rPr>
                <w:rFonts w:ascii="Arial"/>
                <w:sz w:val="24"/>
              </w:rPr>
            </w:pPr>
            <w:r>
              <w:rPr>
                <w:rFonts w:ascii="Arial"/>
                <w:sz w:val="24"/>
              </w:rPr>
              <w:t>0.01%</w:t>
            </w:r>
          </w:p>
        </w:tc>
      </w:tr>
    </w:tbl>
    <w:p>
      <w:pPr>
        <w:pStyle w:val="2"/>
        <w:spacing w:line="364" w:lineRule="auto"/>
        <w:ind w:left="508" w:right="526" w:firstLine="480"/>
      </w:pPr>
      <w:r>
        <w:t>注：采购代理服务收费按差额定率累进法计算。例如：某服务采购代理业务成交金额为</w:t>
      </w:r>
      <w:r>
        <w:rPr>
          <w:rFonts w:ascii="Arial" w:eastAsia="Arial"/>
        </w:rPr>
        <w:t>1000</w:t>
      </w:r>
      <w:r>
        <w:t>万元，计算采购代理服务收费额如下：</w:t>
      </w:r>
    </w:p>
    <w:p>
      <w:pPr>
        <w:pStyle w:val="2"/>
        <w:spacing w:line="307" w:lineRule="exact"/>
        <w:ind w:left="508"/>
      </w:pPr>
      <w:r>
        <w:rPr>
          <w:rFonts w:ascii="Arial" w:hAnsi="Arial" w:eastAsia="Arial"/>
        </w:rPr>
        <w:t>100</w:t>
      </w:r>
      <w:r>
        <w:t>万元</w:t>
      </w:r>
      <w:r>
        <w:rPr>
          <w:rFonts w:ascii="Arial" w:hAnsi="Arial" w:eastAsia="Arial"/>
        </w:rPr>
        <w:t>×1.5</w:t>
      </w:r>
      <w:r>
        <w:t>％＝</w:t>
      </w:r>
      <w:r>
        <w:rPr>
          <w:rFonts w:ascii="Arial" w:hAnsi="Arial" w:eastAsia="Arial"/>
        </w:rPr>
        <w:t>1.5</w:t>
      </w:r>
      <w:r>
        <w:t>万元</w:t>
      </w:r>
    </w:p>
    <w:p>
      <w:pPr>
        <w:pStyle w:val="2"/>
        <w:spacing w:before="160"/>
        <w:ind w:left="508"/>
      </w:pPr>
      <w:r>
        <w:t>（</w:t>
      </w:r>
      <w:r>
        <w:rPr>
          <w:rFonts w:ascii="Arial" w:hAnsi="Arial" w:eastAsia="Arial"/>
        </w:rPr>
        <w:t>500</w:t>
      </w:r>
      <w:r>
        <w:t>－</w:t>
      </w:r>
      <w:r>
        <w:rPr>
          <w:rFonts w:ascii="Arial" w:hAnsi="Arial" w:eastAsia="Arial"/>
        </w:rPr>
        <w:t>100</w:t>
      </w:r>
      <w:r>
        <w:t>）万元</w:t>
      </w:r>
      <w:r>
        <w:rPr>
          <w:rFonts w:ascii="Arial" w:hAnsi="Arial" w:eastAsia="Arial"/>
        </w:rPr>
        <w:t>×0.8</w:t>
      </w:r>
      <w:r>
        <w:t>％＝</w:t>
      </w:r>
      <w:r>
        <w:rPr>
          <w:rFonts w:ascii="Arial" w:hAnsi="Arial" w:eastAsia="Arial"/>
        </w:rPr>
        <w:t>3.2</w:t>
      </w:r>
      <w:r>
        <w:t>万元</w:t>
      </w:r>
    </w:p>
    <w:p>
      <w:pPr>
        <w:pStyle w:val="2"/>
        <w:spacing w:before="158" w:line="364" w:lineRule="auto"/>
        <w:ind w:left="508" w:right="5764"/>
      </w:pPr>
      <w:r>
        <w:t>（</w:t>
      </w:r>
      <w:r>
        <w:rPr>
          <w:rFonts w:ascii="Arial" w:hAnsi="Arial" w:eastAsia="Arial"/>
        </w:rPr>
        <w:t>1000</w:t>
      </w:r>
      <w:r>
        <w:t>－</w:t>
      </w:r>
      <w:r>
        <w:rPr>
          <w:rFonts w:ascii="Arial" w:hAnsi="Arial" w:eastAsia="Arial"/>
        </w:rPr>
        <w:t>500</w:t>
      </w:r>
      <w:r>
        <w:t>）万元</w:t>
      </w:r>
      <w:r>
        <w:rPr>
          <w:rFonts w:ascii="Arial" w:hAnsi="Arial" w:eastAsia="Arial"/>
        </w:rPr>
        <w:t>×0.45</w:t>
      </w:r>
      <w:r>
        <w:t>％＝</w:t>
      </w:r>
      <w:r>
        <w:rPr>
          <w:rFonts w:ascii="Arial" w:hAnsi="Arial" w:eastAsia="Arial"/>
        </w:rPr>
        <w:t>2.80</w:t>
      </w:r>
      <w:r>
        <w:t>万元合计收费＝</w:t>
      </w:r>
      <w:r>
        <w:rPr>
          <w:rFonts w:ascii="Arial" w:hAnsi="Arial" w:eastAsia="Arial"/>
        </w:rPr>
        <w:t>1.5</w:t>
      </w:r>
      <w:r>
        <w:t>＋</w:t>
      </w:r>
      <w:r>
        <w:rPr>
          <w:rFonts w:ascii="Arial" w:hAnsi="Arial" w:eastAsia="Arial"/>
        </w:rPr>
        <w:t>3.2</w:t>
      </w:r>
      <w:r>
        <w:t>＋</w:t>
      </w:r>
      <w:r>
        <w:rPr>
          <w:rFonts w:ascii="Arial" w:hAnsi="Arial" w:eastAsia="Arial"/>
        </w:rPr>
        <w:t>2.25</w:t>
      </w:r>
      <w:r>
        <w:t>＝</w:t>
      </w:r>
      <w:r>
        <w:rPr>
          <w:rFonts w:ascii="Arial" w:hAnsi="Arial" w:eastAsia="Arial"/>
        </w:rPr>
        <w:t>6.95</w:t>
      </w:r>
      <w:r>
        <w:t>万元</w:t>
      </w:r>
    </w:p>
    <w:p>
      <w:pPr>
        <w:spacing w:before="0" w:line="356" w:lineRule="exact"/>
        <w:ind w:left="397" w:right="410" w:firstLine="0"/>
        <w:jc w:val="center"/>
        <w:rPr>
          <w:b/>
          <w:sz w:val="28"/>
        </w:rPr>
      </w:pPr>
      <w:bookmarkStart w:id="39" w:name="_TOC_250030"/>
      <w:bookmarkEnd w:id="39"/>
      <w:r>
        <w:rPr>
          <w:b/>
          <w:sz w:val="28"/>
        </w:rPr>
        <w:t>十二、其他</w:t>
      </w:r>
    </w:p>
    <w:p>
      <w:pPr>
        <w:pStyle w:val="2"/>
        <w:spacing w:before="188"/>
        <w:ind w:left="988"/>
      </w:pPr>
      <w:r>
        <w:t>其他未尽事宜，按照《中华人民共和国政府采购法》、《中华人民共和国合同法》、</w:t>
      </w:r>
    </w:p>
    <w:p>
      <w:pPr>
        <w:pStyle w:val="2"/>
        <w:spacing w:before="160"/>
        <w:ind w:left="508"/>
      </w:pPr>
      <w:r>
        <w:t>《中华人民共和国政府采购法实施条例》等法律法规的有关条款执行。</w:t>
      </w:r>
    </w:p>
    <w:p>
      <w:pPr>
        <w:spacing w:after="0"/>
        <w:sectPr>
          <w:pgSz w:w="11910" w:h="16840"/>
          <w:pgMar w:top="1180" w:right="720" w:bottom="1120" w:left="740" w:header="711" w:footer="923" w:gutter="0"/>
        </w:sectPr>
      </w:pPr>
    </w:p>
    <w:p>
      <w:pPr>
        <w:pStyle w:val="3"/>
      </w:pPr>
      <w:bookmarkStart w:id="40" w:name="_TOC_250029"/>
      <w:bookmarkEnd w:id="40"/>
      <w:r>
        <w:t>第四部分青海省政府采购项目合同书</w:t>
      </w:r>
    </w:p>
    <w:p>
      <w:pPr>
        <w:pStyle w:val="2"/>
        <w:spacing w:before="6"/>
        <w:rPr>
          <w:sz w:val="37"/>
        </w:rPr>
      </w:pPr>
    </w:p>
    <w:p>
      <w:pPr>
        <w:spacing w:before="0"/>
        <w:ind w:left="396" w:right="412" w:firstLine="0"/>
        <w:jc w:val="center"/>
        <w:rPr>
          <w:b/>
          <w:sz w:val="36"/>
        </w:rPr>
      </w:pPr>
      <w:r>
        <w:rPr>
          <w:b/>
          <w:sz w:val="36"/>
        </w:rPr>
        <w:t>（货物类）</w:t>
      </w:r>
    </w:p>
    <w:p>
      <w:pPr>
        <w:pStyle w:val="2"/>
        <w:rPr>
          <w:b/>
          <w:sz w:val="36"/>
        </w:rPr>
      </w:pPr>
    </w:p>
    <w:p>
      <w:pPr>
        <w:pStyle w:val="2"/>
        <w:rPr>
          <w:b/>
          <w:sz w:val="36"/>
        </w:rPr>
      </w:pPr>
    </w:p>
    <w:p>
      <w:pPr>
        <w:pStyle w:val="2"/>
        <w:rPr>
          <w:b/>
          <w:sz w:val="36"/>
        </w:rPr>
      </w:pPr>
    </w:p>
    <w:p>
      <w:pPr>
        <w:pStyle w:val="2"/>
        <w:spacing w:before="1"/>
        <w:rPr>
          <w:b/>
          <w:sz w:val="40"/>
        </w:rPr>
      </w:pPr>
    </w:p>
    <w:p>
      <w:pPr>
        <w:spacing w:before="1"/>
        <w:ind w:left="391" w:right="412" w:firstLine="0"/>
        <w:jc w:val="center"/>
        <w:rPr>
          <w:b/>
          <w:sz w:val="48"/>
        </w:rPr>
      </w:pPr>
      <w:r>
        <w:rPr>
          <w:b/>
          <w:sz w:val="48"/>
        </w:rPr>
        <w:t>青海省政府采购项目合同书</w:t>
      </w:r>
    </w:p>
    <w:p>
      <w:pPr>
        <w:pStyle w:val="2"/>
        <w:rPr>
          <w:b/>
          <w:sz w:val="48"/>
        </w:rPr>
      </w:pPr>
    </w:p>
    <w:p>
      <w:pPr>
        <w:pStyle w:val="2"/>
        <w:rPr>
          <w:b/>
          <w:sz w:val="48"/>
        </w:rPr>
      </w:pPr>
    </w:p>
    <w:p>
      <w:pPr>
        <w:pStyle w:val="2"/>
        <w:rPr>
          <w:b/>
          <w:sz w:val="48"/>
        </w:rPr>
      </w:pPr>
    </w:p>
    <w:p>
      <w:pPr>
        <w:pStyle w:val="2"/>
        <w:rPr>
          <w:b/>
          <w:sz w:val="48"/>
        </w:rPr>
      </w:pPr>
    </w:p>
    <w:p>
      <w:pPr>
        <w:pStyle w:val="2"/>
        <w:rPr>
          <w:b/>
          <w:sz w:val="48"/>
        </w:rPr>
      </w:pPr>
    </w:p>
    <w:p>
      <w:pPr>
        <w:pStyle w:val="2"/>
        <w:rPr>
          <w:b/>
          <w:sz w:val="48"/>
        </w:rPr>
      </w:pPr>
    </w:p>
    <w:p>
      <w:pPr>
        <w:pStyle w:val="2"/>
        <w:spacing w:before="10"/>
        <w:rPr>
          <w:b/>
          <w:sz w:val="48"/>
        </w:rPr>
      </w:pPr>
    </w:p>
    <w:p>
      <w:pPr>
        <w:spacing w:before="0" w:line="364" w:lineRule="auto"/>
        <w:ind w:left="1110" w:right="2942" w:firstLine="0"/>
        <w:jc w:val="both"/>
        <w:rPr>
          <w:rFonts w:hint="eastAsia"/>
          <w:b/>
          <w:sz w:val="30"/>
          <w:u w:val="single"/>
          <w:lang w:eastAsia="zh-CN"/>
        </w:rPr>
      </w:pPr>
      <w:r>
        <w:rPr>
          <w:b/>
          <w:sz w:val="30"/>
        </w:rPr>
        <w:t>采购项目名称：</w:t>
      </w:r>
      <w:r>
        <w:rPr>
          <w:rFonts w:hint="eastAsia"/>
          <w:b/>
          <w:sz w:val="30"/>
          <w:u w:val="single"/>
          <w:lang w:eastAsia="zh-CN"/>
        </w:rPr>
        <w:t>交通应急项目</w:t>
      </w:r>
    </w:p>
    <w:p>
      <w:pPr>
        <w:spacing w:before="0" w:line="364" w:lineRule="auto"/>
        <w:ind w:left="1110" w:right="2942" w:firstLine="0"/>
        <w:jc w:val="both"/>
        <w:rPr>
          <w:rFonts w:hint="eastAsia"/>
          <w:b/>
          <w:sz w:val="30"/>
          <w:u w:val="single"/>
          <w:lang w:eastAsia="zh-CN"/>
        </w:rPr>
      </w:pPr>
      <w:r>
        <w:rPr>
          <w:b/>
          <w:sz w:val="30"/>
        </w:rPr>
        <w:t>采购项目编号：</w:t>
      </w:r>
      <w:r>
        <w:rPr>
          <w:rFonts w:hint="eastAsia"/>
          <w:b/>
          <w:sz w:val="30"/>
          <w:u w:val="single"/>
          <w:lang w:eastAsia="zh-CN"/>
        </w:rPr>
        <w:t>鸿利竞磋（货物）2020-034号</w:t>
      </w:r>
    </w:p>
    <w:p>
      <w:pPr>
        <w:spacing w:before="0" w:line="364" w:lineRule="auto"/>
        <w:ind w:left="1110" w:right="2942" w:firstLine="0"/>
        <w:jc w:val="both"/>
        <w:rPr>
          <w:rFonts w:ascii="Arial" w:eastAsia="Arial"/>
          <w:b/>
          <w:sz w:val="30"/>
        </w:rPr>
      </w:pPr>
      <w:r>
        <w:rPr>
          <w:b/>
          <w:sz w:val="30"/>
        </w:rPr>
        <w:t>采购合同编号：</w:t>
      </w:r>
      <w:r>
        <w:rPr>
          <w:rFonts w:hint="eastAsia"/>
          <w:b/>
          <w:sz w:val="30"/>
          <w:u w:val="single"/>
          <w:lang w:eastAsia="zh-CN"/>
        </w:rPr>
        <w:t>鸿利竞磋（货物）2020-034号</w:t>
      </w:r>
    </w:p>
    <w:p>
      <w:pPr>
        <w:spacing w:before="0" w:line="384" w:lineRule="exact"/>
        <w:ind w:left="1110" w:right="0" w:firstLine="0"/>
        <w:jc w:val="left"/>
        <w:rPr>
          <w:b/>
          <w:sz w:val="30"/>
        </w:rPr>
      </w:pPr>
      <w:r>
        <w:rPr>
          <w:b/>
          <w:w w:val="99"/>
          <w:sz w:val="30"/>
        </w:rPr>
        <w:t>合同金额</w:t>
      </w:r>
      <w:r>
        <w:rPr>
          <w:b/>
          <w:spacing w:val="2"/>
          <w:w w:val="99"/>
          <w:sz w:val="30"/>
        </w:rPr>
        <w:t>（</w:t>
      </w:r>
      <w:r>
        <w:rPr>
          <w:b/>
          <w:w w:val="99"/>
          <w:sz w:val="30"/>
        </w:rPr>
        <w:t>人民币</w:t>
      </w:r>
      <w:r>
        <w:rPr>
          <w:b/>
          <w:spacing w:val="-149"/>
          <w:w w:val="99"/>
          <w:sz w:val="30"/>
        </w:rPr>
        <w:t>）</w:t>
      </w:r>
      <w:r>
        <w:rPr>
          <w:b/>
          <w:w w:val="99"/>
          <w:sz w:val="30"/>
        </w:rPr>
        <w:t>：</w:t>
      </w:r>
    </w:p>
    <w:p>
      <w:pPr>
        <w:spacing w:before="199" w:line="364" w:lineRule="auto"/>
        <w:ind w:left="1110" w:right="5720" w:firstLine="0"/>
        <w:jc w:val="both"/>
        <w:rPr>
          <w:b/>
          <w:sz w:val="30"/>
        </w:rPr>
      </w:pPr>
      <w:r>
        <w:rPr>
          <w:b/>
          <w:spacing w:val="1"/>
          <w:w w:val="99"/>
          <w:sz w:val="30"/>
        </w:rPr>
        <w:t>采购人</w:t>
      </w:r>
      <w:r>
        <w:rPr>
          <w:b/>
          <w:w w:val="99"/>
          <w:sz w:val="30"/>
        </w:rPr>
        <w:t>（</w:t>
      </w:r>
      <w:r>
        <w:rPr>
          <w:b/>
          <w:spacing w:val="1"/>
          <w:w w:val="99"/>
          <w:sz w:val="30"/>
        </w:rPr>
        <w:t>委托方</w:t>
      </w:r>
      <w:r>
        <w:rPr>
          <w:b/>
          <w:spacing w:val="-149"/>
          <w:w w:val="99"/>
          <w:sz w:val="30"/>
        </w:rPr>
        <w:t>）</w:t>
      </w:r>
      <w:r>
        <w:rPr>
          <w:b/>
          <w:spacing w:val="-152"/>
          <w:w w:val="99"/>
          <w:sz w:val="30"/>
        </w:rPr>
        <w:t>：</w:t>
      </w:r>
      <w:r>
        <w:rPr>
          <w:b/>
          <w:spacing w:val="2"/>
          <w:w w:val="99"/>
          <w:sz w:val="30"/>
        </w:rPr>
        <w:t>（</w:t>
      </w:r>
      <w:r>
        <w:rPr>
          <w:b/>
          <w:spacing w:val="1"/>
          <w:w w:val="99"/>
          <w:sz w:val="30"/>
        </w:rPr>
        <w:t>盖章</w:t>
      </w:r>
      <w:r>
        <w:rPr>
          <w:b/>
          <w:spacing w:val="-15"/>
          <w:w w:val="99"/>
          <w:sz w:val="30"/>
        </w:rPr>
        <w:t>）</w:t>
      </w:r>
      <w:r>
        <w:rPr>
          <w:b/>
          <w:spacing w:val="1"/>
          <w:w w:val="99"/>
          <w:sz w:val="30"/>
        </w:rPr>
        <w:t>供应商</w:t>
      </w:r>
      <w:r>
        <w:rPr>
          <w:b/>
          <w:w w:val="99"/>
          <w:sz w:val="30"/>
        </w:rPr>
        <w:t>（</w:t>
      </w:r>
      <w:r>
        <w:rPr>
          <w:b/>
          <w:spacing w:val="1"/>
          <w:w w:val="99"/>
          <w:sz w:val="30"/>
        </w:rPr>
        <w:t>受托方</w:t>
      </w:r>
      <w:r>
        <w:rPr>
          <w:b/>
          <w:spacing w:val="-149"/>
          <w:w w:val="99"/>
          <w:sz w:val="30"/>
        </w:rPr>
        <w:t>）</w:t>
      </w:r>
      <w:r>
        <w:rPr>
          <w:b/>
          <w:spacing w:val="-152"/>
          <w:w w:val="99"/>
          <w:sz w:val="30"/>
        </w:rPr>
        <w:t>：</w:t>
      </w:r>
      <w:r>
        <w:rPr>
          <w:b/>
          <w:spacing w:val="2"/>
          <w:w w:val="99"/>
          <w:sz w:val="30"/>
        </w:rPr>
        <w:t>（</w:t>
      </w:r>
      <w:r>
        <w:rPr>
          <w:b/>
          <w:spacing w:val="1"/>
          <w:w w:val="99"/>
          <w:sz w:val="30"/>
        </w:rPr>
        <w:t>盖章</w:t>
      </w:r>
      <w:r>
        <w:rPr>
          <w:b/>
          <w:spacing w:val="-15"/>
          <w:w w:val="99"/>
          <w:sz w:val="30"/>
        </w:rPr>
        <w:t>）</w:t>
      </w:r>
      <w:r>
        <w:rPr>
          <w:b/>
          <w:sz w:val="30"/>
        </w:rPr>
        <w:t>磋商日期：</w:t>
      </w:r>
    </w:p>
    <w:p>
      <w:pPr>
        <w:spacing w:after="0" w:line="364" w:lineRule="auto"/>
        <w:jc w:val="both"/>
        <w:rPr>
          <w:sz w:val="30"/>
        </w:rPr>
        <w:sectPr>
          <w:pgSz w:w="11910" w:h="16840"/>
          <w:pgMar w:top="1180" w:right="720" w:bottom="1120" w:left="740" w:header="711" w:footer="923" w:gutter="0"/>
        </w:sectPr>
      </w:pPr>
    </w:p>
    <w:p>
      <w:pPr>
        <w:spacing w:before="65" w:line="364" w:lineRule="auto"/>
        <w:ind w:left="508" w:right="6562" w:firstLine="0"/>
        <w:jc w:val="left"/>
        <w:rPr>
          <w:b/>
          <w:sz w:val="28"/>
        </w:rPr>
      </w:pPr>
      <w:r>
        <w:rPr>
          <w:b/>
          <w:sz w:val="28"/>
        </w:rPr>
        <w:t>采购人（以下简称甲方）： 中标人（以下简称乙方）：</w:t>
      </w:r>
    </w:p>
    <w:p>
      <w:pPr>
        <w:pStyle w:val="2"/>
        <w:spacing w:before="161" w:line="364" w:lineRule="auto"/>
        <w:ind w:left="508" w:right="523"/>
      </w:pPr>
      <w:r>
        <w:t xml:space="preserve">甲、乙双方根据 </w:t>
      </w:r>
      <w:r>
        <w:rPr>
          <w:rFonts w:ascii="Arial" w:eastAsia="Arial"/>
        </w:rPr>
        <w:t xml:space="preserve">2020 </w:t>
      </w:r>
      <w:r>
        <w:t xml:space="preserve">年 </w:t>
      </w:r>
      <w:r>
        <w:rPr>
          <w:rFonts w:ascii="Arial" w:eastAsia="Arial"/>
        </w:rPr>
        <w:t xml:space="preserve">XX </w:t>
      </w:r>
      <w:r>
        <w:t xml:space="preserve">月 </w:t>
      </w:r>
      <w:r>
        <w:rPr>
          <w:rFonts w:ascii="Arial" w:eastAsia="Arial"/>
        </w:rPr>
        <w:t xml:space="preserve">XX </w:t>
      </w:r>
      <w:r>
        <w:t>日</w:t>
      </w:r>
      <w:r>
        <w:rPr>
          <w:rFonts w:hint="eastAsia"/>
          <w:u w:val="single"/>
          <w:lang w:eastAsia="zh-CN"/>
        </w:rPr>
        <w:t>交通应急项目</w:t>
      </w:r>
      <w:r>
        <w:rPr>
          <w:u w:val="single"/>
        </w:rPr>
        <w:t>（</w:t>
      </w:r>
      <w:r>
        <w:rPr>
          <w:rFonts w:hint="eastAsia"/>
          <w:u w:val="single"/>
          <w:lang w:eastAsia="zh-CN"/>
        </w:rPr>
        <w:t>鸿利竞磋（货物）2020-034号</w:t>
      </w:r>
      <w:r>
        <w:t>）的磋商文件要求和采购代理机构出具的《中标通知书》，并经双方协商一致，签订本合同协议书。</w:t>
      </w:r>
    </w:p>
    <w:p>
      <w:pPr>
        <w:pStyle w:val="2"/>
        <w:spacing w:line="306" w:lineRule="exact"/>
        <w:ind w:left="508"/>
      </w:pPr>
      <w:r>
        <w:t>一、签订本政府采购合同的依据</w:t>
      </w:r>
    </w:p>
    <w:p>
      <w:pPr>
        <w:pStyle w:val="2"/>
        <w:spacing w:before="160"/>
        <w:ind w:left="988"/>
      </w:pPr>
      <w:r>
        <w:t>本政府采购合同所附下列文件是构成本政府采购合同不可分割的部分：</w:t>
      </w:r>
    </w:p>
    <w:p>
      <w:pPr>
        <w:pStyle w:val="13"/>
        <w:numPr>
          <w:ilvl w:val="0"/>
          <w:numId w:val="25"/>
        </w:numPr>
        <w:tabs>
          <w:tab w:val="left" w:pos="1191"/>
        </w:tabs>
        <w:spacing w:before="158" w:after="0" w:line="240" w:lineRule="auto"/>
        <w:ind w:left="1190" w:right="0" w:hanging="203"/>
        <w:jc w:val="left"/>
        <w:rPr>
          <w:sz w:val="24"/>
        </w:rPr>
      </w:pPr>
      <w:r>
        <w:rPr>
          <w:sz w:val="24"/>
        </w:rPr>
        <w:t>招标文件；</w:t>
      </w:r>
    </w:p>
    <w:p>
      <w:pPr>
        <w:pStyle w:val="13"/>
        <w:numPr>
          <w:ilvl w:val="0"/>
          <w:numId w:val="25"/>
        </w:numPr>
        <w:tabs>
          <w:tab w:val="left" w:pos="1191"/>
        </w:tabs>
        <w:spacing w:before="161" w:after="0" w:line="240" w:lineRule="auto"/>
        <w:ind w:left="1190" w:right="0" w:hanging="203"/>
        <w:jc w:val="left"/>
        <w:rPr>
          <w:sz w:val="24"/>
        </w:rPr>
      </w:pPr>
      <w:r>
        <w:rPr>
          <w:spacing w:val="-1"/>
          <w:sz w:val="24"/>
        </w:rPr>
        <w:t>招标文件的澄清、变更公告；</w:t>
      </w:r>
    </w:p>
    <w:p>
      <w:pPr>
        <w:pStyle w:val="13"/>
        <w:numPr>
          <w:ilvl w:val="0"/>
          <w:numId w:val="25"/>
        </w:numPr>
        <w:tabs>
          <w:tab w:val="left" w:pos="1191"/>
        </w:tabs>
        <w:spacing w:before="159" w:after="0" w:line="240" w:lineRule="auto"/>
        <w:ind w:left="1190" w:right="0" w:hanging="203"/>
        <w:jc w:val="left"/>
        <w:rPr>
          <w:sz w:val="24"/>
        </w:rPr>
      </w:pPr>
      <w:r>
        <w:rPr>
          <w:spacing w:val="-1"/>
          <w:sz w:val="24"/>
        </w:rPr>
        <w:t>中标人提交的投标文件；</w:t>
      </w:r>
    </w:p>
    <w:p>
      <w:pPr>
        <w:pStyle w:val="13"/>
        <w:numPr>
          <w:ilvl w:val="0"/>
          <w:numId w:val="25"/>
        </w:numPr>
        <w:tabs>
          <w:tab w:val="left" w:pos="1191"/>
        </w:tabs>
        <w:spacing w:before="160" w:after="0" w:line="240" w:lineRule="auto"/>
        <w:ind w:left="1190" w:right="0" w:hanging="203"/>
        <w:jc w:val="left"/>
        <w:rPr>
          <w:sz w:val="24"/>
        </w:rPr>
      </w:pPr>
      <w:r>
        <w:rPr>
          <w:spacing w:val="-1"/>
          <w:sz w:val="24"/>
        </w:rPr>
        <w:t>招标文件中规定的政府采购合同通用条款；</w:t>
      </w:r>
    </w:p>
    <w:p>
      <w:pPr>
        <w:pStyle w:val="13"/>
        <w:numPr>
          <w:ilvl w:val="0"/>
          <w:numId w:val="25"/>
        </w:numPr>
        <w:tabs>
          <w:tab w:val="left" w:pos="1191"/>
        </w:tabs>
        <w:spacing w:before="158" w:after="0" w:line="240" w:lineRule="auto"/>
        <w:ind w:left="1190" w:right="0" w:hanging="203"/>
        <w:jc w:val="left"/>
        <w:rPr>
          <w:sz w:val="24"/>
        </w:rPr>
      </w:pPr>
      <w:r>
        <w:rPr>
          <w:sz w:val="24"/>
        </w:rPr>
        <w:t>中标通知书；</w:t>
      </w:r>
    </w:p>
    <w:p>
      <w:pPr>
        <w:pStyle w:val="13"/>
        <w:numPr>
          <w:ilvl w:val="0"/>
          <w:numId w:val="25"/>
        </w:numPr>
        <w:tabs>
          <w:tab w:val="left" w:pos="1191"/>
        </w:tabs>
        <w:spacing w:before="161" w:after="5" w:line="362" w:lineRule="auto"/>
        <w:ind w:left="508" w:right="6816" w:firstLine="480"/>
        <w:jc w:val="left"/>
        <w:rPr>
          <w:sz w:val="24"/>
        </w:rPr>
      </w:pPr>
      <w:r>
        <w:rPr>
          <w:spacing w:val="-1"/>
          <w:sz w:val="24"/>
        </w:rPr>
        <w:t>履约保证金缴费证明。</w:t>
      </w:r>
      <w:r>
        <w:rPr>
          <w:spacing w:val="-3"/>
          <w:sz w:val="24"/>
        </w:rPr>
        <w:t>二、合同标的及金额单位：元</w:t>
      </w:r>
    </w:p>
    <w:tbl>
      <w:tblPr>
        <w:tblStyle w:val="9"/>
        <w:tblW w:w="0" w:type="auto"/>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2271"/>
        <w:gridCol w:w="1899"/>
        <w:gridCol w:w="991"/>
        <w:gridCol w:w="945"/>
        <w:gridCol w:w="1020"/>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8" w:type="dxa"/>
          </w:tcPr>
          <w:p>
            <w:pPr>
              <w:pStyle w:val="14"/>
              <w:ind w:left="321"/>
              <w:rPr>
                <w:sz w:val="24"/>
              </w:rPr>
            </w:pPr>
            <w:r>
              <w:rPr>
                <w:sz w:val="24"/>
              </w:rPr>
              <w:t>包号</w:t>
            </w:r>
          </w:p>
        </w:tc>
        <w:tc>
          <w:tcPr>
            <w:tcW w:w="2271" w:type="dxa"/>
          </w:tcPr>
          <w:p>
            <w:pPr>
              <w:pStyle w:val="14"/>
              <w:ind w:left="654"/>
              <w:rPr>
                <w:sz w:val="24"/>
              </w:rPr>
            </w:pPr>
            <w:r>
              <w:rPr>
                <w:sz w:val="24"/>
              </w:rPr>
              <w:t>标的名称</w:t>
            </w:r>
          </w:p>
        </w:tc>
        <w:tc>
          <w:tcPr>
            <w:tcW w:w="1899" w:type="dxa"/>
          </w:tcPr>
          <w:p>
            <w:pPr>
              <w:pStyle w:val="14"/>
              <w:ind w:left="467"/>
              <w:rPr>
                <w:sz w:val="24"/>
              </w:rPr>
            </w:pPr>
            <w:r>
              <w:rPr>
                <w:sz w:val="24"/>
              </w:rPr>
              <w:t>规格型号</w:t>
            </w:r>
          </w:p>
        </w:tc>
        <w:tc>
          <w:tcPr>
            <w:tcW w:w="991" w:type="dxa"/>
          </w:tcPr>
          <w:p>
            <w:pPr>
              <w:pStyle w:val="14"/>
              <w:ind w:left="253"/>
              <w:rPr>
                <w:sz w:val="24"/>
              </w:rPr>
            </w:pPr>
            <w:r>
              <w:rPr>
                <w:sz w:val="24"/>
              </w:rPr>
              <w:t>数量</w:t>
            </w:r>
          </w:p>
        </w:tc>
        <w:tc>
          <w:tcPr>
            <w:tcW w:w="945" w:type="dxa"/>
          </w:tcPr>
          <w:p>
            <w:pPr>
              <w:pStyle w:val="14"/>
              <w:ind w:left="232"/>
              <w:rPr>
                <w:sz w:val="24"/>
              </w:rPr>
            </w:pPr>
            <w:r>
              <w:rPr>
                <w:sz w:val="24"/>
              </w:rPr>
              <w:t>单价</w:t>
            </w:r>
          </w:p>
        </w:tc>
        <w:tc>
          <w:tcPr>
            <w:tcW w:w="1020" w:type="dxa"/>
          </w:tcPr>
          <w:p>
            <w:pPr>
              <w:pStyle w:val="14"/>
              <w:ind w:left="267"/>
              <w:rPr>
                <w:sz w:val="24"/>
              </w:rPr>
            </w:pPr>
            <w:r>
              <w:rPr>
                <w:sz w:val="24"/>
              </w:rPr>
              <w:t>总价</w:t>
            </w:r>
          </w:p>
        </w:tc>
        <w:tc>
          <w:tcPr>
            <w:tcW w:w="760" w:type="dxa"/>
          </w:tcPr>
          <w:p>
            <w:pPr>
              <w:pStyle w:val="14"/>
              <w:ind w:left="137"/>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28" w:type="dxa"/>
          </w:tcPr>
          <w:p>
            <w:pPr>
              <w:pStyle w:val="14"/>
              <w:rPr>
                <w:rFonts w:ascii="Times New Roman"/>
                <w:sz w:val="24"/>
              </w:rPr>
            </w:pPr>
          </w:p>
        </w:tc>
        <w:tc>
          <w:tcPr>
            <w:tcW w:w="2271" w:type="dxa"/>
          </w:tcPr>
          <w:p>
            <w:pPr>
              <w:pStyle w:val="14"/>
              <w:rPr>
                <w:rFonts w:ascii="Times New Roman"/>
                <w:sz w:val="24"/>
              </w:rPr>
            </w:pPr>
          </w:p>
        </w:tc>
        <w:tc>
          <w:tcPr>
            <w:tcW w:w="1899" w:type="dxa"/>
          </w:tcPr>
          <w:p>
            <w:pPr>
              <w:pStyle w:val="14"/>
              <w:rPr>
                <w:rFonts w:ascii="Times New Roman"/>
                <w:sz w:val="24"/>
              </w:rPr>
            </w:pPr>
          </w:p>
        </w:tc>
        <w:tc>
          <w:tcPr>
            <w:tcW w:w="991" w:type="dxa"/>
          </w:tcPr>
          <w:p>
            <w:pPr>
              <w:pStyle w:val="14"/>
              <w:rPr>
                <w:rFonts w:ascii="Times New Roman"/>
                <w:sz w:val="24"/>
              </w:rPr>
            </w:pPr>
          </w:p>
        </w:tc>
        <w:tc>
          <w:tcPr>
            <w:tcW w:w="945" w:type="dxa"/>
          </w:tcPr>
          <w:p>
            <w:pPr>
              <w:pStyle w:val="14"/>
              <w:rPr>
                <w:rFonts w:ascii="Times New Roman"/>
                <w:sz w:val="24"/>
              </w:rPr>
            </w:pPr>
          </w:p>
        </w:tc>
        <w:tc>
          <w:tcPr>
            <w:tcW w:w="1020" w:type="dxa"/>
          </w:tcPr>
          <w:p>
            <w:pPr>
              <w:pStyle w:val="14"/>
              <w:rPr>
                <w:rFonts w:ascii="Times New Roman"/>
                <w:sz w:val="24"/>
              </w:rPr>
            </w:pPr>
          </w:p>
        </w:tc>
        <w:tc>
          <w:tcPr>
            <w:tcW w:w="7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28" w:type="dxa"/>
          </w:tcPr>
          <w:p>
            <w:pPr>
              <w:pStyle w:val="14"/>
              <w:rPr>
                <w:rFonts w:ascii="Times New Roman"/>
                <w:sz w:val="24"/>
              </w:rPr>
            </w:pPr>
          </w:p>
        </w:tc>
        <w:tc>
          <w:tcPr>
            <w:tcW w:w="2271" w:type="dxa"/>
          </w:tcPr>
          <w:p>
            <w:pPr>
              <w:pStyle w:val="14"/>
              <w:rPr>
                <w:rFonts w:ascii="Times New Roman"/>
                <w:sz w:val="24"/>
              </w:rPr>
            </w:pPr>
          </w:p>
        </w:tc>
        <w:tc>
          <w:tcPr>
            <w:tcW w:w="1899" w:type="dxa"/>
          </w:tcPr>
          <w:p>
            <w:pPr>
              <w:pStyle w:val="14"/>
              <w:rPr>
                <w:rFonts w:ascii="Times New Roman"/>
                <w:sz w:val="24"/>
              </w:rPr>
            </w:pPr>
          </w:p>
        </w:tc>
        <w:tc>
          <w:tcPr>
            <w:tcW w:w="991" w:type="dxa"/>
          </w:tcPr>
          <w:p>
            <w:pPr>
              <w:pStyle w:val="14"/>
              <w:rPr>
                <w:rFonts w:ascii="Times New Roman"/>
                <w:sz w:val="24"/>
              </w:rPr>
            </w:pPr>
          </w:p>
        </w:tc>
        <w:tc>
          <w:tcPr>
            <w:tcW w:w="945" w:type="dxa"/>
          </w:tcPr>
          <w:p>
            <w:pPr>
              <w:pStyle w:val="14"/>
              <w:rPr>
                <w:rFonts w:ascii="Times New Roman"/>
                <w:sz w:val="24"/>
              </w:rPr>
            </w:pPr>
          </w:p>
        </w:tc>
        <w:tc>
          <w:tcPr>
            <w:tcW w:w="1020" w:type="dxa"/>
          </w:tcPr>
          <w:p>
            <w:pPr>
              <w:pStyle w:val="14"/>
              <w:rPr>
                <w:rFonts w:ascii="Times New Roman"/>
                <w:sz w:val="24"/>
              </w:rPr>
            </w:pPr>
          </w:p>
        </w:tc>
        <w:tc>
          <w:tcPr>
            <w:tcW w:w="760" w:type="dxa"/>
          </w:tcPr>
          <w:p>
            <w:pPr>
              <w:pStyle w:val="14"/>
              <w:rPr>
                <w:rFonts w:ascii="Times New Roman"/>
                <w:sz w:val="24"/>
              </w:rPr>
            </w:pPr>
          </w:p>
        </w:tc>
      </w:tr>
    </w:tbl>
    <w:p>
      <w:pPr>
        <w:pStyle w:val="2"/>
        <w:ind w:left="508"/>
      </w:pPr>
      <w:r>
        <w:t>根据上述政府采购合同文件要求，本政府采购合同的总金额为人民币</w:t>
      </w:r>
      <w:r>
        <w:rPr>
          <w:rFonts w:hint="eastAsia"/>
          <w:lang w:val="en-US" w:eastAsia="zh-CN"/>
        </w:rPr>
        <w:t>:</w:t>
      </w:r>
      <w:r>
        <w:t>元</w:t>
      </w:r>
      <w:r>
        <w:rPr>
          <w:rFonts w:hint="eastAsia"/>
          <w:u w:val="single"/>
          <w:lang w:val="en-US" w:eastAsia="zh-CN"/>
        </w:rPr>
        <w:t xml:space="preserve">  </w:t>
      </w:r>
      <w:r>
        <w:rPr>
          <w:u w:val="single"/>
        </w:rPr>
        <w:t>（大写</w:t>
      </w:r>
      <w:r>
        <w:rPr>
          <w:rFonts w:hint="eastAsia"/>
          <w:u w:val="single"/>
          <w:lang w:val="en-US" w:eastAsia="zh-CN"/>
        </w:rPr>
        <w:t xml:space="preserve"> :     </w:t>
      </w:r>
      <w:r>
        <w:rPr>
          <w:u w:val="single"/>
        </w:rPr>
        <w:t>）</w:t>
      </w:r>
      <w:r>
        <w:t>。</w:t>
      </w:r>
    </w:p>
    <w:p>
      <w:pPr>
        <w:pStyle w:val="2"/>
        <w:spacing w:before="161" w:line="364" w:lineRule="auto"/>
        <w:ind w:left="508" w:right="524" w:firstLine="480"/>
        <w:jc w:val="both"/>
      </w:pPr>
      <w:r>
        <w:t>本合同以人民币进行结算，合同总价包括：产品费、验收费、手续费、包装费、运输费、保险费、安装费、调试费、培训费、售前、售中、售后服务费、磋商代理费、税金及不可预见费等全部费用。</w:t>
      </w:r>
    </w:p>
    <w:p>
      <w:pPr>
        <w:pStyle w:val="2"/>
        <w:spacing w:line="307" w:lineRule="exact"/>
        <w:ind w:left="508"/>
      </w:pPr>
      <w:r>
        <w:t>三、交付时间、地点和要求</w:t>
      </w:r>
    </w:p>
    <w:p>
      <w:pPr>
        <w:pStyle w:val="13"/>
        <w:numPr>
          <w:ilvl w:val="0"/>
          <w:numId w:val="26"/>
        </w:numPr>
        <w:tabs>
          <w:tab w:val="left" w:pos="1191"/>
        </w:tabs>
        <w:spacing w:before="158" w:after="0" w:line="240" w:lineRule="auto"/>
        <w:ind w:left="1190" w:right="0" w:hanging="203"/>
        <w:jc w:val="left"/>
        <w:rPr>
          <w:sz w:val="24"/>
        </w:rPr>
      </w:pPr>
      <w:r>
        <w:rPr>
          <w:spacing w:val="-1"/>
          <w:sz w:val="24"/>
        </w:rPr>
        <w:t>交货时间：</w:t>
      </w:r>
      <w:r>
        <w:rPr>
          <w:rFonts w:hint="eastAsia"/>
          <w:spacing w:val="-1"/>
          <w:sz w:val="24"/>
          <w:u w:val="single"/>
          <w:lang w:val="en-US" w:eastAsia="zh-CN"/>
        </w:rPr>
        <w:t xml:space="preserve">                   </w:t>
      </w:r>
      <w:r>
        <w:rPr>
          <w:spacing w:val="-1"/>
          <w:sz w:val="24"/>
        </w:rPr>
        <w:t>。交货地点：</w:t>
      </w:r>
      <w:r>
        <w:rPr>
          <w:rFonts w:hint="eastAsia"/>
          <w:spacing w:val="-1"/>
          <w:sz w:val="24"/>
          <w:u w:val="single"/>
          <w:lang w:val="en-US" w:eastAsia="zh-CN"/>
        </w:rPr>
        <w:t xml:space="preserve">                  </w:t>
      </w:r>
      <w:r>
        <w:rPr>
          <w:spacing w:val="-1"/>
          <w:sz w:val="24"/>
        </w:rPr>
        <w:t>。</w:t>
      </w:r>
    </w:p>
    <w:p>
      <w:pPr>
        <w:pStyle w:val="13"/>
        <w:numPr>
          <w:ilvl w:val="0"/>
          <w:numId w:val="26"/>
        </w:numPr>
        <w:tabs>
          <w:tab w:val="left" w:pos="1191"/>
        </w:tabs>
        <w:spacing w:before="160" w:after="0" w:line="240" w:lineRule="auto"/>
        <w:ind w:left="1190" w:right="0" w:hanging="203"/>
        <w:jc w:val="left"/>
        <w:rPr>
          <w:sz w:val="24"/>
        </w:rPr>
      </w:pPr>
      <w:r>
        <w:rPr>
          <w:sz w:val="24"/>
        </w:rPr>
        <w:t>乙方提供不符合投标文件和本合同规定的产品，甲方有权拒绝接受。</w:t>
      </w:r>
    </w:p>
    <w:p>
      <w:pPr>
        <w:pStyle w:val="13"/>
        <w:numPr>
          <w:ilvl w:val="0"/>
          <w:numId w:val="26"/>
        </w:numPr>
        <w:tabs>
          <w:tab w:val="left" w:pos="1193"/>
        </w:tabs>
        <w:spacing w:before="158" w:after="0" w:line="364" w:lineRule="auto"/>
        <w:ind w:left="508" w:right="521" w:firstLine="480"/>
        <w:jc w:val="left"/>
        <w:rPr>
          <w:sz w:val="24"/>
        </w:rPr>
      </w:pPr>
      <w:r>
        <w:rPr>
          <w:sz w:val="24"/>
        </w:rPr>
        <w:t>乙方应将提供产品的装箱清单、用户手册、原厂保修卡、随机资料、工具和备品、备件等交付给甲方，如有缺失应及时补齐，否则视为逾期交货。</w:t>
      </w:r>
    </w:p>
    <w:p>
      <w:pPr>
        <w:pStyle w:val="13"/>
        <w:numPr>
          <w:ilvl w:val="0"/>
          <w:numId w:val="26"/>
        </w:numPr>
        <w:tabs>
          <w:tab w:val="left" w:pos="1193"/>
        </w:tabs>
        <w:spacing w:before="0" w:after="0" w:line="364" w:lineRule="auto"/>
        <w:ind w:left="508" w:right="521" w:firstLine="480"/>
        <w:jc w:val="both"/>
        <w:rPr>
          <w:sz w:val="24"/>
        </w:rPr>
      </w:pPr>
      <w:r>
        <w:rPr>
          <w:sz w:val="24"/>
        </w:rPr>
        <w:t>甲方应当在到货（安装、调试完）后个工作日内进行验收，逾期不验收的，乙方可</w:t>
      </w:r>
      <w:r>
        <w:rPr>
          <w:spacing w:val="-1"/>
          <w:sz w:val="24"/>
        </w:rPr>
        <w:t>视为验收合格。验收合格后，由甲乙双方签署产品验收单并加盖采购人公章，甲乙双方各</w:t>
      </w:r>
      <w:r>
        <w:rPr>
          <w:sz w:val="24"/>
        </w:rPr>
        <w:t>执一份。</w:t>
      </w:r>
    </w:p>
    <w:p>
      <w:pPr>
        <w:pStyle w:val="13"/>
        <w:numPr>
          <w:ilvl w:val="0"/>
          <w:numId w:val="26"/>
        </w:numPr>
        <w:tabs>
          <w:tab w:val="left" w:pos="1193"/>
        </w:tabs>
        <w:spacing w:before="0" w:after="0" w:line="307" w:lineRule="exact"/>
        <w:ind w:left="1192" w:right="0" w:hanging="205"/>
        <w:jc w:val="left"/>
        <w:rPr>
          <w:sz w:val="24"/>
        </w:rPr>
      </w:pPr>
      <w:r>
        <w:rPr>
          <w:sz w:val="24"/>
        </w:rPr>
        <w:t>甲方应提供该项目验收报告交同级财政监管部门，由财政部门按规定程序抽验后办</w:t>
      </w:r>
    </w:p>
    <w:p>
      <w:pPr>
        <w:spacing w:after="0" w:line="307" w:lineRule="exact"/>
        <w:jc w:val="left"/>
        <w:rPr>
          <w:sz w:val="24"/>
        </w:rPr>
        <w:sectPr>
          <w:pgSz w:w="11910" w:h="16840"/>
          <w:pgMar w:top="1180" w:right="720" w:bottom="1120" w:left="740" w:header="711" w:footer="923" w:gutter="0"/>
        </w:sectPr>
      </w:pPr>
    </w:p>
    <w:p>
      <w:pPr>
        <w:pStyle w:val="2"/>
        <w:spacing w:before="67"/>
        <w:ind w:left="508"/>
      </w:pPr>
      <w:r>
        <w:t>理资金拨付。</w:t>
      </w:r>
    </w:p>
    <w:p>
      <w:pPr>
        <w:pStyle w:val="13"/>
        <w:numPr>
          <w:ilvl w:val="0"/>
          <w:numId w:val="26"/>
        </w:numPr>
        <w:tabs>
          <w:tab w:val="left" w:pos="1193"/>
        </w:tabs>
        <w:spacing w:before="158" w:after="0" w:line="364" w:lineRule="auto"/>
        <w:ind w:left="508" w:right="521" w:firstLine="480"/>
        <w:jc w:val="left"/>
        <w:rPr>
          <w:sz w:val="24"/>
        </w:rPr>
      </w:pPr>
      <w:r>
        <w:rPr>
          <w:sz w:val="24"/>
        </w:rPr>
        <w:t>甲方在验收过程中发现乙方有违约问题，可按招、磋商响应文件的规定要求乙方及时予以解决。</w:t>
      </w:r>
    </w:p>
    <w:p>
      <w:pPr>
        <w:pStyle w:val="13"/>
        <w:numPr>
          <w:ilvl w:val="0"/>
          <w:numId w:val="26"/>
        </w:numPr>
        <w:tabs>
          <w:tab w:val="left" w:pos="1191"/>
        </w:tabs>
        <w:spacing w:before="0" w:after="0" w:line="364" w:lineRule="auto"/>
        <w:ind w:left="508" w:right="4936" w:firstLine="480"/>
        <w:jc w:val="left"/>
        <w:rPr>
          <w:sz w:val="24"/>
        </w:rPr>
      </w:pPr>
      <w:r>
        <w:rPr>
          <w:spacing w:val="-2"/>
          <w:sz w:val="24"/>
        </w:rPr>
        <w:t>乙方向甲方提供产品相关完税销售发票。</w:t>
      </w:r>
      <w:r>
        <w:rPr>
          <w:sz w:val="24"/>
        </w:rPr>
        <w:t>四、付款方式</w:t>
      </w:r>
    </w:p>
    <w:p>
      <w:pPr>
        <w:pStyle w:val="2"/>
        <w:spacing w:line="364" w:lineRule="auto"/>
        <w:ind w:left="508" w:right="521" w:firstLine="480"/>
      </w:pPr>
      <w:r>
        <w:rPr>
          <w:spacing w:val="-4"/>
        </w:rPr>
        <w:t>乙方所交付的产品由甲方验收合格，由甲方填写</w:t>
      </w:r>
      <w:r>
        <w:rPr>
          <w:rFonts w:ascii="Arial" w:hAnsi="Arial" w:eastAsia="Arial"/>
        </w:rPr>
        <w:t>“</w:t>
      </w:r>
      <w:r>
        <w:t>政府采购资金拨付申请书</w:t>
      </w:r>
      <w:r>
        <w:rPr>
          <w:rFonts w:ascii="Arial" w:hAnsi="Arial" w:eastAsia="Arial"/>
          <w:spacing w:val="-27"/>
        </w:rPr>
        <w:t>”</w:t>
      </w:r>
      <w:r>
        <w:rPr>
          <w:spacing w:val="-10"/>
        </w:rPr>
        <w:t>，按合同金</w:t>
      </w:r>
      <w:r>
        <w:rPr>
          <w:spacing w:val="-5"/>
        </w:rPr>
        <w:t xml:space="preserve">额向乙方支付合同总价款的 </w:t>
      </w:r>
      <w:r>
        <w:rPr>
          <w:rFonts w:ascii="Arial" w:hAnsi="Arial" w:eastAsia="Arial"/>
        </w:rPr>
        <w:t>100%</w:t>
      </w:r>
      <w:r>
        <w:rPr>
          <w:spacing w:val="-1"/>
        </w:rPr>
        <w:t>，即人民币</w:t>
      </w:r>
      <w:r>
        <w:t>（大写</w:t>
      </w:r>
      <w:r>
        <w:rPr>
          <w:spacing w:val="-120"/>
        </w:rPr>
        <w:t>）</w:t>
      </w:r>
      <w:r>
        <w:rPr>
          <w:rFonts w:hint="eastAsia"/>
          <w:spacing w:val="-120"/>
          <w:lang w:val="en-US" w:eastAsia="zh-CN"/>
        </w:rPr>
        <w:t xml:space="preserve">     </w:t>
      </w:r>
      <w:r>
        <w:rPr>
          <w:spacing w:val="-120"/>
        </w:rPr>
        <w:t>：</w:t>
      </w:r>
      <w:r>
        <w:rPr>
          <w:rFonts w:hint="eastAsia"/>
          <w:spacing w:val="-120"/>
          <w:lang w:val="en-US" w:eastAsia="zh-CN"/>
        </w:rPr>
        <w:t xml:space="preserve">                                   </w:t>
      </w:r>
      <w:r>
        <w:t>。</w:t>
      </w:r>
    </w:p>
    <w:p>
      <w:pPr>
        <w:pStyle w:val="2"/>
        <w:spacing w:line="364" w:lineRule="auto"/>
        <w:ind w:left="508" w:right="526" w:firstLine="480"/>
        <w:jc w:val="both"/>
      </w:pPr>
      <w:r>
        <w:t>乙方向甲方提交的履约保证金计（大写）</w:t>
      </w:r>
      <w:r>
        <w:rPr>
          <w:spacing w:val="-1"/>
        </w:rPr>
        <w:t>元转为质量保证金。质量保证金待约定的免</w:t>
      </w:r>
      <w:r>
        <w:rPr>
          <w:spacing w:val="-10"/>
        </w:rPr>
        <w:t>费质保期满</w:t>
      </w:r>
      <w:r>
        <w:t>（年</w:t>
      </w:r>
      <w:r>
        <w:rPr>
          <w:spacing w:val="-48"/>
        </w:rPr>
        <w:t>）</w:t>
      </w:r>
      <w:r>
        <w:rPr>
          <w:spacing w:val="-9"/>
        </w:rPr>
        <w:t>且产品无质量问题后，由乙方提出书面申请，甲方以转账方式予以退还。</w:t>
      </w:r>
      <w:r>
        <w:t>五、合同的变更、终止与转让</w:t>
      </w:r>
    </w:p>
    <w:p>
      <w:pPr>
        <w:pStyle w:val="13"/>
        <w:numPr>
          <w:ilvl w:val="0"/>
          <w:numId w:val="27"/>
        </w:numPr>
        <w:tabs>
          <w:tab w:val="left" w:pos="1193"/>
        </w:tabs>
        <w:spacing w:before="0" w:after="0" w:line="362" w:lineRule="auto"/>
        <w:ind w:left="508" w:right="521" w:firstLine="480"/>
        <w:jc w:val="left"/>
        <w:rPr>
          <w:sz w:val="24"/>
        </w:rPr>
      </w:pPr>
      <w:r>
        <w:rPr>
          <w:sz w:val="24"/>
        </w:rPr>
        <w:t>除《中华人民共和国政府采购法》第</w:t>
      </w:r>
      <w:r>
        <w:rPr>
          <w:rFonts w:ascii="Arial" w:eastAsia="Arial"/>
          <w:sz w:val="24"/>
        </w:rPr>
        <w:t>50</w:t>
      </w:r>
      <w:r>
        <w:rPr>
          <w:sz w:val="24"/>
        </w:rPr>
        <w:t>条规定的情形外，本合同一经签订，甲乙双方不得擅自变更、中止或终止。</w:t>
      </w:r>
    </w:p>
    <w:p>
      <w:pPr>
        <w:pStyle w:val="13"/>
        <w:numPr>
          <w:ilvl w:val="0"/>
          <w:numId w:val="27"/>
        </w:numPr>
        <w:tabs>
          <w:tab w:val="left" w:pos="1191"/>
        </w:tabs>
        <w:spacing w:before="2" w:after="0" w:line="362" w:lineRule="auto"/>
        <w:ind w:left="508" w:right="4936" w:firstLine="480"/>
        <w:jc w:val="left"/>
        <w:rPr>
          <w:sz w:val="24"/>
        </w:rPr>
      </w:pPr>
      <w:r>
        <w:rPr>
          <w:spacing w:val="-2"/>
          <w:sz w:val="24"/>
        </w:rPr>
        <w:t>乙方不得擅自转让其应履行的合同义务。</w:t>
      </w:r>
      <w:r>
        <w:rPr>
          <w:sz w:val="24"/>
        </w:rPr>
        <w:t>六、违约责任</w:t>
      </w:r>
    </w:p>
    <w:p>
      <w:pPr>
        <w:pStyle w:val="13"/>
        <w:numPr>
          <w:ilvl w:val="0"/>
          <w:numId w:val="28"/>
        </w:numPr>
        <w:tabs>
          <w:tab w:val="left" w:pos="1193"/>
        </w:tabs>
        <w:spacing w:before="5" w:after="0" w:line="364" w:lineRule="auto"/>
        <w:ind w:left="508" w:right="521" w:firstLine="480"/>
        <w:jc w:val="both"/>
        <w:rPr>
          <w:sz w:val="24"/>
        </w:rPr>
      </w:pPr>
      <w:r>
        <w:rPr>
          <w:sz w:val="24"/>
        </w:rPr>
        <w:t>乙方所提供的产品规格、技术标准、材料等质量不合格的，应及时更换；更换不及</w:t>
      </w:r>
      <w:r>
        <w:rPr>
          <w:spacing w:val="-1"/>
          <w:sz w:val="24"/>
        </w:rPr>
        <w:t>时的，按逾期交货处罚；因质量问题甲方不同意接收的，质保金全额扣除，并由乙方赔偿</w:t>
      </w:r>
      <w:r>
        <w:rPr>
          <w:sz w:val="24"/>
        </w:rPr>
        <w:t>由此引起的甲方的一切经济损失。</w:t>
      </w:r>
    </w:p>
    <w:p>
      <w:pPr>
        <w:pStyle w:val="13"/>
        <w:numPr>
          <w:ilvl w:val="0"/>
          <w:numId w:val="28"/>
        </w:numPr>
        <w:tabs>
          <w:tab w:val="left" w:pos="1193"/>
        </w:tabs>
        <w:spacing w:before="0" w:after="0" w:line="364" w:lineRule="auto"/>
        <w:ind w:left="508" w:right="521" w:firstLine="480"/>
        <w:jc w:val="left"/>
        <w:rPr>
          <w:sz w:val="24"/>
        </w:rPr>
      </w:pPr>
      <w:r>
        <w:rPr>
          <w:sz w:val="24"/>
        </w:rPr>
        <w:t>乙方提供的货物如侵犯了第三方权益而引发纠纷或诉讼的，均由乙方负责交涉并承担全部责任。</w:t>
      </w:r>
    </w:p>
    <w:p>
      <w:pPr>
        <w:pStyle w:val="13"/>
        <w:numPr>
          <w:ilvl w:val="0"/>
          <w:numId w:val="28"/>
        </w:numPr>
        <w:tabs>
          <w:tab w:val="left" w:pos="1191"/>
        </w:tabs>
        <w:spacing w:before="0" w:after="0" w:line="307" w:lineRule="exact"/>
        <w:ind w:left="1190" w:right="0" w:hanging="203"/>
        <w:jc w:val="left"/>
        <w:rPr>
          <w:sz w:val="24"/>
        </w:rPr>
      </w:pPr>
      <w:r>
        <w:rPr>
          <w:spacing w:val="-1"/>
          <w:sz w:val="24"/>
        </w:rPr>
        <w:t>因包装、运输引起的货物损坏，按质量不合格处罚。</w:t>
      </w:r>
    </w:p>
    <w:p>
      <w:pPr>
        <w:pStyle w:val="13"/>
        <w:numPr>
          <w:ilvl w:val="0"/>
          <w:numId w:val="28"/>
        </w:numPr>
        <w:tabs>
          <w:tab w:val="left" w:pos="1191"/>
        </w:tabs>
        <w:spacing w:before="157" w:after="0" w:line="364" w:lineRule="auto"/>
        <w:ind w:left="508" w:right="521" w:firstLine="480"/>
        <w:jc w:val="both"/>
        <w:rPr>
          <w:sz w:val="24"/>
        </w:rPr>
      </w:pPr>
      <w:r>
        <w:rPr>
          <w:spacing w:val="-4"/>
          <w:sz w:val="24"/>
        </w:rPr>
        <w:t>甲方无故延期接受货物和乙方逾期交货的，每天应向对方偿付未交货物的货款</w:t>
      </w:r>
      <w:r>
        <w:rPr>
          <w:rFonts w:ascii="Arial" w:hAnsi="Arial" w:eastAsia="Arial"/>
          <w:sz w:val="24"/>
        </w:rPr>
        <w:t>3‰</w:t>
      </w:r>
      <w:r>
        <w:rPr>
          <w:spacing w:val="-14"/>
          <w:sz w:val="24"/>
        </w:rPr>
        <w:t>的</w:t>
      </w:r>
      <w:r>
        <w:rPr>
          <w:spacing w:val="-4"/>
          <w:sz w:val="24"/>
        </w:rPr>
        <w:t>违约金，但违约金累计不得超过违约货款的</w:t>
      </w:r>
      <w:r>
        <w:rPr>
          <w:rFonts w:ascii="Arial" w:hAnsi="Arial" w:eastAsia="Arial"/>
          <w:spacing w:val="-7"/>
          <w:sz w:val="24"/>
        </w:rPr>
        <w:t>5%</w:t>
      </w:r>
      <w:r>
        <w:rPr>
          <w:spacing w:val="-6"/>
          <w:sz w:val="24"/>
        </w:rPr>
        <w:t>，超过天对方有权解除合同，违约方承担因</w:t>
      </w:r>
      <w:r>
        <w:rPr>
          <w:sz w:val="24"/>
        </w:rPr>
        <w:t>此给对方造成的经济损失。</w:t>
      </w:r>
    </w:p>
    <w:p>
      <w:pPr>
        <w:pStyle w:val="13"/>
        <w:numPr>
          <w:ilvl w:val="0"/>
          <w:numId w:val="28"/>
        </w:numPr>
        <w:tabs>
          <w:tab w:val="left" w:pos="1193"/>
        </w:tabs>
        <w:spacing w:before="0" w:after="0" w:line="362" w:lineRule="auto"/>
        <w:ind w:left="508" w:right="521" w:firstLine="480"/>
        <w:jc w:val="left"/>
        <w:rPr>
          <w:sz w:val="24"/>
        </w:rPr>
      </w:pPr>
      <w:r>
        <w:rPr>
          <w:sz w:val="24"/>
        </w:rPr>
        <w:t>乙方未按本合同和磋商响应文件中规定的服务承诺提供售后服务的，乙方应按本合同合计金额的</w:t>
      </w:r>
      <w:r>
        <w:rPr>
          <w:rFonts w:ascii="Arial" w:eastAsia="Arial"/>
          <w:sz w:val="24"/>
        </w:rPr>
        <w:t>5%</w:t>
      </w:r>
      <w:r>
        <w:rPr>
          <w:sz w:val="24"/>
        </w:rPr>
        <w:t>向甲方支付违约金。</w:t>
      </w:r>
    </w:p>
    <w:p>
      <w:pPr>
        <w:pStyle w:val="13"/>
        <w:numPr>
          <w:ilvl w:val="0"/>
          <w:numId w:val="28"/>
        </w:numPr>
        <w:tabs>
          <w:tab w:val="left" w:pos="1193"/>
        </w:tabs>
        <w:spacing w:before="5" w:after="0" w:line="364" w:lineRule="auto"/>
        <w:ind w:left="508" w:right="521" w:firstLine="480"/>
        <w:jc w:val="left"/>
        <w:rPr>
          <w:sz w:val="24"/>
        </w:rPr>
      </w:pPr>
      <w:r>
        <w:rPr>
          <w:sz w:val="24"/>
        </w:rPr>
        <w:t>乙方提供的货物在质量保证期内，因设计、工艺或材料的缺陷和其它质量原因造成的问题，由乙方负责，费用从履约保证金中扣除，不足另补。</w:t>
      </w:r>
    </w:p>
    <w:p>
      <w:pPr>
        <w:pStyle w:val="13"/>
        <w:numPr>
          <w:ilvl w:val="0"/>
          <w:numId w:val="28"/>
        </w:numPr>
        <w:tabs>
          <w:tab w:val="left" w:pos="1191"/>
        </w:tabs>
        <w:spacing w:before="0" w:after="0" w:line="362" w:lineRule="auto"/>
        <w:ind w:left="508" w:right="2908" w:firstLine="480"/>
        <w:jc w:val="left"/>
        <w:rPr>
          <w:sz w:val="24"/>
        </w:rPr>
      </w:pPr>
      <w:r>
        <w:rPr>
          <w:spacing w:val="-1"/>
          <w:sz w:val="24"/>
        </w:rPr>
        <w:t>其它违约行为按违约货款额</w:t>
      </w:r>
      <w:r>
        <w:rPr>
          <w:rFonts w:ascii="Arial" w:eastAsia="Arial"/>
          <w:sz w:val="24"/>
        </w:rPr>
        <w:t>5%</w:t>
      </w:r>
      <w:r>
        <w:rPr>
          <w:spacing w:val="-2"/>
          <w:sz w:val="24"/>
        </w:rPr>
        <w:t>收取违约金并赔偿经济损失。</w:t>
      </w:r>
      <w:r>
        <w:rPr>
          <w:sz w:val="24"/>
        </w:rPr>
        <w:t>七、不可抗力</w:t>
      </w:r>
    </w:p>
    <w:p>
      <w:pPr>
        <w:pStyle w:val="2"/>
        <w:spacing w:before="4" w:line="364" w:lineRule="auto"/>
        <w:ind w:left="508" w:right="452" w:firstLine="360"/>
      </w:pPr>
      <w:r>
        <w:t>不可抗力使合同的某些内容有变更必要的，双方应通过协商在天内达成进一步履行合同的协议，因不可抗力致使合同不能履行的，合同终止。</w:t>
      </w:r>
    </w:p>
    <w:p>
      <w:pPr>
        <w:spacing w:after="0" w:line="364" w:lineRule="auto"/>
        <w:sectPr>
          <w:pgSz w:w="11910" w:h="16840"/>
          <w:pgMar w:top="1180" w:right="720" w:bottom="1120" w:left="740" w:header="711" w:footer="923" w:gutter="0"/>
        </w:sectPr>
      </w:pPr>
    </w:p>
    <w:p>
      <w:pPr>
        <w:pStyle w:val="2"/>
        <w:spacing w:before="67" w:line="364" w:lineRule="auto"/>
        <w:ind w:left="508" w:right="6336"/>
      </w:pPr>
      <w:r>
        <w:t>八、知识产权：详见合同通用条款九、其他约定：</w:t>
      </w:r>
    </w:p>
    <w:p>
      <w:pPr>
        <w:pStyle w:val="2"/>
        <w:spacing w:line="307" w:lineRule="exact"/>
        <w:ind w:left="508"/>
      </w:pPr>
      <w:r>
        <w:t>十、合同争议解决</w:t>
      </w:r>
    </w:p>
    <w:p>
      <w:pPr>
        <w:pStyle w:val="13"/>
        <w:numPr>
          <w:ilvl w:val="0"/>
          <w:numId w:val="29"/>
        </w:numPr>
        <w:tabs>
          <w:tab w:val="left" w:pos="1071"/>
        </w:tabs>
        <w:spacing w:before="158" w:after="0" w:line="364" w:lineRule="auto"/>
        <w:ind w:left="508" w:right="525" w:firstLine="360"/>
        <w:jc w:val="left"/>
        <w:rPr>
          <w:sz w:val="24"/>
        </w:rPr>
      </w:pPr>
      <w:r>
        <w:rPr>
          <w:spacing w:val="-5"/>
          <w:sz w:val="24"/>
        </w:rPr>
        <w:t>因产品质量问题发生争议的，应邀请国家认可的质量检测机构进行鉴定。产品符合标</w:t>
      </w:r>
      <w:r>
        <w:rPr>
          <w:sz w:val="24"/>
        </w:rPr>
        <w:t>准的，鉴定费由甲方承担；产品不符合标准的，鉴定费由乙方承担。</w:t>
      </w:r>
    </w:p>
    <w:p>
      <w:pPr>
        <w:pStyle w:val="13"/>
        <w:numPr>
          <w:ilvl w:val="0"/>
          <w:numId w:val="29"/>
        </w:numPr>
        <w:tabs>
          <w:tab w:val="left" w:pos="1071"/>
        </w:tabs>
        <w:spacing w:before="0" w:after="0" w:line="364" w:lineRule="auto"/>
        <w:ind w:left="508" w:right="402" w:firstLine="360"/>
        <w:jc w:val="left"/>
        <w:rPr>
          <w:sz w:val="24"/>
        </w:rPr>
      </w:pPr>
      <w:r>
        <w:rPr>
          <w:spacing w:val="-3"/>
          <w:sz w:val="24"/>
        </w:rPr>
        <w:t>因履行本合同引起的或与本合同有关的争议，甲乙双方应首先通过友好协商解决，如</w:t>
      </w:r>
      <w:r>
        <w:rPr>
          <w:spacing w:val="-10"/>
          <w:sz w:val="24"/>
        </w:rPr>
        <w:t>果协商不能解决，可向</w:t>
      </w:r>
      <w:r>
        <w:rPr>
          <w:sz w:val="24"/>
          <w:u w:val="single"/>
        </w:rPr>
        <w:t>甲方</w:t>
      </w:r>
      <w:r>
        <w:rPr>
          <w:spacing w:val="-1"/>
          <w:sz w:val="24"/>
        </w:rPr>
        <w:t>所在地仲裁委员会申请仲裁或向甲方所在地人民法院提起诉讼。</w:t>
      </w:r>
    </w:p>
    <w:p>
      <w:pPr>
        <w:pStyle w:val="13"/>
        <w:numPr>
          <w:ilvl w:val="0"/>
          <w:numId w:val="29"/>
        </w:numPr>
        <w:tabs>
          <w:tab w:val="left" w:pos="1071"/>
        </w:tabs>
        <w:spacing w:before="0" w:after="0" w:line="364" w:lineRule="auto"/>
        <w:ind w:left="508" w:right="6256" w:firstLine="360"/>
        <w:jc w:val="left"/>
        <w:rPr>
          <w:sz w:val="24"/>
        </w:rPr>
      </w:pPr>
      <w:r>
        <w:rPr>
          <w:spacing w:val="-3"/>
          <w:sz w:val="24"/>
        </w:rPr>
        <w:t>诉讼期间，本合同继续履行。</w:t>
      </w:r>
      <w:r>
        <w:rPr>
          <w:sz w:val="24"/>
        </w:rPr>
        <w:t>十一、合同生效及其它：</w:t>
      </w:r>
    </w:p>
    <w:p>
      <w:pPr>
        <w:pStyle w:val="13"/>
        <w:numPr>
          <w:ilvl w:val="0"/>
          <w:numId w:val="30"/>
        </w:numPr>
        <w:tabs>
          <w:tab w:val="left" w:pos="1071"/>
        </w:tabs>
        <w:spacing w:before="0" w:after="0" w:line="307" w:lineRule="exact"/>
        <w:ind w:left="1070" w:right="0" w:hanging="203"/>
        <w:jc w:val="left"/>
        <w:rPr>
          <w:sz w:val="24"/>
        </w:rPr>
      </w:pPr>
      <w:r>
        <w:rPr>
          <w:sz w:val="24"/>
        </w:rPr>
        <w:t>本合同一式</w:t>
      </w:r>
      <w:r>
        <w:rPr>
          <w:sz w:val="24"/>
          <w:u w:val="thick"/>
        </w:rPr>
        <w:t>八</w:t>
      </w:r>
      <w:r>
        <w:rPr>
          <w:spacing w:val="-1"/>
          <w:sz w:val="24"/>
        </w:rPr>
        <w:t>份，经双方签字，并加盖公章即为生效。</w:t>
      </w:r>
    </w:p>
    <w:p>
      <w:pPr>
        <w:pStyle w:val="13"/>
        <w:numPr>
          <w:ilvl w:val="0"/>
          <w:numId w:val="30"/>
        </w:numPr>
        <w:tabs>
          <w:tab w:val="left" w:pos="1071"/>
        </w:tabs>
        <w:spacing w:before="158" w:after="0" w:line="240" w:lineRule="auto"/>
        <w:ind w:left="1070" w:right="0" w:hanging="203"/>
        <w:jc w:val="left"/>
        <w:rPr>
          <w:sz w:val="24"/>
        </w:rPr>
      </w:pPr>
      <w:r>
        <w:rPr>
          <w:spacing w:val="-1"/>
          <w:sz w:val="24"/>
        </w:rPr>
        <w:t>本合同未尽事宜，按经济合同法有关规定处理。</w:t>
      </w:r>
    </w:p>
    <w:p>
      <w:pPr>
        <w:pStyle w:val="13"/>
        <w:numPr>
          <w:ilvl w:val="0"/>
          <w:numId w:val="30"/>
        </w:numPr>
        <w:tabs>
          <w:tab w:val="left" w:pos="1071"/>
        </w:tabs>
        <w:spacing w:before="158" w:after="0" w:line="240" w:lineRule="auto"/>
        <w:ind w:left="1070" w:right="0" w:hanging="203"/>
        <w:jc w:val="left"/>
        <w:rPr>
          <w:sz w:val="24"/>
        </w:rPr>
      </w:pPr>
      <w:r>
        <w:rPr>
          <w:spacing w:val="-1"/>
          <w:sz w:val="24"/>
        </w:rPr>
        <w:t>本合同的组成包含《合同通用条款》。</w:t>
      </w:r>
    </w:p>
    <w:p>
      <w:pPr>
        <w:pStyle w:val="2"/>
        <w:rPr>
          <w:sz w:val="26"/>
        </w:rPr>
      </w:pPr>
    </w:p>
    <w:p>
      <w:pPr>
        <w:pStyle w:val="2"/>
        <w:spacing w:before="10"/>
        <w:rPr>
          <w:sz w:val="18"/>
        </w:rPr>
      </w:pPr>
    </w:p>
    <w:p>
      <w:pPr>
        <w:pStyle w:val="2"/>
        <w:tabs>
          <w:tab w:val="left" w:pos="6269"/>
        </w:tabs>
        <w:ind w:left="508"/>
      </w:pPr>
      <w:r>
        <w:t>甲方（盖章）：</w:t>
      </w:r>
      <w:r>
        <w:tab/>
      </w:r>
      <w:r>
        <w:t>乙方（盖章）：</w:t>
      </w:r>
    </w:p>
    <w:p>
      <w:pPr>
        <w:pStyle w:val="2"/>
        <w:tabs>
          <w:tab w:val="left" w:pos="6269"/>
        </w:tabs>
        <w:spacing w:before="160" w:line="364" w:lineRule="auto"/>
        <w:ind w:left="6269" w:right="1294" w:hanging="5762"/>
      </w:pPr>
      <w:r>
        <w:t>法定代表人或委托代理人：</w:t>
      </w:r>
      <w:r>
        <w:tab/>
      </w:r>
      <w:r>
        <w:t>法定代表人或委托代理人</w:t>
      </w:r>
      <w:r>
        <w:rPr>
          <w:spacing w:val="-17"/>
        </w:rPr>
        <w:t xml:space="preserve">： </w:t>
      </w:r>
      <w:r>
        <w:t>开户银行：</w:t>
      </w:r>
    </w:p>
    <w:p>
      <w:pPr>
        <w:spacing w:after="0" w:line="364" w:lineRule="auto"/>
        <w:sectPr>
          <w:pgSz w:w="11910" w:h="16840"/>
          <w:pgMar w:top="1180" w:right="720" w:bottom="1120" w:left="740" w:header="711" w:footer="923" w:gutter="0"/>
        </w:sectPr>
      </w:pPr>
    </w:p>
    <w:p>
      <w:pPr>
        <w:pStyle w:val="2"/>
        <w:spacing w:line="307" w:lineRule="exact"/>
        <w:ind w:left="508"/>
      </w:pPr>
      <w:r>
        <w:t>联系电话：账号：</w:t>
      </w:r>
    </w:p>
    <w:p>
      <w:pPr>
        <w:pStyle w:val="2"/>
      </w:pPr>
    </w:p>
    <w:p>
      <w:pPr>
        <w:pStyle w:val="2"/>
        <w:spacing w:before="11"/>
      </w:pPr>
    </w:p>
    <w:p>
      <w:pPr>
        <w:pStyle w:val="2"/>
        <w:tabs>
          <w:tab w:val="left" w:pos="1948"/>
          <w:tab w:val="left" w:pos="2428"/>
          <w:tab w:val="left" w:pos="2908"/>
        </w:tabs>
        <w:ind w:left="508"/>
      </w:pPr>
      <w:r>
        <w:t>签约时间：</w:t>
      </w:r>
      <w:r>
        <w:tab/>
      </w:r>
      <w:r>
        <w:t>年</w:t>
      </w:r>
      <w:r>
        <w:tab/>
      </w:r>
      <w:r>
        <w:t>月</w:t>
      </w:r>
      <w:r>
        <w:tab/>
      </w:r>
      <w:r>
        <w:t>日</w:t>
      </w:r>
    </w:p>
    <w:p>
      <w:pPr>
        <w:pStyle w:val="2"/>
      </w:pPr>
    </w:p>
    <w:p>
      <w:pPr>
        <w:pStyle w:val="2"/>
        <w:spacing w:before="10"/>
        <w:rPr>
          <w:sz w:val="20"/>
        </w:rPr>
      </w:pPr>
    </w:p>
    <w:p>
      <w:pPr>
        <w:pStyle w:val="2"/>
        <w:spacing w:line="364" w:lineRule="auto"/>
        <w:ind w:left="508" w:right="38"/>
      </w:pPr>
    </w:p>
    <w:p>
      <w:pPr>
        <w:pStyle w:val="2"/>
        <w:spacing w:line="364" w:lineRule="auto"/>
        <w:ind w:left="508" w:right="38"/>
      </w:pPr>
    </w:p>
    <w:p>
      <w:pPr>
        <w:pStyle w:val="2"/>
        <w:spacing w:line="364" w:lineRule="auto"/>
        <w:ind w:left="508" w:right="38"/>
        <w:rPr>
          <w:rFonts w:hint="eastAsia"/>
          <w:lang w:eastAsia="zh-CN"/>
        </w:rPr>
      </w:pPr>
      <w:r>
        <w:t>采购代理机构：</w:t>
      </w:r>
      <w:r>
        <w:rPr>
          <w:rFonts w:hint="eastAsia"/>
          <w:lang w:eastAsia="zh-CN"/>
        </w:rPr>
        <w:t>鸿利项目管理有限公司</w:t>
      </w:r>
    </w:p>
    <w:p>
      <w:pPr>
        <w:pStyle w:val="2"/>
        <w:spacing w:line="364" w:lineRule="auto"/>
        <w:ind w:left="508" w:right="38"/>
      </w:pPr>
      <w:r>
        <w:t>负责人或经办人：</w:t>
      </w:r>
    </w:p>
    <w:p>
      <w:pPr>
        <w:pStyle w:val="2"/>
        <w:tabs>
          <w:tab w:val="left" w:pos="1588"/>
          <w:tab w:val="left" w:pos="2068"/>
          <w:tab w:val="left" w:pos="2548"/>
        </w:tabs>
        <w:spacing w:line="306" w:lineRule="exact"/>
        <w:ind w:left="508"/>
      </w:pPr>
      <w:r>
        <w:t>时间：</w:t>
      </w:r>
      <w:r>
        <w:tab/>
      </w:r>
      <w:r>
        <w:t>年</w:t>
      </w:r>
      <w:r>
        <w:tab/>
      </w:r>
      <w:r>
        <w:t>月</w:t>
      </w:r>
      <w:r>
        <w:tab/>
      </w:r>
      <w:r>
        <w:t>日</w:t>
      </w:r>
    </w:p>
    <w:p>
      <w:pPr>
        <w:pStyle w:val="2"/>
      </w:pPr>
      <w:r>
        <w:br w:type="column"/>
      </w:r>
    </w:p>
    <w:p>
      <w:pPr>
        <w:pStyle w:val="2"/>
        <w:spacing w:before="160"/>
        <w:ind w:left="507"/>
      </w:pPr>
      <w:r>
        <w:t>联系电话：</w:t>
      </w:r>
    </w:p>
    <w:p>
      <w:pPr>
        <w:spacing w:after="0"/>
        <w:sectPr>
          <w:type w:val="continuous"/>
          <w:pgSz w:w="11910" w:h="16840"/>
          <w:pgMar w:top="1580" w:right="720" w:bottom="280" w:left="740" w:header="720" w:footer="720" w:gutter="0"/>
          <w:cols w:equalWidth="0" w:num="2">
            <w:col w:w="5109" w:space="652"/>
            <w:col w:w="4689"/>
          </w:cols>
        </w:sectPr>
      </w:pPr>
    </w:p>
    <w:p>
      <w:pPr>
        <w:spacing w:before="67"/>
        <w:ind w:left="397" w:right="411" w:firstLine="0"/>
        <w:jc w:val="center"/>
        <w:rPr>
          <w:b/>
          <w:sz w:val="24"/>
        </w:rPr>
      </w:pPr>
      <w:r>
        <w:rPr>
          <w:b/>
          <w:sz w:val="24"/>
        </w:rPr>
        <w:t>合同通用条款</w:t>
      </w:r>
    </w:p>
    <w:p>
      <w:pPr>
        <w:pStyle w:val="2"/>
        <w:spacing w:before="158" w:line="364" w:lineRule="auto"/>
        <w:ind w:left="508" w:right="524" w:firstLine="480"/>
        <w:jc w:val="both"/>
      </w:pPr>
      <w:r>
        <w:t>根据《中华人民共和国合同法》、《中华人民共和国政府采购法》的规定，合同双方经协商达成一致，自愿订立本合同，遵循公平原则明确双方的权利、义务，确保双方诚实守信地履行合同。</w:t>
      </w:r>
    </w:p>
    <w:p>
      <w:pPr>
        <w:pStyle w:val="13"/>
        <w:numPr>
          <w:ilvl w:val="0"/>
          <w:numId w:val="31"/>
        </w:numPr>
        <w:tabs>
          <w:tab w:val="left" w:pos="711"/>
        </w:tabs>
        <w:spacing w:before="0" w:after="0" w:line="307" w:lineRule="exact"/>
        <w:ind w:left="710" w:right="0" w:hanging="203"/>
        <w:jc w:val="left"/>
        <w:rPr>
          <w:b/>
          <w:sz w:val="24"/>
        </w:rPr>
      </w:pPr>
      <w:r>
        <w:rPr>
          <w:b/>
          <w:sz w:val="24"/>
        </w:rPr>
        <w:t>定义</w:t>
      </w:r>
    </w:p>
    <w:p>
      <w:pPr>
        <w:pStyle w:val="2"/>
        <w:spacing w:before="159"/>
        <w:ind w:left="988"/>
      </w:pPr>
      <w:r>
        <w:t>本合同中的下列术语应解释为：</w:t>
      </w:r>
    </w:p>
    <w:p>
      <w:pPr>
        <w:pStyle w:val="13"/>
        <w:numPr>
          <w:ilvl w:val="1"/>
          <w:numId w:val="31"/>
        </w:numPr>
        <w:tabs>
          <w:tab w:val="left" w:pos="1385"/>
        </w:tabs>
        <w:spacing w:before="160" w:after="0" w:line="362" w:lineRule="auto"/>
        <w:ind w:left="508" w:right="523" w:firstLine="480"/>
        <w:jc w:val="left"/>
        <w:rPr>
          <w:sz w:val="24"/>
        </w:rPr>
      </w:pPr>
      <w:r>
        <w:rPr>
          <w:rFonts w:ascii="Arial" w:hAnsi="Arial" w:eastAsia="Arial"/>
          <w:sz w:val="24"/>
        </w:rPr>
        <w:t>“</w:t>
      </w:r>
      <w:r>
        <w:rPr>
          <w:sz w:val="24"/>
        </w:rPr>
        <w:t>合同</w:t>
      </w:r>
      <w:r>
        <w:rPr>
          <w:rFonts w:ascii="Arial" w:hAnsi="Arial" w:eastAsia="Arial"/>
          <w:sz w:val="24"/>
        </w:rPr>
        <w:t>”</w:t>
      </w:r>
      <w:r>
        <w:rPr>
          <w:spacing w:val="-4"/>
          <w:sz w:val="24"/>
        </w:rPr>
        <w:t>指甲乙双方签署的、载明的甲乙双方权利义务的协议，包括所有的附件、附</w:t>
      </w:r>
      <w:r>
        <w:rPr>
          <w:sz w:val="24"/>
        </w:rPr>
        <w:t>录和上述文件所提到的构成合同的所有文件。</w:t>
      </w:r>
    </w:p>
    <w:p>
      <w:pPr>
        <w:pStyle w:val="13"/>
        <w:numPr>
          <w:ilvl w:val="1"/>
          <w:numId w:val="31"/>
        </w:numPr>
        <w:tabs>
          <w:tab w:val="left" w:pos="1385"/>
        </w:tabs>
        <w:spacing w:before="5" w:after="0" w:line="364" w:lineRule="auto"/>
        <w:ind w:left="508" w:right="523" w:firstLine="480"/>
        <w:jc w:val="left"/>
        <w:rPr>
          <w:sz w:val="24"/>
        </w:rPr>
      </w:pPr>
      <w:r>
        <w:rPr>
          <w:rFonts w:ascii="Arial" w:hAnsi="Arial" w:eastAsia="Arial"/>
          <w:sz w:val="24"/>
        </w:rPr>
        <w:t>“</w:t>
      </w:r>
      <w:r>
        <w:rPr>
          <w:sz w:val="24"/>
        </w:rPr>
        <w:t>合同金额</w:t>
      </w:r>
      <w:r>
        <w:rPr>
          <w:rFonts w:ascii="Arial" w:hAnsi="Arial" w:eastAsia="Arial"/>
          <w:sz w:val="24"/>
        </w:rPr>
        <w:t>”</w:t>
      </w:r>
      <w:r>
        <w:rPr>
          <w:spacing w:val="-4"/>
          <w:sz w:val="24"/>
        </w:rPr>
        <w:t>指根据合同规定，乙方在正确地完全履行合同义务后甲方应付给乙方的</w:t>
      </w:r>
      <w:r>
        <w:rPr>
          <w:sz w:val="24"/>
        </w:rPr>
        <w:t>价款。</w:t>
      </w:r>
    </w:p>
    <w:p>
      <w:pPr>
        <w:pStyle w:val="13"/>
        <w:numPr>
          <w:ilvl w:val="1"/>
          <w:numId w:val="31"/>
        </w:numPr>
        <w:tabs>
          <w:tab w:val="left" w:pos="1392"/>
        </w:tabs>
        <w:spacing w:before="0" w:after="0" w:line="307" w:lineRule="exact"/>
        <w:ind w:left="1391" w:right="0" w:hanging="404"/>
        <w:jc w:val="left"/>
        <w:rPr>
          <w:sz w:val="24"/>
        </w:rPr>
      </w:pPr>
      <w:r>
        <w:rPr>
          <w:rFonts w:ascii="Arial" w:hAnsi="Arial" w:eastAsia="Arial"/>
          <w:sz w:val="24"/>
        </w:rPr>
        <w:t>“</w:t>
      </w:r>
      <w:r>
        <w:rPr>
          <w:sz w:val="24"/>
        </w:rPr>
        <w:t>合同条款</w:t>
      </w:r>
      <w:r>
        <w:rPr>
          <w:rFonts w:ascii="Arial" w:hAnsi="Arial" w:eastAsia="Arial"/>
          <w:sz w:val="24"/>
        </w:rPr>
        <w:t>”</w:t>
      </w:r>
      <w:r>
        <w:rPr>
          <w:spacing w:val="-1"/>
          <w:sz w:val="24"/>
        </w:rPr>
        <w:t>指本合同条款。</w:t>
      </w:r>
    </w:p>
    <w:p>
      <w:pPr>
        <w:pStyle w:val="13"/>
        <w:numPr>
          <w:ilvl w:val="1"/>
          <w:numId w:val="31"/>
        </w:numPr>
        <w:tabs>
          <w:tab w:val="left" w:pos="1385"/>
        </w:tabs>
        <w:spacing w:before="158" w:after="0" w:line="364" w:lineRule="auto"/>
        <w:ind w:left="508" w:right="520" w:firstLine="480"/>
        <w:jc w:val="left"/>
        <w:rPr>
          <w:sz w:val="24"/>
        </w:rPr>
      </w:pPr>
      <w:r>
        <w:rPr>
          <w:rFonts w:ascii="Arial" w:hAnsi="Arial" w:eastAsia="Arial"/>
          <w:sz w:val="24"/>
        </w:rPr>
        <w:t>“</w:t>
      </w:r>
      <w:r>
        <w:rPr>
          <w:sz w:val="24"/>
        </w:rPr>
        <w:t>货物</w:t>
      </w:r>
      <w:r>
        <w:rPr>
          <w:rFonts w:ascii="Arial" w:hAnsi="Arial" w:eastAsia="Arial"/>
          <w:sz w:val="24"/>
        </w:rPr>
        <w:t>”</w:t>
      </w:r>
      <w:r>
        <w:rPr>
          <w:spacing w:val="-13"/>
          <w:sz w:val="24"/>
        </w:rPr>
        <w:t xml:space="preserve">指乙方根据合同约定须向甲方提供的一切产品、设备、机械、仪表、备件等， </w:t>
      </w:r>
      <w:r>
        <w:rPr>
          <w:sz w:val="24"/>
        </w:rPr>
        <w:t>包括辅助工具、使用手册等相关资料。</w:t>
      </w:r>
    </w:p>
    <w:p>
      <w:pPr>
        <w:pStyle w:val="13"/>
        <w:numPr>
          <w:ilvl w:val="1"/>
          <w:numId w:val="31"/>
        </w:numPr>
        <w:tabs>
          <w:tab w:val="left" w:pos="1445"/>
        </w:tabs>
        <w:spacing w:before="0" w:after="0" w:line="364" w:lineRule="auto"/>
        <w:ind w:left="508" w:right="411" w:firstLine="480"/>
        <w:jc w:val="left"/>
        <w:rPr>
          <w:sz w:val="24"/>
        </w:rPr>
      </w:pPr>
      <w:r>
        <w:rPr>
          <w:rFonts w:ascii="Arial" w:hAnsi="Arial" w:eastAsia="Arial"/>
          <w:sz w:val="24"/>
        </w:rPr>
        <w:t>“</w:t>
      </w:r>
      <w:r>
        <w:rPr>
          <w:sz w:val="24"/>
        </w:rPr>
        <w:t>服务</w:t>
      </w:r>
      <w:r>
        <w:rPr>
          <w:rFonts w:ascii="Arial" w:hAnsi="Arial" w:eastAsia="Arial"/>
          <w:sz w:val="24"/>
        </w:rPr>
        <w:t>”</w:t>
      </w:r>
      <w:r>
        <w:rPr>
          <w:spacing w:val="-1"/>
          <w:sz w:val="24"/>
        </w:rPr>
        <w:t>指根据本合同规定乙方承担与供货有关的辅助服务，如运输、保险及安装、</w:t>
      </w:r>
      <w:r>
        <w:rPr>
          <w:sz w:val="24"/>
        </w:rPr>
        <w:t>调试、提供技术援助、培训和合同中规定乙方应承担的其它义务。</w:t>
      </w:r>
    </w:p>
    <w:p>
      <w:pPr>
        <w:pStyle w:val="13"/>
        <w:numPr>
          <w:ilvl w:val="1"/>
          <w:numId w:val="31"/>
        </w:numPr>
        <w:tabs>
          <w:tab w:val="left" w:pos="1392"/>
        </w:tabs>
        <w:spacing w:before="0" w:after="0" w:line="240" w:lineRule="auto"/>
        <w:ind w:left="1391" w:right="0" w:hanging="404"/>
        <w:jc w:val="left"/>
        <w:rPr>
          <w:sz w:val="24"/>
        </w:rPr>
      </w:pPr>
      <w:r>
        <w:rPr>
          <w:rFonts w:ascii="Arial" w:hAnsi="Arial" w:eastAsia="Arial"/>
          <w:sz w:val="24"/>
        </w:rPr>
        <w:t>“</w:t>
      </w:r>
      <w:r>
        <w:rPr>
          <w:sz w:val="24"/>
        </w:rPr>
        <w:t>甲方</w:t>
      </w:r>
      <w:r>
        <w:rPr>
          <w:rFonts w:ascii="Arial" w:hAnsi="Arial" w:eastAsia="Arial"/>
          <w:sz w:val="24"/>
        </w:rPr>
        <w:t>”</w:t>
      </w:r>
      <w:r>
        <w:rPr>
          <w:spacing w:val="-1"/>
          <w:sz w:val="24"/>
        </w:rPr>
        <w:t>指购买货物和服务的单位。</w:t>
      </w:r>
    </w:p>
    <w:p>
      <w:pPr>
        <w:pStyle w:val="13"/>
        <w:numPr>
          <w:ilvl w:val="1"/>
          <w:numId w:val="31"/>
        </w:numPr>
        <w:tabs>
          <w:tab w:val="left" w:pos="1392"/>
        </w:tabs>
        <w:spacing w:before="158" w:after="0" w:line="240" w:lineRule="auto"/>
        <w:ind w:left="1391" w:right="0" w:hanging="404"/>
        <w:jc w:val="left"/>
        <w:rPr>
          <w:sz w:val="24"/>
        </w:rPr>
      </w:pPr>
      <w:r>
        <w:rPr>
          <w:rFonts w:ascii="Arial" w:hAnsi="Arial" w:eastAsia="Arial"/>
          <w:sz w:val="24"/>
        </w:rPr>
        <w:t>“</w:t>
      </w:r>
      <w:r>
        <w:rPr>
          <w:sz w:val="24"/>
        </w:rPr>
        <w:t>乙方</w:t>
      </w:r>
      <w:r>
        <w:rPr>
          <w:rFonts w:ascii="Arial" w:hAnsi="Arial" w:eastAsia="Arial"/>
          <w:sz w:val="24"/>
        </w:rPr>
        <w:t>”</w:t>
      </w:r>
      <w:r>
        <w:rPr>
          <w:spacing w:val="-1"/>
          <w:sz w:val="24"/>
        </w:rPr>
        <w:t>指提供本合同条款下货物和服务的公司或其他实体。</w:t>
      </w:r>
    </w:p>
    <w:p>
      <w:pPr>
        <w:pStyle w:val="13"/>
        <w:numPr>
          <w:ilvl w:val="1"/>
          <w:numId w:val="31"/>
        </w:numPr>
        <w:tabs>
          <w:tab w:val="left" w:pos="1392"/>
        </w:tabs>
        <w:spacing w:before="161" w:after="0" w:line="240" w:lineRule="auto"/>
        <w:ind w:left="1391" w:right="0" w:hanging="404"/>
        <w:jc w:val="left"/>
        <w:rPr>
          <w:sz w:val="24"/>
        </w:rPr>
      </w:pPr>
      <w:r>
        <w:rPr>
          <w:rFonts w:ascii="Arial" w:hAnsi="Arial" w:eastAsia="Arial"/>
          <w:sz w:val="24"/>
        </w:rPr>
        <w:t>“</w:t>
      </w:r>
      <w:r>
        <w:rPr>
          <w:sz w:val="24"/>
        </w:rPr>
        <w:t>现场</w:t>
      </w:r>
      <w:r>
        <w:rPr>
          <w:rFonts w:ascii="Arial" w:hAnsi="Arial" w:eastAsia="Arial"/>
          <w:sz w:val="24"/>
        </w:rPr>
        <w:t>”</w:t>
      </w:r>
      <w:r>
        <w:rPr>
          <w:spacing w:val="-1"/>
          <w:sz w:val="24"/>
        </w:rPr>
        <w:t>指合同规定货物将要运至和安装的地点。</w:t>
      </w:r>
    </w:p>
    <w:p>
      <w:pPr>
        <w:pStyle w:val="13"/>
        <w:numPr>
          <w:ilvl w:val="1"/>
          <w:numId w:val="31"/>
        </w:numPr>
        <w:tabs>
          <w:tab w:val="left" w:pos="1385"/>
        </w:tabs>
        <w:spacing w:before="158" w:after="0" w:line="364" w:lineRule="auto"/>
        <w:ind w:left="508" w:right="523" w:firstLine="480"/>
        <w:jc w:val="left"/>
        <w:rPr>
          <w:sz w:val="24"/>
        </w:rPr>
      </w:pPr>
      <w:r>
        <w:rPr>
          <w:rFonts w:ascii="Arial" w:hAnsi="Arial" w:eastAsia="Arial"/>
          <w:sz w:val="24"/>
        </w:rPr>
        <w:t>“</w:t>
      </w:r>
      <w:r>
        <w:rPr>
          <w:sz w:val="24"/>
        </w:rPr>
        <w:t>验收</w:t>
      </w:r>
      <w:r>
        <w:rPr>
          <w:rFonts w:ascii="Arial" w:hAnsi="Arial" w:eastAsia="Arial"/>
          <w:sz w:val="24"/>
        </w:rPr>
        <w:t>”</w:t>
      </w:r>
      <w:r>
        <w:rPr>
          <w:spacing w:val="-2"/>
          <w:sz w:val="24"/>
        </w:rPr>
        <w:t>指合同双方依据强制性的国家技术质量规范和合同约定，确认合同条款下的</w:t>
      </w:r>
      <w:r>
        <w:rPr>
          <w:sz w:val="24"/>
        </w:rPr>
        <w:t>货物符合合同规定的活动。</w:t>
      </w:r>
    </w:p>
    <w:p>
      <w:pPr>
        <w:pStyle w:val="13"/>
        <w:numPr>
          <w:ilvl w:val="1"/>
          <w:numId w:val="31"/>
        </w:numPr>
        <w:tabs>
          <w:tab w:val="left" w:pos="1579"/>
        </w:tabs>
        <w:spacing w:before="0" w:after="0" w:line="364" w:lineRule="auto"/>
        <w:ind w:left="508" w:right="403" w:firstLine="480"/>
        <w:jc w:val="left"/>
        <w:rPr>
          <w:sz w:val="24"/>
        </w:rPr>
      </w:pPr>
      <w:r>
        <w:rPr>
          <w:spacing w:val="-14"/>
          <w:sz w:val="24"/>
        </w:rPr>
        <w:t xml:space="preserve">原厂商：产品制造商或其在中国境内设立的办事或技术服务机构。除另有说明外， </w:t>
      </w:r>
      <w:r>
        <w:rPr>
          <w:sz w:val="24"/>
        </w:rPr>
        <w:t>本合同文件所述的制造商、产品制造商、制造厂家、产品制造厂家均为原厂商。</w:t>
      </w:r>
    </w:p>
    <w:p>
      <w:pPr>
        <w:pStyle w:val="13"/>
        <w:numPr>
          <w:ilvl w:val="1"/>
          <w:numId w:val="31"/>
        </w:numPr>
        <w:tabs>
          <w:tab w:val="left" w:pos="1579"/>
        </w:tabs>
        <w:spacing w:before="0" w:after="0" w:line="306" w:lineRule="exact"/>
        <w:ind w:left="1578" w:right="0" w:hanging="591"/>
        <w:jc w:val="left"/>
        <w:rPr>
          <w:sz w:val="24"/>
        </w:rPr>
      </w:pPr>
      <w:r>
        <w:rPr>
          <w:spacing w:val="-1"/>
          <w:sz w:val="24"/>
        </w:rPr>
        <w:t>原产地：指产品的生产地，或提供服务的来源地。</w:t>
      </w:r>
    </w:p>
    <w:p>
      <w:pPr>
        <w:pStyle w:val="13"/>
        <w:numPr>
          <w:ilvl w:val="1"/>
          <w:numId w:val="31"/>
        </w:numPr>
        <w:tabs>
          <w:tab w:val="left" w:pos="1524"/>
        </w:tabs>
        <w:spacing w:before="160" w:after="0" w:line="240" w:lineRule="auto"/>
        <w:ind w:left="1523" w:right="0" w:hanging="536"/>
        <w:jc w:val="left"/>
        <w:rPr>
          <w:sz w:val="24"/>
        </w:rPr>
      </w:pPr>
      <w:r>
        <w:rPr>
          <w:rFonts w:ascii="Arial" w:hAnsi="Arial" w:eastAsia="Arial"/>
          <w:sz w:val="24"/>
        </w:rPr>
        <w:t>“</w:t>
      </w:r>
      <w:r>
        <w:rPr>
          <w:sz w:val="24"/>
        </w:rPr>
        <w:t>工作日</w:t>
      </w:r>
      <w:r>
        <w:rPr>
          <w:rFonts w:ascii="Arial" w:hAnsi="Arial" w:eastAsia="Arial"/>
          <w:sz w:val="24"/>
        </w:rPr>
        <w:t>”</w:t>
      </w:r>
      <w:r>
        <w:rPr>
          <w:sz w:val="24"/>
        </w:rPr>
        <w:t>指国家法定工作日，</w:t>
      </w:r>
      <w:r>
        <w:rPr>
          <w:rFonts w:ascii="Arial" w:hAnsi="Arial" w:eastAsia="Arial"/>
          <w:sz w:val="24"/>
        </w:rPr>
        <w:t>“</w:t>
      </w:r>
      <w:r>
        <w:rPr>
          <w:sz w:val="24"/>
        </w:rPr>
        <w:t>天</w:t>
      </w:r>
      <w:r>
        <w:rPr>
          <w:rFonts w:ascii="Arial" w:hAnsi="Arial" w:eastAsia="Arial"/>
          <w:sz w:val="24"/>
        </w:rPr>
        <w:t>”</w:t>
      </w:r>
      <w:r>
        <w:rPr>
          <w:sz w:val="24"/>
        </w:rPr>
        <w:t>指日历天数。</w:t>
      </w:r>
    </w:p>
    <w:p>
      <w:pPr>
        <w:pStyle w:val="13"/>
        <w:numPr>
          <w:ilvl w:val="0"/>
          <w:numId w:val="31"/>
        </w:numPr>
        <w:tabs>
          <w:tab w:val="left" w:pos="711"/>
        </w:tabs>
        <w:spacing w:before="158" w:after="0" w:line="240" w:lineRule="auto"/>
        <w:ind w:left="710" w:right="0" w:hanging="203"/>
        <w:jc w:val="left"/>
        <w:rPr>
          <w:b/>
          <w:sz w:val="24"/>
        </w:rPr>
      </w:pPr>
      <w:r>
        <w:rPr>
          <w:b/>
          <w:sz w:val="24"/>
        </w:rPr>
        <w:t>技术规格要求</w:t>
      </w:r>
    </w:p>
    <w:p>
      <w:pPr>
        <w:pStyle w:val="13"/>
        <w:numPr>
          <w:ilvl w:val="1"/>
          <w:numId w:val="31"/>
        </w:numPr>
        <w:tabs>
          <w:tab w:val="left" w:pos="1447"/>
        </w:tabs>
        <w:spacing w:before="160" w:after="0" w:line="364" w:lineRule="auto"/>
        <w:ind w:left="508" w:right="524" w:firstLine="480"/>
        <w:jc w:val="both"/>
        <w:rPr>
          <w:sz w:val="24"/>
        </w:rPr>
      </w:pPr>
      <w:r>
        <w:rPr>
          <w:sz w:val="24"/>
        </w:rPr>
        <w:t>本合同条款下提交货物的技术规格要求应等于或优于招磋商响应文件技术规格要</w:t>
      </w:r>
      <w:r>
        <w:rPr>
          <w:spacing w:val="-1"/>
          <w:sz w:val="24"/>
        </w:rPr>
        <w:t>求。若技术规格要求中无相应规定，则应符合相应的国家有关部门最新颁布的相应正式标</w:t>
      </w:r>
      <w:r>
        <w:rPr>
          <w:sz w:val="24"/>
        </w:rPr>
        <w:t>准。</w:t>
      </w:r>
    </w:p>
    <w:p>
      <w:pPr>
        <w:pStyle w:val="13"/>
        <w:numPr>
          <w:ilvl w:val="1"/>
          <w:numId w:val="31"/>
        </w:numPr>
        <w:tabs>
          <w:tab w:val="left" w:pos="1445"/>
        </w:tabs>
        <w:spacing w:before="0" w:after="0" w:line="306" w:lineRule="exact"/>
        <w:ind w:left="1444" w:right="0" w:hanging="457"/>
        <w:jc w:val="left"/>
        <w:rPr>
          <w:sz w:val="24"/>
        </w:rPr>
      </w:pPr>
      <w:r>
        <w:rPr>
          <w:spacing w:val="-1"/>
          <w:sz w:val="24"/>
        </w:rPr>
        <w:t>乙方应向甲方提供货物及服务有关的标准的中文文本。</w:t>
      </w:r>
    </w:p>
    <w:p>
      <w:pPr>
        <w:pStyle w:val="13"/>
        <w:numPr>
          <w:ilvl w:val="1"/>
          <w:numId w:val="31"/>
        </w:numPr>
        <w:tabs>
          <w:tab w:val="left" w:pos="1445"/>
        </w:tabs>
        <w:spacing w:before="160" w:after="0" w:line="240" w:lineRule="auto"/>
        <w:ind w:left="1444" w:right="0" w:hanging="457"/>
        <w:jc w:val="left"/>
        <w:rPr>
          <w:sz w:val="24"/>
        </w:rPr>
      </w:pPr>
      <w:r>
        <w:rPr>
          <w:spacing w:val="-1"/>
          <w:sz w:val="24"/>
        </w:rPr>
        <w:t>除非技术规范中另有规定，计量单位均采用中华人民共和国法定计量单位。</w:t>
      </w:r>
    </w:p>
    <w:p>
      <w:pPr>
        <w:pStyle w:val="13"/>
        <w:numPr>
          <w:ilvl w:val="0"/>
          <w:numId w:val="31"/>
        </w:numPr>
        <w:tabs>
          <w:tab w:val="left" w:pos="711"/>
        </w:tabs>
        <w:spacing w:before="161" w:after="0" w:line="240" w:lineRule="auto"/>
        <w:ind w:left="710" w:right="0" w:hanging="203"/>
        <w:jc w:val="left"/>
        <w:rPr>
          <w:b/>
          <w:sz w:val="24"/>
        </w:rPr>
      </w:pPr>
      <w:r>
        <w:rPr>
          <w:b/>
          <w:sz w:val="24"/>
        </w:rPr>
        <w:t>合同范围</w:t>
      </w:r>
    </w:p>
    <w:p>
      <w:pPr>
        <w:spacing w:after="0" w:line="240" w:lineRule="auto"/>
        <w:jc w:val="left"/>
        <w:rPr>
          <w:sz w:val="24"/>
        </w:rPr>
        <w:sectPr>
          <w:pgSz w:w="11910" w:h="16840"/>
          <w:pgMar w:top="1180" w:right="720" w:bottom="1120" w:left="740" w:header="711" w:footer="923" w:gutter="0"/>
        </w:sectPr>
      </w:pPr>
    </w:p>
    <w:p>
      <w:pPr>
        <w:pStyle w:val="13"/>
        <w:numPr>
          <w:ilvl w:val="1"/>
          <w:numId w:val="31"/>
        </w:numPr>
        <w:tabs>
          <w:tab w:val="left" w:pos="1445"/>
        </w:tabs>
        <w:spacing w:before="67" w:after="0" w:line="364" w:lineRule="auto"/>
        <w:ind w:left="508" w:right="403" w:firstLine="480"/>
        <w:jc w:val="left"/>
        <w:rPr>
          <w:sz w:val="24"/>
        </w:rPr>
      </w:pPr>
      <w:r>
        <w:rPr>
          <w:spacing w:val="-4"/>
          <w:sz w:val="24"/>
        </w:rPr>
        <w:t>甲方同意从乙方处购买且乙方同意向甲方提供的货物及其附属货物，消耗性材料、</w:t>
      </w:r>
      <w:r>
        <w:rPr>
          <w:spacing w:val="-13"/>
          <w:sz w:val="24"/>
        </w:rPr>
        <w:t>专用工具等，包括各项技术服务、技术培训及满足合同货物组装、检验、培训、技术服务、安装调试指导、性能测试、正常运行及维修所必需的技术文件。</w:t>
      </w:r>
    </w:p>
    <w:p>
      <w:pPr>
        <w:pStyle w:val="13"/>
        <w:numPr>
          <w:ilvl w:val="1"/>
          <w:numId w:val="31"/>
        </w:numPr>
        <w:tabs>
          <w:tab w:val="left" w:pos="1445"/>
        </w:tabs>
        <w:spacing w:before="0" w:after="0" w:line="305" w:lineRule="exact"/>
        <w:ind w:left="1444" w:right="0" w:hanging="457"/>
        <w:jc w:val="left"/>
        <w:rPr>
          <w:sz w:val="24"/>
        </w:rPr>
      </w:pPr>
      <w:r>
        <w:rPr>
          <w:spacing w:val="-1"/>
          <w:sz w:val="24"/>
        </w:rPr>
        <w:t>乙方应负责培训甲方的技术人员。</w:t>
      </w:r>
    </w:p>
    <w:p>
      <w:pPr>
        <w:pStyle w:val="13"/>
        <w:numPr>
          <w:ilvl w:val="1"/>
          <w:numId w:val="31"/>
        </w:numPr>
        <w:tabs>
          <w:tab w:val="left" w:pos="1447"/>
        </w:tabs>
        <w:spacing w:before="160" w:after="0" w:line="364" w:lineRule="auto"/>
        <w:ind w:left="508" w:right="524" w:firstLine="480"/>
        <w:jc w:val="both"/>
        <w:rPr>
          <w:sz w:val="24"/>
        </w:rPr>
      </w:pPr>
      <w:r>
        <w:rPr>
          <w:sz w:val="24"/>
        </w:rPr>
        <w:t>按照甲方的要求，乙方应在合同规定的质量保证期和免费保修期内，免费负责修</w:t>
      </w:r>
      <w:r>
        <w:rPr>
          <w:spacing w:val="-1"/>
          <w:sz w:val="24"/>
        </w:rPr>
        <w:t>理或更换有缺陷的零部件或整机，对软件产品进行免费升级，同时在合同规定的质量保证期和免费保修期满后，以最优惠的价格，向买方提供合同货物大修和维护所需的配件及服</w:t>
      </w:r>
      <w:r>
        <w:rPr>
          <w:sz w:val="24"/>
        </w:rPr>
        <w:t>务。</w:t>
      </w:r>
    </w:p>
    <w:p>
      <w:pPr>
        <w:pStyle w:val="13"/>
        <w:numPr>
          <w:ilvl w:val="0"/>
          <w:numId w:val="31"/>
        </w:numPr>
        <w:tabs>
          <w:tab w:val="left" w:pos="711"/>
        </w:tabs>
        <w:spacing w:before="0" w:after="0" w:line="305" w:lineRule="exact"/>
        <w:ind w:left="710" w:right="0" w:hanging="203"/>
        <w:jc w:val="left"/>
        <w:rPr>
          <w:b/>
          <w:sz w:val="24"/>
        </w:rPr>
      </w:pPr>
      <w:r>
        <w:rPr>
          <w:b/>
          <w:sz w:val="24"/>
        </w:rPr>
        <w:t>合同文件和资料</w:t>
      </w:r>
    </w:p>
    <w:p>
      <w:pPr>
        <w:pStyle w:val="13"/>
        <w:numPr>
          <w:ilvl w:val="1"/>
          <w:numId w:val="31"/>
        </w:numPr>
        <w:tabs>
          <w:tab w:val="left" w:pos="1447"/>
        </w:tabs>
        <w:spacing w:before="159" w:after="0" w:line="364" w:lineRule="auto"/>
        <w:ind w:left="508" w:right="532" w:firstLine="480"/>
        <w:jc w:val="both"/>
        <w:rPr>
          <w:sz w:val="24"/>
        </w:rPr>
      </w:pPr>
      <w:r>
        <w:rPr>
          <w:spacing w:val="-1"/>
          <w:sz w:val="24"/>
        </w:rPr>
        <w:t>乙方在提供仪器设备时应同时提供中文版相关的技术资料，如目录索引、图纸、</w:t>
      </w:r>
      <w:r>
        <w:rPr>
          <w:sz w:val="24"/>
        </w:rPr>
        <w:t>操作手册、使用指南、维修指南、服务手册等。</w:t>
      </w:r>
    </w:p>
    <w:p>
      <w:pPr>
        <w:pStyle w:val="13"/>
        <w:numPr>
          <w:ilvl w:val="1"/>
          <w:numId w:val="31"/>
        </w:numPr>
        <w:tabs>
          <w:tab w:val="left" w:pos="1447"/>
        </w:tabs>
        <w:spacing w:before="0" w:after="0" w:line="364" w:lineRule="auto"/>
        <w:ind w:left="508" w:right="524" w:firstLine="480"/>
        <w:jc w:val="both"/>
        <w:rPr>
          <w:sz w:val="24"/>
        </w:rPr>
      </w:pPr>
      <w:r>
        <w:rPr>
          <w:sz w:val="24"/>
        </w:rPr>
        <w:t>未经甲方事先的书面同意，乙方不得将由甲方或代表甲方提供的有关合同或任何</w:t>
      </w:r>
      <w:r>
        <w:rPr>
          <w:spacing w:val="-1"/>
          <w:sz w:val="24"/>
        </w:rPr>
        <w:t>合同条文、规格、计划或资料提供给与履行本合同无关的任何其他人，如向与履行本合同</w:t>
      </w:r>
      <w:r>
        <w:rPr>
          <w:sz w:val="24"/>
        </w:rPr>
        <w:t>有关的人员提供，则应严格保密并限于履行本合同所必须的范围。</w:t>
      </w:r>
    </w:p>
    <w:p>
      <w:pPr>
        <w:pStyle w:val="13"/>
        <w:numPr>
          <w:ilvl w:val="0"/>
          <w:numId w:val="31"/>
        </w:numPr>
        <w:tabs>
          <w:tab w:val="left" w:pos="711"/>
        </w:tabs>
        <w:spacing w:before="0" w:after="0" w:line="307" w:lineRule="exact"/>
        <w:ind w:left="710" w:right="0" w:hanging="203"/>
        <w:jc w:val="left"/>
        <w:rPr>
          <w:b/>
          <w:sz w:val="24"/>
        </w:rPr>
      </w:pPr>
      <w:r>
        <w:rPr>
          <w:b/>
          <w:sz w:val="24"/>
        </w:rPr>
        <w:t>知识产权</w:t>
      </w:r>
    </w:p>
    <w:p>
      <w:pPr>
        <w:pStyle w:val="13"/>
        <w:numPr>
          <w:ilvl w:val="1"/>
          <w:numId w:val="31"/>
        </w:numPr>
        <w:tabs>
          <w:tab w:val="left" w:pos="1447"/>
        </w:tabs>
        <w:spacing w:before="159" w:after="0" w:line="362" w:lineRule="auto"/>
        <w:ind w:left="508" w:right="532" w:firstLine="480"/>
        <w:jc w:val="both"/>
        <w:rPr>
          <w:sz w:val="24"/>
        </w:rPr>
      </w:pPr>
      <w:r>
        <w:rPr>
          <w:spacing w:val="-1"/>
          <w:sz w:val="24"/>
        </w:rPr>
        <w:t>乙方应保证甲方在使用该货物或其任何一部分时不受第三方提出的侵犯专利权、</w:t>
      </w:r>
      <w:r>
        <w:rPr>
          <w:sz w:val="24"/>
        </w:rPr>
        <w:t>著作权、商标权和工业设计权等的起诉。</w:t>
      </w:r>
    </w:p>
    <w:p>
      <w:pPr>
        <w:pStyle w:val="13"/>
        <w:numPr>
          <w:ilvl w:val="1"/>
          <w:numId w:val="31"/>
        </w:numPr>
        <w:tabs>
          <w:tab w:val="left" w:pos="1447"/>
        </w:tabs>
        <w:spacing w:before="5" w:after="0" w:line="364" w:lineRule="auto"/>
        <w:ind w:left="508" w:right="532" w:firstLine="480"/>
        <w:jc w:val="both"/>
        <w:rPr>
          <w:sz w:val="24"/>
        </w:rPr>
      </w:pPr>
      <w:r>
        <w:rPr>
          <w:spacing w:val="-1"/>
          <w:sz w:val="24"/>
        </w:rPr>
        <w:t>任何第三方提出侵权指控，乙方须与第三方交涉并承担由此产生的一切责任、费</w:t>
      </w:r>
      <w:r>
        <w:rPr>
          <w:sz w:val="24"/>
        </w:rPr>
        <w:t>用和经济赔偿。</w:t>
      </w:r>
    </w:p>
    <w:p>
      <w:pPr>
        <w:pStyle w:val="13"/>
        <w:numPr>
          <w:ilvl w:val="1"/>
          <w:numId w:val="31"/>
        </w:numPr>
        <w:tabs>
          <w:tab w:val="left" w:pos="1447"/>
        </w:tabs>
        <w:spacing w:before="0" w:after="0" w:line="364" w:lineRule="auto"/>
        <w:ind w:left="508" w:right="523" w:firstLine="480"/>
        <w:jc w:val="both"/>
        <w:rPr>
          <w:sz w:val="24"/>
        </w:rPr>
      </w:pPr>
      <w:r>
        <w:rPr>
          <w:sz w:val="24"/>
        </w:rPr>
        <w:t>双方应共同遵守国家有关版权、专利、商标等知识产权方面的法律规定，相互尊</w:t>
      </w:r>
      <w:r>
        <w:rPr>
          <w:spacing w:val="-14"/>
          <w:sz w:val="24"/>
        </w:rPr>
        <w:t xml:space="preserve">重对方的知识产权，对本合同内容、对方的技术秘密和商业秘密负有保密责任。如有违反， </w:t>
      </w:r>
      <w:r>
        <w:rPr>
          <w:sz w:val="24"/>
        </w:rPr>
        <w:t>违约方负相关法律责任。</w:t>
      </w:r>
    </w:p>
    <w:p>
      <w:pPr>
        <w:pStyle w:val="13"/>
        <w:numPr>
          <w:ilvl w:val="1"/>
          <w:numId w:val="31"/>
        </w:numPr>
        <w:tabs>
          <w:tab w:val="left" w:pos="1447"/>
        </w:tabs>
        <w:spacing w:before="0" w:after="0" w:line="364" w:lineRule="auto"/>
        <w:ind w:left="508" w:right="532" w:firstLine="480"/>
        <w:jc w:val="both"/>
        <w:rPr>
          <w:sz w:val="24"/>
        </w:rPr>
      </w:pPr>
      <w:r>
        <w:rPr>
          <w:spacing w:val="-1"/>
          <w:sz w:val="24"/>
        </w:rPr>
        <w:t>在本合同生效时已经存在并为各方合法拥有或使用的所有技术、资料和信息的知</w:t>
      </w:r>
      <w:r>
        <w:rPr>
          <w:sz w:val="24"/>
        </w:rPr>
        <w:t>识产权，仍应属于其各自的原权利人所有或享有，另有约定的除外。</w:t>
      </w:r>
    </w:p>
    <w:p>
      <w:pPr>
        <w:pStyle w:val="13"/>
        <w:numPr>
          <w:ilvl w:val="1"/>
          <w:numId w:val="31"/>
        </w:numPr>
        <w:tabs>
          <w:tab w:val="left" w:pos="1447"/>
        </w:tabs>
        <w:spacing w:before="0" w:after="0" w:line="364" w:lineRule="auto"/>
        <w:ind w:left="508" w:right="524" w:firstLine="480"/>
        <w:jc w:val="both"/>
        <w:rPr>
          <w:sz w:val="24"/>
        </w:rPr>
      </w:pPr>
      <w:r>
        <w:rPr>
          <w:sz w:val="24"/>
        </w:rPr>
        <w:t>乙方保证拥有由其提供给甲方的所有软件的合法使用权，并且已获得进行许可的</w:t>
      </w:r>
      <w:r>
        <w:rPr>
          <w:spacing w:val="-1"/>
          <w:sz w:val="24"/>
        </w:rPr>
        <w:t>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w:t>
      </w:r>
      <w:r>
        <w:rPr>
          <w:sz w:val="24"/>
        </w:rPr>
        <w:t>同条款下软件产品。</w:t>
      </w:r>
    </w:p>
    <w:p>
      <w:pPr>
        <w:pStyle w:val="13"/>
        <w:numPr>
          <w:ilvl w:val="0"/>
          <w:numId w:val="31"/>
        </w:numPr>
        <w:tabs>
          <w:tab w:val="left" w:pos="711"/>
        </w:tabs>
        <w:spacing w:before="0" w:after="0" w:line="306" w:lineRule="exact"/>
        <w:ind w:left="710" w:right="0" w:hanging="203"/>
        <w:jc w:val="left"/>
        <w:rPr>
          <w:b/>
          <w:sz w:val="24"/>
        </w:rPr>
      </w:pPr>
      <w:r>
        <w:rPr>
          <w:b/>
          <w:sz w:val="24"/>
        </w:rPr>
        <w:t>保密</w:t>
      </w:r>
    </w:p>
    <w:p>
      <w:pPr>
        <w:pStyle w:val="13"/>
        <w:numPr>
          <w:ilvl w:val="1"/>
          <w:numId w:val="31"/>
        </w:numPr>
        <w:tabs>
          <w:tab w:val="left" w:pos="1447"/>
        </w:tabs>
        <w:spacing w:before="156" w:after="0" w:line="240" w:lineRule="auto"/>
        <w:ind w:left="1446" w:right="0" w:hanging="459"/>
        <w:jc w:val="left"/>
        <w:rPr>
          <w:sz w:val="24"/>
        </w:rPr>
      </w:pPr>
      <w:r>
        <w:rPr>
          <w:sz w:val="24"/>
        </w:rPr>
        <w:t>在本合同履行期间及履行完毕后的任何时候，任何一方均应对因履行本合同从对</w:t>
      </w:r>
    </w:p>
    <w:p>
      <w:pPr>
        <w:spacing w:after="0" w:line="240" w:lineRule="auto"/>
        <w:jc w:val="left"/>
        <w:rPr>
          <w:sz w:val="24"/>
        </w:rPr>
        <w:sectPr>
          <w:pgSz w:w="11910" w:h="16840"/>
          <w:pgMar w:top="1180" w:right="720" w:bottom="1120" w:left="740" w:header="711" w:footer="923" w:gutter="0"/>
        </w:sectPr>
      </w:pPr>
    </w:p>
    <w:p>
      <w:pPr>
        <w:pStyle w:val="2"/>
        <w:spacing w:before="67" w:line="364" w:lineRule="auto"/>
        <w:ind w:left="508" w:right="524"/>
      </w:pPr>
      <w:r>
        <w:t>方获取或知悉的保密信息承担保密责任，未经对方书面同意不得向第三方透露，否则应赔偿由此给对方造成的全部损失。</w:t>
      </w:r>
    </w:p>
    <w:p>
      <w:pPr>
        <w:pStyle w:val="13"/>
        <w:numPr>
          <w:ilvl w:val="1"/>
          <w:numId w:val="31"/>
        </w:numPr>
        <w:tabs>
          <w:tab w:val="left" w:pos="1447"/>
        </w:tabs>
        <w:spacing w:before="0" w:after="0" w:line="362" w:lineRule="auto"/>
        <w:ind w:left="508" w:right="532" w:firstLine="480"/>
        <w:jc w:val="left"/>
        <w:rPr>
          <w:sz w:val="24"/>
        </w:rPr>
      </w:pPr>
      <w:r>
        <w:rPr>
          <w:spacing w:val="-1"/>
          <w:sz w:val="24"/>
        </w:rPr>
        <w:t>保密信息指任何一方因履行本合同所知悉的任何以口头、书面、图表或电子形式</w:t>
      </w:r>
      <w:r>
        <w:rPr>
          <w:sz w:val="24"/>
        </w:rPr>
        <w:t>存在的对方信息，具体包括：</w:t>
      </w:r>
    </w:p>
    <w:p>
      <w:pPr>
        <w:pStyle w:val="13"/>
        <w:numPr>
          <w:ilvl w:val="2"/>
          <w:numId w:val="31"/>
        </w:numPr>
        <w:tabs>
          <w:tab w:val="left" w:pos="1644"/>
        </w:tabs>
        <w:spacing w:before="4" w:after="0" w:line="362" w:lineRule="auto"/>
        <w:ind w:left="508" w:right="525" w:firstLine="480"/>
        <w:jc w:val="left"/>
        <w:rPr>
          <w:sz w:val="24"/>
        </w:rPr>
      </w:pPr>
      <w:r>
        <w:rPr>
          <w:spacing w:val="-10"/>
          <w:sz w:val="24"/>
        </w:rPr>
        <w:t>任何涉及对方过去、现在或将来的商业计划、规章制度、操作规程、处理手段、</w:t>
      </w:r>
      <w:r>
        <w:rPr>
          <w:sz w:val="24"/>
        </w:rPr>
        <w:t>财务信息；</w:t>
      </w:r>
    </w:p>
    <w:p>
      <w:pPr>
        <w:pStyle w:val="13"/>
        <w:numPr>
          <w:ilvl w:val="2"/>
          <w:numId w:val="31"/>
        </w:numPr>
        <w:tabs>
          <w:tab w:val="left" w:pos="1649"/>
        </w:tabs>
        <w:spacing w:before="5" w:after="0" w:line="362" w:lineRule="auto"/>
        <w:ind w:left="508" w:right="531" w:firstLine="480"/>
        <w:jc w:val="left"/>
        <w:rPr>
          <w:sz w:val="24"/>
        </w:rPr>
      </w:pPr>
      <w:r>
        <w:rPr>
          <w:sz w:val="24"/>
        </w:rPr>
        <w:t>任何对方的技术措施、技术方案、软件应用及开发，硬件设备的品种、质量、数量、品牌等；</w:t>
      </w:r>
    </w:p>
    <w:p>
      <w:pPr>
        <w:pStyle w:val="13"/>
        <w:numPr>
          <w:ilvl w:val="2"/>
          <w:numId w:val="31"/>
        </w:numPr>
        <w:tabs>
          <w:tab w:val="left" w:pos="1649"/>
        </w:tabs>
        <w:spacing w:before="5" w:after="0" w:line="364" w:lineRule="auto"/>
        <w:ind w:left="508" w:right="531" w:firstLine="480"/>
        <w:jc w:val="left"/>
        <w:rPr>
          <w:sz w:val="24"/>
        </w:rPr>
      </w:pPr>
      <w:r>
        <w:rPr>
          <w:sz w:val="24"/>
        </w:rPr>
        <w:t>任何对方的技术秘密或专有知识、文件、报告、数据、客户软件、流程图、数据库、发明、知识、贸易秘密。</w:t>
      </w:r>
    </w:p>
    <w:p>
      <w:pPr>
        <w:pStyle w:val="13"/>
        <w:numPr>
          <w:ilvl w:val="1"/>
          <w:numId w:val="31"/>
        </w:numPr>
        <w:tabs>
          <w:tab w:val="left" w:pos="1447"/>
        </w:tabs>
        <w:spacing w:before="0" w:after="0" w:line="362" w:lineRule="auto"/>
        <w:ind w:left="508" w:right="532" w:firstLine="480"/>
        <w:jc w:val="left"/>
        <w:rPr>
          <w:sz w:val="24"/>
        </w:rPr>
      </w:pPr>
      <w:r>
        <w:rPr>
          <w:spacing w:val="-1"/>
          <w:sz w:val="24"/>
        </w:rPr>
        <w:t xml:space="preserve">乙方应根据甲方的要求签署相应的保密协议，保密协议与本条款存在不一致的， </w:t>
      </w:r>
      <w:r>
        <w:rPr>
          <w:sz w:val="24"/>
        </w:rPr>
        <w:t>以保密协议为准。</w:t>
      </w:r>
    </w:p>
    <w:p>
      <w:pPr>
        <w:pStyle w:val="13"/>
        <w:numPr>
          <w:ilvl w:val="0"/>
          <w:numId w:val="31"/>
        </w:numPr>
        <w:tabs>
          <w:tab w:val="left" w:pos="831"/>
        </w:tabs>
        <w:spacing w:before="4" w:after="0" w:line="240" w:lineRule="auto"/>
        <w:ind w:left="830" w:right="0" w:hanging="323"/>
        <w:jc w:val="left"/>
        <w:rPr>
          <w:b/>
          <w:sz w:val="24"/>
        </w:rPr>
      </w:pPr>
      <w:r>
        <w:rPr>
          <w:b/>
          <w:sz w:val="24"/>
        </w:rPr>
        <w:t>质量保证</w:t>
      </w:r>
    </w:p>
    <w:p>
      <w:pPr>
        <w:pStyle w:val="13"/>
        <w:numPr>
          <w:ilvl w:val="1"/>
          <w:numId w:val="31"/>
        </w:numPr>
        <w:tabs>
          <w:tab w:val="left" w:pos="1445"/>
        </w:tabs>
        <w:spacing w:before="158" w:after="0" w:line="240" w:lineRule="auto"/>
        <w:ind w:left="1444" w:right="0" w:hanging="457"/>
        <w:jc w:val="both"/>
        <w:rPr>
          <w:sz w:val="24"/>
        </w:rPr>
      </w:pPr>
      <w:r>
        <w:rPr>
          <w:sz w:val="24"/>
        </w:rPr>
        <w:t>货物质量保证</w:t>
      </w:r>
    </w:p>
    <w:p>
      <w:pPr>
        <w:pStyle w:val="13"/>
        <w:numPr>
          <w:ilvl w:val="2"/>
          <w:numId w:val="31"/>
        </w:numPr>
        <w:tabs>
          <w:tab w:val="left" w:pos="1649"/>
        </w:tabs>
        <w:spacing w:before="161" w:after="0" w:line="364" w:lineRule="auto"/>
        <w:ind w:left="508" w:right="531" w:firstLine="480"/>
        <w:jc w:val="both"/>
        <w:rPr>
          <w:sz w:val="24"/>
        </w:rPr>
      </w:pPr>
      <w:r>
        <w:rPr>
          <w:sz w:val="24"/>
        </w:rPr>
        <w:t>乙方必须保证货物是全新、未使用过的，并完全符合强制性的国家技术质量规范和合同规定的质量、规格、性能和技术规范等的要求。</w:t>
      </w:r>
    </w:p>
    <w:p>
      <w:pPr>
        <w:pStyle w:val="13"/>
        <w:numPr>
          <w:ilvl w:val="2"/>
          <w:numId w:val="31"/>
        </w:numPr>
        <w:tabs>
          <w:tab w:val="left" w:pos="1649"/>
        </w:tabs>
        <w:spacing w:before="0" w:after="0" w:line="364" w:lineRule="auto"/>
        <w:ind w:left="508" w:right="524" w:firstLine="480"/>
        <w:jc w:val="both"/>
        <w:rPr>
          <w:sz w:val="24"/>
        </w:rPr>
      </w:pPr>
      <w:r>
        <w:rPr>
          <w:sz w:val="24"/>
        </w:rPr>
        <w:t>乙方须保证所提供的货物经正确安装、正常运转和保养，在其使用寿命期内须</w:t>
      </w:r>
      <w:r>
        <w:rPr>
          <w:spacing w:val="-1"/>
          <w:sz w:val="24"/>
        </w:rPr>
        <w:t>具有符合质量要求和产品说明书的性能。在货物质量保证期之内，乙方须对由于设计、工</w:t>
      </w:r>
      <w:r>
        <w:rPr>
          <w:sz w:val="24"/>
        </w:rPr>
        <w:t>艺或材料的缺陷而发生的任何不足或故障负责，并免费予以改进或更换。</w:t>
      </w:r>
    </w:p>
    <w:p>
      <w:pPr>
        <w:pStyle w:val="13"/>
        <w:numPr>
          <w:ilvl w:val="2"/>
          <w:numId w:val="31"/>
        </w:numPr>
        <w:tabs>
          <w:tab w:val="left" w:pos="1649"/>
        </w:tabs>
        <w:spacing w:before="0" w:after="0" w:line="364" w:lineRule="auto"/>
        <w:ind w:left="508" w:right="520" w:firstLine="480"/>
        <w:jc w:val="both"/>
        <w:rPr>
          <w:sz w:val="24"/>
        </w:rPr>
      </w:pPr>
      <w:r>
        <w:rPr>
          <w:sz w:val="24"/>
        </w:rPr>
        <w:t xml:space="preserve">根据乙方按检验标准自己检验结果或委托有资质的相关质检机构的检验结果， </w:t>
      </w:r>
      <w:r>
        <w:rPr>
          <w:spacing w:val="-1"/>
          <w:sz w:val="24"/>
        </w:rPr>
        <w:t>发现货物的数量、质量、规格与合同不符；或者在质量保证期内，证实货物存在缺陷，包</w:t>
      </w:r>
      <w:r>
        <w:rPr>
          <w:sz w:val="24"/>
        </w:rPr>
        <w:t>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13"/>
        <w:numPr>
          <w:ilvl w:val="2"/>
          <w:numId w:val="31"/>
        </w:numPr>
        <w:tabs>
          <w:tab w:val="left" w:pos="1649"/>
        </w:tabs>
        <w:spacing w:before="0" w:after="0" w:line="364" w:lineRule="auto"/>
        <w:ind w:left="508" w:right="524" w:firstLine="480"/>
        <w:jc w:val="both"/>
        <w:rPr>
          <w:sz w:val="24"/>
        </w:rPr>
      </w:pPr>
      <w:r>
        <w:rPr>
          <w:sz w:val="24"/>
        </w:rPr>
        <w:t>乙方在收到通知后虽答复，但没有弥补缺陷，甲方可采取必要的补救措施，但</w:t>
      </w:r>
      <w:r>
        <w:rPr>
          <w:spacing w:val="-1"/>
          <w:sz w:val="24"/>
        </w:rPr>
        <w:t xml:space="preserve">由此引发的风险和费用将由乙方承担。甲方可从合同款或乙方提交的履约保证金中扣款， </w:t>
      </w:r>
      <w:r>
        <w:rPr>
          <w:sz w:val="24"/>
        </w:rPr>
        <w:t>不足部分，甲方有权要求乙方赔偿。甲方根据合同规定对卖方行使的其他权力不受影响。</w:t>
      </w:r>
    </w:p>
    <w:p>
      <w:pPr>
        <w:pStyle w:val="13"/>
        <w:numPr>
          <w:ilvl w:val="2"/>
          <w:numId w:val="31"/>
        </w:numPr>
        <w:tabs>
          <w:tab w:val="left" w:pos="1644"/>
        </w:tabs>
        <w:spacing w:before="0" w:after="0" w:line="240" w:lineRule="auto"/>
        <w:ind w:left="1643" w:right="0" w:hanging="656"/>
        <w:jc w:val="both"/>
        <w:rPr>
          <w:sz w:val="24"/>
        </w:rPr>
      </w:pPr>
      <w:r>
        <w:rPr>
          <w:spacing w:val="-1"/>
          <w:sz w:val="24"/>
        </w:rPr>
        <w:t>合同条款下货物的质量保证期自货物通过最终验收起算，合同另行规定除外。</w:t>
      </w:r>
    </w:p>
    <w:p>
      <w:pPr>
        <w:pStyle w:val="13"/>
        <w:numPr>
          <w:ilvl w:val="1"/>
          <w:numId w:val="31"/>
        </w:numPr>
        <w:tabs>
          <w:tab w:val="left" w:pos="1445"/>
        </w:tabs>
        <w:spacing w:before="152" w:after="0" w:line="240" w:lineRule="auto"/>
        <w:ind w:left="1444" w:right="0" w:hanging="457"/>
        <w:jc w:val="both"/>
        <w:rPr>
          <w:sz w:val="24"/>
        </w:rPr>
      </w:pPr>
      <w:r>
        <w:rPr>
          <w:sz w:val="24"/>
        </w:rPr>
        <w:t>辅助服务质量保证</w:t>
      </w:r>
    </w:p>
    <w:p>
      <w:pPr>
        <w:pStyle w:val="13"/>
        <w:numPr>
          <w:ilvl w:val="2"/>
          <w:numId w:val="31"/>
        </w:numPr>
        <w:tabs>
          <w:tab w:val="left" w:pos="1649"/>
        </w:tabs>
        <w:spacing w:before="161" w:after="0" w:line="364" w:lineRule="auto"/>
        <w:ind w:left="508" w:right="524" w:firstLine="480"/>
        <w:jc w:val="both"/>
        <w:rPr>
          <w:sz w:val="24"/>
        </w:rPr>
      </w:pPr>
      <w:r>
        <w:rPr>
          <w:sz w:val="24"/>
        </w:rPr>
        <w:t>乙方保证免费提供合同条款下的软件产品原厂商至少一年软件全部功能及其换代产品的升级与技术支持服务（</w:t>
      </w:r>
      <w:r>
        <w:rPr>
          <w:spacing w:val="-1"/>
          <w:sz w:val="24"/>
        </w:rPr>
        <w:t>包含任何版本升级、产品换代、更新及在原有产品基础上</w:t>
      </w:r>
    </w:p>
    <w:p>
      <w:pPr>
        <w:spacing w:after="0" w:line="364" w:lineRule="auto"/>
        <w:jc w:val="both"/>
        <w:rPr>
          <w:sz w:val="24"/>
        </w:rPr>
        <w:sectPr>
          <w:pgSz w:w="11910" w:h="16840"/>
          <w:pgMar w:top="1180" w:right="720" w:bottom="1120" w:left="740" w:header="711" w:footer="923" w:gutter="0"/>
        </w:sectPr>
      </w:pPr>
    </w:p>
    <w:p>
      <w:pPr>
        <w:pStyle w:val="2"/>
        <w:spacing w:before="67" w:line="364" w:lineRule="auto"/>
        <w:ind w:left="508" w:right="524"/>
      </w:pPr>
      <w:r>
        <w:t>的拆解、完善、合并所产生的新产品，提供升级产品介质及授权，要求原厂商承诺，并加盖原厂商公章），不得出现因货物停售、转产而无法提供上述支持服务。</w:t>
      </w:r>
    </w:p>
    <w:p>
      <w:pPr>
        <w:pStyle w:val="13"/>
        <w:numPr>
          <w:ilvl w:val="2"/>
          <w:numId w:val="31"/>
        </w:numPr>
        <w:tabs>
          <w:tab w:val="left" w:pos="1649"/>
        </w:tabs>
        <w:spacing w:before="0" w:after="0" w:line="364" w:lineRule="auto"/>
        <w:ind w:left="508" w:right="518" w:firstLine="480"/>
        <w:jc w:val="both"/>
        <w:rPr>
          <w:sz w:val="24"/>
        </w:rPr>
      </w:pPr>
      <w:r>
        <w:rPr>
          <w:sz w:val="24"/>
        </w:rPr>
        <w:t>乙方应保证合同条款下所提供的服务包括培训、安装指导、单机调试、系统联</w:t>
      </w:r>
      <w:r>
        <w:rPr>
          <w:spacing w:val="-1"/>
          <w:sz w:val="24"/>
        </w:rPr>
        <w:t>调和试验等，按合同规定方式进行，并保证不存在因乙方工作人员的过失、错误或疏忽而</w:t>
      </w:r>
      <w:r>
        <w:rPr>
          <w:sz w:val="24"/>
        </w:rPr>
        <w:t>产生的缺陷。</w:t>
      </w:r>
    </w:p>
    <w:p>
      <w:pPr>
        <w:pStyle w:val="13"/>
        <w:numPr>
          <w:ilvl w:val="0"/>
          <w:numId w:val="31"/>
        </w:numPr>
        <w:tabs>
          <w:tab w:val="left" w:pos="711"/>
        </w:tabs>
        <w:spacing w:before="0" w:after="0" w:line="305" w:lineRule="exact"/>
        <w:ind w:left="710" w:right="0" w:hanging="203"/>
        <w:jc w:val="left"/>
        <w:rPr>
          <w:b/>
          <w:sz w:val="24"/>
        </w:rPr>
      </w:pPr>
      <w:r>
        <w:rPr>
          <w:b/>
          <w:sz w:val="24"/>
        </w:rPr>
        <w:t>包装要求</w:t>
      </w:r>
    </w:p>
    <w:p>
      <w:pPr>
        <w:pStyle w:val="13"/>
        <w:numPr>
          <w:ilvl w:val="1"/>
          <w:numId w:val="31"/>
        </w:numPr>
        <w:tabs>
          <w:tab w:val="left" w:pos="1445"/>
        </w:tabs>
        <w:spacing w:before="160" w:after="0" w:line="362" w:lineRule="auto"/>
        <w:ind w:left="508" w:right="524" w:firstLine="480"/>
        <w:jc w:val="both"/>
        <w:rPr>
          <w:sz w:val="24"/>
        </w:rPr>
      </w:pPr>
      <w:r>
        <w:rPr>
          <w:spacing w:val="-14"/>
          <w:sz w:val="24"/>
        </w:rPr>
        <w:t xml:space="preserve">除合同另有约定外，乙方提供的全部货物，均应采用本行业通用的方式进行包装， </w:t>
      </w:r>
      <w:r>
        <w:rPr>
          <w:sz w:val="24"/>
        </w:rPr>
        <w:t>且该包装应符合国家有关包装的法律、法规的规定。</w:t>
      </w:r>
    </w:p>
    <w:p>
      <w:pPr>
        <w:pStyle w:val="13"/>
        <w:numPr>
          <w:ilvl w:val="1"/>
          <w:numId w:val="31"/>
        </w:numPr>
        <w:tabs>
          <w:tab w:val="left" w:pos="1447"/>
        </w:tabs>
        <w:spacing w:before="5" w:after="0" w:line="364" w:lineRule="auto"/>
        <w:ind w:left="508" w:right="524" w:firstLine="480"/>
        <w:jc w:val="both"/>
        <w:rPr>
          <w:sz w:val="24"/>
        </w:rPr>
      </w:pPr>
      <w:r>
        <w:rPr>
          <w:sz w:val="24"/>
        </w:rPr>
        <w:t>包装应适应于远距离运输，并有良好的防潮、防震、防锈和防粗暴装卸等保护措</w:t>
      </w:r>
      <w:r>
        <w:rPr>
          <w:spacing w:val="-1"/>
          <w:sz w:val="24"/>
        </w:rPr>
        <w:t>施，以确保货物安全运抵现场。由于包装不善所引起的货物锈蚀、损坏和损失均由乙方承担。乙方应提供货物运至合同规定的最终目的地所需要的包装，以防止货物在转运中损坏</w:t>
      </w:r>
      <w:r>
        <w:rPr>
          <w:sz w:val="24"/>
        </w:rPr>
        <w:t>或变质。</w:t>
      </w:r>
    </w:p>
    <w:p>
      <w:pPr>
        <w:pStyle w:val="13"/>
        <w:numPr>
          <w:ilvl w:val="1"/>
          <w:numId w:val="31"/>
        </w:numPr>
        <w:tabs>
          <w:tab w:val="left" w:pos="1445"/>
        </w:tabs>
        <w:spacing w:before="0" w:after="0" w:line="306" w:lineRule="exact"/>
        <w:ind w:left="1444" w:right="0" w:hanging="457"/>
        <w:jc w:val="both"/>
        <w:rPr>
          <w:sz w:val="24"/>
        </w:rPr>
      </w:pPr>
      <w:r>
        <w:rPr>
          <w:spacing w:val="-1"/>
          <w:sz w:val="24"/>
        </w:rPr>
        <w:t>乙方所提供的货物包装均为出厂时原包装。</w:t>
      </w:r>
    </w:p>
    <w:p>
      <w:pPr>
        <w:pStyle w:val="13"/>
        <w:numPr>
          <w:ilvl w:val="1"/>
          <w:numId w:val="31"/>
        </w:numPr>
        <w:tabs>
          <w:tab w:val="left" w:pos="1447"/>
        </w:tabs>
        <w:spacing w:before="158" w:after="0" w:line="364" w:lineRule="auto"/>
        <w:ind w:left="508" w:right="532" w:firstLine="480"/>
        <w:jc w:val="both"/>
        <w:rPr>
          <w:sz w:val="24"/>
        </w:rPr>
      </w:pPr>
      <w:r>
        <w:rPr>
          <w:spacing w:val="-1"/>
          <w:sz w:val="24"/>
        </w:rPr>
        <w:t>乙方所提供货物必须附有质量合格证，装箱清单，主机、附件、各种零部件和消</w:t>
      </w:r>
      <w:r>
        <w:rPr>
          <w:sz w:val="24"/>
        </w:rPr>
        <w:t>耗品，有清楚的与装箱单相对应的名称和编号。</w:t>
      </w:r>
    </w:p>
    <w:p>
      <w:pPr>
        <w:pStyle w:val="13"/>
        <w:numPr>
          <w:ilvl w:val="1"/>
          <w:numId w:val="31"/>
        </w:numPr>
        <w:tabs>
          <w:tab w:val="left" w:pos="1447"/>
        </w:tabs>
        <w:spacing w:before="1" w:after="0" w:line="362" w:lineRule="auto"/>
        <w:ind w:left="508" w:right="532" w:firstLine="480"/>
        <w:jc w:val="both"/>
        <w:rPr>
          <w:sz w:val="24"/>
        </w:rPr>
      </w:pPr>
      <w:r>
        <w:rPr>
          <w:spacing w:val="-1"/>
          <w:sz w:val="24"/>
        </w:rPr>
        <w:t>货物运输中的运输费用和保险费用均由乙方承担。运输过程中的一切损失、损坏</w:t>
      </w:r>
      <w:r>
        <w:rPr>
          <w:sz w:val="24"/>
        </w:rPr>
        <w:t>均由乙方负责。</w:t>
      </w:r>
    </w:p>
    <w:p>
      <w:pPr>
        <w:pStyle w:val="13"/>
        <w:numPr>
          <w:ilvl w:val="0"/>
          <w:numId w:val="31"/>
        </w:numPr>
        <w:tabs>
          <w:tab w:val="left" w:pos="711"/>
        </w:tabs>
        <w:spacing w:before="5" w:after="0" w:line="240" w:lineRule="auto"/>
        <w:ind w:left="710" w:right="0" w:hanging="203"/>
        <w:jc w:val="left"/>
        <w:rPr>
          <w:b/>
          <w:sz w:val="24"/>
        </w:rPr>
      </w:pPr>
      <w:r>
        <w:rPr>
          <w:b/>
          <w:sz w:val="24"/>
        </w:rPr>
        <w:t>价格</w:t>
      </w:r>
    </w:p>
    <w:p>
      <w:pPr>
        <w:pStyle w:val="13"/>
        <w:numPr>
          <w:ilvl w:val="1"/>
          <w:numId w:val="31"/>
        </w:numPr>
        <w:tabs>
          <w:tab w:val="left" w:pos="1445"/>
        </w:tabs>
        <w:spacing w:before="158" w:after="0" w:line="364" w:lineRule="auto"/>
        <w:ind w:left="508" w:right="524" w:firstLine="480"/>
        <w:jc w:val="both"/>
        <w:rPr>
          <w:sz w:val="24"/>
        </w:rPr>
      </w:pPr>
      <w:r>
        <w:rPr>
          <w:spacing w:val="-11"/>
          <w:sz w:val="24"/>
        </w:rPr>
        <w:t>乙方履行合同所必须的所有费用，包括但不限于货物及部件的设计、检测与试验、</w:t>
      </w:r>
      <w:r>
        <w:rPr>
          <w:spacing w:val="-1"/>
          <w:sz w:val="24"/>
        </w:rPr>
        <w:t>制造、运输、装卸、保险、单机调试、安装调试指导、技术资料、培训、交通、人员、差旅、质量保证期服务费、其他管理费用、所有的检验、测试、调试、验收、试运行费用等</w:t>
      </w:r>
      <w:r>
        <w:rPr>
          <w:sz w:val="24"/>
        </w:rPr>
        <w:t>均已包括在合同价格中。</w:t>
      </w:r>
    </w:p>
    <w:p>
      <w:pPr>
        <w:pStyle w:val="13"/>
        <w:numPr>
          <w:ilvl w:val="1"/>
          <w:numId w:val="31"/>
        </w:numPr>
        <w:tabs>
          <w:tab w:val="left" w:pos="1447"/>
        </w:tabs>
        <w:spacing w:before="0" w:after="0" w:line="364" w:lineRule="auto"/>
        <w:ind w:left="508" w:right="529" w:firstLine="480"/>
        <w:jc w:val="both"/>
        <w:rPr>
          <w:sz w:val="24"/>
        </w:rPr>
      </w:pPr>
      <w:r>
        <w:rPr>
          <w:spacing w:val="-1"/>
          <w:sz w:val="24"/>
        </w:rPr>
        <w:t>本合同价格为固定价格，包括了乙方履行合同全过程产生的所有成本和费用以及</w:t>
      </w:r>
      <w:r>
        <w:rPr>
          <w:sz w:val="24"/>
        </w:rPr>
        <w:t>乙方应承担的一切税费。</w:t>
      </w:r>
    </w:p>
    <w:p>
      <w:pPr>
        <w:pStyle w:val="13"/>
        <w:numPr>
          <w:ilvl w:val="1"/>
          <w:numId w:val="31"/>
        </w:numPr>
        <w:tabs>
          <w:tab w:val="left" w:pos="1445"/>
        </w:tabs>
        <w:spacing w:before="0" w:after="0" w:line="306" w:lineRule="exact"/>
        <w:ind w:left="1444" w:right="0" w:hanging="457"/>
        <w:jc w:val="both"/>
        <w:rPr>
          <w:sz w:val="24"/>
        </w:rPr>
      </w:pPr>
      <w:r>
        <w:rPr>
          <w:sz w:val="24"/>
        </w:rPr>
        <w:t>检验费用</w:t>
      </w:r>
    </w:p>
    <w:p>
      <w:pPr>
        <w:pStyle w:val="13"/>
        <w:numPr>
          <w:ilvl w:val="2"/>
          <w:numId w:val="31"/>
        </w:numPr>
        <w:tabs>
          <w:tab w:val="left" w:pos="1649"/>
        </w:tabs>
        <w:spacing w:before="158" w:after="0" w:line="364" w:lineRule="auto"/>
        <w:ind w:left="508" w:right="531" w:firstLine="480"/>
        <w:jc w:val="left"/>
        <w:rPr>
          <w:sz w:val="24"/>
        </w:rPr>
      </w:pPr>
      <w:r>
        <w:rPr>
          <w:sz w:val="24"/>
        </w:rPr>
        <w:t>乙方必须负担本条款下属于乙方负责的检验、测试、调试、试运行和验收的所有费用，并负责乙方派往买方组织的检验、测试和验收人员的所有费用。</w:t>
      </w:r>
    </w:p>
    <w:p>
      <w:pPr>
        <w:pStyle w:val="13"/>
        <w:numPr>
          <w:ilvl w:val="2"/>
          <w:numId w:val="31"/>
        </w:numPr>
        <w:tabs>
          <w:tab w:val="left" w:pos="1649"/>
        </w:tabs>
        <w:spacing w:before="0" w:after="0" w:line="362" w:lineRule="auto"/>
        <w:ind w:left="508" w:right="531" w:firstLine="480"/>
        <w:jc w:val="left"/>
        <w:rPr>
          <w:sz w:val="24"/>
        </w:rPr>
      </w:pPr>
      <w:r>
        <w:rPr>
          <w:sz w:val="24"/>
        </w:rPr>
        <w:t>甲方按合同计划参加在乙方工厂所在地检验、测试和验收的费用全部由乙方负责并已包含在合同总价中。</w:t>
      </w:r>
    </w:p>
    <w:p>
      <w:pPr>
        <w:pStyle w:val="13"/>
        <w:numPr>
          <w:ilvl w:val="2"/>
          <w:numId w:val="31"/>
        </w:numPr>
        <w:tabs>
          <w:tab w:val="left" w:pos="1649"/>
        </w:tabs>
        <w:spacing w:before="5" w:after="0" w:line="364" w:lineRule="auto"/>
        <w:ind w:left="508" w:right="531" w:firstLine="480"/>
        <w:jc w:val="left"/>
        <w:rPr>
          <w:sz w:val="24"/>
        </w:rPr>
      </w:pPr>
      <w:r>
        <w:rPr>
          <w:sz w:val="24"/>
        </w:rPr>
        <w:t>甲方检验人员已到卖方所在地，测试无法依照合同进行，而引起甲方人员延长逗留时间，所有由此产生的包括甲方人员在内的直接费用及成本由乙方承担。</w:t>
      </w:r>
    </w:p>
    <w:p>
      <w:pPr>
        <w:spacing w:after="0" w:line="364" w:lineRule="auto"/>
        <w:jc w:val="left"/>
        <w:rPr>
          <w:sz w:val="24"/>
        </w:rPr>
        <w:sectPr>
          <w:pgSz w:w="11910" w:h="16840"/>
          <w:pgMar w:top="1180" w:right="720" w:bottom="1120" w:left="740" w:header="711" w:footer="923" w:gutter="0"/>
        </w:sectPr>
      </w:pPr>
    </w:p>
    <w:p>
      <w:pPr>
        <w:pStyle w:val="13"/>
        <w:numPr>
          <w:ilvl w:val="0"/>
          <w:numId w:val="31"/>
        </w:numPr>
        <w:tabs>
          <w:tab w:val="left" w:pos="845"/>
        </w:tabs>
        <w:spacing w:before="67" w:after="0" w:line="240" w:lineRule="auto"/>
        <w:ind w:left="844" w:right="0" w:hanging="337"/>
        <w:jc w:val="left"/>
        <w:rPr>
          <w:b/>
          <w:sz w:val="24"/>
        </w:rPr>
      </w:pPr>
      <w:r>
        <w:rPr>
          <w:b/>
          <w:sz w:val="24"/>
        </w:rPr>
        <w:t>交货方式及交货日期</w:t>
      </w:r>
    </w:p>
    <w:p>
      <w:pPr>
        <w:pStyle w:val="2"/>
        <w:spacing w:before="158"/>
        <w:ind w:left="988"/>
      </w:pPr>
      <w:r>
        <w:t>交货方式：现场交货，乙方负责办理运输和保险，将货物运抵现场。</w:t>
      </w:r>
    </w:p>
    <w:p>
      <w:pPr>
        <w:pStyle w:val="2"/>
        <w:spacing w:before="161" w:line="362" w:lineRule="auto"/>
        <w:ind w:left="508" w:right="519" w:firstLine="480"/>
      </w:pPr>
      <w:r>
        <w:t>交货期应根据产品的特点实事求是填写，进口产品</w:t>
      </w:r>
      <w:r>
        <w:rPr>
          <w:rFonts w:ascii="Arial" w:eastAsia="Arial"/>
        </w:rPr>
        <w:t>90</w:t>
      </w:r>
      <w:r>
        <w:t>个工作日内，国产产品</w:t>
      </w:r>
      <w:r>
        <w:rPr>
          <w:rFonts w:ascii="Arial" w:eastAsia="Arial"/>
        </w:rPr>
        <w:t>60</w:t>
      </w:r>
      <w:r>
        <w:t>个工作日内。特殊产品交货期需说明。</w:t>
      </w:r>
    </w:p>
    <w:p>
      <w:pPr>
        <w:pStyle w:val="2"/>
        <w:spacing w:before="5"/>
        <w:ind w:left="988"/>
      </w:pPr>
      <w:r>
        <w:t>交货日期：所有货物运抵现场并经双方开箱验收合格之日。</w:t>
      </w:r>
    </w:p>
    <w:p>
      <w:pPr>
        <w:pStyle w:val="13"/>
        <w:numPr>
          <w:ilvl w:val="0"/>
          <w:numId w:val="31"/>
        </w:numPr>
        <w:tabs>
          <w:tab w:val="left" w:pos="845"/>
        </w:tabs>
        <w:spacing w:before="158" w:after="0" w:line="240" w:lineRule="auto"/>
        <w:ind w:left="844" w:right="0" w:hanging="337"/>
        <w:jc w:val="left"/>
        <w:rPr>
          <w:b/>
          <w:sz w:val="24"/>
        </w:rPr>
      </w:pPr>
      <w:r>
        <w:rPr>
          <w:b/>
          <w:sz w:val="24"/>
        </w:rPr>
        <w:t>检验和验收</w:t>
      </w:r>
    </w:p>
    <w:p>
      <w:pPr>
        <w:pStyle w:val="13"/>
        <w:numPr>
          <w:ilvl w:val="1"/>
          <w:numId w:val="31"/>
        </w:numPr>
        <w:tabs>
          <w:tab w:val="left" w:pos="1579"/>
        </w:tabs>
        <w:spacing w:before="161" w:after="0" w:line="240" w:lineRule="auto"/>
        <w:ind w:left="1578" w:right="0" w:hanging="591"/>
        <w:jc w:val="left"/>
        <w:rPr>
          <w:sz w:val="24"/>
        </w:rPr>
      </w:pPr>
      <w:r>
        <w:rPr>
          <w:sz w:val="24"/>
        </w:rPr>
        <w:t>开箱验收</w:t>
      </w:r>
    </w:p>
    <w:p>
      <w:pPr>
        <w:pStyle w:val="13"/>
        <w:numPr>
          <w:ilvl w:val="2"/>
          <w:numId w:val="31"/>
        </w:numPr>
        <w:tabs>
          <w:tab w:val="left" w:pos="1778"/>
        </w:tabs>
        <w:spacing w:before="158" w:after="0" w:line="364" w:lineRule="auto"/>
        <w:ind w:left="508" w:right="523" w:firstLine="480"/>
        <w:jc w:val="both"/>
        <w:rPr>
          <w:sz w:val="24"/>
        </w:rPr>
      </w:pPr>
      <w:r>
        <w:rPr>
          <w:spacing w:val="-5"/>
          <w:sz w:val="24"/>
        </w:rPr>
        <w:t>货物运抵现场后，双方应及时开箱验收，并制作验收记录，以确认与本合同约</w:t>
      </w:r>
      <w:r>
        <w:rPr>
          <w:sz w:val="24"/>
        </w:rPr>
        <w:t>定的数量、型号等是否一致。</w:t>
      </w:r>
    </w:p>
    <w:p>
      <w:pPr>
        <w:pStyle w:val="13"/>
        <w:numPr>
          <w:ilvl w:val="2"/>
          <w:numId w:val="31"/>
        </w:numPr>
        <w:tabs>
          <w:tab w:val="left" w:pos="1778"/>
        </w:tabs>
        <w:spacing w:before="0" w:after="0" w:line="364" w:lineRule="auto"/>
        <w:ind w:left="508" w:right="522" w:firstLine="480"/>
        <w:jc w:val="both"/>
        <w:rPr>
          <w:sz w:val="24"/>
        </w:rPr>
      </w:pPr>
      <w:r>
        <w:rPr>
          <w:spacing w:val="-5"/>
          <w:sz w:val="24"/>
        </w:rPr>
        <w:t>乙方应在交货前对货物的质量、规格、数量等进行详细而全面的检验，并出具</w:t>
      </w:r>
      <w:r>
        <w:rPr>
          <w:spacing w:val="-10"/>
          <w:sz w:val="24"/>
        </w:rPr>
        <w:t>证明货物符合合同规定的文件。该文件将作为申请付款单据的一部分，但有关质量、规格、</w:t>
      </w:r>
      <w:r>
        <w:rPr>
          <w:sz w:val="24"/>
        </w:rPr>
        <w:t>数量的检验不应视为最终检验。</w:t>
      </w:r>
    </w:p>
    <w:p>
      <w:pPr>
        <w:pStyle w:val="13"/>
        <w:numPr>
          <w:ilvl w:val="2"/>
          <w:numId w:val="31"/>
        </w:numPr>
        <w:tabs>
          <w:tab w:val="left" w:pos="1778"/>
        </w:tabs>
        <w:spacing w:before="0" w:after="0" w:line="364" w:lineRule="auto"/>
        <w:ind w:left="508" w:right="403" w:firstLine="480"/>
        <w:jc w:val="left"/>
        <w:rPr>
          <w:sz w:val="24"/>
        </w:rPr>
      </w:pPr>
      <w:r>
        <w:rPr>
          <w:spacing w:val="-4"/>
          <w:sz w:val="24"/>
        </w:rPr>
        <w:t>开箱验收中如发现货物的数量、规格与合同约定不符，甲方有权拒收货物，乙</w:t>
      </w:r>
      <w:r>
        <w:rPr>
          <w:spacing w:val="-8"/>
          <w:sz w:val="24"/>
        </w:rPr>
        <w:t xml:space="preserve">方应及时按甲方要求免费对拒收货物采取更换或其他必要的补救措施，直至开箱验收合格， </w:t>
      </w:r>
      <w:r>
        <w:rPr>
          <w:sz w:val="24"/>
        </w:rPr>
        <w:t>方视为乙方完成交货。</w:t>
      </w:r>
    </w:p>
    <w:p>
      <w:pPr>
        <w:pStyle w:val="13"/>
        <w:numPr>
          <w:ilvl w:val="1"/>
          <w:numId w:val="31"/>
        </w:numPr>
        <w:tabs>
          <w:tab w:val="left" w:pos="1579"/>
        </w:tabs>
        <w:spacing w:before="0" w:after="0" w:line="307" w:lineRule="exact"/>
        <w:ind w:left="1578" w:right="0" w:hanging="591"/>
        <w:jc w:val="left"/>
        <w:rPr>
          <w:sz w:val="24"/>
        </w:rPr>
      </w:pPr>
      <w:r>
        <w:rPr>
          <w:sz w:val="24"/>
        </w:rPr>
        <w:t>检验验收</w:t>
      </w:r>
    </w:p>
    <w:p>
      <w:pPr>
        <w:pStyle w:val="13"/>
        <w:numPr>
          <w:ilvl w:val="2"/>
          <w:numId w:val="31"/>
        </w:numPr>
        <w:tabs>
          <w:tab w:val="left" w:pos="1778"/>
        </w:tabs>
        <w:spacing w:before="157" w:after="0" w:line="364" w:lineRule="auto"/>
        <w:ind w:left="508" w:right="523" w:firstLine="480"/>
        <w:jc w:val="both"/>
        <w:rPr>
          <w:sz w:val="24"/>
        </w:rPr>
      </w:pPr>
      <w:r>
        <w:rPr>
          <w:spacing w:val="-5"/>
          <w:sz w:val="24"/>
        </w:rPr>
        <w:t>交货完成后，乙方应及时组装、调试、试运行，按照合同专用条款规定的试运</w:t>
      </w:r>
      <w:r>
        <w:rPr>
          <w:spacing w:val="-1"/>
          <w:sz w:val="24"/>
        </w:rPr>
        <w:t>行完成后，双方及时组织对货物检验验收。合同双方均须派人参加合同要求双方参加的试</w:t>
      </w:r>
      <w:r>
        <w:rPr>
          <w:sz w:val="24"/>
        </w:rPr>
        <w:t>验、检验。</w:t>
      </w:r>
    </w:p>
    <w:p>
      <w:pPr>
        <w:pStyle w:val="13"/>
        <w:numPr>
          <w:ilvl w:val="2"/>
          <w:numId w:val="31"/>
        </w:numPr>
        <w:tabs>
          <w:tab w:val="left" w:pos="1778"/>
        </w:tabs>
        <w:spacing w:before="0" w:after="0" w:line="362" w:lineRule="auto"/>
        <w:ind w:left="508" w:right="523" w:firstLine="480"/>
        <w:jc w:val="both"/>
        <w:rPr>
          <w:sz w:val="24"/>
        </w:rPr>
      </w:pPr>
      <w:r>
        <w:rPr>
          <w:spacing w:val="-3"/>
          <w:sz w:val="24"/>
        </w:rPr>
        <w:t>在具体实施合同规定的检验验收之前，乙方需提前提交相应的测试计划</w:t>
      </w:r>
      <w:r>
        <w:rPr>
          <w:sz w:val="24"/>
        </w:rPr>
        <w:t>（</w:t>
      </w:r>
      <w:r>
        <w:rPr>
          <w:spacing w:val="-7"/>
          <w:sz w:val="24"/>
        </w:rPr>
        <w:t>包括</w:t>
      </w:r>
      <w:r>
        <w:rPr>
          <w:sz w:val="24"/>
        </w:rPr>
        <w:t>测试程序、测试内容和检验标准、试验时间安排等）供甲方确认。</w:t>
      </w:r>
    </w:p>
    <w:p>
      <w:pPr>
        <w:pStyle w:val="13"/>
        <w:numPr>
          <w:ilvl w:val="2"/>
          <w:numId w:val="31"/>
        </w:numPr>
        <w:tabs>
          <w:tab w:val="left" w:pos="1778"/>
        </w:tabs>
        <w:spacing w:before="4" w:after="0" w:line="362" w:lineRule="auto"/>
        <w:ind w:left="508" w:right="523" w:firstLine="480"/>
        <w:jc w:val="both"/>
        <w:rPr>
          <w:sz w:val="24"/>
        </w:rPr>
      </w:pPr>
      <w:r>
        <w:rPr>
          <w:spacing w:val="-5"/>
          <w:sz w:val="24"/>
        </w:rPr>
        <w:t>除需甲方确认的试验验收外，乙方还应对所有检验验收测试的结果、步骤、原</w:t>
      </w:r>
      <w:r>
        <w:rPr>
          <w:sz w:val="24"/>
        </w:rPr>
        <w:t>始数据等作妥善记录。如甲方要求，乙方应提供这些记录给买方。</w:t>
      </w:r>
    </w:p>
    <w:p>
      <w:pPr>
        <w:pStyle w:val="13"/>
        <w:numPr>
          <w:ilvl w:val="2"/>
          <w:numId w:val="31"/>
        </w:numPr>
        <w:tabs>
          <w:tab w:val="left" w:pos="1778"/>
        </w:tabs>
        <w:spacing w:before="5" w:after="0" w:line="362" w:lineRule="auto"/>
        <w:ind w:left="508" w:right="523" w:firstLine="480"/>
        <w:jc w:val="both"/>
        <w:rPr>
          <w:sz w:val="24"/>
        </w:rPr>
      </w:pPr>
      <w:r>
        <w:rPr>
          <w:spacing w:val="-3"/>
          <w:sz w:val="24"/>
        </w:rPr>
        <w:t>检验测试出现全部或部分未达到本合同所约定的技术指标，甲方有权选择下列</w:t>
      </w:r>
      <w:r>
        <w:rPr>
          <w:sz w:val="24"/>
        </w:rPr>
        <w:t>任一处理方式：</w:t>
      </w:r>
    </w:p>
    <w:p>
      <w:pPr>
        <w:pStyle w:val="13"/>
        <w:numPr>
          <w:ilvl w:val="0"/>
          <w:numId w:val="32"/>
        </w:numPr>
        <w:tabs>
          <w:tab w:val="left" w:pos="1191"/>
        </w:tabs>
        <w:spacing w:before="5" w:after="0" w:line="240" w:lineRule="auto"/>
        <w:ind w:left="1190" w:right="0" w:hanging="203"/>
        <w:jc w:val="left"/>
        <w:rPr>
          <w:sz w:val="24"/>
        </w:rPr>
      </w:pPr>
      <w:r>
        <w:rPr>
          <w:spacing w:val="-1"/>
          <w:sz w:val="24"/>
        </w:rPr>
        <w:t>重新测试直至合格为止；</w:t>
      </w:r>
    </w:p>
    <w:p>
      <w:pPr>
        <w:pStyle w:val="13"/>
        <w:numPr>
          <w:ilvl w:val="0"/>
          <w:numId w:val="32"/>
        </w:numPr>
        <w:tabs>
          <w:tab w:val="left" w:pos="1191"/>
        </w:tabs>
        <w:spacing w:before="159" w:after="0" w:line="240" w:lineRule="auto"/>
        <w:ind w:left="1190" w:right="0" w:hanging="203"/>
        <w:jc w:val="left"/>
        <w:rPr>
          <w:sz w:val="24"/>
        </w:rPr>
      </w:pPr>
      <w:r>
        <w:rPr>
          <w:spacing w:val="-1"/>
          <w:sz w:val="24"/>
        </w:rPr>
        <w:t>要求乙方对货物进行免费更换，然后重新测试直至合格为止；</w:t>
      </w:r>
    </w:p>
    <w:p>
      <w:pPr>
        <w:pStyle w:val="2"/>
        <w:spacing w:before="160"/>
        <w:ind w:left="508"/>
      </w:pPr>
      <w:r>
        <w:t>无论选择何种方式，甲方因此而发生的因卖方原因引起的所有费用均由乙方负担。</w:t>
      </w:r>
    </w:p>
    <w:p>
      <w:pPr>
        <w:pStyle w:val="13"/>
        <w:numPr>
          <w:ilvl w:val="1"/>
          <w:numId w:val="31"/>
        </w:numPr>
        <w:tabs>
          <w:tab w:val="left" w:pos="1579"/>
        </w:tabs>
        <w:spacing w:before="158" w:after="0" w:line="240" w:lineRule="auto"/>
        <w:ind w:left="1578" w:right="0" w:hanging="591"/>
        <w:jc w:val="left"/>
        <w:rPr>
          <w:sz w:val="24"/>
        </w:rPr>
      </w:pPr>
      <w:r>
        <w:rPr>
          <w:sz w:val="24"/>
        </w:rPr>
        <w:t>使用过程检验</w:t>
      </w:r>
    </w:p>
    <w:p>
      <w:pPr>
        <w:pStyle w:val="13"/>
        <w:numPr>
          <w:ilvl w:val="2"/>
          <w:numId w:val="31"/>
        </w:numPr>
        <w:tabs>
          <w:tab w:val="left" w:pos="1778"/>
        </w:tabs>
        <w:spacing w:before="161" w:after="0" w:line="364" w:lineRule="auto"/>
        <w:ind w:left="508" w:right="523" w:firstLine="480"/>
        <w:jc w:val="left"/>
        <w:rPr>
          <w:sz w:val="24"/>
        </w:rPr>
      </w:pPr>
      <w:r>
        <w:rPr>
          <w:spacing w:val="-4"/>
          <w:sz w:val="24"/>
        </w:rPr>
        <w:t>在合同规定的质量保证期内，发现货物的质量或规格与合同规定不符，或证明</w:t>
      </w:r>
      <w:r>
        <w:rPr>
          <w:sz w:val="24"/>
        </w:rPr>
        <w:t>货物有缺陷，包括潜在的缺陷或使用不合适的原材料等，由甲方组织质检（</w:t>
      </w:r>
      <w:r>
        <w:rPr>
          <w:spacing w:val="-3"/>
          <w:sz w:val="24"/>
        </w:rPr>
        <w:t>相关检测费用</w:t>
      </w:r>
    </w:p>
    <w:p>
      <w:pPr>
        <w:spacing w:after="0" w:line="364" w:lineRule="auto"/>
        <w:jc w:val="left"/>
        <w:rPr>
          <w:sz w:val="24"/>
        </w:rPr>
        <w:sectPr>
          <w:pgSz w:w="11910" w:h="16840"/>
          <w:pgMar w:top="1180" w:right="720" w:bottom="1120" w:left="740" w:header="711" w:footer="923" w:gutter="0"/>
        </w:sectPr>
      </w:pPr>
    </w:p>
    <w:p>
      <w:pPr>
        <w:pStyle w:val="2"/>
        <w:spacing w:before="67" w:line="364" w:lineRule="auto"/>
        <w:ind w:left="508" w:right="524"/>
      </w:pPr>
      <w:r>
        <w:t>由卖方承担），据质检报告及质量保证条款向卖方提出索赔，此索赔并不免除乙方应承担的合同义务。</w:t>
      </w:r>
    </w:p>
    <w:p>
      <w:pPr>
        <w:pStyle w:val="13"/>
        <w:numPr>
          <w:ilvl w:val="2"/>
          <w:numId w:val="31"/>
        </w:numPr>
        <w:tabs>
          <w:tab w:val="left" w:pos="1778"/>
        </w:tabs>
        <w:spacing w:before="0" w:after="0" w:line="364" w:lineRule="auto"/>
        <w:ind w:left="508" w:right="523" w:firstLine="480"/>
        <w:jc w:val="both"/>
        <w:rPr>
          <w:b/>
          <w:sz w:val="24"/>
        </w:rPr>
      </w:pPr>
      <w:r>
        <w:rPr>
          <w:spacing w:val="-3"/>
          <w:sz w:val="24"/>
        </w:rPr>
        <w:t>如果合同双方对乙方提供的上述试验结果报告的解释有分歧，双方须于出现分</w:t>
      </w:r>
      <w:r>
        <w:rPr>
          <w:sz w:val="24"/>
        </w:rPr>
        <w:t>歧后</w:t>
      </w:r>
      <w:r>
        <w:rPr>
          <w:rFonts w:ascii="Arial" w:eastAsia="Arial"/>
          <w:sz w:val="24"/>
        </w:rPr>
        <w:t>10</w:t>
      </w:r>
      <w:r>
        <w:rPr>
          <w:spacing w:val="-1"/>
          <w:sz w:val="24"/>
        </w:rPr>
        <w:t>天内给对方声明，以陈述己方的观点。声明须附有关证据。分歧应通过协商解决。</w:t>
      </w:r>
      <w:r>
        <w:rPr>
          <w:rFonts w:ascii="Arial" w:eastAsia="Arial"/>
          <w:b/>
          <w:spacing w:val="-1"/>
          <w:sz w:val="24"/>
        </w:rPr>
        <w:t>12.</w:t>
      </w:r>
      <w:r>
        <w:rPr>
          <w:b/>
          <w:spacing w:val="-1"/>
          <w:sz w:val="24"/>
        </w:rPr>
        <w:t>付款方法和条件</w:t>
      </w:r>
    </w:p>
    <w:p>
      <w:pPr>
        <w:pStyle w:val="2"/>
        <w:spacing w:line="305" w:lineRule="exact"/>
        <w:ind w:left="988"/>
      </w:pPr>
      <w:r>
        <w:t>本合同条款下的付款方法和条件在</w:t>
      </w:r>
      <w:r>
        <w:rPr>
          <w:rFonts w:ascii="Arial" w:hAnsi="Arial" w:eastAsia="Arial"/>
        </w:rPr>
        <w:t>“</w:t>
      </w:r>
      <w:r>
        <w:t>青海省政府采购项目合同书</w:t>
      </w:r>
      <w:r>
        <w:rPr>
          <w:rFonts w:ascii="Arial" w:hAnsi="Arial" w:eastAsia="Arial"/>
        </w:rPr>
        <w:t>”</w:t>
      </w:r>
      <w:r>
        <w:t>中具体规定。</w:t>
      </w:r>
    </w:p>
    <w:p>
      <w:pPr>
        <w:pStyle w:val="13"/>
        <w:numPr>
          <w:ilvl w:val="0"/>
          <w:numId w:val="33"/>
        </w:numPr>
        <w:tabs>
          <w:tab w:val="left" w:pos="845"/>
        </w:tabs>
        <w:spacing w:before="160" w:after="0" w:line="240" w:lineRule="auto"/>
        <w:ind w:left="844" w:right="0" w:hanging="337"/>
        <w:jc w:val="left"/>
        <w:rPr>
          <w:b/>
          <w:sz w:val="24"/>
        </w:rPr>
      </w:pPr>
      <w:r>
        <w:rPr>
          <w:b/>
          <w:sz w:val="24"/>
        </w:rPr>
        <w:t>履约保证金</w:t>
      </w:r>
    </w:p>
    <w:p>
      <w:pPr>
        <w:pStyle w:val="13"/>
        <w:numPr>
          <w:ilvl w:val="1"/>
          <w:numId w:val="33"/>
        </w:numPr>
        <w:tabs>
          <w:tab w:val="left" w:pos="1579"/>
        </w:tabs>
        <w:spacing w:before="158" w:after="0" w:line="364" w:lineRule="auto"/>
        <w:ind w:left="508" w:right="524" w:firstLine="480"/>
        <w:jc w:val="left"/>
        <w:rPr>
          <w:sz w:val="24"/>
        </w:rPr>
      </w:pPr>
      <w:r>
        <w:rPr>
          <w:sz w:val="24"/>
        </w:rPr>
        <w:t>乙方应在合同签订前，按磋商文件文件第二部分</w:t>
      </w:r>
      <w:r>
        <w:rPr>
          <w:rFonts w:ascii="Arial" w:hAnsi="Arial" w:eastAsia="Arial"/>
          <w:sz w:val="24"/>
        </w:rPr>
        <w:t>“</w:t>
      </w:r>
      <w:r>
        <w:rPr>
          <w:sz w:val="24"/>
        </w:rPr>
        <w:t>八授予合同</w:t>
      </w:r>
      <w:r>
        <w:rPr>
          <w:rFonts w:ascii="Arial" w:hAnsi="Arial" w:eastAsia="Arial"/>
          <w:sz w:val="24"/>
        </w:rPr>
        <w:t>”</w:t>
      </w:r>
      <w:r>
        <w:rPr>
          <w:sz w:val="24"/>
        </w:rPr>
        <w:t>中第</w:t>
      </w:r>
      <w:r>
        <w:rPr>
          <w:rFonts w:ascii="Arial" w:hAnsi="Arial" w:eastAsia="Arial"/>
          <w:sz w:val="24"/>
        </w:rPr>
        <w:t>22.2</w:t>
      </w:r>
      <w:r>
        <w:rPr>
          <w:sz w:val="24"/>
        </w:rPr>
        <w:t>项的约定提交履约保证金。</w:t>
      </w:r>
    </w:p>
    <w:p>
      <w:pPr>
        <w:pStyle w:val="13"/>
        <w:numPr>
          <w:ilvl w:val="1"/>
          <w:numId w:val="33"/>
        </w:numPr>
        <w:tabs>
          <w:tab w:val="left" w:pos="1579"/>
        </w:tabs>
        <w:spacing w:before="0" w:after="0" w:line="307" w:lineRule="exact"/>
        <w:ind w:left="1578" w:right="0" w:hanging="591"/>
        <w:jc w:val="left"/>
        <w:rPr>
          <w:sz w:val="24"/>
        </w:rPr>
      </w:pPr>
      <w:r>
        <w:rPr>
          <w:spacing w:val="-1"/>
          <w:sz w:val="24"/>
        </w:rPr>
        <w:t>履约保证金用于补偿甲方因乙方不能履行其合同义务而蒙受的损失。</w:t>
      </w:r>
    </w:p>
    <w:p>
      <w:pPr>
        <w:pStyle w:val="13"/>
        <w:numPr>
          <w:ilvl w:val="1"/>
          <w:numId w:val="33"/>
        </w:numPr>
        <w:tabs>
          <w:tab w:val="left" w:pos="1579"/>
        </w:tabs>
        <w:spacing w:before="160" w:after="0" w:line="362" w:lineRule="auto"/>
        <w:ind w:left="508" w:right="520" w:firstLine="480"/>
        <w:jc w:val="left"/>
        <w:rPr>
          <w:sz w:val="24"/>
        </w:rPr>
      </w:pPr>
      <w:r>
        <w:rPr>
          <w:spacing w:val="-5"/>
          <w:sz w:val="24"/>
        </w:rPr>
        <w:t>履约保证金应使用本合同货币，按下述方式之一提交</w:t>
      </w:r>
      <w:r>
        <w:rPr>
          <w:sz w:val="24"/>
        </w:rPr>
        <w:t>（</w:t>
      </w:r>
      <w:r>
        <w:rPr>
          <w:spacing w:val="-2"/>
          <w:sz w:val="24"/>
        </w:rPr>
        <w:t>磋商文件文件中另有约定</w:t>
      </w:r>
      <w:r>
        <w:rPr>
          <w:sz w:val="24"/>
        </w:rPr>
        <w:t>的除外）：</w:t>
      </w:r>
    </w:p>
    <w:p>
      <w:pPr>
        <w:pStyle w:val="13"/>
        <w:numPr>
          <w:ilvl w:val="2"/>
          <w:numId w:val="33"/>
        </w:numPr>
        <w:tabs>
          <w:tab w:val="left" w:pos="1778"/>
        </w:tabs>
        <w:spacing w:before="5" w:after="0" w:line="240" w:lineRule="auto"/>
        <w:ind w:left="1778" w:right="0" w:hanging="790"/>
        <w:jc w:val="left"/>
        <w:rPr>
          <w:sz w:val="24"/>
        </w:rPr>
      </w:pPr>
      <w:r>
        <w:rPr>
          <w:spacing w:val="-1"/>
          <w:sz w:val="24"/>
        </w:rPr>
        <w:t>甲方可接受的在中华人民共和国注册和营业的银行出具的履约保函；</w:t>
      </w:r>
    </w:p>
    <w:p>
      <w:pPr>
        <w:pStyle w:val="13"/>
        <w:numPr>
          <w:ilvl w:val="2"/>
          <w:numId w:val="33"/>
        </w:numPr>
        <w:tabs>
          <w:tab w:val="left" w:pos="1778"/>
        </w:tabs>
        <w:spacing w:before="158" w:after="0" w:line="240" w:lineRule="auto"/>
        <w:ind w:left="1778" w:right="0" w:hanging="790"/>
        <w:jc w:val="left"/>
        <w:rPr>
          <w:sz w:val="24"/>
        </w:rPr>
      </w:pPr>
      <w:r>
        <w:rPr>
          <w:sz w:val="24"/>
        </w:rPr>
        <w:t>支票或汇票。</w:t>
      </w:r>
    </w:p>
    <w:p>
      <w:pPr>
        <w:pStyle w:val="13"/>
        <w:numPr>
          <w:ilvl w:val="1"/>
          <w:numId w:val="33"/>
        </w:numPr>
        <w:tabs>
          <w:tab w:val="left" w:pos="1579"/>
        </w:tabs>
        <w:spacing w:before="161" w:after="0" w:line="364" w:lineRule="auto"/>
        <w:ind w:left="508" w:right="520" w:firstLine="480"/>
        <w:jc w:val="left"/>
        <w:rPr>
          <w:sz w:val="24"/>
        </w:rPr>
      </w:pPr>
      <w:r>
        <w:rPr>
          <w:spacing w:val="-5"/>
          <w:sz w:val="24"/>
        </w:rPr>
        <w:t>乙方未能按合同规定履行其义务，甲方有权从履约保证金中取得补偿。货物验收</w:t>
      </w:r>
      <w:r>
        <w:rPr>
          <w:sz w:val="24"/>
        </w:rPr>
        <w:t>合格后，甲方将履约保证金退还乙方或转为质量保证金。</w:t>
      </w:r>
    </w:p>
    <w:p>
      <w:pPr>
        <w:pStyle w:val="13"/>
        <w:numPr>
          <w:ilvl w:val="0"/>
          <w:numId w:val="33"/>
        </w:numPr>
        <w:tabs>
          <w:tab w:val="left" w:pos="845"/>
        </w:tabs>
        <w:spacing w:before="0" w:after="0" w:line="306" w:lineRule="exact"/>
        <w:ind w:left="844" w:right="0" w:hanging="337"/>
        <w:jc w:val="left"/>
        <w:rPr>
          <w:b/>
          <w:sz w:val="24"/>
        </w:rPr>
      </w:pPr>
      <w:r>
        <w:rPr>
          <w:b/>
          <w:sz w:val="24"/>
        </w:rPr>
        <w:t>索赔</w:t>
      </w:r>
    </w:p>
    <w:p>
      <w:pPr>
        <w:pStyle w:val="13"/>
        <w:numPr>
          <w:ilvl w:val="1"/>
          <w:numId w:val="33"/>
        </w:numPr>
        <w:tabs>
          <w:tab w:val="left" w:pos="1579"/>
        </w:tabs>
        <w:spacing w:before="160" w:after="0" w:line="364" w:lineRule="auto"/>
        <w:ind w:left="508" w:right="523" w:firstLine="480"/>
        <w:jc w:val="both"/>
        <w:rPr>
          <w:sz w:val="24"/>
        </w:rPr>
      </w:pPr>
      <w:r>
        <w:rPr>
          <w:spacing w:val="-8"/>
          <w:sz w:val="24"/>
        </w:rPr>
        <w:t>货物的质量、规格、数量、性能等与合同约定不符，或在质量保证期内证实货物</w:t>
      </w:r>
      <w:r>
        <w:rPr>
          <w:spacing w:val="-1"/>
          <w:sz w:val="24"/>
        </w:rPr>
        <w:t>存有缺陷，包括潜在的缺陷或使用不符合要求的材料等，甲方有权根据有资质的权威质检</w:t>
      </w:r>
      <w:r>
        <w:rPr>
          <w:sz w:val="24"/>
        </w:rPr>
        <w:t>机构的检验结果向乙方提出索赔（但责任应由保险公司或运输部门承担的除外）。</w:t>
      </w:r>
    </w:p>
    <w:p>
      <w:pPr>
        <w:pStyle w:val="13"/>
        <w:numPr>
          <w:ilvl w:val="1"/>
          <w:numId w:val="33"/>
        </w:numPr>
        <w:tabs>
          <w:tab w:val="left" w:pos="1579"/>
        </w:tabs>
        <w:spacing w:before="0" w:after="0" w:line="364" w:lineRule="auto"/>
        <w:ind w:left="508" w:right="520" w:firstLine="480"/>
        <w:jc w:val="both"/>
        <w:rPr>
          <w:sz w:val="24"/>
        </w:rPr>
      </w:pPr>
      <w:r>
        <w:rPr>
          <w:spacing w:val="-6"/>
          <w:sz w:val="24"/>
        </w:rPr>
        <w:t>在履约保证期和检验期内，乙方对甲方提出的索赔负有责任，乙方应按照甲方同</w:t>
      </w:r>
      <w:r>
        <w:rPr>
          <w:sz w:val="24"/>
        </w:rPr>
        <w:t>意的下列一种或多种方式解决索赔事宜：</w:t>
      </w:r>
    </w:p>
    <w:p>
      <w:pPr>
        <w:pStyle w:val="13"/>
        <w:numPr>
          <w:ilvl w:val="2"/>
          <w:numId w:val="33"/>
        </w:numPr>
        <w:tabs>
          <w:tab w:val="left" w:pos="1778"/>
        </w:tabs>
        <w:spacing w:before="0" w:after="0" w:line="364" w:lineRule="auto"/>
        <w:ind w:left="508" w:right="522" w:firstLine="480"/>
        <w:jc w:val="both"/>
        <w:rPr>
          <w:sz w:val="24"/>
        </w:rPr>
      </w:pPr>
      <w:r>
        <w:rPr>
          <w:spacing w:val="-4"/>
          <w:sz w:val="24"/>
        </w:rPr>
        <w:t>在法定的退货期内，乙方应按合同规定将货款退还给甲方，并承担由此发生的</w:t>
      </w:r>
      <w:r>
        <w:rPr>
          <w:spacing w:val="-1"/>
          <w:sz w:val="24"/>
        </w:rPr>
        <w:t>一切损失和费用，包括利息、银行手续费、运费、保险费、检验费、仓储费、装卸费以及为保护退回货物所需的其它必要费用。如已超过退货期，但乙方同意退货，可比照上述办</w:t>
      </w:r>
      <w:r>
        <w:rPr>
          <w:sz w:val="24"/>
        </w:rPr>
        <w:t>法办理，或由双方协商处理。</w:t>
      </w:r>
    </w:p>
    <w:p>
      <w:pPr>
        <w:pStyle w:val="13"/>
        <w:numPr>
          <w:ilvl w:val="2"/>
          <w:numId w:val="33"/>
        </w:numPr>
        <w:tabs>
          <w:tab w:val="left" w:pos="1778"/>
        </w:tabs>
        <w:spacing w:before="0" w:after="0" w:line="364" w:lineRule="auto"/>
        <w:ind w:left="508" w:right="523" w:firstLine="480"/>
        <w:jc w:val="both"/>
        <w:rPr>
          <w:sz w:val="24"/>
        </w:rPr>
      </w:pPr>
      <w:r>
        <w:rPr>
          <w:spacing w:val="-4"/>
          <w:sz w:val="24"/>
        </w:rPr>
        <w:t>根据货物低劣程度、损坏程度以及甲方所遭受损失的数额，经甲乙双方商定降</w:t>
      </w:r>
      <w:r>
        <w:rPr>
          <w:sz w:val="24"/>
        </w:rPr>
        <w:t>低货物的价格，或由有资质的中介机构评估，以降低后的价格或评估价格为准。</w:t>
      </w:r>
    </w:p>
    <w:p>
      <w:pPr>
        <w:pStyle w:val="13"/>
        <w:numPr>
          <w:ilvl w:val="2"/>
          <w:numId w:val="33"/>
        </w:numPr>
        <w:tabs>
          <w:tab w:val="left" w:pos="1778"/>
        </w:tabs>
        <w:spacing w:before="0" w:after="0" w:line="364" w:lineRule="auto"/>
        <w:ind w:left="508" w:right="523" w:firstLine="480"/>
        <w:jc w:val="both"/>
        <w:rPr>
          <w:sz w:val="24"/>
        </w:rPr>
      </w:pPr>
      <w:r>
        <w:rPr>
          <w:spacing w:val="-4"/>
          <w:sz w:val="24"/>
        </w:rPr>
        <w:t>用符合规格、质量和性能要求的新零件、部件或货物来更换有缺陷的部分或修</w:t>
      </w:r>
      <w:r>
        <w:rPr>
          <w:spacing w:val="-1"/>
          <w:sz w:val="24"/>
        </w:rPr>
        <w:t>补缺陷部分，乙方应承担一切费用和风险，并负担甲方所发生的一切直接费用。同时，乙</w:t>
      </w:r>
      <w:r>
        <w:rPr>
          <w:sz w:val="24"/>
        </w:rPr>
        <w:t>方应相应延长修补或更换件的履约保证期。</w:t>
      </w:r>
    </w:p>
    <w:p>
      <w:pPr>
        <w:spacing w:after="0" w:line="364" w:lineRule="auto"/>
        <w:jc w:val="both"/>
        <w:rPr>
          <w:sz w:val="24"/>
        </w:rPr>
        <w:sectPr>
          <w:pgSz w:w="11910" w:h="16840"/>
          <w:pgMar w:top="1180" w:right="720" w:bottom="1120" w:left="740" w:header="711" w:footer="923" w:gutter="0"/>
        </w:sectPr>
      </w:pPr>
    </w:p>
    <w:p>
      <w:pPr>
        <w:pStyle w:val="13"/>
        <w:numPr>
          <w:ilvl w:val="1"/>
          <w:numId w:val="33"/>
        </w:numPr>
        <w:tabs>
          <w:tab w:val="left" w:pos="1579"/>
        </w:tabs>
        <w:spacing w:before="67" w:after="0" w:line="364" w:lineRule="auto"/>
        <w:ind w:left="508" w:right="522" w:firstLine="480"/>
        <w:jc w:val="left"/>
        <w:rPr>
          <w:sz w:val="24"/>
        </w:rPr>
      </w:pPr>
      <w:r>
        <w:rPr>
          <w:sz w:val="24"/>
        </w:rPr>
        <w:t>乙方收到甲方发出的索赔通知之日起</w:t>
      </w:r>
      <w:r>
        <w:rPr>
          <w:rFonts w:ascii="Arial" w:eastAsia="Arial"/>
          <w:sz w:val="24"/>
        </w:rPr>
        <w:t>5</w:t>
      </w:r>
      <w:r>
        <w:rPr>
          <w:spacing w:val="-1"/>
          <w:sz w:val="24"/>
        </w:rPr>
        <w:t>个工作日内未作答复的，甲方可从合同款</w:t>
      </w:r>
      <w:r>
        <w:rPr>
          <w:sz w:val="24"/>
        </w:rPr>
        <w:t>或履约保证金中扣回索赔金额，如金额不足以补偿索赔金额，乙方应补足差额部分。</w:t>
      </w:r>
    </w:p>
    <w:p>
      <w:pPr>
        <w:pStyle w:val="13"/>
        <w:numPr>
          <w:ilvl w:val="0"/>
          <w:numId w:val="33"/>
        </w:numPr>
        <w:tabs>
          <w:tab w:val="left" w:pos="845"/>
        </w:tabs>
        <w:spacing w:before="0" w:after="0" w:line="307" w:lineRule="exact"/>
        <w:ind w:left="844" w:right="0" w:hanging="337"/>
        <w:jc w:val="left"/>
        <w:rPr>
          <w:b/>
          <w:sz w:val="24"/>
        </w:rPr>
      </w:pPr>
      <w:r>
        <w:rPr>
          <w:b/>
          <w:sz w:val="24"/>
        </w:rPr>
        <w:t>迟延交货</w:t>
      </w:r>
    </w:p>
    <w:p>
      <w:pPr>
        <w:pStyle w:val="13"/>
        <w:numPr>
          <w:ilvl w:val="1"/>
          <w:numId w:val="33"/>
        </w:numPr>
        <w:tabs>
          <w:tab w:val="left" w:pos="1579"/>
        </w:tabs>
        <w:spacing w:before="158" w:after="0" w:line="240" w:lineRule="auto"/>
        <w:ind w:left="1578" w:right="0" w:hanging="591"/>
        <w:jc w:val="both"/>
        <w:rPr>
          <w:sz w:val="24"/>
        </w:rPr>
      </w:pPr>
      <w:r>
        <w:rPr>
          <w:spacing w:val="-1"/>
          <w:sz w:val="24"/>
        </w:rPr>
        <w:t>乙方应按照合同约定的时间交货和提供服务。</w:t>
      </w:r>
    </w:p>
    <w:p>
      <w:pPr>
        <w:pStyle w:val="13"/>
        <w:numPr>
          <w:ilvl w:val="1"/>
          <w:numId w:val="33"/>
        </w:numPr>
        <w:tabs>
          <w:tab w:val="left" w:pos="1579"/>
        </w:tabs>
        <w:spacing w:before="161" w:after="0" w:line="240" w:lineRule="auto"/>
        <w:ind w:left="1578" w:right="0" w:hanging="591"/>
        <w:jc w:val="both"/>
        <w:rPr>
          <w:sz w:val="24"/>
        </w:rPr>
      </w:pPr>
      <w:r>
        <w:rPr>
          <w:spacing w:val="-1"/>
          <w:sz w:val="24"/>
        </w:rPr>
        <w:t>除不可抗力因素外，乙方迟延交货，甲方有权提出违约损失赔偿或解除合同。</w:t>
      </w:r>
    </w:p>
    <w:p>
      <w:pPr>
        <w:pStyle w:val="13"/>
        <w:numPr>
          <w:ilvl w:val="1"/>
          <w:numId w:val="33"/>
        </w:numPr>
        <w:tabs>
          <w:tab w:val="left" w:pos="1579"/>
        </w:tabs>
        <w:spacing w:before="158" w:after="0" w:line="364" w:lineRule="auto"/>
        <w:ind w:left="508" w:right="520" w:firstLine="480"/>
        <w:jc w:val="both"/>
        <w:rPr>
          <w:sz w:val="24"/>
        </w:rPr>
      </w:pPr>
      <w:r>
        <w:rPr>
          <w:spacing w:val="-6"/>
          <w:sz w:val="24"/>
        </w:rPr>
        <w:t>在履行合同过程中，乙方遇到不能按时交货和提供服务的情况，应及时以书面形</w:t>
      </w:r>
      <w:r>
        <w:rPr>
          <w:sz w:val="24"/>
        </w:rPr>
        <w:t>式将不能按时交货的理由、预期延误时间通知甲方。甲方收到乙方通知后，认为其理由正当的，可酌情延长交货时间。</w:t>
      </w:r>
    </w:p>
    <w:p>
      <w:pPr>
        <w:pStyle w:val="13"/>
        <w:numPr>
          <w:ilvl w:val="0"/>
          <w:numId w:val="33"/>
        </w:numPr>
        <w:tabs>
          <w:tab w:val="left" w:pos="845"/>
        </w:tabs>
        <w:spacing w:before="0" w:after="0" w:line="307" w:lineRule="exact"/>
        <w:ind w:left="844" w:right="0" w:hanging="337"/>
        <w:jc w:val="left"/>
        <w:rPr>
          <w:b/>
          <w:sz w:val="24"/>
        </w:rPr>
      </w:pPr>
      <w:r>
        <w:rPr>
          <w:b/>
          <w:sz w:val="24"/>
        </w:rPr>
        <w:t>违约赔偿</w:t>
      </w:r>
    </w:p>
    <w:p>
      <w:pPr>
        <w:pStyle w:val="2"/>
        <w:spacing w:before="158" w:line="364" w:lineRule="auto"/>
        <w:ind w:left="508" w:right="526" w:firstLine="480"/>
      </w:pPr>
      <w:r>
        <w:t>除不可抗力因素外，乙方没有按照合同规定的时间交货和提供服务，甲方可要求乙方支付违约金。违约金每日按合同总价款的千分之五计收。</w:t>
      </w:r>
    </w:p>
    <w:p>
      <w:pPr>
        <w:pStyle w:val="13"/>
        <w:numPr>
          <w:ilvl w:val="0"/>
          <w:numId w:val="33"/>
        </w:numPr>
        <w:tabs>
          <w:tab w:val="left" w:pos="845"/>
        </w:tabs>
        <w:spacing w:before="0" w:after="0" w:line="306" w:lineRule="exact"/>
        <w:ind w:left="844" w:right="0" w:hanging="337"/>
        <w:jc w:val="left"/>
        <w:rPr>
          <w:b/>
          <w:sz w:val="24"/>
        </w:rPr>
      </w:pPr>
      <w:r>
        <w:rPr>
          <w:b/>
          <w:sz w:val="24"/>
        </w:rPr>
        <w:t>不可抗力</w:t>
      </w:r>
    </w:p>
    <w:p>
      <w:pPr>
        <w:pStyle w:val="13"/>
        <w:numPr>
          <w:ilvl w:val="1"/>
          <w:numId w:val="33"/>
        </w:numPr>
        <w:tabs>
          <w:tab w:val="left" w:pos="1579"/>
        </w:tabs>
        <w:spacing w:before="161" w:after="0" w:line="362" w:lineRule="auto"/>
        <w:ind w:left="508" w:right="520" w:firstLine="480"/>
        <w:jc w:val="left"/>
        <w:rPr>
          <w:sz w:val="24"/>
        </w:rPr>
      </w:pPr>
      <w:r>
        <w:rPr>
          <w:spacing w:val="-5"/>
          <w:sz w:val="24"/>
        </w:rPr>
        <w:t>双方中任何一方遭遇法律规定的不可抗力，致使合同履行受阻时，履行合同的期</w:t>
      </w:r>
      <w:r>
        <w:rPr>
          <w:sz w:val="24"/>
        </w:rPr>
        <w:t>限应予延长，延长的期限应相当于不可抗力所影响的时间。</w:t>
      </w:r>
    </w:p>
    <w:p>
      <w:pPr>
        <w:pStyle w:val="13"/>
        <w:numPr>
          <w:ilvl w:val="1"/>
          <w:numId w:val="33"/>
        </w:numPr>
        <w:tabs>
          <w:tab w:val="left" w:pos="1579"/>
        </w:tabs>
        <w:spacing w:before="5" w:after="0" w:line="240" w:lineRule="auto"/>
        <w:ind w:left="1578" w:right="0" w:hanging="591"/>
        <w:jc w:val="left"/>
        <w:rPr>
          <w:sz w:val="24"/>
        </w:rPr>
      </w:pPr>
      <w:r>
        <w:rPr>
          <w:spacing w:val="-1"/>
          <w:sz w:val="24"/>
        </w:rPr>
        <w:t>受事故影响的一方应在不可抗力的事故发生后以书面形式通知另一方。</w:t>
      </w:r>
    </w:p>
    <w:p>
      <w:pPr>
        <w:pStyle w:val="13"/>
        <w:numPr>
          <w:ilvl w:val="1"/>
          <w:numId w:val="33"/>
        </w:numPr>
        <w:tabs>
          <w:tab w:val="left" w:pos="1579"/>
        </w:tabs>
        <w:spacing w:before="160" w:after="0" w:line="362" w:lineRule="auto"/>
        <w:ind w:left="508" w:right="523" w:firstLine="480"/>
        <w:jc w:val="left"/>
        <w:rPr>
          <w:sz w:val="24"/>
        </w:rPr>
      </w:pPr>
      <w:r>
        <w:rPr>
          <w:spacing w:val="-5"/>
          <w:sz w:val="24"/>
        </w:rPr>
        <w:t>不可抗力使合同的某些内容有变更必要的，双方应通过协商达成进一步履行合同</w:t>
      </w:r>
      <w:r>
        <w:rPr>
          <w:sz w:val="24"/>
        </w:rPr>
        <w:t>的协议，因不可抗力致使合同不能履行的，合同终止。</w:t>
      </w:r>
    </w:p>
    <w:p>
      <w:pPr>
        <w:pStyle w:val="13"/>
        <w:numPr>
          <w:ilvl w:val="0"/>
          <w:numId w:val="33"/>
        </w:numPr>
        <w:tabs>
          <w:tab w:val="left" w:pos="845"/>
        </w:tabs>
        <w:spacing w:before="5" w:after="0" w:line="240" w:lineRule="auto"/>
        <w:ind w:left="844" w:right="0" w:hanging="337"/>
        <w:jc w:val="left"/>
        <w:rPr>
          <w:b/>
          <w:sz w:val="24"/>
        </w:rPr>
      </w:pPr>
      <w:r>
        <w:rPr>
          <w:b/>
          <w:sz w:val="24"/>
        </w:rPr>
        <w:t>税费</w:t>
      </w:r>
    </w:p>
    <w:p>
      <w:pPr>
        <w:pStyle w:val="2"/>
        <w:spacing w:before="159"/>
        <w:ind w:left="988"/>
      </w:pPr>
      <w:r>
        <w:t>与本合同有关的一切税费均由乙方承担。</w:t>
      </w:r>
    </w:p>
    <w:p>
      <w:pPr>
        <w:pStyle w:val="13"/>
        <w:numPr>
          <w:ilvl w:val="0"/>
          <w:numId w:val="33"/>
        </w:numPr>
        <w:tabs>
          <w:tab w:val="left" w:pos="845"/>
        </w:tabs>
        <w:spacing w:before="160" w:after="0" w:line="240" w:lineRule="auto"/>
        <w:ind w:left="844" w:right="0" w:hanging="337"/>
        <w:jc w:val="left"/>
        <w:rPr>
          <w:b/>
          <w:sz w:val="24"/>
        </w:rPr>
      </w:pPr>
      <w:r>
        <w:rPr>
          <w:b/>
          <w:sz w:val="24"/>
        </w:rPr>
        <w:t>合同争议的解决</w:t>
      </w:r>
    </w:p>
    <w:p>
      <w:pPr>
        <w:pStyle w:val="13"/>
        <w:numPr>
          <w:ilvl w:val="1"/>
          <w:numId w:val="33"/>
        </w:numPr>
        <w:tabs>
          <w:tab w:val="left" w:pos="1579"/>
        </w:tabs>
        <w:spacing w:before="158" w:after="0" w:line="240" w:lineRule="auto"/>
        <w:ind w:left="1578" w:right="0" w:hanging="591"/>
        <w:jc w:val="left"/>
        <w:rPr>
          <w:sz w:val="24"/>
        </w:rPr>
      </w:pPr>
      <w:r>
        <w:rPr>
          <w:spacing w:val="-1"/>
          <w:sz w:val="24"/>
        </w:rPr>
        <w:t>甲方和乙方由于本合同的履行而发生任何争议时，双方可先通过协商解决。</w:t>
      </w:r>
    </w:p>
    <w:p>
      <w:pPr>
        <w:pStyle w:val="13"/>
        <w:numPr>
          <w:ilvl w:val="1"/>
          <w:numId w:val="33"/>
        </w:numPr>
        <w:tabs>
          <w:tab w:val="left" w:pos="1579"/>
        </w:tabs>
        <w:spacing w:before="161" w:after="0" w:line="362" w:lineRule="auto"/>
        <w:ind w:left="508" w:right="523" w:firstLine="480"/>
        <w:jc w:val="left"/>
        <w:rPr>
          <w:sz w:val="24"/>
        </w:rPr>
      </w:pPr>
      <w:r>
        <w:rPr>
          <w:spacing w:val="-5"/>
          <w:sz w:val="24"/>
        </w:rPr>
        <w:t>任何一方不愿通过协商或通过协商仍不能解决争议，则双方中任何一方均应向甲</w:t>
      </w:r>
      <w:r>
        <w:rPr>
          <w:sz w:val="24"/>
        </w:rPr>
        <w:t>方所在地人民法院起诉。</w:t>
      </w:r>
    </w:p>
    <w:p>
      <w:pPr>
        <w:pStyle w:val="13"/>
        <w:numPr>
          <w:ilvl w:val="0"/>
          <w:numId w:val="33"/>
        </w:numPr>
        <w:tabs>
          <w:tab w:val="left" w:pos="845"/>
        </w:tabs>
        <w:spacing w:before="5" w:after="0" w:line="240" w:lineRule="auto"/>
        <w:ind w:left="844" w:right="0" w:hanging="337"/>
        <w:jc w:val="left"/>
        <w:rPr>
          <w:b/>
          <w:sz w:val="24"/>
        </w:rPr>
      </w:pPr>
      <w:r>
        <w:rPr>
          <w:b/>
          <w:sz w:val="24"/>
        </w:rPr>
        <w:t>违约解除合同</w:t>
      </w:r>
    </w:p>
    <w:p>
      <w:pPr>
        <w:pStyle w:val="13"/>
        <w:numPr>
          <w:ilvl w:val="1"/>
          <w:numId w:val="33"/>
        </w:numPr>
        <w:tabs>
          <w:tab w:val="left" w:pos="1579"/>
        </w:tabs>
        <w:spacing w:before="158" w:after="0" w:line="364" w:lineRule="auto"/>
        <w:ind w:left="508" w:right="523" w:firstLine="480"/>
        <w:jc w:val="left"/>
        <w:rPr>
          <w:sz w:val="24"/>
        </w:rPr>
      </w:pPr>
      <w:r>
        <w:rPr>
          <w:spacing w:val="-6"/>
          <w:sz w:val="24"/>
        </w:rPr>
        <w:t>出现下列情形之一的，视为乙方违约。甲方可向乙方发出书面通知，部分或全部</w:t>
      </w:r>
      <w:r>
        <w:rPr>
          <w:sz w:val="24"/>
        </w:rPr>
        <w:t>终止合同，同时保留向乙方索赔的权利。</w:t>
      </w:r>
    </w:p>
    <w:p>
      <w:pPr>
        <w:pStyle w:val="13"/>
        <w:numPr>
          <w:ilvl w:val="2"/>
          <w:numId w:val="33"/>
        </w:numPr>
        <w:tabs>
          <w:tab w:val="left" w:pos="1778"/>
        </w:tabs>
        <w:spacing w:before="0" w:after="0" w:line="307" w:lineRule="exact"/>
        <w:ind w:left="1778" w:right="0" w:hanging="790"/>
        <w:jc w:val="left"/>
        <w:rPr>
          <w:sz w:val="24"/>
        </w:rPr>
      </w:pPr>
      <w:r>
        <w:rPr>
          <w:spacing w:val="-2"/>
          <w:sz w:val="24"/>
        </w:rPr>
        <w:t>乙方未能在合同规定的限期或甲方同意延长的限期内，提供全部或部分货物的；</w:t>
      </w:r>
    </w:p>
    <w:p>
      <w:pPr>
        <w:pStyle w:val="13"/>
        <w:numPr>
          <w:ilvl w:val="2"/>
          <w:numId w:val="33"/>
        </w:numPr>
        <w:tabs>
          <w:tab w:val="left" w:pos="1778"/>
        </w:tabs>
        <w:spacing w:before="160" w:after="0" w:line="240" w:lineRule="auto"/>
        <w:ind w:left="1778" w:right="0" w:hanging="790"/>
        <w:jc w:val="left"/>
        <w:rPr>
          <w:sz w:val="24"/>
        </w:rPr>
      </w:pPr>
      <w:r>
        <w:rPr>
          <w:spacing w:val="-1"/>
          <w:sz w:val="24"/>
        </w:rPr>
        <w:t>乙方未能履行合同规定的其它主要义务的；</w:t>
      </w:r>
    </w:p>
    <w:p>
      <w:pPr>
        <w:pStyle w:val="13"/>
        <w:numPr>
          <w:ilvl w:val="2"/>
          <w:numId w:val="33"/>
        </w:numPr>
        <w:tabs>
          <w:tab w:val="left" w:pos="1778"/>
        </w:tabs>
        <w:spacing w:before="159" w:after="0" w:line="240" w:lineRule="auto"/>
        <w:ind w:left="1778" w:right="0" w:hanging="790"/>
        <w:jc w:val="left"/>
        <w:rPr>
          <w:sz w:val="24"/>
        </w:rPr>
      </w:pPr>
      <w:r>
        <w:rPr>
          <w:spacing w:val="-1"/>
          <w:sz w:val="24"/>
        </w:rPr>
        <w:t>乙方在本合同履行过程中有欺诈行为的。</w:t>
      </w:r>
    </w:p>
    <w:p>
      <w:pPr>
        <w:pStyle w:val="13"/>
        <w:numPr>
          <w:ilvl w:val="1"/>
          <w:numId w:val="33"/>
        </w:numPr>
        <w:tabs>
          <w:tab w:val="left" w:pos="1579"/>
        </w:tabs>
        <w:spacing w:before="160" w:after="0" w:line="364" w:lineRule="auto"/>
        <w:ind w:left="508" w:right="523" w:firstLine="480"/>
        <w:jc w:val="both"/>
        <w:rPr>
          <w:sz w:val="24"/>
        </w:rPr>
      </w:pPr>
      <w:r>
        <w:rPr>
          <w:spacing w:val="-6"/>
          <w:sz w:val="24"/>
        </w:rPr>
        <w:t>甲方全部或部分解除合同之后，应当遵循诚实信用原则购买与未交付的货物类似</w:t>
      </w:r>
      <w:r>
        <w:rPr>
          <w:spacing w:val="-14"/>
          <w:sz w:val="24"/>
        </w:rPr>
        <w:t>的货物或服务，乙方应承担买方购买类似货物或服务而产生的额外支出。部分解除合同的，</w:t>
      </w:r>
    </w:p>
    <w:p>
      <w:pPr>
        <w:spacing w:after="0" w:line="364" w:lineRule="auto"/>
        <w:jc w:val="both"/>
        <w:rPr>
          <w:sz w:val="24"/>
        </w:rPr>
        <w:sectPr>
          <w:pgSz w:w="11910" w:h="16840"/>
          <w:pgMar w:top="1180" w:right="720" w:bottom="1120" w:left="740" w:header="711" w:footer="923" w:gutter="0"/>
        </w:sectPr>
      </w:pPr>
    </w:p>
    <w:p>
      <w:pPr>
        <w:pStyle w:val="2"/>
        <w:spacing w:before="67"/>
        <w:ind w:left="508"/>
      </w:pPr>
      <w:r>
        <w:t>乙方应继续履行合同中未解除的部分。</w:t>
      </w:r>
    </w:p>
    <w:p>
      <w:pPr>
        <w:pStyle w:val="13"/>
        <w:numPr>
          <w:ilvl w:val="0"/>
          <w:numId w:val="33"/>
        </w:numPr>
        <w:tabs>
          <w:tab w:val="left" w:pos="845"/>
        </w:tabs>
        <w:spacing w:before="158" w:after="0" w:line="240" w:lineRule="auto"/>
        <w:ind w:left="844" w:right="0" w:hanging="337"/>
        <w:jc w:val="left"/>
        <w:rPr>
          <w:b/>
          <w:sz w:val="24"/>
        </w:rPr>
      </w:pPr>
      <w:r>
        <w:rPr>
          <w:b/>
          <w:sz w:val="24"/>
        </w:rPr>
        <w:t>破产终止合同</w:t>
      </w:r>
    </w:p>
    <w:p>
      <w:pPr>
        <w:pStyle w:val="2"/>
        <w:spacing w:before="161" w:line="364" w:lineRule="auto"/>
        <w:ind w:left="508" w:right="524"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13"/>
        <w:numPr>
          <w:ilvl w:val="0"/>
          <w:numId w:val="33"/>
        </w:numPr>
        <w:tabs>
          <w:tab w:val="left" w:pos="845"/>
        </w:tabs>
        <w:spacing w:before="0" w:after="0" w:line="305" w:lineRule="exact"/>
        <w:ind w:left="844" w:right="0" w:hanging="337"/>
        <w:jc w:val="left"/>
        <w:rPr>
          <w:b/>
          <w:sz w:val="24"/>
        </w:rPr>
      </w:pPr>
      <w:r>
        <w:rPr>
          <w:b/>
          <w:sz w:val="24"/>
        </w:rPr>
        <w:t>转让和分包</w:t>
      </w:r>
    </w:p>
    <w:p>
      <w:pPr>
        <w:pStyle w:val="13"/>
        <w:numPr>
          <w:ilvl w:val="1"/>
          <w:numId w:val="33"/>
        </w:numPr>
        <w:tabs>
          <w:tab w:val="left" w:pos="1459"/>
        </w:tabs>
        <w:spacing w:before="160" w:after="0" w:line="240" w:lineRule="auto"/>
        <w:ind w:left="1458" w:right="0" w:hanging="591"/>
        <w:jc w:val="both"/>
        <w:rPr>
          <w:sz w:val="24"/>
        </w:rPr>
      </w:pPr>
      <w:r>
        <w:rPr>
          <w:spacing w:val="-1"/>
          <w:sz w:val="24"/>
        </w:rPr>
        <w:t>政府采购合同不能转让。</w:t>
      </w:r>
    </w:p>
    <w:p>
      <w:pPr>
        <w:pStyle w:val="13"/>
        <w:numPr>
          <w:ilvl w:val="1"/>
          <w:numId w:val="33"/>
        </w:numPr>
        <w:tabs>
          <w:tab w:val="left" w:pos="1459"/>
        </w:tabs>
        <w:spacing w:before="159" w:after="0" w:line="364" w:lineRule="auto"/>
        <w:ind w:left="508" w:right="524" w:firstLine="360"/>
        <w:jc w:val="both"/>
        <w:rPr>
          <w:sz w:val="24"/>
        </w:rPr>
      </w:pPr>
      <w:r>
        <w:rPr>
          <w:sz w:val="24"/>
        </w:rPr>
        <w:t>经甲方书面同意乙方可以将合同条款下非主体、非关键性工作分包给他人完成。</w:t>
      </w:r>
      <w:r>
        <w:rPr>
          <w:spacing w:val="-1"/>
          <w:sz w:val="24"/>
        </w:rPr>
        <w:t>接受分包的人应当具备相应的资格条件，并不得再次分包。分包后不能解除卖方履行本合</w:t>
      </w:r>
      <w:r>
        <w:rPr>
          <w:sz w:val="24"/>
        </w:rPr>
        <w:t>同的责任和义务，接受分包的人与乙方共同对甲方连带承担合同的责任和义务。</w:t>
      </w:r>
    </w:p>
    <w:p>
      <w:pPr>
        <w:pStyle w:val="13"/>
        <w:numPr>
          <w:ilvl w:val="0"/>
          <w:numId w:val="33"/>
        </w:numPr>
        <w:tabs>
          <w:tab w:val="left" w:pos="845"/>
        </w:tabs>
        <w:spacing w:before="0" w:after="0" w:line="240" w:lineRule="auto"/>
        <w:ind w:left="844" w:right="0" w:hanging="337"/>
        <w:jc w:val="left"/>
        <w:rPr>
          <w:b/>
          <w:sz w:val="24"/>
        </w:rPr>
      </w:pPr>
      <w:r>
        <w:rPr>
          <w:b/>
          <w:sz w:val="24"/>
        </w:rPr>
        <w:t>合同修改</w:t>
      </w:r>
    </w:p>
    <w:p>
      <w:pPr>
        <w:pStyle w:val="2"/>
        <w:spacing w:before="158"/>
        <w:ind w:left="988"/>
      </w:pPr>
      <w:r>
        <w:t>政府采购合同的双方当事人不得擅自变更、中止或者终止合同</w:t>
      </w:r>
    </w:p>
    <w:p>
      <w:pPr>
        <w:pStyle w:val="13"/>
        <w:numPr>
          <w:ilvl w:val="0"/>
          <w:numId w:val="33"/>
        </w:numPr>
        <w:tabs>
          <w:tab w:val="left" w:pos="845"/>
        </w:tabs>
        <w:spacing w:before="160" w:after="0" w:line="240" w:lineRule="auto"/>
        <w:ind w:left="844" w:right="0" w:hanging="337"/>
        <w:jc w:val="left"/>
        <w:rPr>
          <w:b/>
          <w:sz w:val="24"/>
        </w:rPr>
      </w:pPr>
      <w:r>
        <w:rPr>
          <w:b/>
          <w:sz w:val="24"/>
        </w:rPr>
        <w:t>通知</w:t>
      </w:r>
    </w:p>
    <w:p>
      <w:pPr>
        <w:pStyle w:val="2"/>
        <w:spacing w:before="158" w:line="364" w:lineRule="auto"/>
        <w:ind w:left="508" w:right="526" w:firstLine="480"/>
      </w:pPr>
      <w:r>
        <w:t>本合同任何一方给另一方的通知，都应以书面形式发送，而另一方也应以书面形式确认并发送到对方明确的地址。</w:t>
      </w:r>
    </w:p>
    <w:p>
      <w:pPr>
        <w:pStyle w:val="13"/>
        <w:numPr>
          <w:ilvl w:val="0"/>
          <w:numId w:val="33"/>
        </w:numPr>
        <w:tabs>
          <w:tab w:val="left" w:pos="845"/>
        </w:tabs>
        <w:spacing w:before="1" w:after="0" w:line="240" w:lineRule="auto"/>
        <w:ind w:left="844" w:right="0" w:hanging="337"/>
        <w:jc w:val="left"/>
        <w:rPr>
          <w:b/>
          <w:sz w:val="24"/>
        </w:rPr>
      </w:pPr>
      <w:r>
        <w:rPr>
          <w:b/>
          <w:sz w:val="24"/>
        </w:rPr>
        <w:t>计量单位</w:t>
      </w:r>
    </w:p>
    <w:p>
      <w:pPr>
        <w:pStyle w:val="2"/>
        <w:spacing w:before="159"/>
        <w:ind w:left="988"/>
      </w:pPr>
      <w:r>
        <w:t>除技术规范中另有规定外，计量单位均使用国家法定计量单位。</w:t>
      </w:r>
    </w:p>
    <w:p>
      <w:pPr>
        <w:pStyle w:val="13"/>
        <w:numPr>
          <w:ilvl w:val="0"/>
          <w:numId w:val="33"/>
        </w:numPr>
        <w:tabs>
          <w:tab w:val="left" w:pos="845"/>
        </w:tabs>
        <w:spacing w:before="160" w:after="0" w:line="240" w:lineRule="auto"/>
        <w:ind w:left="844" w:right="0" w:hanging="337"/>
        <w:jc w:val="left"/>
        <w:rPr>
          <w:b/>
          <w:sz w:val="24"/>
        </w:rPr>
      </w:pPr>
      <w:r>
        <w:rPr>
          <w:b/>
          <w:sz w:val="24"/>
        </w:rPr>
        <w:t>适用法律</w:t>
      </w:r>
    </w:p>
    <w:p>
      <w:pPr>
        <w:pStyle w:val="2"/>
        <w:spacing w:before="159"/>
        <w:ind w:left="988"/>
      </w:pPr>
      <w:r>
        <w:t>本合同按照中华人民共和国的相关法律进行解释。</w:t>
      </w:r>
    </w:p>
    <w:p>
      <w:pPr>
        <w:spacing w:after="0"/>
        <w:sectPr>
          <w:pgSz w:w="11910" w:h="16840"/>
          <w:pgMar w:top="1180" w:right="720" w:bottom="1120" w:left="740" w:header="711" w:footer="923" w:gutter="0"/>
        </w:sectPr>
      </w:pPr>
    </w:p>
    <w:p>
      <w:pPr>
        <w:pStyle w:val="3"/>
      </w:pPr>
      <w:bookmarkStart w:id="41" w:name="_TOC_250028"/>
      <w:bookmarkEnd w:id="41"/>
      <w:r>
        <w:t>第五部分磋商响应文件格式</w:t>
      </w:r>
    </w:p>
    <w:p>
      <w:pPr>
        <w:pStyle w:val="2"/>
        <w:rPr>
          <w:sz w:val="36"/>
        </w:rPr>
      </w:pPr>
    </w:p>
    <w:p>
      <w:pPr>
        <w:pStyle w:val="2"/>
        <w:spacing w:before="2"/>
        <w:rPr>
          <w:sz w:val="39"/>
        </w:rPr>
      </w:pPr>
    </w:p>
    <w:p>
      <w:pPr>
        <w:spacing w:before="0" w:line="321" w:lineRule="auto"/>
        <w:ind w:left="508" w:right="330" w:firstLine="626"/>
        <w:jc w:val="left"/>
        <w:rPr>
          <w:sz w:val="28"/>
        </w:rPr>
      </w:pPr>
      <w:r>
        <w:rPr>
          <w:sz w:val="28"/>
        </w:rPr>
        <w:t>磋商人应严格按照本格式要求编制磋商响应文件，胶装成册并编制页码， 否则其磋商无效。</w:t>
      </w:r>
    </w:p>
    <w:p>
      <w:pPr>
        <w:spacing w:after="0" w:line="321" w:lineRule="auto"/>
        <w:jc w:val="left"/>
        <w:rPr>
          <w:sz w:val="28"/>
        </w:rPr>
        <w:sectPr>
          <w:pgSz w:w="11910" w:h="16840"/>
          <w:pgMar w:top="1180" w:right="720" w:bottom="1120" w:left="740" w:header="711" w:footer="923" w:gutter="0"/>
        </w:sectPr>
      </w:pPr>
    </w:p>
    <w:p>
      <w:pPr>
        <w:spacing w:before="67"/>
        <w:ind w:left="508" w:right="0" w:firstLine="0"/>
        <w:jc w:val="left"/>
        <w:rPr>
          <w:b/>
          <w:sz w:val="30"/>
        </w:rPr>
      </w:pPr>
      <w:bookmarkStart w:id="42" w:name="_TOC_250027"/>
      <w:r>
        <w:rPr>
          <w:b/>
          <w:sz w:val="30"/>
        </w:rPr>
        <w:t>封面（上册</w:t>
      </w:r>
      <w:bookmarkEnd w:id="42"/>
      <w:r>
        <w:rPr>
          <w:b/>
          <w:spacing w:val="-20"/>
          <w:sz w:val="30"/>
        </w:rPr>
        <w:t>）</w:t>
      </w:r>
    </w:p>
    <w:p>
      <w:pPr>
        <w:pStyle w:val="2"/>
        <w:rPr>
          <w:b/>
          <w:sz w:val="52"/>
        </w:rPr>
      </w:pPr>
      <w:r>
        <w:br w:type="column"/>
      </w:r>
    </w:p>
    <w:p>
      <w:pPr>
        <w:pStyle w:val="2"/>
        <w:spacing w:before="7"/>
        <w:rPr>
          <w:b/>
          <w:sz w:val="53"/>
        </w:rPr>
      </w:pPr>
    </w:p>
    <w:p>
      <w:pPr>
        <w:spacing w:before="0"/>
        <w:ind w:left="486" w:right="19" w:firstLine="0"/>
        <w:jc w:val="center"/>
        <w:rPr>
          <w:b/>
          <w:sz w:val="52"/>
        </w:rPr>
      </w:pPr>
      <w:r>
        <w:rPr>
          <w:b/>
          <w:sz w:val="52"/>
        </w:rPr>
        <w:t>青海省政府采购项目</w:t>
      </w:r>
    </w:p>
    <w:p>
      <w:pPr>
        <w:pStyle w:val="2"/>
        <w:spacing w:before="6"/>
        <w:rPr>
          <w:b/>
          <w:sz w:val="75"/>
        </w:rPr>
      </w:pPr>
    </w:p>
    <w:p>
      <w:pPr>
        <w:spacing w:before="0"/>
        <w:ind w:left="481" w:right="19" w:firstLine="0"/>
        <w:jc w:val="center"/>
        <w:rPr>
          <w:b/>
          <w:sz w:val="72"/>
        </w:rPr>
      </w:pPr>
      <w:r>
        <w:rPr>
          <w:b/>
          <w:sz w:val="72"/>
        </w:rPr>
        <w:t>磋商响应文件</w:t>
      </w:r>
    </w:p>
    <w:p>
      <w:pPr>
        <w:spacing w:before="475"/>
        <w:ind w:left="486" w:right="14" w:firstLine="0"/>
        <w:jc w:val="center"/>
        <w:rPr>
          <w:b/>
          <w:sz w:val="36"/>
        </w:rPr>
      </w:pPr>
      <w:r>
        <w:rPr>
          <w:b/>
          <w:sz w:val="36"/>
        </w:rPr>
        <w:t>（上册）</w:t>
      </w:r>
    </w:p>
    <w:p>
      <w:pPr>
        <w:spacing w:before="240"/>
        <w:ind w:left="486" w:right="17" w:firstLine="0"/>
        <w:jc w:val="center"/>
        <w:rPr>
          <w:b/>
          <w:sz w:val="36"/>
        </w:rPr>
      </w:pPr>
      <w:r>
        <w:rPr>
          <w:b/>
          <w:sz w:val="36"/>
        </w:rPr>
        <w:t>（资格审查文件）</w:t>
      </w:r>
    </w:p>
    <w:p>
      <w:pPr>
        <w:pStyle w:val="2"/>
        <w:spacing w:before="10"/>
        <w:rPr>
          <w:b/>
          <w:sz w:val="50"/>
        </w:rPr>
      </w:pPr>
      <w:r>
        <w:br w:type="column"/>
      </w:r>
    </w:p>
    <w:p>
      <w:pPr>
        <w:spacing w:before="0"/>
        <w:ind w:left="507" w:right="0" w:firstLine="0"/>
        <w:jc w:val="left"/>
        <w:rPr>
          <w:sz w:val="36"/>
        </w:rPr>
      </w:pPr>
      <w:r>
        <w:rPr>
          <w:sz w:val="36"/>
        </w:rPr>
        <w:t>正本</w:t>
      </w:r>
      <w:r>
        <w:rPr>
          <w:rFonts w:ascii="Arial" w:eastAsia="Arial"/>
          <w:sz w:val="36"/>
        </w:rPr>
        <w:t>/</w:t>
      </w:r>
      <w:r>
        <w:rPr>
          <w:sz w:val="36"/>
        </w:rPr>
        <w:t>副本</w:t>
      </w:r>
    </w:p>
    <w:p>
      <w:pPr>
        <w:spacing w:after="0"/>
        <w:jc w:val="left"/>
        <w:rPr>
          <w:sz w:val="36"/>
        </w:rPr>
        <w:sectPr>
          <w:pgSz w:w="11910" w:h="16840"/>
          <w:pgMar w:top="1180" w:right="720" w:bottom="1120" w:left="740" w:header="711" w:footer="923" w:gutter="0"/>
          <w:cols w:equalWidth="0" w:num="3">
            <w:col w:w="2315" w:space="42"/>
            <w:col w:w="5244" w:space="273"/>
            <w:col w:w="2576"/>
          </w:cols>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199" w:line="364" w:lineRule="auto"/>
        <w:ind w:left="508" w:right="7406" w:firstLine="0"/>
        <w:jc w:val="left"/>
        <w:rPr>
          <w:b/>
          <w:sz w:val="36"/>
        </w:rPr>
      </w:pPr>
      <w:r>
        <w:rPr>
          <w:b/>
          <w:sz w:val="36"/>
        </w:rPr>
        <w:t>采购项目编号： 采购项目名称：</w:t>
      </w:r>
    </w:p>
    <w:p>
      <w:pPr>
        <w:pStyle w:val="2"/>
        <w:rPr>
          <w:b/>
          <w:sz w:val="36"/>
        </w:rPr>
      </w:pPr>
    </w:p>
    <w:p>
      <w:pPr>
        <w:pStyle w:val="2"/>
        <w:rPr>
          <w:b/>
          <w:sz w:val="36"/>
        </w:rPr>
      </w:pPr>
    </w:p>
    <w:p>
      <w:pPr>
        <w:pStyle w:val="2"/>
        <w:rPr>
          <w:b/>
          <w:sz w:val="36"/>
        </w:rPr>
      </w:pPr>
    </w:p>
    <w:p>
      <w:pPr>
        <w:pStyle w:val="2"/>
        <w:rPr>
          <w:b/>
          <w:sz w:val="36"/>
        </w:rPr>
      </w:pPr>
    </w:p>
    <w:p>
      <w:pPr>
        <w:pStyle w:val="2"/>
        <w:spacing w:before="11"/>
        <w:rPr>
          <w:b/>
          <w:sz w:val="49"/>
        </w:rPr>
      </w:pPr>
    </w:p>
    <w:p>
      <w:pPr>
        <w:spacing w:before="0"/>
        <w:ind w:left="3768" w:right="0" w:firstLine="0"/>
        <w:jc w:val="left"/>
        <w:rPr>
          <w:b/>
          <w:sz w:val="36"/>
        </w:rPr>
      </w:pPr>
      <w:r>
        <w:rPr>
          <w:b/>
          <w:sz w:val="36"/>
        </w:rPr>
        <w:t>供应商：（公章）</w:t>
      </w:r>
    </w:p>
    <w:p>
      <w:pPr>
        <w:spacing w:before="239" w:line="364" w:lineRule="auto"/>
        <w:ind w:left="3931" w:right="2341" w:hanging="1609"/>
        <w:jc w:val="left"/>
        <w:rPr>
          <w:b/>
          <w:sz w:val="36"/>
        </w:rPr>
      </w:pPr>
      <w:r>
        <w:rPr>
          <w:rFonts w:hint="eastAsia"/>
          <w:b/>
          <w:sz w:val="36"/>
          <w:lang w:eastAsia="zh-CN"/>
        </w:rPr>
        <w:t xml:space="preserve">法定代表人或委托代理人：（签字盖章） </w:t>
      </w:r>
      <w:r>
        <w:rPr>
          <w:b/>
          <w:sz w:val="36"/>
        </w:rPr>
        <w:t>年月日</w:t>
      </w:r>
    </w:p>
    <w:p>
      <w:pPr>
        <w:spacing w:after="0" w:line="364" w:lineRule="auto"/>
        <w:jc w:val="left"/>
        <w:rPr>
          <w:sz w:val="36"/>
        </w:rPr>
        <w:sectPr>
          <w:type w:val="continuous"/>
          <w:pgSz w:w="11910" w:h="16840"/>
          <w:pgMar w:top="1580" w:right="720" w:bottom="280" w:left="740" w:header="720" w:footer="720" w:gutter="0"/>
        </w:sectPr>
      </w:pPr>
    </w:p>
    <w:p>
      <w:pPr>
        <w:spacing w:before="67"/>
        <w:ind w:left="508" w:right="0" w:firstLine="0"/>
        <w:jc w:val="left"/>
        <w:rPr>
          <w:b/>
          <w:sz w:val="30"/>
        </w:rPr>
      </w:pPr>
      <w:bookmarkStart w:id="43" w:name="_TOC_250026"/>
      <w:bookmarkEnd w:id="43"/>
      <w:r>
        <w:rPr>
          <w:b/>
          <w:sz w:val="30"/>
        </w:rPr>
        <w:t>目录（上册）</w:t>
      </w:r>
    </w:p>
    <w:p>
      <w:pPr>
        <w:pStyle w:val="13"/>
        <w:numPr>
          <w:ilvl w:val="0"/>
          <w:numId w:val="34"/>
        </w:numPr>
        <w:tabs>
          <w:tab w:val="left" w:pos="1124"/>
          <w:tab w:val="left" w:leader="dot" w:pos="8564"/>
        </w:tabs>
        <w:spacing w:before="199" w:after="0" w:line="240" w:lineRule="auto"/>
        <w:ind w:left="1123" w:right="0" w:hanging="616"/>
        <w:jc w:val="left"/>
        <w:rPr>
          <w:sz w:val="24"/>
        </w:rPr>
      </w:pPr>
      <w:r>
        <w:rPr>
          <w:sz w:val="24"/>
        </w:rPr>
        <w:t>磋商函</w:t>
      </w:r>
      <w:r>
        <w:rPr>
          <w:sz w:val="24"/>
        </w:rPr>
        <w:tab/>
      </w:r>
      <w:r>
        <w:rPr>
          <w:sz w:val="24"/>
        </w:rPr>
        <w:t>所在页码</w:t>
      </w:r>
    </w:p>
    <w:p>
      <w:pPr>
        <w:pStyle w:val="13"/>
        <w:numPr>
          <w:ilvl w:val="0"/>
          <w:numId w:val="34"/>
        </w:numPr>
        <w:tabs>
          <w:tab w:val="left" w:pos="1124"/>
          <w:tab w:val="left" w:leader="dot" w:pos="8564"/>
        </w:tabs>
        <w:spacing w:before="158" w:after="0" w:line="240" w:lineRule="auto"/>
        <w:ind w:left="1123" w:right="0" w:hanging="616"/>
        <w:jc w:val="left"/>
        <w:rPr>
          <w:sz w:val="24"/>
        </w:rPr>
      </w:pPr>
      <w:r>
        <w:rPr>
          <w:sz w:val="24"/>
        </w:rPr>
        <w:t>法定代表人证明书</w:t>
      </w:r>
      <w:r>
        <w:rPr>
          <w:sz w:val="24"/>
        </w:rPr>
        <w:tab/>
      </w:r>
      <w:r>
        <w:rPr>
          <w:sz w:val="24"/>
        </w:rPr>
        <w:t>所在页码</w:t>
      </w:r>
    </w:p>
    <w:p>
      <w:pPr>
        <w:pStyle w:val="13"/>
        <w:numPr>
          <w:ilvl w:val="0"/>
          <w:numId w:val="34"/>
        </w:numPr>
        <w:tabs>
          <w:tab w:val="left" w:pos="1124"/>
          <w:tab w:val="left" w:leader="dot" w:pos="8564"/>
        </w:tabs>
        <w:spacing w:before="161" w:after="0" w:line="240" w:lineRule="auto"/>
        <w:ind w:left="1123" w:right="0" w:hanging="616"/>
        <w:jc w:val="left"/>
        <w:rPr>
          <w:sz w:val="24"/>
        </w:rPr>
      </w:pPr>
      <w:r>
        <w:rPr>
          <w:sz w:val="24"/>
        </w:rPr>
        <w:t>法定代表人授权书</w:t>
      </w:r>
      <w:r>
        <w:rPr>
          <w:sz w:val="24"/>
        </w:rPr>
        <w:tab/>
      </w:r>
      <w:r>
        <w:rPr>
          <w:sz w:val="24"/>
        </w:rPr>
        <w:t>所在页码</w:t>
      </w:r>
    </w:p>
    <w:p>
      <w:pPr>
        <w:pStyle w:val="13"/>
        <w:numPr>
          <w:ilvl w:val="0"/>
          <w:numId w:val="34"/>
        </w:numPr>
        <w:tabs>
          <w:tab w:val="left" w:pos="1124"/>
          <w:tab w:val="left" w:leader="dot" w:pos="8564"/>
        </w:tabs>
        <w:spacing w:before="158" w:after="0" w:line="240" w:lineRule="auto"/>
        <w:ind w:left="1123" w:right="0" w:hanging="616"/>
        <w:jc w:val="left"/>
        <w:rPr>
          <w:sz w:val="24"/>
        </w:rPr>
      </w:pPr>
      <w:r>
        <w:rPr>
          <w:sz w:val="24"/>
        </w:rPr>
        <w:t>供应商承诺函</w:t>
      </w:r>
      <w:r>
        <w:rPr>
          <w:sz w:val="24"/>
        </w:rPr>
        <w:tab/>
      </w:r>
      <w:r>
        <w:rPr>
          <w:sz w:val="24"/>
        </w:rPr>
        <w:t>所在页码</w:t>
      </w:r>
    </w:p>
    <w:p>
      <w:pPr>
        <w:pStyle w:val="13"/>
        <w:numPr>
          <w:ilvl w:val="0"/>
          <w:numId w:val="34"/>
        </w:numPr>
        <w:tabs>
          <w:tab w:val="left" w:pos="1124"/>
          <w:tab w:val="left" w:leader="dot" w:pos="8564"/>
        </w:tabs>
        <w:spacing w:before="160" w:after="0" w:line="240" w:lineRule="auto"/>
        <w:ind w:left="1123" w:right="0" w:hanging="616"/>
        <w:jc w:val="left"/>
        <w:rPr>
          <w:sz w:val="24"/>
        </w:rPr>
      </w:pPr>
      <w:r>
        <w:rPr>
          <w:sz w:val="24"/>
        </w:rPr>
        <w:t>供应商诚信承诺书</w:t>
      </w:r>
      <w:r>
        <w:rPr>
          <w:sz w:val="24"/>
        </w:rPr>
        <w:tab/>
      </w:r>
      <w:r>
        <w:rPr>
          <w:sz w:val="24"/>
        </w:rPr>
        <w:t>所在页码</w:t>
      </w:r>
    </w:p>
    <w:p>
      <w:pPr>
        <w:pStyle w:val="13"/>
        <w:numPr>
          <w:ilvl w:val="0"/>
          <w:numId w:val="34"/>
        </w:numPr>
        <w:tabs>
          <w:tab w:val="left" w:pos="1124"/>
          <w:tab w:val="left" w:leader="dot" w:pos="8564"/>
        </w:tabs>
        <w:spacing w:before="158" w:after="0" w:line="240" w:lineRule="auto"/>
        <w:ind w:left="1123" w:right="0" w:hanging="616"/>
        <w:jc w:val="left"/>
        <w:rPr>
          <w:sz w:val="24"/>
        </w:rPr>
      </w:pPr>
      <w:r>
        <w:rPr>
          <w:sz w:val="24"/>
        </w:rPr>
        <w:t>资格证明材料</w:t>
      </w:r>
      <w:r>
        <w:rPr>
          <w:sz w:val="24"/>
        </w:rPr>
        <w:tab/>
      </w:r>
      <w:r>
        <w:rPr>
          <w:sz w:val="24"/>
        </w:rPr>
        <w:t>所在页码</w:t>
      </w:r>
    </w:p>
    <w:p>
      <w:pPr>
        <w:pStyle w:val="13"/>
        <w:numPr>
          <w:ilvl w:val="0"/>
          <w:numId w:val="34"/>
        </w:numPr>
        <w:tabs>
          <w:tab w:val="left" w:pos="1124"/>
          <w:tab w:val="left" w:leader="dot" w:pos="8564"/>
        </w:tabs>
        <w:spacing w:before="161" w:after="0" w:line="240" w:lineRule="auto"/>
        <w:ind w:left="1123" w:right="0" w:hanging="616"/>
        <w:jc w:val="left"/>
        <w:rPr>
          <w:sz w:val="24"/>
        </w:rPr>
      </w:pPr>
      <w:r>
        <w:rPr>
          <w:sz w:val="24"/>
        </w:rPr>
        <w:t>财务状况报告，依法缴纳税收和社会保障资金的相关材料</w:t>
      </w:r>
      <w:r>
        <w:rPr>
          <w:sz w:val="24"/>
        </w:rPr>
        <w:tab/>
      </w:r>
      <w:r>
        <w:rPr>
          <w:sz w:val="24"/>
        </w:rPr>
        <w:t>所在页码</w:t>
      </w:r>
    </w:p>
    <w:p>
      <w:pPr>
        <w:pStyle w:val="13"/>
        <w:numPr>
          <w:ilvl w:val="0"/>
          <w:numId w:val="34"/>
        </w:numPr>
        <w:tabs>
          <w:tab w:val="left" w:pos="1124"/>
          <w:tab w:val="left" w:leader="dot" w:pos="8564"/>
        </w:tabs>
        <w:spacing w:before="158" w:after="0" w:line="240" w:lineRule="auto"/>
        <w:ind w:left="1123" w:right="0" w:hanging="616"/>
        <w:jc w:val="left"/>
        <w:rPr>
          <w:sz w:val="24"/>
        </w:rPr>
      </w:pPr>
      <w:r>
        <w:rPr>
          <w:sz w:val="24"/>
        </w:rPr>
        <w:t>具备履行合同所必需的设备和专业技术能力的证明材料</w:t>
      </w:r>
      <w:r>
        <w:rPr>
          <w:sz w:val="24"/>
        </w:rPr>
        <w:tab/>
      </w:r>
      <w:r>
        <w:rPr>
          <w:sz w:val="24"/>
        </w:rPr>
        <w:t>所在页码</w:t>
      </w:r>
    </w:p>
    <w:p>
      <w:pPr>
        <w:pStyle w:val="13"/>
        <w:numPr>
          <w:ilvl w:val="0"/>
          <w:numId w:val="34"/>
        </w:numPr>
        <w:tabs>
          <w:tab w:val="left" w:pos="1124"/>
          <w:tab w:val="left" w:leader="dot" w:pos="8564"/>
        </w:tabs>
        <w:spacing w:before="161" w:after="0" w:line="240" w:lineRule="auto"/>
        <w:ind w:left="1123" w:right="0" w:hanging="616"/>
        <w:jc w:val="left"/>
        <w:rPr>
          <w:sz w:val="24"/>
        </w:rPr>
      </w:pPr>
      <w:r>
        <w:rPr>
          <w:sz w:val="24"/>
        </w:rPr>
        <w:t>无重大违法记录声明</w:t>
      </w:r>
      <w:r>
        <w:rPr>
          <w:sz w:val="24"/>
        </w:rPr>
        <w:tab/>
      </w:r>
      <w:r>
        <w:rPr>
          <w:sz w:val="24"/>
        </w:rPr>
        <w:t>所在页码</w:t>
      </w:r>
    </w:p>
    <w:p>
      <w:pPr>
        <w:pStyle w:val="13"/>
        <w:numPr>
          <w:ilvl w:val="0"/>
          <w:numId w:val="34"/>
        </w:numPr>
        <w:tabs>
          <w:tab w:val="left" w:pos="1259"/>
          <w:tab w:val="left" w:leader="dot" w:pos="8456"/>
        </w:tabs>
        <w:spacing w:before="161" w:after="0" w:line="240" w:lineRule="auto"/>
        <w:ind w:left="1258" w:right="0" w:hanging="751"/>
        <w:jc w:val="left"/>
        <w:rPr>
          <w:sz w:val="24"/>
        </w:rPr>
      </w:pPr>
      <w:r>
        <w:rPr>
          <w:sz w:val="24"/>
        </w:rPr>
        <w:t>磋商保证金证明</w:t>
      </w:r>
      <w:r>
        <w:rPr>
          <w:sz w:val="24"/>
        </w:rPr>
        <w:tab/>
      </w:r>
      <w:r>
        <w:rPr>
          <w:sz w:val="24"/>
        </w:rPr>
        <w:t>所在页码</w:t>
      </w:r>
    </w:p>
    <w:p>
      <w:pPr>
        <w:spacing w:after="0" w:line="240" w:lineRule="auto"/>
        <w:jc w:val="left"/>
        <w:rPr>
          <w:sz w:val="24"/>
        </w:rPr>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44" w:name="_TOC_250025"/>
      <w:bookmarkEnd w:id="44"/>
      <w:r>
        <w:rPr>
          <w:b/>
          <w:sz w:val="24"/>
        </w:rPr>
        <w:t>磋商函</w:t>
      </w:r>
    </w:p>
    <w:p>
      <w:pPr>
        <w:pStyle w:val="2"/>
        <w:rPr>
          <w:b/>
          <w:sz w:val="20"/>
        </w:rPr>
      </w:pPr>
    </w:p>
    <w:p>
      <w:pPr>
        <w:spacing w:before="195"/>
        <w:ind w:left="397" w:right="408" w:firstLine="0"/>
        <w:jc w:val="center"/>
        <w:rPr>
          <w:b/>
          <w:sz w:val="36"/>
        </w:rPr>
      </w:pPr>
      <w:r>
        <w:rPr>
          <w:b/>
          <w:sz w:val="36"/>
        </w:rPr>
        <w:t>磋商函</w:t>
      </w:r>
    </w:p>
    <w:p>
      <w:pPr>
        <w:pStyle w:val="2"/>
        <w:spacing w:before="5"/>
        <w:rPr>
          <w:b/>
        </w:rPr>
      </w:pPr>
    </w:p>
    <w:p>
      <w:pPr>
        <w:spacing w:before="66"/>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10"/>
        <w:rPr>
          <w:b/>
          <w:sz w:val="20"/>
        </w:rPr>
      </w:pPr>
    </w:p>
    <w:p>
      <w:pPr>
        <w:pStyle w:val="2"/>
        <w:spacing w:line="364" w:lineRule="auto"/>
        <w:ind w:left="508" w:right="517" w:firstLine="425"/>
        <w:jc w:val="both"/>
      </w:pPr>
      <w:r>
        <w:t>我们收到</w:t>
      </w:r>
      <w:r>
        <w:rPr>
          <w:u w:val="single"/>
        </w:rPr>
        <w:t>采购项目名称（采购项目编号）</w:t>
      </w:r>
      <w:r>
        <w:t>磋商文件，经研究，法定代表人（</w:t>
      </w:r>
      <w:r>
        <w:rPr>
          <w:u w:val="single"/>
        </w:rPr>
        <w:t>姓名、职务</w:t>
      </w:r>
      <w:r>
        <w:t>）正式授权（</w:t>
      </w:r>
      <w:r>
        <w:rPr>
          <w:u w:val="single"/>
        </w:rPr>
        <w:t>委托代理人姓名、职务</w:t>
      </w:r>
      <w:r>
        <w:t>）代表供应商（</w:t>
      </w:r>
      <w:r>
        <w:rPr>
          <w:u w:val="single"/>
        </w:rPr>
        <w:t>供应商名称、地址</w:t>
      </w:r>
      <w:r>
        <w:t>）提交磋商响应文件。</w:t>
      </w:r>
    </w:p>
    <w:p>
      <w:pPr>
        <w:pStyle w:val="2"/>
        <w:spacing w:line="307" w:lineRule="exact"/>
        <w:ind w:left="988"/>
      </w:pPr>
      <w:r>
        <w:t>据此函，签字代表宣布同意如下：</w:t>
      </w:r>
    </w:p>
    <w:p>
      <w:pPr>
        <w:pStyle w:val="13"/>
        <w:numPr>
          <w:ilvl w:val="1"/>
          <w:numId w:val="35"/>
        </w:numPr>
        <w:tabs>
          <w:tab w:val="left" w:pos="1193"/>
        </w:tabs>
        <w:spacing w:before="159" w:after="0" w:line="364" w:lineRule="auto"/>
        <w:ind w:left="508" w:right="521" w:firstLine="480"/>
        <w:jc w:val="left"/>
        <w:rPr>
          <w:sz w:val="24"/>
        </w:rPr>
      </w:pPr>
      <w:r>
        <w:rPr>
          <w:sz w:val="24"/>
        </w:rPr>
        <w:t>我方已详阅磋商文件的全部内容，包括澄清、修改条款等有关附件，承诺对其完全理解并接受。</w:t>
      </w:r>
    </w:p>
    <w:p>
      <w:pPr>
        <w:pStyle w:val="13"/>
        <w:numPr>
          <w:ilvl w:val="1"/>
          <w:numId w:val="35"/>
        </w:numPr>
        <w:tabs>
          <w:tab w:val="left" w:pos="1193"/>
        </w:tabs>
        <w:spacing w:before="0" w:after="0" w:line="364" w:lineRule="auto"/>
        <w:ind w:left="508" w:right="520" w:firstLine="480"/>
        <w:jc w:val="left"/>
        <w:rPr>
          <w:sz w:val="24"/>
        </w:rPr>
      </w:pPr>
      <w:r>
        <w:rPr>
          <w:sz w:val="24"/>
        </w:rPr>
        <w:t>磋商有效期：从提交磋商响应文件的截止之日起</w:t>
      </w:r>
      <w:r>
        <w:rPr>
          <w:rFonts w:hint="eastAsia"/>
          <w:sz w:val="24"/>
          <w:u w:val="single"/>
          <w:lang w:val="en-US" w:eastAsia="zh-CN"/>
        </w:rPr>
        <w:t xml:space="preserve"> </w:t>
      </w:r>
      <w:r>
        <w:rPr>
          <w:rFonts w:hint="eastAsia"/>
          <w:sz w:val="24"/>
          <w:lang w:eastAsia="zh-CN"/>
        </w:rPr>
        <w:t>日历天</w:t>
      </w:r>
      <w:r>
        <w:rPr>
          <w:sz w:val="24"/>
        </w:rPr>
        <w:t>内有效。如果我方在磋商有效期内撤回磋商或中标后不签约的，磋商保证金将被贵方没收。</w:t>
      </w:r>
    </w:p>
    <w:p>
      <w:pPr>
        <w:pStyle w:val="13"/>
        <w:numPr>
          <w:ilvl w:val="1"/>
          <w:numId w:val="35"/>
        </w:numPr>
        <w:tabs>
          <w:tab w:val="left" w:pos="1193"/>
        </w:tabs>
        <w:spacing w:before="0" w:after="0" w:line="364" w:lineRule="auto"/>
        <w:ind w:left="508" w:right="519" w:firstLine="480"/>
        <w:jc w:val="left"/>
        <w:rPr>
          <w:sz w:val="24"/>
        </w:rPr>
      </w:pPr>
      <w:r>
        <w:rPr>
          <w:sz w:val="24"/>
        </w:rPr>
        <w:t>我方同意按照贵方要求提供与磋商有关的一切数据或资料，理解并接受贵方制定的评标办法。</w:t>
      </w:r>
    </w:p>
    <w:p>
      <w:pPr>
        <w:pStyle w:val="13"/>
        <w:numPr>
          <w:ilvl w:val="1"/>
          <w:numId w:val="35"/>
        </w:numPr>
        <w:tabs>
          <w:tab w:val="left" w:pos="1191"/>
        </w:tabs>
        <w:spacing w:before="0" w:after="0" w:line="306" w:lineRule="exact"/>
        <w:ind w:left="1190" w:right="0" w:hanging="203"/>
        <w:jc w:val="left"/>
        <w:rPr>
          <w:sz w:val="24"/>
        </w:rPr>
      </w:pPr>
      <w:r>
        <w:rPr>
          <w:spacing w:val="-1"/>
          <w:sz w:val="24"/>
        </w:rPr>
        <w:t>与本磋商有关的一切正式往来通讯请寄：</w:t>
      </w:r>
    </w:p>
    <w:p>
      <w:pPr>
        <w:pStyle w:val="2"/>
        <w:rPr>
          <w:sz w:val="20"/>
        </w:rPr>
      </w:pPr>
    </w:p>
    <w:p>
      <w:pPr>
        <w:pStyle w:val="2"/>
        <w:spacing w:before="7"/>
        <w:rPr>
          <w:sz w:val="25"/>
        </w:rPr>
      </w:pPr>
    </w:p>
    <w:p>
      <w:pPr>
        <w:spacing w:after="0"/>
        <w:rPr>
          <w:sz w:val="25"/>
        </w:rPr>
        <w:sectPr>
          <w:pgSz w:w="11910" w:h="16840"/>
          <w:pgMar w:top="1180" w:right="720" w:bottom="1120" w:left="740" w:header="711" w:footer="923" w:gutter="0"/>
        </w:sectPr>
      </w:pPr>
    </w:p>
    <w:p>
      <w:pPr>
        <w:pStyle w:val="2"/>
        <w:tabs>
          <w:tab w:val="left" w:pos="3764"/>
        </w:tabs>
        <w:spacing w:before="74" w:line="364" w:lineRule="auto"/>
        <w:ind w:left="988" w:right="825"/>
        <w:rPr>
          <w:rFonts w:ascii="Times New Roman" w:eastAsia="Times New Roman"/>
        </w:rPr>
      </w:pP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5"/>
          <w:u w:val="single"/>
        </w:rPr>
        <w:t xml:space="preserve"> </w:t>
      </w:r>
      <w:r>
        <w:rPr>
          <w:spacing w:val="-1"/>
        </w:rPr>
        <w:t>电</w:t>
      </w:r>
      <w:r>
        <w:t>话：</w:t>
      </w:r>
      <w:r>
        <w:rPr>
          <w:rFonts w:ascii="Times New Roman" w:eastAsia="Times New Roman"/>
          <w:u w:val="single"/>
        </w:rPr>
        <w:t xml:space="preserve"> </w:t>
      </w:r>
      <w:r>
        <w:rPr>
          <w:rFonts w:ascii="Times New Roman" w:eastAsia="Times New Roman"/>
          <w:u w:val="single"/>
        </w:rPr>
        <w:tab/>
      </w:r>
    </w:p>
    <w:p>
      <w:pPr>
        <w:pStyle w:val="2"/>
        <w:tabs>
          <w:tab w:val="left" w:pos="4551"/>
        </w:tabs>
        <w:spacing w:line="306" w:lineRule="exact"/>
        <w:ind w:left="988"/>
        <w:rPr>
          <w:rFonts w:ascii="Times New Roman" w:eastAsia="Times New Roman"/>
        </w:rPr>
      </w:pPr>
      <w:r>
        <w:t>法定代表人姓名：</w:t>
      </w:r>
      <w:r>
        <w:rPr>
          <w:spacing w:val="-1"/>
        </w:rPr>
        <w:t xml:space="preserve"> </w:t>
      </w:r>
      <w:r>
        <w:rPr>
          <w:rFonts w:ascii="Times New Roman" w:eastAsia="Times New Roman"/>
          <w:u w:val="single"/>
        </w:rPr>
        <w:t xml:space="preserve"> </w:t>
      </w:r>
      <w:r>
        <w:rPr>
          <w:rFonts w:ascii="Times New Roman" w:eastAsia="Times New Roman"/>
          <w:u w:val="single"/>
        </w:rPr>
        <w:tab/>
      </w:r>
    </w:p>
    <w:p>
      <w:pPr>
        <w:pStyle w:val="2"/>
        <w:tabs>
          <w:tab w:val="left" w:pos="3363"/>
          <w:tab w:val="left" w:pos="3630"/>
        </w:tabs>
        <w:spacing w:before="74" w:line="364" w:lineRule="auto"/>
        <w:ind w:left="988" w:right="2051"/>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type w:val="continuous"/>
          <w:pgSz w:w="11910" w:h="16840"/>
          <w:pgMar w:top="1580" w:right="720" w:bottom="280" w:left="740" w:header="720" w:footer="720" w:gutter="0"/>
          <w:cols w:equalWidth="0" w:num="2">
            <w:col w:w="4592" w:space="170"/>
            <w:col w:w="5688"/>
          </w:cols>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6"/>
        <w:rPr>
          <w:rFonts w:ascii="Times New Roman"/>
          <w:sz w:val="21"/>
        </w:rPr>
      </w:pPr>
    </w:p>
    <w:p>
      <w:pPr>
        <w:spacing w:before="67"/>
        <w:ind w:left="3881" w:right="0" w:firstLine="0"/>
        <w:jc w:val="left"/>
        <w:rPr>
          <w:b/>
          <w:sz w:val="24"/>
        </w:rPr>
      </w:pPr>
      <w:r>
        <w:rPr>
          <w:b/>
          <w:spacing w:val="-30"/>
          <w:w w:val="99"/>
          <w:sz w:val="24"/>
        </w:rPr>
        <w:t>供应商：</w:t>
      </w:r>
      <w:r>
        <w:rPr>
          <w:b/>
          <w:w w:val="99"/>
          <w:sz w:val="24"/>
        </w:rPr>
        <w:t>（</w:t>
      </w:r>
      <w:r>
        <w:rPr>
          <w:b/>
          <w:spacing w:val="1"/>
          <w:w w:val="99"/>
          <w:sz w:val="24"/>
        </w:rPr>
        <w:t>公章</w:t>
      </w:r>
      <w:r>
        <w:rPr>
          <w:b/>
          <w:w w:val="99"/>
          <w:sz w:val="24"/>
        </w:rPr>
        <w:t>）</w:t>
      </w:r>
    </w:p>
    <w:p>
      <w:pPr>
        <w:spacing w:before="161" w:line="362" w:lineRule="auto"/>
        <w:ind w:left="4852" w:right="2830" w:hanging="972"/>
        <w:jc w:val="left"/>
        <w:rPr>
          <w:b/>
          <w:sz w:val="24"/>
        </w:rPr>
      </w:pPr>
      <w:r>
        <w:rPr>
          <w:b/>
          <w:spacing w:val="-10"/>
          <w:w w:val="99"/>
          <w:sz w:val="24"/>
        </w:rPr>
        <w:t>法定代表人或委托代理人：</w:t>
      </w:r>
      <w:r>
        <w:rPr>
          <w:b/>
          <w:w w:val="99"/>
          <w:sz w:val="24"/>
        </w:rPr>
        <w:t>（</w:t>
      </w:r>
      <w:r>
        <w:rPr>
          <w:b/>
          <w:spacing w:val="1"/>
          <w:w w:val="99"/>
          <w:sz w:val="24"/>
        </w:rPr>
        <w:t>签字</w:t>
      </w:r>
      <w:r>
        <w:rPr>
          <w:rFonts w:hint="eastAsia"/>
          <w:b/>
          <w:spacing w:val="1"/>
          <w:w w:val="99"/>
          <w:sz w:val="24"/>
          <w:lang w:eastAsia="zh-CN"/>
        </w:rPr>
        <w:t>盖章</w:t>
      </w:r>
      <w:r>
        <w:rPr>
          <w:b/>
          <w:spacing w:val="-16"/>
          <w:w w:val="99"/>
          <w:sz w:val="24"/>
        </w:rPr>
        <w:t>）</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日</w:t>
      </w:r>
    </w:p>
    <w:p>
      <w:pPr>
        <w:spacing w:after="0" w:line="362" w:lineRule="auto"/>
        <w:jc w:val="left"/>
        <w:rPr>
          <w:sz w:val="24"/>
        </w:rPr>
        <w:sectPr>
          <w:type w:val="continuous"/>
          <w:pgSz w:w="11910" w:h="16840"/>
          <w:pgMar w:top="1580" w:right="720" w:bottom="280" w:left="740" w:header="720" w:footer="720" w:gutter="0"/>
        </w:sectPr>
      </w:pPr>
    </w:p>
    <w:p>
      <w:pPr>
        <w:pStyle w:val="13"/>
        <w:numPr>
          <w:ilvl w:val="0"/>
          <w:numId w:val="35"/>
        </w:numPr>
        <w:tabs>
          <w:tab w:val="left" w:pos="1126"/>
        </w:tabs>
        <w:spacing w:before="67" w:after="0" w:line="240" w:lineRule="auto"/>
        <w:ind w:left="1125" w:right="0" w:hanging="618"/>
        <w:jc w:val="left"/>
        <w:rPr>
          <w:b/>
          <w:sz w:val="22"/>
        </w:rPr>
      </w:pPr>
      <w:bookmarkStart w:id="45" w:name="_TOC_250024"/>
      <w:bookmarkEnd w:id="45"/>
      <w:r>
        <w:rPr>
          <w:b/>
          <w:sz w:val="24"/>
        </w:rPr>
        <w:t>法定代表人证明书</w:t>
      </w:r>
    </w:p>
    <w:p>
      <w:pPr>
        <w:pStyle w:val="2"/>
        <w:rPr>
          <w:b/>
          <w:sz w:val="20"/>
        </w:rPr>
      </w:pPr>
    </w:p>
    <w:p>
      <w:pPr>
        <w:pStyle w:val="2"/>
        <w:spacing w:before="12"/>
        <w:rPr>
          <w:b/>
          <w:sz w:val="28"/>
        </w:rPr>
      </w:pPr>
    </w:p>
    <w:p>
      <w:pPr>
        <w:spacing w:before="50"/>
        <w:ind w:left="395" w:right="412" w:firstLine="0"/>
        <w:jc w:val="center"/>
        <w:rPr>
          <w:b/>
          <w:sz w:val="36"/>
        </w:rPr>
      </w:pPr>
      <w:r>
        <w:rPr>
          <w:b/>
          <w:sz w:val="36"/>
        </w:rPr>
        <w:t>法定代表人证明书</w:t>
      </w:r>
    </w:p>
    <w:p>
      <w:pPr>
        <w:pStyle w:val="2"/>
        <w:spacing w:before="11"/>
        <w:rPr>
          <w:b/>
          <w:sz w:val="50"/>
        </w:rPr>
      </w:pPr>
    </w:p>
    <w:p>
      <w:pPr>
        <w:spacing w:before="1"/>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spacing w:line="880" w:lineRule="atLeast"/>
        <w:ind w:left="988" w:right="2495"/>
      </w:pPr>
      <w:r>
        <w:rPr>
          <w:u w:val="single"/>
        </w:rPr>
        <w:t>（法定代表人姓名）</w:t>
      </w:r>
      <w:r>
        <w:t>现任我单位职务，为法定代表人，特此证明。法定代表人基本情况：</w:t>
      </w:r>
    </w:p>
    <w:p>
      <w:pPr>
        <w:pStyle w:val="2"/>
        <w:spacing w:before="162" w:line="362" w:lineRule="auto"/>
        <w:ind w:left="988" w:right="7295"/>
      </w:pPr>
      <w:r>
        <w:t>性别：年龄：民族： 地址：</w:t>
      </w:r>
    </w:p>
    <w:p>
      <w:pPr>
        <w:pStyle w:val="2"/>
        <w:spacing w:before="5"/>
        <w:ind w:left="988"/>
      </w:pPr>
      <w:r>
        <w:t>身份证号码：</w:t>
      </w:r>
    </w:p>
    <w:p>
      <w:pPr>
        <w:pStyle w:val="2"/>
      </w:pPr>
    </w:p>
    <w:p>
      <w:pPr>
        <w:pStyle w:val="2"/>
        <w:spacing w:before="10"/>
        <w:rPr>
          <w:sz w:val="20"/>
        </w:rPr>
      </w:pPr>
    </w:p>
    <w:p>
      <w:pPr>
        <w:pStyle w:val="2"/>
        <w:ind w:left="508"/>
      </w:pPr>
      <w:r>
        <w:t>附法定代表人第二代身份证双面扫描（或复印）件</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8"/>
        <w:rPr>
          <w:sz w:val="22"/>
        </w:rPr>
      </w:pPr>
    </w:p>
    <w:p>
      <w:pPr>
        <w:spacing w:before="0" w:line="362" w:lineRule="auto"/>
        <w:ind w:left="4250" w:right="4267" w:firstLine="0"/>
        <w:jc w:val="center"/>
        <w:rPr>
          <w:b/>
          <w:sz w:val="24"/>
        </w:rPr>
      </w:pPr>
      <w:r>
        <w:rPr>
          <w:b/>
          <w:sz w:val="24"/>
        </w:rPr>
        <w:t xml:space="preserve">供应商：（公章） </w:t>
      </w:r>
      <w:r>
        <w:rPr>
          <w:rFonts w:hint="eastAsia"/>
          <w:b/>
          <w:sz w:val="24"/>
          <w:lang w:val="en-US" w:eastAsia="zh-CN"/>
        </w:rPr>
        <w:t xml:space="preserve"> </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日</w:t>
      </w:r>
    </w:p>
    <w:p>
      <w:pPr>
        <w:spacing w:after="0" w:line="362" w:lineRule="auto"/>
        <w:jc w:val="center"/>
        <w:rPr>
          <w:sz w:val="24"/>
        </w:rPr>
        <w:sectPr>
          <w:pgSz w:w="11910" w:h="16840"/>
          <w:pgMar w:top="1180" w:right="720" w:bottom="1120" w:left="740" w:header="711" w:footer="923" w:gutter="0"/>
        </w:sectPr>
      </w:pPr>
    </w:p>
    <w:p>
      <w:pPr>
        <w:pStyle w:val="2"/>
        <w:spacing w:before="67"/>
        <w:ind w:left="508"/>
      </w:pPr>
      <w:r>
        <w:t>附法定代表人第二代身份证双面扫描（或复印）件</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3"/>
        <w:rPr>
          <w:sz w:val="26"/>
        </w:rPr>
      </w:pPr>
    </w:p>
    <w:tbl>
      <w:tblPr>
        <w:tblStyle w:val="9"/>
        <w:tblW w:w="0" w:type="auto"/>
        <w:tblInd w:w="2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9" w:hRule="atLeast"/>
        </w:trPr>
        <w:tc>
          <w:tcPr>
            <w:tcW w:w="5387" w:type="dxa"/>
          </w:tcPr>
          <w:p>
            <w:pPr>
              <w:pStyle w:val="14"/>
              <w:ind w:left="1473" w:right="1464"/>
              <w:jc w:val="center"/>
              <w:rPr>
                <w:sz w:val="24"/>
              </w:rPr>
            </w:pPr>
            <w:r>
              <w:rPr>
                <w:sz w:val="24"/>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9" w:hRule="atLeast"/>
        </w:trPr>
        <w:tc>
          <w:tcPr>
            <w:tcW w:w="5387" w:type="dxa"/>
          </w:tcPr>
          <w:p>
            <w:pPr>
              <w:pStyle w:val="14"/>
              <w:ind w:left="1473" w:right="1464"/>
              <w:jc w:val="center"/>
              <w:rPr>
                <w:sz w:val="24"/>
              </w:rPr>
            </w:pPr>
            <w:r>
              <w:rPr>
                <w:sz w:val="24"/>
              </w:rPr>
              <w:t>身份证复印件（反面）</w:t>
            </w:r>
          </w:p>
        </w:tc>
      </w:tr>
    </w:tbl>
    <w:p>
      <w:pPr>
        <w:spacing w:after="0"/>
        <w:jc w:val="center"/>
        <w:rPr>
          <w:sz w:val="24"/>
        </w:rPr>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46" w:name="_TOC_250023"/>
      <w:bookmarkEnd w:id="46"/>
      <w:r>
        <w:rPr>
          <w:b/>
          <w:sz w:val="24"/>
        </w:rPr>
        <w:t>法定代表人授权书</w:t>
      </w:r>
    </w:p>
    <w:p>
      <w:pPr>
        <w:pStyle w:val="2"/>
        <w:rPr>
          <w:b/>
          <w:sz w:val="20"/>
        </w:rPr>
      </w:pPr>
    </w:p>
    <w:p>
      <w:pPr>
        <w:pStyle w:val="2"/>
        <w:spacing w:before="12"/>
        <w:rPr>
          <w:b/>
          <w:sz w:val="28"/>
        </w:rPr>
      </w:pPr>
    </w:p>
    <w:p>
      <w:pPr>
        <w:spacing w:before="50"/>
        <w:ind w:left="395" w:right="412" w:firstLine="0"/>
        <w:jc w:val="center"/>
        <w:rPr>
          <w:b/>
          <w:sz w:val="36"/>
        </w:rPr>
      </w:pPr>
      <w:r>
        <w:rPr>
          <w:b/>
          <w:sz w:val="36"/>
        </w:rPr>
        <w:t>法定代表人授权书</w:t>
      </w:r>
    </w:p>
    <w:p>
      <w:pPr>
        <w:pStyle w:val="2"/>
        <w:spacing w:before="11"/>
        <w:rPr>
          <w:b/>
          <w:sz w:val="50"/>
        </w:rPr>
      </w:pPr>
    </w:p>
    <w:p>
      <w:pPr>
        <w:spacing w:before="1"/>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9"/>
        <w:rPr>
          <w:b/>
          <w:sz w:val="20"/>
        </w:rPr>
      </w:pPr>
    </w:p>
    <w:p>
      <w:pPr>
        <w:pStyle w:val="2"/>
        <w:ind w:left="988"/>
      </w:pPr>
      <w:r>
        <w:rPr>
          <w:u w:val="single"/>
        </w:rPr>
        <w:t>（供应商名称）</w:t>
      </w:r>
      <w:r>
        <w:t>系中华人民共和国合法企业，法定地址。</w:t>
      </w:r>
    </w:p>
    <w:p>
      <w:pPr>
        <w:pStyle w:val="2"/>
        <w:spacing w:before="161" w:line="362" w:lineRule="auto"/>
        <w:ind w:left="508" w:right="522" w:firstLine="480"/>
      </w:pPr>
      <w:r>
        <w:rPr>
          <w:u w:val="single"/>
        </w:rPr>
        <w:t>（法定代表人姓名）</w:t>
      </w:r>
      <w:r>
        <w:t>特授权</w:t>
      </w:r>
      <w:r>
        <w:rPr>
          <w:u w:val="single"/>
        </w:rPr>
        <w:t>（委托代理人姓名）</w:t>
      </w:r>
      <w:r>
        <w:t>代表我单位全权办理项目的磋商、答疑等具体工作，并签署全部有关的文件、资料。</w:t>
      </w:r>
    </w:p>
    <w:p>
      <w:pPr>
        <w:pStyle w:val="2"/>
        <w:spacing w:before="5" w:line="364" w:lineRule="auto"/>
        <w:ind w:left="988" w:right="5375"/>
      </w:pPr>
      <w:r>
        <w:t>我单位对被授权人的签名负全部责任。被授权人联系电话：</w:t>
      </w:r>
    </w:p>
    <w:p>
      <w:pPr>
        <w:pStyle w:val="2"/>
        <w:spacing w:line="364" w:lineRule="auto"/>
        <w:ind w:left="508" w:right="3456"/>
      </w:pPr>
      <w:r>
        <w:t>被授权人（委托代理人）签字：授权人（法定代表人）签字： 职务：职务：</w:t>
      </w:r>
    </w:p>
    <w:p>
      <w:pPr>
        <w:pStyle w:val="2"/>
      </w:pPr>
    </w:p>
    <w:p>
      <w:pPr>
        <w:pStyle w:val="2"/>
      </w:pPr>
    </w:p>
    <w:p>
      <w:pPr>
        <w:pStyle w:val="2"/>
        <w:spacing w:before="211"/>
        <w:ind w:left="508"/>
      </w:pPr>
      <w:r>
        <w:t>附被授权人第二代身份证双面扫描（或复印）件</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8"/>
        <w:rPr>
          <w:sz w:val="22"/>
        </w:rPr>
      </w:pPr>
    </w:p>
    <w:p>
      <w:pPr>
        <w:spacing w:before="0" w:line="364" w:lineRule="auto"/>
        <w:ind w:left="4250" w:right="4267" w:firstLine="0"/>
        <w:jc w:val="center"/>
        <w:rPr>
          <w:b/>
          <w:sz w:val="24"/>
        </w:rPr>
      </w:pPr>
      <w:r>
        <w:rPr>
          <w:b/>
          <w:sz w:val="24"/>
        </w:rPr>
        <w:t>供应商：（公章</w:t>
      </w:r>
      <w:r>
        <w:rPr>
          <w:b/>
          <w:spacing w:val="-17"/>
          <w:sz w:val="24"/>
        </w:rPr>
        <w:t xml:space="preserve">） </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日</w:t>
      </w:r>
    </w:p>
    <w:p>
      <w:pPr>
        <w:spacing w:after="0" w:line="364" w:lineRule="auto"/>
        <w:jc w:val="center"/>
        <w:rPr>
          <w:sz w:val="24"/>
        </w:rPr>
        <w:sectPr>
          <w:pgSz w:w="11910" w:h="16840"/>
          <w:pgMar w:top="1180" w:right="720" w:bottom="1120" w:left="740" w:header="711" w:footer="923" w:gutter="0"/>
        </w:sectPr>
      </w:pPr>
    </w:p>
    <w:p>
      <w:pPr>
        <w:pStyle w:val="2"/>
        <w:spacing w:before="67"/>
        <w:ind w:left="508"/>
      </w:pPr>
      <w:r>
        <w:t>附被授权人第二代身份证双面扫描（或复印）件</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3"/>
        <w:rPr>
          <w:sz w:val="26"/>
        </w:rPr>
      </w:pPr>
    </w:p>
    <w:tbl>
      <w:tblPr>
        <w:tblStyle w:val="9"/>
        <w:tblW w:w="0" w:type="auto"/>
        <w:tblInd w:w="2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9" w:hRule="atLeast"/>
        </w:trPr>
        <w:tc>
          <w:tcPr>
            <w:tcW w:w="5387" w:type="dxa"/>
          </w:tcPr>
          <w:p>
            <w:pPr>
              <w:pStyle w:val="14"/>
              <w:ind w:left="1473" w:right="1464"/>
              <w:jc w:val="center"/>
              <w:rPr>
                <w:sz w:val="24"/>
              </w:rPr>
            </w:pPr>
            <w:r>
              <w:rPr>
                <w:sz w:val="24"/>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9" w:hRule="atLeast"/>
        </w:trPr>
        <w:tc>
          <w:tcPr>
            <w:tcW w:w="5387" w:type="dxa"/>
          </w:tcPr>
          <w:p>
            <w:pPr>
              <w:pStyle w:val="14"/>
              <w:ind w:left="1473" w:right="1464"/>
              <w:jc w:val="center"/>
              <w:rPr>
                <w:sz w:val="24"/>
              </w:rPr>
            </w:pPr>
            <w:r>
              <w:rPr>
                <w:sz w:val="24"/>
              </w:rPr>
              <w:t>身份证复印件（反面）</w:t>
            </w:r>
          </w:p>
        </w:tc>
      </w:tr>
    </w:tbl>
    <w:p>
      <w:pPr>
        <w:spacing w:after="0"/>
        <w:jc w:val="center"/>
        <w:rPr>
          <w:sz w:val="24"/>
        </w:rPr>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47" w:name="_TOC_250022"/>
      <w:bookmarkEnd w:id="47"/>
      <w:r>
        <w:rPr>
          <w:b/>
          <w:sz w:val="24"/>
        </w:rPr>
        <w:t>供应商承诺函</w:t>
      </w:r>
    </w:p>
    <w:p>
      <w:pPr>
        <w:pStyle w:val="2"/>
        <w:rPr>
          <w:b/>
          <w:sz w:val="20"/>
        </w:rPr>
      </w:pPr>
    </w:p>
    <w:p>
      <w:pPr>
        <w:pStyle w:val="2"/>
        <w:rPr>
          <w:b/>
          <w:sz w:val="20"/>
        </w:rPr>
      </w:pPr>
    </w:p>
    <w:p>
      <w:pPr>
        <w:pStyle w:val="2"/>
        <w:spacing w:before="5"/>
        <w:rPr>
          <w:b/>
          <w:sz w:val="14"/>
        </w:rPr>
      </w:pPr>
    </w:p>
    <w:p>
      <w:pPr>
        <w:spacing w:before="50"/>
        <w:ind w:left="397" w:right="411" w:firstLine="0"/>
        <w:jc w:val="center"/>
        <w:rPr>
          <w:b/>
          <w:sz w:val="36"/>
        </w:rPr>
      </w:pPr>
      <w:r>
        <w:rPr>
          <w:b/>
          <w:sz w:val="36"/>
        </w:rPr>
        <w:t>供应商承诺函</w:t>
      </w:r>
    </w:p>
    <w:p>
      <w:pPr>
        <w:pStyle w:val="2"/>
        <w:rPr>
          <w:b/>
          <w:sz w:val="20"/>
        </w:rPr>
      </w:pPr>
    </w:p>
    <w:p>
      <w:pPr>
        <w:pStyle w:val="2"/>
        <w:spacing w:before="9"/>
        <w:rPr>
          <w:b/>
          <w:sz w:val="25"/>
        </w:rPr>
      </w:pPr>
    </w:p>
    <w:p>
      <w:pPr>
        <w:spacing w:before="66"/>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10"/>
        <w:rPr>
          <w:b/>
          <w:sz w:val="20"/>
        </w:rPr>
      </w:pPr>
    </w:p>
    <w:p>
      <w:pPr>
        <w:pStyle w:val="2"/>
        <w:tabs>
          <w:tab w:val="left" w:pos="4440"/>
        </w:tabs>
        <w:spacing w:line="364" w:lineRule="auto"/>
        <w:ind w:left="508" w:right="521" w:firstLine="480"/>
      </w:pPr>
      <w:r>
        <w:t>关于贵方</w:t>
      </w:r>
      <w:r>
        <w:rPr>
          <w:rFonts w:ascii="Arial" w:eastAsia="Arial"/>
        </w:rPr>
        <w:t>2020</w:t>
      </w:r>
      <w:r>
        <w:t>年月</w:t>
      </w:r>
      <w:r>
        <w:rPr>
          <w:spacing w:val="3"/>
        </w:rPr>
        <w:t>日</w:t>
      </w:r>
      <w:r>
        <w:rPr>
          <w:spacing w:val="3"/>
          <w:u w:val="single"/>
        </w:rPr>
        <w:t xml:space="preserve"> </w:t>
      </w:r>
      <w:r>
        <w:rPr>
          <w:spacing w:val="3"/>
          <w:u w:val="single"/>
        </w:rPr>
        <w:tab/>
      </w:r>
      <w:r>
        <w:rPr>
          <w:rFonts w:ascii="Arial" w:eastAsia="Arial"/>
          <w:u w:val="single"/>
        </w:rPr>
        <w:t>(</w:t>
      </w:r>
      <w:r>
        <w:rPr>
          <w:u w:val="single"/>
        </w:rPr>
        <w:t>项目名称</w:t>
      </w:r>
      <w:r>
        <w:rPr>
          <w:rFonts w:ascii="Arial" w:eastAsia="Arial"/>
          <w:u w:val="single"/>
        </w:rPr>
        <w:t>)</w:t>
      </w:r>
      <w:r>
        <w:t>采购项目，本签字人愿意参加磋商，提</w:t>
      </w:r>
      <w:r>
        <w:rPr>
          <w:spacing w:val="-13"/>
        </w:rPr>
        <w:t>供</w:t>
      </w:r>
      <w:r>
        <w:t>采购一览表中要求的所有产品，并证实提交的所有资料是准确的和真实的。同时，我代</w:t>
      </w:r>
      <w:r>
        <w:rPr>
          <w:spacing w:val="-11"/>
        </w:rPr>
        <w:t>表</w:t>
      </w:r>
    </w:p>
    <w:p>
      <w:pPr>
        <w:pStyle w:val="2"/>
        <w:spacing w:line="306" w:lineRule="exact"/>
        <w:ind w:left="508"/>
      </w:pPr>
      <w:r>
        <w:t>（供应商名称），在此作如下承诺：</w:t>
      </w:r>
    </w:p>
    <w:p>
      <w:pPr>
        <w:pStyle w:val="13"/>
        <w:numPr>
          <w:ilvl w:val="0"/>
          <w:numId w:val="36"/>
        </w:numPr>
        <w:tabs>
          <w:tab w:val="left" w:pos="1191"/>
        </w:tabs>
        <w:spacing w:before="161" w:after="0" w:line="240" w:lineRule="auto"/>
        <w:ind w:left="1190" w:right="0" w:hanging="203"/>
        <w:jc w:val="left"/>
        <w:rPr>
          <w:sz w:val="24"/>
        </w:rPr>
      </w:pPr>
      <w:r>
        <w:rPr>
          <w:spacing w:val="-1"/>
          <w:sz w:val="24"/>
        </w:rPr>
        <w:t>完全理解和接受磋商文件的一切规定和要求；</w:t>
      </w:r>
    </w:p>
    <w:p>
      <w:pPr>
        <w:pStyle w:val="13"/>
        <w:numPr>
          <w:ilvl w:val="0"/>
          <w:numId w:val="36"/>
        </w:numPr>
        <w:tabs>
          <w:tab w:val="left" w:pos="1193"/>
        </w:tabs>
        <w:spacing w:before="158" w:after="0" w:line="364" w:lineRule="auto"/>
        <w:ind w:left="508" w:right="521" w:firstLine="480"/>
        <w:jc w:val="both"/>
        <w:rPr>
          <w:sz w:val="24"/>
        </w:rPr>
      </w:pPr>
      <w:r>
        <w:rPr>
          <w:sz w:val="24"/>
        </w:rPr>
        <w:t>若中标，我方将按照磋商文件的具体规定与采购人签订采购合同，并且严格履行合</w:t>
      </w:r>
      <w:r>
        <w:rPr>
          <w:spacing w:val="-1"/>
          <w:sz w:val="24"/>
        </w:rPr>
        <w:t>同义务，按时交货，提供优质的产品和服务。如果在合同执行过程中，发现质量、数量出</w:t>
      </w:r>
      <w:r>
        <w:rPr>
          <w:sz w:val="24"/>
        </w:rPr>
        <w:t>现问题，我方一定尽快更换或补退货，并承担相应的经济责任；</w:t>
      </w:r>
    </w:p>
    <w:p>
      <w:pPr>
        <w:pStyle w:val="2"/>
        <w:spacing w:line="362" w:lineRule="auto"/>
        <w:ind w:left="508" w:right="523" w:firstLine="480"/>
      </w:pPr>
      <w:r>
        <w:rPr>
          <w:rFonts w:ascii="Arial" w:eastAsia="Arial"/>
        </w:rPr>
        <w:t>3</w:t>
      </w:r>
      <w:r>
        <w:rPr>
          <w:spacing w:val="-9"/>
        </w:rPr>
        <w:t>、我方保证甲方在使用该产品或其任何一部分时，不受第三方提出的侵犯专利权、著</w:t>
      </w:r>
      <w:r>
        <w:t>作权、商标权和工业设计权等知识产权的起诉，若有违犯，愿承担相应的一切责任。</w:t>
      </w:r>
    </w:p>
    <w:p>
      <w:pPr>
        <w:pStyle w:val="2"/>
        <w:spacing w:before="4" w:line="362" w:lineRule="auto"/>
        <w:ind w:left="508" w:right="520" w:firstLine="480"/>
      </w:pPr>
      <w:r>
        <w:rPr>
          <w:rFonts w:ascii="Arial" w:eastAsia="Arial"/>
        </w:rPr>
        <w:t>4</w:t>
      </w:r>
      <w:r>
        <w:rPr>
          <w:spacing w:val="-10"/>
        </w:rPr>
        <w:t>、我方承诺，除磋商文件中规定的进口产品外，所投的产品均为国产产品，且均符合</w:t>
      </w:r>
      <w:r>
        <w:t>国家强制性标准。若有不实，愿承担相应的责任。</w:t>
      </w:r>
    </w:p>
    <w:p>
      <w:pPr>
        <w:pStyle w:val="2"/>
        <w:spacing w:before="6" w:line="364" w:lineRule="auto"/>
        <w:ind w:left="508" w:right="522" w:firstLine="480"/>
      </w:pPr>
      <w:r>
        <w:rPr>
          <w:rFonts w:ascii="Arial" w:eastAsia="Arial"/>
        </w:rPr>
        <w:t>5</w:t>
      </w:r>
      <w:r>
        <w:rPr>
          <w:spacing w:val="-10"/>
        </w:rPr>
        <w:t>、在整个磋商过程中我方若有违规行为，贵方可按磋商文件之规定给予处罚，我方完</w:t>
      </w:r>
      <w:r>
        <w:t>全接受。</w:t>
      </w:r>
    </w:p>
    <w:p>
      <w:pPr>
        <w:pStyle w:val="2"/>
        <w:spacing w:line="306" w:lineRule="exact"/>
        <w:ind w:left="988"/>
      </w:pPr>
      <w:r>
        <w:rPr>
          <w:rFonts w:ascii="Arial" w:eastAsia="Arial"/>
        </w:rPr>
        <w:t>6</w:t>
      </w:r>
      <w:r>
        <w:t>、若中标，本承诺将成为合同不可分割的一部分，与合同具有同等的法律效力。</w:t>
      </w:r>
    </w:p>
    <w:p>
      <w:pPr>
        <w:pStyle w:val="2"/>
        <w:rPr>
          <w:sz w:val="26"/>
        </w:rPr>
      </w:pPr>
    </w:p>
    <w:p>
      <w:pPr>
        <w:pStyle w:val="2"/>
        <w:rPr>
          <w:sz w:val="26"/>
        </w:rPr>
      </w:pPr>
    </w:p>
    <w:p>
      <w:pPr>
        <w:pStyle w:val="2"/>
        <w:rPr>
          <w:sz w:val="26"/>
        </w:rPr>
      </w:pPr>
    </w:p>
    <w:p>
      <w:pPr>
        <w:pStyle w:val="2"/>
        <w:rPr>
          <w:sz w:val="26"/>
        </w:rPr>
      </w:pPr>
    </w:p>
    <w:p>
      <w:pPr>
        <w:pStyle w:val="2"/>
        <w:spacing w:before="10"/>
        <w:rPr>
          <w:sz w:val="37"/>
        </w:rPr>
      </w:pPr>
    </w:p>
    <w:p>
      <w:pPr>
        <w:spacing w:before="0"/>
        <w:ind w:left="396" w:right="412" w:firstLine="0"/>
        <w:jc w:val="center"/>
        <w:rPr>
          <w:b/>
          <w:sz w:val="24"/>
        </w:rPr>
      </w:pPr>
      <w:r>
        <w:rPr>
          <w:b/>
          <w:sz w:val="24"/>
        </w:rPr>
        <w:t>供应商：（公章）</w:t>
      </w:r>
    </w:p>
    <w:p>
      <w:pPr>
        <w:spacing w:before="158" w:line="364"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4" w:lineRule="auto"/>
        <w:jc w:val="center"/>
        <w:rPr>
          <w:sz w:val="24"/>
        </w:rPr>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48" w:name="_TOC_250021"/>
      <w:bookmarkEnd w:id="48"/>
      <w:r>
        <w:rPr>
          <w:b/>
          <w:sz w:val="24"/>
        </w:rPr>
        <w:t>供应商诚信承诺书</w:t>
      </w:r>
    </w:p>
    <w:p>
      <w:pPr>
        <w:pStyle w:val="2"/>
        <w:rPr>
          <w:b/>
          <w:sz w:val="20"/>
        </w:rPr>
      </w:pPr>
    </w:p>
    <w:p>
      <w:pPr>
        <w:pStyle w:val="2"/>
        <w:rPr>
          <w:b/>
          <w:sz w:val="20"/>
        </w:rPr>
      </w:pPr>
    </w:p>
    <w:p>
      <w:pPr>
        <w:pStyle w:val="2"/>
        <w:spacing w:before="5"/>
        <w:rPr>
          <w:b/>
          <w:sz w:val="14"/>
        </w:rPr>
      </w:pPr>
    </w:p>
    <w:p>
      <w:pPr>
        <w:spacing w:before="50"/>
        <w:ind w:left="395" w:right="412" w:firstLine="0"/>
        <w:jc w:val="center"/>
        <w:rPr>
          <w:b/>
          <w:sz w:val="36"/>
        </w:rPr>
      </w:pPr>
      <w:r>
        <w:rPr>
          <w:b/>
          <w:sz w:val="36"/>
        </w:rPr>
        <w:t>供应商诚信承诺书</w:t>
      </w:r>
    </w:p>
    <w:p>
      <w:pPr>
        <w:pStyle w:val="2"/>
        <w:spacing w:before="11"/>
        <w:rPr>
          <w:b/>
          <w:sz w:val="50"/>
        </w:rPr>
      </w:pPr>
    </w:p>
    <w:p>
      <w:pPr>
        <w:spacing w:before="0"/>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10"/>
        <w:rPr>
          <w:b/>
          <w:sz w:val="20"/>
        </w:rPr>
      </w:pPr>
    </w:p>
    <w:p>
      <w:pPr>
        <w:pStyle w:val="2"/>
        <w:ind w:left="988"/>
      </w:pPr>
      <w:r>
        <w:t>为了诚实、客观、有序地参与青海省政府采购活动，愿就以下内容作出承诺：</w:t>
      </w:r>
    </w:p>
    <w:p>
      <w:pPr>
        <w:pStyle w:val="2"/>
        <w:spacing w:before="160" w:line="362" w:lineRule="auto"/>
        <w:ind w:left="508" w:right="526" w:firstLine="480"/>
      </w:pPr>
      <w:r>
        <w:t>一、自觉遵守各项法律、法规、规章、制度以及社会公德，维护廉洁环境，与同场竞争的其他供应商平等参加政府采购活动。</w:t>
      </w:r>
    </w:p>
    <w:p>
      <w:pPr>
        <w:pStyle w:val="2"/>
        <w:spacing w:before="6" w:line="362" w:lineRule="auto"/>
        <w:ind w:left="508" w:right="526" w:firstLine="480"/>
      </w:pPr>
      <w:r>
        <w:t>二、参加采购代理机构组织的政府采购活动时，严格按照磋商文件的规定和要求提供所需的相关材料，并对所提供的各类资料的真实性负责，不虚假应标，不虚列业绩。</w:t>
      </w:r>
    </w:p>
    <w:p>
      <w:pPr>
        <w:pStyle w:val="2"/>
        <w:spacing w:before="5" w:line="362" w:lineRule="auto"/>
        <w:ind w:left="508" w:right="523" w:firstLine="480"/>
      </w:pPr>
      <w:r>
        <w:rPr>
          <w:spacing w:val="-16"/>
        </w:rPr>
        <w:t>三、尊重参与政府采购活动各相关方的合法行为，接受政府采购活动依法形成的意见、</w:t>
      </w:r>
      <w:r>
        <w:t>结果。</w:t>
      </w:r>
    </w:p>
    <w:p>
      <w:pPr>
        <w:pStyle w:val="2"/>
        <w:spacing w:before="5" w:line="362" w:lineRule="auto"/>
        <w:ind w:left="508" w:right="519" w:firstLine="480"/>
      </w:pPr>
      <w:r>
        <w:rPr>
          <w:spacing w:val="-8"/>
        </w:rPr>
        <w:t>四、依法参加政府采购活动，不围标、串标，维护市场秩序，不提供</w:t>
      </w:r>
      <w:r>
        <w:rPr>
          <w:rFonts w:ascii="Arial" w:hAnsi="Arial" w:eastAsia="Arial"/>
        </w:rPr>
        <w:t>“</w:t>
      </w:r>
      <w:r>
        <w:t>三无</w:t>
      </w:r>
      <w:r>
        <w:rPr>
          <w:rFonts w:ascii="Arial" w:hAnsi="Arial" w:eastAsia="Arial"/>
        </w:rPr>
        <w:t>”</w:t>
      </w:r>
      <w:r>
        <w:rPr>
          <w:spacing w:val="-7"/>
        </w:rPr>
        <w:t>产品、以次</w:t>
      </w:r>
      <w:r>
        <w:t>充好。</w:t>
      </w:r>
    </w:p>
    <w:p>
      <w:pPr>
        <w:pStyle w:val="2"/>
        <w:spacing w:before="5" w:line="362" w:lineRule="auto"/>
        <w:ind w:left="508" w:right="526" w:firstLine="480"/>
      </w:pPr>
      <w:r>
        <w:t>五、积极推动政府采购活动健康开展，对采购活动有疑问、异议时，按法律规定的程序实名反映情况，不恶意中伤、无事生非，以和谐、平等的心态参加政府采购活动。</w:t>
      </w:r>
    </w:p>
    <w:p>
      <w:pPr>
        <w:pStyle w:val="2"/>
        <w:spacing w:before="5" w:line="364" w:lineRule="auto"/>
        <w:ind w:left="508" w:right="526" w:firstLine="480"/>
      </w:pPr>
      <w:r>
        <w:t>六、认真履行中标人应承担的责任和义务，全面执行采购合同规定的各项内容，保质保量地按时提供采购物品。</w:t>
      </w:r>
    </w:p>
    <w:p>
      <w:pPr>
        <w:pStyle w:val="2"/>
        <w:spacing w:line="364" w:lineRule="auto"/>
        <w:ind w:left="508" w:right="526" w:firstLine="480"/>
      </w:pPr>
      <w:r>
        <w:t>若本企业（单位）发生有悖于上述承诺的行为，愿意接受《中华人民共和国政府采购法》和《政府采购法实施条例》中对供应商的相关处理。</w:t>
      </w:r>
    </w:p>
    <w:p>
      <w:pPr>
        <w:pStyle w:val="2"/>
        <w:spacing w:line="306" w:lineRule="exact"/>
        <w:ind w:left="988"/>
      </w:pPr>
      <w:r>
        <w:t>本承诺是采购项目磋商响应文件的组成部分。</w:t>
      </w:r>
    </w:p>
    <w:p>
      <w:pPr>
        <w:pStyle w:val="2"/>
      </w:pPr>
    </w:p>
    <w:p>
      <w:pPr>
        <w:pStyle w:val="2"/>
      </w:pPr>
    </w:p>
    <w:p>
      <w:pPr>
        <w:pStyle w:val="2"/>
      </w:pPr>
    </w:p>
    <w:p>
      <w:pPr>
        <w:pStyle w:val="2"/>
      </w:pPr>
    </w:p>
    <w:p>
      <w:pPr>
        <w:spacing w:before="171"/>
        <w:ind w:left="396" w:right="412" w:firstLine="0"/>
        <w:jc w:val="center"/>
        <w:rPr>
          <w:b/>
          <w:sz w:val="24"/>
        </w:rPr>
      </w:pPr>
      <w:r>
        <w:rPr>
          <w:b/>
          <w:sz w:val="24"/>
        </w:rPr>
        <w:t>供应商：（公章）</w:t>
      </w:r>
    </w:p>
    <w:p>
      <w:pPr>
        <w:spacing w:before="160" w:line="362"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2" w:lineRule="auto"/>
        <w:jc w:val="center"/>
        <w:rPr>
          <w:sz w:val="24"/>
        </w:rPr>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49" w:name="_TOC_250020"/>
      <w:bookmarkEnd w:id="49"/>
      <w:r>
        <w:rPr>
          <w:b/>
          <w:sz w:val="24"/>
        </w:rPr>
        <w:t>资格证明材料</w:t>
      </w:r>
    </w:p>
    <w:p>
      <w:pPr>
        <w:pStyle w:val="2"/>
        <w:rPr>
          <w:b/>
          <w:sz w:val="20"/>
        </w:rPr>
      </w:pPr>
    </w:p>
    <w:p>
      <w:pPr>
        <w:pStyle w:val="2"/>
        <w:spacing w:before="12"/>
        <w:rPr>
          <w:b/>
          <w:sz w:val="28"/>
        </w:rPr>
      </w:pPr>
    </w:p>
    <w:p>
      <w:pPr>
        <w:spacing w:before="50"/>
        <w:ind w:left="397" w:right="411" w:firstLine="0"/>
        <w:jc w:val="center"/>
        <w:rPr>
          <w:b/>
          <w:sz w:val="36"/>
        </w:rPr>
      </w:pPr>
      <w:r>
        <w:rPr>
          <w:b/>
          <w:sz w:val="36"/>
        </w:rPr>
        <w:t>资格证明材料</w:t>
      </w:r>
    </w:p>
    <w:p>
      <w:pPr>
        <w:pStyle w:val="2"/>
        <w:spacing w:before="11"/>
        <w:rPr>
          <w:b/>
          <w:sz w:val="50"/>
        </w:rPr>
      </w:pPr>
    </w:p>
    <w:p>
      <w:pPr>
        <w:pStyle w:val="2"/>
        <w:spacing w:before="1"/>
        <w:ind w:left="988"/>
      </w:pPr>
      <w:r>
        <w:t>资格证明材料包括：</w:t>
      </w:r>
    </w:p>
    <w:p>
      <w:pPr>
        <w:pStyle w:val="13"/>
        <w:numPr>
          <w:ilvl w:val="0"/>
          <w:numId w:val="37"/>
        </w:numPr>
        <w:tabs>
          <w:tab w:val="left" w:pos="1604"/>
        </w:tabs>
        <w:spacing w:before="160" w:after="0" w:line="362" w:lineRule="auto"/>
        <w:ind w:left="508" w:right="525" w:firstLine="480"/>
        <w:jc w:val="left"/>
        <w:rPr>
          <w:sz w:val="24"/>
        </w:rPr>
      </w:pPr>
      <w:r>
        <w:rPr>
          <w:spacing w:val="-4"/>
          <w:sz w:val="24"/>
        </w:rPr>
        <w:t>提供有效的营业执照、税务登记证、机构代码证或三证</w:t>
      </w:r>
      <w:r>
        <w:rPr>
          <w:sz w:val="24"/>
        </w:rPr>
        <w:t>（五证</w:t>
      </w:r>
      <w:r>
        <w:rPr>
          <w:spacing w:val="-17"/>
          <w:sz w:val="24"/>
        </w:rPr>
        <w:t>）</w:t>
      </w:r>
      <w:r>
        <w:rPr>
          <w:spacing w:val="-3"/>
          <w:sz w:val="24"/>
        </w:rPr>
        <w:t>合一统一社会代</w:t>
      </w:r>
      <w:r>
        <w:rPr>
          <w:sz w:val="24"/>
        </w:rPr>
        <w:t>码证及其他资格证明文件（扫描或复印件</w:t>
      </w:r>
      <w:r>
        <w:rPr>
          <w:spacing w:val="-120"/>
          <w:sz w:val="24"/>
        </w:rPr>
        <w:t>）</w:t>
      </w:r>
      <w:r>
        <w:rPr>
          <w:sz w:val="24"/>
        </w:rPr>
        <w:t>；</w:t>
      </w:r>
    </w:p>
    <w:p>
      <w:pPr>
        <w:pStyle w:val="2"/>
        <w:spacing w:before="5" w:line="364" w:lineRule="auto"/>
        <w:ind w:left="508" w:right="521" w:firstLine="480"/>
      </w:pPr>
      <w:r>
        <w:t>企业法人需提交</w:t>
      </w:r>
      <w:r>
        <w:rPr>
          <w:rFonts w:ascii="Arial" w:hAnsi="Arial" w:eastAsia="Arial"/>
        </w:rPr>
        <w:t>“</w:t>
      </w:r>
      <w:r>
        <w:t>统一社会信用代码的营业执照</w:t>
      </w:r>
      <w:r>
        <w:rPr>
          <w:rFonts w:ascii="Arial" w:hAnsi="Arial" w:eastAsia="Arial"/>
        </w:rPr>
        <w:t>”</w:t>
      </w:r>
      <w:r>
        <w:t>，未换证的提交</w:t>
      </w:r>
      <w:r>
        <w:rPr>
          <w:rFonts w:ascii="Arial" w:hAnsi="Arial" w:eastAsia="Arial"/>
        </w:rPr>
        <w:t>“</w:t>
      </w:r>
      <w:r>
        <w:t>营业执照、组织机构</w:t>
      </w:r>
      <w:r>
        <w:rPr>
          <w:spacing w:val="-5"/>
        </w:rPr>
        <w:t>代码证、税务登记证</w:t>
      </w:r>
      <w:r>
        <w:rPr>
          <w:rFonts w:ascii="Arial" w:hAnsi="Arial" w:eastAsia="Arial"/>
          <w:spacing w:val="-12"/>
        </w:rPr>
        <w:t>”</w:t>
      </w:r>
      <w:r>
        <w:rPr>
          <w:spacing w:val="-3"/>
        </w:rPr>
        <w:t xml:space="preserve">；事业法人需提交 </w:t>
      </w:r>
      <w:r>
        <w:rPr>
          <w:rFonts w:ascii="Arial" w:hAnsi="Arial" w:eastAsia="Arial"/>
        </w:rPr>
        <w:t>“</w:t>
      </w:r>
      <w:r>
        <w:t>统一社会信用代码的事业单位法人证书</w:t>
      </w:r>
      <w:r>
        <w:rPr>
          <w:rFonts w:ascii="Arial" w:hAnsi="Arial" w:eastAsia="Arial"/>
          <w:spacing w:val="-12"/>
        </w:rPr>
        <w:t>”</w:t>
      </w:r>
      <w:r>
        <w:rPr>
          <w:spacing w:val="-7"/>
        </w:rPr>
        <w:t>，未换证</w:t>
      </w:r>
      <w:r>
        <w:t>的提交</w:t>
      </w:r>
      <w:r>
        <w:rPr>
          <w:rFonts w:ascii="Arial" w:hAnsi="Arial" w:eastAsia="Arial"/>
        </w:rPr>
        <w:t>“</w:t>
      </w:r>
      <w:r>
        <w:t>事业单位法人证书或组织机构代码证</w:t>
      </w:r>
      <w:r>
        <w:rPr>
          <w:rFonts w:ascii="Arial" w:hAnsi="Arial" w:eastAsia="Arial"/>
        </w:rPr>
        <w:t>”</w:t>
      </w:r>
      <w:r>
        <w:t>；其他组织需提交</w:t>
      </w:r>
      <w:r>
        <w:rPr>
          <w:rFonts w:ascii="Arial" w:hAnsi="Arial" w:eastAsia="Arial"/>
        </w:rPr>
        <w:t>“</w:t>
      </w:r>
      <w:r>
        <w:t>统一社会信用代码的社会团体法人登记证书</w:t>
      </w:r>
      <w:r>
        <w:rPr>
          <w:rFonts w:ascii="Arial" w:hAnsi="Arial" w:eastAsia="Arial"/>
        </w:rPr>
        <w:t>”</w:t>
      </w:r>
      <w:r>
        <w:t>或</w:t>
      </w:r>
      <w:r>
        <w:rPr>
          <w:rFonts w:ascii="Arial" w:hAnsi="Arial" w:eastAsia="Arial"/>
        </w:rPr>
        <w:t>“</w:t>
      </w:r>
      <w:r>
        <w:t>统一社会信用代码的民办非企业单位登记证书</w:t>
      </w:r>
      <w:r>
        <w:rPr>
          <w:rFonts w:ascii="Arial" w:hAnsi="Arial" w:eastAsia="Arial"/>
        </w:rPr>
        <w:t>”</w:t>
      </w:r>
      <w:r>
        <w:t>或</w:t>
      </w:r>
      <w:r>
        <w:rPr>
          <w:rFonts w:ascii="Arial" w:hAnsi="Arial" w:eastAsia="Arial"/>
        </w:rPr>
        <w:t>“</w:t>
      </w:r>
      <w:r>
        <w:t>统一社会信用代码的基金会法人登记证书</w:t>
      </w:r>
      <w:r>
        <w:rPr>
          <w:rFonts w:ascii="Arial" w:hAnsi="Arial" w:eastAsia="Arial"/>
        </w:rPr>
        <w:t>”</w:t>
      </w:r>
      <w:r>
        <w:rPr>
          <w:spacing w:val="-1"/>
        </w:rPr>
        <w:t xml:space="preserve">，未换证的提交 </w:t>
      </w:r>
      <w:r>
        <w:rPr>
          <w:rFonts w:ascii="Arial" w:hAnsi="Arial" w:eastAsia="Arial"/>
        </w:rPr>
        <w:t>“</w:t>
      </w:r>
      <w:r>
        <w:t>社会团体法人登记证书</w:t>
      </w:r>
      <w:r>
        <w:rPr>
          <w:rFonts w:ascii="Arial" w:hAnsi="Arial" w:eastAsia="Arial"/>
        </w:rPr>
        <w:t>”</w:t>
      </w:r>
      <w:r>
        <w:t>或</w:t>
      </w:r>
      <w:r>
        <w:rPr>
          <w:rFonts w:ascii="Arial" w:hAnsi="Arial" w:eastAsia="Arial"/>
        </w:rPr>
        <w:t>“</w:t>
      </w:r>
      <w:r>
        <w:t>民办非企业单位登记证书</w:t>
      </w:r>
      <w:r>
        <w:rPr>
          <w:rFonts w:ascii="Arial" w:hAnsi="Arial" w:eastAsia="Arial"/>
        </w:rPr>
        <w:t>”</w:t>
      </w:r>
      <w:r>
        <w:t>或</w:t>
      </w:r>
      <w:r>
        <w:rPr>
          <w:rFonts w:ascii="Arial" w:hAnsi="Arial" w:eastAsia="Arial"/>
        </w:rPr>
        <w:t>“</w:t>
      </w:r>
      <w:r>
        <w:t>基金会法人登记证书</w:t>
      </w:r>
      <w:r>
        <w:rPr>
          <w:rFonts w:ascii="Arial" w:hAnsi="Arial" w:eastAsia="Arial"/>
        </w:rPr>
        <w:t>”</w:t>
      </w:r>
      <w:r>
        <w:t>和</w:t>
      </w:r>
      <w:r>
        <w:rPr>
          <w:rFonts w:ascii="Arial" w:hAnsi="Arial" w:eastAsia="Arial"/>
        </w:rPr>
        <w:t>“</w:t>
      </w:r>
      <w:r>
        <w:t>组织机构代码证</w:t>
      </w:r>
      <w:r>
        <w:rPr>
          <w:rFonts w:ascii="Arial" w:hAnsi="Arial" w:eastAsia="Arial"/>
        </w:rPr>
        <w:t>”</w:t>
      </w:r>
      <w:r>
        <w:t>；个体工商户需提交</w:t>
      </w:r>
      <w:r>
        <w:rPr>
          <w:rFonts w:ascii="Arial" w:hAnsi="Arial" w:eastAsia="Arial"/>
        </w:rPr>
        <w:t>“</w:t>
      </w:r>
      <w:r>
        <w:t>统一社会信用代码的营业执照</w:t>
      </w:r>
      <w:r>
        <w:rPr>
          <w:rFonts w:ascii="Arial" w:hAnsi="Arial" w:eastAsia="Arial"/>
        </w:rPr>
        <w:t>”</w:t>
      </w:r>
      <w:r>
        <w:t>或</w:t>
      </w:r>
      <w:r>
        <w:rPr>
          <w:rFonts w:ascii="Arial" w:hAnsi="Arial" w:eastAsia="Arial"/>
        </w:rPr>
        <w:t>“</w:t>
      </w:r>
      <w:r>
        <w:t>营业执照、税务登记证</w:t>
      </w:r>
      <w:r>
        <w:rPr>
          <w:rFonts w:ascii="Arial" w:hAnsi="Arial" w:eastAsia="Arial"/>
        </w:rPr>
        <w:t>”</w:t>
      </w:r>
      <w:r>
        <w:t>；自然人需提交身份证明。</w:t>
      </w:r>
    </w:p>
    <w:p>
      <w:pPr>
        <w:pStyle w:val="13"/>
        <w:numPr>
          <w:ilvl w:val="0"/>
          <w:numId w:val="37"/>
        </w:numPr>
        <w:tabs>
          <w:tab w:val="left" w:pos="1604"/>
        </w:tabs>
        <w:spacing w:before="0" w:after="0" w:line="305" w:lineRule="exact"/>
        <w:ind w:left="1603" w:right="0" w:hanging="616"/>
        <w:jc w:val="left"/>
        <w:rPr>
          <w:sz w:val="24"/>
        </w:rPr>
      </w:pPr>
      <w:r>
        <w:rPr>
          <w:sz w:val="24"/>
        </w:rPr>
        <w:t>磋商文件规定的有关资格证书、许可证书、认证等；</w:t>
      </w:r>
    </w:p>
    <w:p>
      <w:pPr>
        <w:pStyle w:val="13"/>
        <w:numPr>
          <w:ilvl w:val="0"/>
          <w:numId w:val="37"/>
        </w:numPr>
        <w:tabs>
          <w:tab w:val="left" w:pos="1604"/>
        </w:tabs>
        <w:spacing w:before="158" w:after="0" w:line="240" w:lineRule="auto"/>
        <w:ind w:left="1603" w:right="0" w:hanging="616"/>
        <w:jc w:val="left"/>
        <w:rPr>
          <w:sz w:val="24"/>
        </w:rPr>
      </w:pPr>
      <w:r>
        <w:rPr>
          <w:sz w:val="24"/>
        </w:rPr>
        <w:t>供应商认为有必要提供的其他资格证明文件。</w:t>
      </w:r>
    </w:p>
    <w:p>
      <w:pPr>
        <w:spacing w:after="0" w:line="240" w:lineRule="auto"/>
        <w:jc w:val="left"/>
        <w:rPr>
          <w:sz w:val="24"/>
        </w:rPr>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50" w:name="_TOC_250019"/>
      <w:bookmarkEnd w:id="50"/>
      <w:r>
        <w:rPr>
          <w:b/>
          <w:sz w:val="24"/>
        </w:rPr>
        <w:t>财务状况报告，依法缴纳税收和社会保障资金的相关材料</w:t>
      </w:r>
    </w:p>
    <w:p>
      <w:pPr>
        <w:pStyle w:val="2"/>
        <w:rPr>
          <w:b/>
          <w:sz w:val="26"/>
        </w:rPr>
      </w:pPr>
    </w:p>
    <w:p>
      <w:pPr>
        <w:pStyle w:val="2"/>
        <w:spacing w:before="10"/>
        <w:rPr>
          <w:b/>
          <w:sz w:val="26"/>
        </w:rPr>
      </w:pPr>
    </w:p>
    <w:p>
      <w:pPr>
        <w:spacing w:before="1"/>
        <w:ind w:left="693" w:right="0" w:firstLine="0"/>
        <w:jc w:val="left"/>
        <w:rPr>
          <w:b/>
          <w:sz w:val="36"/>
        </w:rPr>
      </w:pPr>
      <w:r>
        <w:rPr>
          <w:b/>
          <w:sz w:val="36"/>
        </w:rPr>
        <w:t>财务状况报告，依法缴纳税收和社会保障资金的相关材料</w:t>
      </w:r>
    </w:p>
    <w:p>
      <w:pPr>
        <w:pStyle w:val="2"/>
        <w:spacing w:before="11"/>
        <w:rPr>
          <w:b/>
          <w:sz w:val="50"/>
        </w:rPr>
      </w:pPr>
    </w:p>
    <w:p>
      <w:pPr>
        <w:pStyle w:val="2"/>
        <w:spacing w:line="364" w:lineRule="auto"/>
        <w:ind w:left="508" w:right="407" w:firstLine="480"/>
        <w:jc w:val="both"/>
      </w:pPr>
      <w:r>
        <w:rPr>
          <w:rFonts w:ascii="Arial" w:eastAsia="Arial"/>
        </w:rPr>
        <w:t>1</w:t>
      </w:r>
      <w:r>
        <w:rPr>
          <w:spacing w:val="-10"/>
        </w:rPr>
        <w:t>、供应商是法人的，提供基本开户银行近三个月内出具的资信证明</w:t>
      </w:r>
      <w:r>
        <w:t>（同时提供基本存款账户开户许可证）或上一年度（</w:t>
      </w:r>
      <w:r>
        <w:rPr>
          <w:rFonts w:ascii="Arial" w:eastAsia="Arial"/>
        </w:rPr>
        <w:t>2019</w:t>
      </w:r>
      <w:r>
        <w:t>年度</w:t>
      </w:r>
      <w:r>
        <w:rPr>
          <w:spacing w:val="-3"/>
        </w:rPr>
        <w:t>）</w:t>
      </w:r>
      <w:r>
        <w:t>经第三方审计的财务状况报告（扫描或复印件应全面、完整、清晰），包括资产负债表、现金流量表、利润表和财务（会计）报表附注，并提供第三方机构的营业执照、执业证书。供应商是其他组织和自然人，没有经审计</w:t>
      </w:r>
      <w:r>
        <w:rPr>
          <w:spacing w:val="-16"/>
        </w:rPr>
        <w:t>的财务报告，可以提供基本开户银行出具的资信证明</w:t>
      </w:r>
      <w:r>
        <w:t>（同时提供基本存款账户开户许可证</w:t>
      </w:r>
      <w:r>
        <w:rPr>
          <w:spacing w:val="-104"/>
        </w:rPr>
        <w:t>）</w:t>
      </w:r>
      <w:r>
        <w:rPr>
          <w:spacing w:val="-17"/>
        </w:rPr>
        <w:t>。</w:t>
      </w:r>
    </w:p>
    <w:p>
      <w:pPr>
        <w:pStyle w:val="2"/>
        <w:spacing w:line="364" w:lineRule="auto"/>
        <w:ind w:left="508" w:right="520" w:firstLine="480"/>
        <w:jc w:val="both"/>
      </w:pPr>
      <w:r>
        <w:rPr>
          <w:rFonts w:ascii="Arial" w:eastAsia="Arial"/>
        </w:rPr>
        <w:t>2</w:t>
      </w:r>
      <w:r>
        <w:rPr>
          <w:spacing w:val="-9"/>
        </w:rPr>
        <w:t>、近半年内</w:t>
      </w:r>
      <w:r>
        <w:t>（</w:t>
      </w:r>
      <w:r>
        <w:rPr>
          <w:spacing w:val="-1"/>
        </w:rPr>
        <w:t>连续三个月</w:t>
      </w:r>
      <w:r>
        <w:rPr>
          <w:spacing w:val="-19"/>
        </w:rPr>
        <w:t>）</w:t>
      </w:r>
      <w:r>
        <w:rPr>
          <w:spacing w:val="-2"/>
        </w:rPr>
        <w:t>的依法缴纳税收和社会保障资金记录的证明材料；依法免</w:t>
      </w:r>
      <w:r>
        <w:t>税或不需要缴纳社会保障资金的供应商须提供相应文件证明其依法免税或不需要缴纳社会保障资金。</w:t>
      </w:r>
    </w:p>
    <w:p>
      <w:pPr>
        <w:spacing w:after="0" w:line="364" w:lineRule="auto"/>
        <w:jc w:val="both"/>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51" w:name="_TOC_250018"/>
      <w:bookmarkEnd w:id="51"/>
      <w:r>
        <w:rPr>
          <w:b/>
          <w:sz w:val="24"/>
        </w:rPr>
        <w:t>具备履行合同所必需的设备和专业技术能力的证明材料</w:t>
      </w:r>
    </w:p>
    <w:p>
      <w:pPr>
        <w:pStyle w:val="2"/>
        <w:rPr>
          <w:b/>
          <w:sz w:val="26"/>
        </w:rPr>
      </w:pPr>
    </w:p>
    <w:p>
      <w:pPr>
        <w:pStyle w:val="2"/>
        <w:spacing w:before="10"/>
        <w:rPr>
          <w:b/>
          <w:sz w:val="26"/>
        </w:rPr>
      </w:pPr>
    </w:p>
    <w:p>
      <w:pPr>
        <w:spacing w:before="1"/>
        <w:ind w:left="875" w:right="0" w:firstLine="0"/>
        <w:jc w:val="left"/>
        <w:rPr>
          <w:b/>
          <w:sz w:val="36"/>
        </w:rPr>
      </w:pPr>
      <w:r>
        <w:rPr>
          <w:b/>
          <w:sz w:val="36"/>
        </w:rPr>
        <w:t>具备履行合同所必需的设备和专业技术能力的证明材料</w:t>
      </w:r>
    </w:p>
    <w:p>
      <w:pPr>
        <w:pStyle w:val="2"/>
        <w:spacing w:before="11"/>
        <w:rPr>
          <w:b/>
          <w:sz w:val="50"/>
        </w:rPr>
      </w:pPr>
    </w:p>
    <w:p>
      <w:pPr>
        <w:pStyle w:val="2"/>
        <w:spacing w:line="364" w:lineRule="auto"/>
        <w:ind w:left="508" w:right="524" w:firstLine="480"/>
        <w:jc w:val="both"/>
      </w:pPr>
      <w: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spacing w:after="0" w:line="364" w:lineRule="auto"/>
        <w:jc w:val="both"/>
        <w:sectPr>
          <w:pgSz w:w="11910" w:h="16840"/>
          <w:pgMar w:top="1180" w:right="720" w:bottom="1120" w:left="740" w:header="711" w:footer="923" w:gutter="0"/>
        </w:sectPr>
      </w:pPr>
    </w:p>
    <w:p>
      <w:pPr>
        <w:pStyle w:val="13"/>
        <w:numPr>
          <w:ilvl w:val="0"/>
          <w:numId w:val="35"/>
        </w:numPr>
        <w:tabs>
          <w:tab w:val="left" w:pos="1126"/>
        </w:tabs>
        <w:spacing w:before="67" w:after="0" w:line="240" w:lineRule="auto"/>
        <w:ind w:left="1125" w:right="0" w:hanging="618"/>
        <w:jc w:val="left"/>
        <w:rPr>
          <w:b/>
          <w:sz w:val="22"/>
        </w:rPr>
      </w:pPr>
      <w:bookmarkStart w:id="52" w:name="_TOC_250017"/>
      <w:bookmarkEnd w:id="52"/>
      <w:r>
        <w:rPr>
          <w:b/>
          <w:sz w:val="24"/>
        </w:rPr>
        <w:t>无重大违法记录声明</w:t>
      </w:r>
    </w:p>
    <w:p>
      <w:pPr>
        <w:pStyle w:val="2"/>
        <w:rPr>
          <w:b/>
          <w:sz w:val="20"/>
        </w:rPr>
      </w:pPr>
    </w:p>
    <w:p>
      <w:pPr>
        <w:pStyle w:val="2"/>
        <w:rPr>
          <w:b/>
          <w:sz w:val="20"/>
        </w:rPr>
      </w:pPr>
    </w:p>
    <w:p>
      <w:pPr>
        <w:pStyle w:val="2"/>
        <w:spacing w:before="5"/>
        <w:rPr>
          <w:b/>
          <w:sz w:val="14"/>
        </w:rPr>
      </w:pPr>
    </w:p>
    <w:p>
      <w:pPr>
        <w:spacing w:before="50"/>
        <w:ind w:left="397" w:right="412" w:firstLine="0"/>
        <w:jc w:val="center"/>
        <w:rPr>
          <w:b/>
          <w:sz w:val="36"/>
        </w:rPr>
      </w:pPr>
      <w:r>
        <w:rPr>
          <w:b/>
          <w:sz w:val="36"/>
        </w:rPr>
        <w:t>无重大违法记录声明</w:t>
      </w:r>
    </w:p>
    <w:p>
      <w:pPr>
        <w:pStyle w:val="2"/>
        <w:spacing w:before="11"/>
        <w:rPr>
          <w:b/>
          <w:sz w:val="50"/>
        </w:rPr>
      </w:pPr>
    </w:p>
    <w:p>
      <w:pPr>
        <w:spacing w:before="0"/>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10"/>
        <w:rPr>
          <w:b/>
          <w:sz w:val="20"/>
        </w:rPr>
      </w:pPr>
    </w:p>
    <w:p>
      <w:pPr>
        <w:pStyle w:val="2"/>
        <w:spacing w:line="364" w:lineRule="auto"/>
        <w:ind w:left="508" w:right="526" w:firstLine="480"/>
      </w:pPr>
      <w:r>
        <w:t>我单位参加本次政府采购项目活动前三年内，在经营活动中无重大违法活动记录，符合《政府采购法》规定的供应商资格条件。我方对此声明负全部法律责任。</w:t>
      </w:r>
    </w:p>
    <w:p>
      <w:pPr>
        <w:pStyle w:val="2"/>
        <w:spacing w:line="306" w:lineRule="exact"/>
        <w:ind w:left="988"/>
      </w:pPr>
      <w:r>
        <w:t>特此声明。</w:t>
      </w:r>
    </w:p>
    <w:p>
      <w:pPr>
        <w:pStyle w:val="2"/>
      </w:pPr>
    </w:p>
    <w:p>
      <w:pPr>
        <w:pStyle w:val="2"/>
      </w:pPr>
    </w:p>
    <w:p>
      <w:pPr>
        <w:pStyle w:val="2"/>
        <w:spacing w:before="12"/>
        <w:rPr>
          <w:sz w:val="35"/>
        </w:rPr>
      </w:pPr>
    </w:p>
    <w:p>
      <w:pPr>
        <w:pStyle w:val="2"/>
        <w:ind w:left="296" w:right="412"/>
        <w:jc w:val="both"/>
      </w:pPr>
      <w:r>
        <w:t>附</w:t>
      </w:r>
      <w:r>
        <w:rPr>
          <w:rFonts w:ascii="Arial" w:hAnsi="Arial" w:eastAsia="Arial"/>
        </w:rPr>
        <w:t>“</w:t>
      </w:r>
      <w:r>
        <w:t>信用中国</w:t>
      </w:r>
      <w:r>
        <w:rPr>
          <w:rFonts w:ascii="Arial" w:hAnsi="Arial" w:eastAsia="Arial"/>
        </w:rPr>
        <w:t>”</w:t>
      </w:r>
      <w:r>
        <w:t>、中国政府采购网网站查询截图。</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6"/>
        <w:rPr>
          <w:sz w:val="30"/>
        </w:rPr>
      </w:pPr>
    </w:p>
    <w:p>
      <w:pPr>
        <w:spacing w:before="0"/>
        <w:ind w:left="396" w:right="412" w:firstLine="0"/>
        <w:jc w:val="center"/>
        <w:rPr>
          <w:b/>
          <w:sz w:val="24"/>
        </w:rPr>
      </w:pPr>
      <w:r>
        <w:rPr>
          <w:b/>
          <w:sz w:val="24"/>
        </w:rPr>
        <w:t>供应商：（公章）</w:t>
      </w:r>
    </w:p>
    <w:p>
      <w:pPr>
        <w:spacing w:before="160" w:line="364"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4" w:lineRule="auto"/>
        <w:jc w:val="center"/>
        <w:rPr>
          <w:sz w:val="24"/>
        </w:rPr>
        <w:sectPr>
          <w:pgSz w:w="11910" w:h="16840"/>
          <w:pgMar w:top="1180" w:right="720" w:bottom="1120" w:left="740" w:header="711" w:footer="923" w:gutter="0"/>
        </w:sectPr>
      </w:pPr>
    </w:p>
    <w:p>
      <w:pPr>
        <w:pStyle w:val="13"/>
        <w:numPr>
          <w:ilvl w:val="0"/>
          <w:numId w:val="35"/>
        </w:numPr>
        <w:tabs>
          <w:tab w:val="left" w:pos="1259"/>
        </w:tabs>
        <w:spacing w:before="67" w:after="0" w:line="240" w:lineRule="auto"/>
        <w:ind w:left="1258" w:right="0" w:hanging="751"/>
        <w:jc w:val="left"/>
        <w:rPr>
          <w:b/>
          <w:sz w:val="22"/>
        </w:rPr>
      </w:pPr>
      <w:bookmarkStart w:id="53" w:name="_TOC_250016"/>
      <w:bookmarkEnd w:id="53"/>
      <w:r>
        <w:rPr>
          <w:b/>
          <w:sz w:val="24"/>
        </w:rPr>
        <w:t>磋商保证金证明</w:t>
      </w:r>
    </w:p>
    <w:p>
      <w:pPr>
        <w:pStyle w:val="2"/>
        <w:rPr>
          <w:b/>
          <w:sz w:val="20"/>
        </w:rPr>
      </w:pPr>
    </w:p>
    <w:p>
      <w:pPr>
        <w:pStyle w:val="2"/>
        <w:rPr>
          <w:b/>
          <w:sz w:val="20"/>
        </w:rPr>
      </w:pPr>
    </w:p>
    <w:p>
      <w:pPr>
        <w:pStyle w:val="2"/>
        <w:spacing w:before="5"/>
        <w:rPr>
          <w:b/>
          <w:sz w:val="14"/>
        </w:rPr>
      </w:pPr>
    </w:p>
    <w:p>
      <w:pPr>
        <w:spacing w:before="50"/>
        <w:ind w:left="393" w:right="412" w:firstLine="0"/>
        <w:jc w:val="center"/>
        <w:rPr>
          <w:b/>
          <w:sz w:val="36"/>
        </w:rPr>
      </w:pPr>
      <w:r>
        <w:rPr>
          <w:b/>
          <w:sz w:val="36"/>
        </w:rPr>
        <w:t>磋商保证金证明</w:t>
      </w:r>
    </w:p>
    <w:p>
      <w:pPr>
        <w:pStyle w:val="2"/>
        <w:rPr>
          <w:b/>
          <w:sz w:val="20"/>
        </w:rPr>
      </w:pPr>
    </w:p>
    <w:p>
      <w:pPr>
        <w:pStyle w:val="2"/>
        <w:spacing w:before="9"/>
        <w:rPr>
          <w:b/>
          <w:sz w:val="25"/>
        </w:rPr>
      </w:pPr>
    </w:p>
    <w:p>
      <w:pPr>
        <w:spacing w:before="66"/>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10"/>
        <w:rPr>
          <w:b/>
          <w:sz w:val="20"/>
        </w:rPr>
      </w:pPr>
    </w:p>
    <w:p>
      <w:pPr>
        <w:pStyle w:val="2"/>
        <w:spacing w:line="364" w:lineRule="auto"/>
        <w:ind w:left="508" w:right="519" w:firstLine="480"/>
      </w:pPr>
      <w:r>
        <w:t>我方为（</w:t>
      </w:r>
      <w:r>
        <w:rPr>
          <w:u w:val="single"/>
        </w:rPr>
        <w:t>采购项目名称</w:t>
      </w:r>
      <w:r>
        <w:t>）项目（采购项目编号为：）递交保证金人民币元（大写：人民币元）已于年月日以基本户转账方式汇入你方账户。</w:t>
      </w:r>
    </w:p>
    <w:p>
      <w:pPr>
        <w:pStyle w:val="2"/>
        <w:spacing w:line="306" w:lineRule="exact"/>
        <w:ind w:left="988"/>
      </w:pPr>
      <w:r>
        <w:t>附件：保证金交款证明复印件（加盖公章）</w:t>
      </w:r>
    </w:p>
    <w:p>
      <w:pPr>
        <w:pStyle w:val="2"/>
        <w:spacing w:before="161" w:line="364" w:lineRule="auto"/>
        <w:ind w:left="508" w:right="524" w:firstLine="480"/>
        <w:jc w:val="both"/>
      </w:pPr>
      <w:r>
        <w:t>退还保证金时请按以下内容汇入至我方账户（同递交保证金账户）。若因提供内容不全、错误等原因导致该项目保证金未能及时退还或退还过程中发生错误，我方将承担全部责任和损失。</w:t>
      </w:r>
    </w:p>
    <w:p>
      <w:pPr>
        <w:pStyle w:val="2"/>
        <w:spacing w:line="304" w:lineRule="exact"/>
        <w:ind w:left="988"/>
      </w:pPr>
      <w:r>
        <w:t>户名：</w:t>
      </w:r>
    </w:p>
    <w:p>
      <w:pPr>
        <w:pStyle w:val="2"/>
        <w:spacing w:before="161" w:line="362" w:lineRule="auto"/>
        <w:ind w:left="988" w:right="8255"/>
      </w:pPr>
      <w:r>
        <w:t>开户银行： 开户帐号：</w:t>
      </w:r>
    </w:p>
    <w:p>
      <w:pPr>
        <w:pStyle w:val="2"/>
        <w:spacing w:before="4"/>
        <w:ind w:left="988"/>
      </w:pPr>
      <w:r>
        <w:t>注：通过银行转账的，必须由投标人从其基本账户汇（转）入</w:t>
      </w:r>
      <w:r>
        <w:rPr>
          <w:rFonts w:ascii="Arial" w:eastAsia="Arial"/>
        </w:rPr>
        <w:t>9.1</w:t>
      </w:r>
      <w:r>
        <w:t>条规定的账户。</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3"/>
      </w:pPr>
    </w:p>
    <w:p>
      <w:pPr>
        <w:spacing w:before="1"/>
        <w:ind w:left="396" w:right="412" w:firstLine="0"/>
        <w:jc w:val="center"/>
        <w:rPr>
          <w:b/>
          <w:sz w:val="24"/>
        </w:rPr>
      </w:pPr>
      <w:r>
        <w:rPr>
          <w:b/>
          <w:sz w:val="24"/>
        </w:rPr>
        <w:t>供应商：（公章）</w:t>
      </w:r>
    </w:p>
    <w:p>
      <w:pPr>
        <w:spacing w:before="160" w:line="362"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2" w:lineRule="auto"/>
        <w:jc w:val="center"/>
        <w:rPr>
          <w:sz w:val="24"/>
        </w:rPr>
        <w:sectPr>
          <w:pgSz w:w="11910" w:h="16840"/>
          <w:pgMar w:top="1180" w:right="720" w:bottom="1120" w:left="740" w:header="711" w:footer="923" w:gutter="0"/>
        </w:sectPr>
      </w:pPr>
    </w:p>
    <w:p>
      <w:pPr>
        <w:spacing w:before="67"/>
        <w:ind w:left="508" w:right="0" w:firstLine="0"/>
        <w:jc w:val="left"/>
        <w:rPr>
          <w:b/>
          <w:sz w:val="30"/>
        </w:rPr>
      </w:pPr>
      <w:bookmarkStart w:id="54" w:name="_TOC_250015"/>
      <w:r>
        <w:rPr>
          <w:b/>
          <w:sz w:val="30"/>
        </w:rPr>
        <w:t>封面（下册</w:t>
      </w:r>
      <w:bookmarkEnd w:id="54"/>
      <w:r>
        <w:rPr>
          <w:b/>
          <w:spacing w:val="-20"/>
          <w:sz w:val="30"/>
        </w:rPr>
        <w:t>）</w:t>
      </w:r>
    </w:p>
    <w:p>
      <w:pPr>
        <w:pStyle w:val="2"/>
        <w:rPr>
          <w:b/>
          <w:sz w:val="52"/>
        </w:rPr>
      </w:pPr>
      <w:r>
        <w:br w:type="column"/>
      </w:r>
    </w:p>
    <w:p>
      <w:pPr>
        <w:pStyle w:val="2"/>
        <w:spacing w:before="7"/>
        <w:rPr>
          <w:b/>
          <w:sz w:val="53"/>
        </w:rPr>
      </w:pPr>
    </w:p>
    <w:p>
      <w:pPr>
        <w:spacing w:before="0"/>
        <w:ind w:left="486" w:right="19" w:firstLine="0"/>
        <w:jc w:val="center"/>
        <w:rPr>
          <w:b/>
          <w:sz w:val="52"/>
        </w:rPr>
      </w:pPr>
      <w:r>
        <w:rPr>
          <w:b/>
          <w:sz w:val="52"/>
        </w:rPr>
        <w:t>青海省政府采购项目</w:t>
      </w:r>
    </w:p>
    <w:p>
      <w:pPr>
        <w:pStyle w:val="2"/>
        <w:rPr>
          <w:b/>
          <w:sz w:val="52"/>
        </w:rPr>
      </w:pPr>
    </w:p>
    <w:p>
      <w:pPr>
        <w:pStyle w:val="2"/>
        <w:spacing w:before="10"/>
        <w:rPr>
          <w:b/>
          <w:sz w:val="71"/>
        </w:rPr>
      </w:pPr>
    </w:p>
    <w:p>
      <w:pPr>
        <w:spacing w:before="0"/>
        <w:ind w:left="481" w:right="19" w:firstLine="0"/>
        <w:jc w:val="center"/>
        <w:rPr>
          <w:b/>
          <w:sz w:val="72"/>
        </w:rPr>
      </w:pPr>
      <w:r>
        <w:rPr>
          <w:b/>
          <w:sz w:val="72"/>
        </w:rPr>
        <w:t>磋商响应文件</w:t>
      </w:r>
    </w:p>
    <w:p>
      <w:pPr>
        <w:spacing w:before="479"/>
        <w:ind w:left="486" w:right="18" w:firstLine="0"/>
        <w:jc w:val="center"/>
        <w:rPr>
          <w:sz w:val="44"/>
        </w:rPr>
      </w:pPr>
      <w:r>
        <w:rPr>
          <w:sz w:val="44"/>
        </w:rPr>
        <w:t>（下册）</w:t>
      </w:r>
    </w:p>
    <w:p>
      <w:pPr>
        <w:pStyle w:val="2"/>
        <w:spacing w:before="10"/>
        <w:rPr>
          <w:sz w:val="50"/>
        </w:rPr>
      </w:pPr>
      <w:r>
        <w:br w:type="column"/>
      </w:r>
    </w:p>
    <w:p>
      <w:pPr>
        <w:spacing w:before="0"/>
        <w:ind w:left="507" w:right="0" w:firstLine="0"/>
        <w:jc w:val="left"/>
        <w:rPr>
          <w:sz w:val="36"/>
        </w:rPr>
      </w:pPr>
      <w:r>
        <w:rPr>
          <w:sz w:val="36"/>
        </w:rPr>
        <w:t>正本</w:t>
      </w:r>
      <w:r>
        <w:rPr>
          <w:rFonts w:ascii="Arial" w:eastAsia="Arial"/>
          <w:sz w:val="36"/>
        </w:rPr>
        <w:t>/</w:t>
      </w:r>
      <w:r>
        <w:rPr>
          <w:sz w:val="36"/>
        </w:rPr>
        <w:t>副本</w:t>
      </w:r>
    </w:p>
    <w:p>
      <w:pPr>
        <w:spacing w:after="0"/>
        <w:jc w:val="left"/>
        <w:rPr>
          <w:sz w:val="36"/>
        </w:rPr>
        <w:sectPr>
          <w:pgSz w:w="11910" w:h="16840"/>
          <w:pgMar w:top="1180" w:right="720" w:bottom="1120" w:left="740" w:header="711" w:footer="923" w:gutter="0"/>
          <w:cols w:equalWidth="0" w:num="3">
            <w:col w:w="2315" w:space="42"/>
            <w:col w:w="5244" w:space="273"/>
            <w:col w:w="2576"/>
          </w:cols>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15"/>
        </w:rPr>
      </w:pPr>
    </w:p>
    <w:p>
      <w:pPr>
        <w:spacing w:before="49" w:line="364" w:lineRule="auto"/>
        <w:ind w:left="508" w:right="7406" w:firstLine="0"/>
        <w:jc w:val="left"/>
        <w:rPr>
          <w:b/>
          <w:sz w:val="36"/>
        </w:rPr>
      </w:pPr>
      <w:r>
        <w:rPr>
          <w:b/>
          <w:sz w:val="36"/>
        </w:rPr>
        <w:t>采购项目编号： 采购项目名称：</w:t>
      </w:r>
    </w:p>
    <w:p>
      <w:pPr>
        <w:pStyle w:val="2"/>
        <w:rPr>
          <w:b/>
          <w:sz w:val="36"/>
        </w:rPr>
      </w:pPr>
    </w:p>
    <w:p>
      <w:pPr>
        <w:pStyle w:val="2"/>
        <w:rPr>
          <w:b/>
          <w:sz w:val="36"/>
        </w:rPr>
      </w:pPr>
    </w:p>
    <w:p>
      <w:pPr>
        <w:pStyle w:val="2"/>
        <w:rPr>
          <w:b/>
          <w:sz w:val="36"/>
        </w:rPr>
      </w:pPr>
    </w:p>
    <w:p>
      <w:pPr>
        <w:pStyle w:val="2"/>
        <w:spacing w:before="4"/>
        <w:rPr>
          <w:b/>
          <w:sz w:val="37"/>
        </w:rPr>
      </w:pPr>
    </w:p>
    <w:p>
      <w:pPr>
        <w:spacing w:before="1"/>
        <w:ind w:left="3768" w:right="0" w:firstLine="0"/>
        <w:jc w:val="left"/>
        <w:rPr>
          <w:b/>
          <w:sz w:val="36"/>
        </w:rPr>
      </w:pPr>
      <w:r>
        <w:rPr>
          <w:b/>
          <w:sz w:val="36"/>
        </w:rPr>
        <w:t>供应商：（公章）</w:t>
      </w:r>
    </w:p>
    <w:p>
      <w:pPr>
        <w:spacing w:before="239" w:line="364" w:lineRule="auto"/>
        <w:ind w:left="3931" w:right="2341" w:hanging="1609"/>
        <w:jc w:val="left"/>
        <w:rPr>
          <w:b/>
          <w:sz w:val="36"/>
        </w:rPr>
      </w:pPr>
      <w:r>
        <w:rPr>
          <w:rFonts w:hint="eastAsia"/>
          <w:b/>
          <w:sz w:val="36"/>
          <w:lang w:eastAsia="zh-CN"/>
        </w:rPr>
        <w:t xml:space="preserve">法定代表人或委托代理人：（签字盖章） </w:t>
      </w:r>
      <w:r>
        <w:rPr>
          <w:b/>
          <w:sz w:val="36"/>
        </w:rPr>
        <w:t>年月日</w:t>
      </w:r>
    </w:p>
    <w:p>
      <w:pPr>
        <w:spacing w:after="0" w:line="364" w:lineRule="auto"/>
        <w:jc w:val="left"/>
        <w:rPr>
          <w:sz w:val="36"/>
        </w:rPr>
        <w:sectPr>
          <w:type w:val="continuous"/>
          <w:pgSz w:w="11910" w:h="16840"/>
          <w:pgMar w:top="1580" w:right="720" w:bottom="280" w:left="740" w:header="720" w:footer="720" w:gutter="0"/>
        </w:sectPr>
      </w:pPr>
    </w:p>
    <w:p>
      <w:pPr>
        <w:spacing w:before="67"/>
        <w:ind w:left="508" w:right="0" w:firstLine="0"/>
        <w:jc w:val="left"/>
        <w:rPr>
          <w:b/>
          <w:sz w:val="30"/>
        </w:rPr>
      </w:pPr>
      <w:bookmarkStart w:id="55" w:name="_TOC_250014"/>
      <w:bookmarkEnd w:id="55"/>
      <w:r>
        <w:rPr>
          <w:b/>
          <w:sz w:val="30"/>
        </w:rPr>
        <w:t>目录（下册）</w:t>
      </w:r>
    </w:p>
    <w:p>
      <w:pPr>
        <w:pStyle w:val="13"/>
        <w:numPr>
          <w:ilvl w:val="0"/>
          <w:numId w:val="35"/>
        </w:numPr>
        <w:tabs>
          <w:tab w:val="left" w:pos="1242"/>
          <w:tab w:val="left" w:leader="dot" w:pos="8439"/>
        </w:tabs>
        <w:spacing w:before="199" w:after="0" w:line="240" w:lineRule="auto"/>
        <w:ind w:left="1241" w:right="0" w:hanging="734"/>
        <w:jc w:val="left"/>
        <w:rPr>
          <w:sz w:val="22"/>
        </w:rPr>
      </w:pPr>
      <w:r>
        <w:rPr>
          <w:sz w:val="24"/>
        </w:rPr>
        <w:t>评分对照表</w:t>
      </w:r>
      <w:r>
        <w:rPr>
          <w:sz w:val="24"/>
        </w:rPr>
        <w:tab/>
      </w:r>
      <w:r>
        <w:rPr>
          <w:sz w:val="24"/>
        </w:rPr>
        <w:t>所在页码</w:t>
      </w:r>
    </w:p>
    <w:p>
      <w:pPr>
        <w:pStyle w:val="13"/>
        <w:numPr>
          <w:ilvl w:val="0"/>
          <w:numId w:val="35"/>
        </w:numPr>
        <w:tabs>
          <w:tab w:val="left" w:pos="1259"/>
          <w:tab w:val="left" w:leader="dot" w:pos="8456"/>
        </w:tabs>
        <w:spacing w:before="158" w:after="0" w:line="240" w:lineRule="auto"/>
        <w:ind w:left="1258" w:right="0" w:hanging="751"/>
        <w:jc w:val="left"/>
        <w:rPr>
          <w:sz w:val="22"/>
        </w:rPr>
      </w:pPr>
      <w:r>
        <w:rPr>
          <w:sz w:val="24"/>
        </w:rPr>
        <w:t>开标一览表（</w:t>
      </w:r>
      <w:r>
        <w:rPr>
          <w:spacing w:val="-3"/>
          <w:sz w:val="24"/>
        </w:rPr>
        <w:t>报</w:t>
      </w:r>
      <w:r>
        <w:rPr>
          <w:sz w:val="24"/>
        </w:rPr>
        <w:t>价表）</w:t>
      </w:r>
      <w:r>
        <w:rPr>
          <w:sz w:val="24"/>
        </w:rPr>
        <w:tab/>
      </w:r>
      <w:r>
        <w:rPr>
          <w:sz w:val="24"/>
        </w:rPr>
        <w:t>所在页码</w:t>
      </w:r>
    </w:p>
    <w:p>
      <w:pPr>
        <w:pStyle w:val="13"/>
        <w:numPr>
          <w:ilvl w:val="0"/>
          <w:numId w:val="35"/>
        </w:numPr>
        <w:tabs>
          <w:tab w:val="left" w:pos="1259"/>
          <w:tab w:val="left" w:leader="dot" w:pos="8456"/>
        </w:tabs>
        <w:spacing w:before="161" w:after="0" w:line="240" w:lineRule="auto"/>
        <w:ind w:left="1258" w:right="0" w:hanging="751"/>
        <w:jc w:val="left"/>
        <w:rPr>
          <w:sz w:val="22"/>
        </w:rPr>
      </w:pPr>
      <w:r>
        <w:rPr>
          <w:sz w:val="24"/>
        </w:rPr>
        <w:t>分项报价表</w:t>
      </w:r>
      <w:r>
        <w:rPr>
          <w:sz w:val="24"/>
        </w:rPr>
        <w:tab/>
      </w:r>
      <w:r>
        <w:rPr>
          <w:sz w:val="24"/>
        </w:rPr>
        <w:t>所在页码</w:t>
      </w:r>
    </w:p>
    <w:p>
      <w:pPr>
        <w:pStyle w:val="13"/>
        <w:numPr>
          <w:ilvl w:val="0"/>
          <w:numId w:val="35"/>
        </w:numPr>
        <w:tabs>
          <w:tab w:val="left" w:pos="1259"/>
          <w:tab w:val="left" w:leader="dot" w:pos="8456"/>
        </w:tabs>
        <w:spacing w:before="158" w:after="0" w:line="240" w:lineRule="auto"/>
        <w:ind w:left="1258" w:right="0" w:hanging="751"/>
        <w:jc w:val="left"/>
        <w:rPr>
          <w:sz w:val="22"/>
        </w:rPr>
      </w:pPr>
      <w:r>
        <w:rPr>
          <w:sz w:val="24"/>
        </w:rPr>
        <w:t>技术规格响应表</w:t>
      </w:r>
      <w:r>
        <w:rPr>
          <w:sz w:val="24"/>
        </w:rPr>
        <w:tab/>
      </w:r>
      <w:r>
        <w:rPr>
          <w:sz w:val="24"/>
        </w:rPr>
        <w:t>所在页码</w:t>
      </w:r>
    </w:p>
    <w:p>
      <w:pPr>
        <w:pStyle w:val="13"/>
        <w:numPr>
          <w:ilvl w:val="0"/>
          <w:numId w:val="35"/>
        </w:numPr>
        <w:tabs>
          <w:tab w:val="left" w:pos="1259"/>
          <w:tab w:val="left" w:leader="dot" w:pos="8456"/>
        </w:tabs>
        <w:spacing w:before="160" w:after="0" w:line="240" w:lineRule="auto"/>
        <w:ind w:left="1258" w:right="0" w:hanging="751"/>
        <w:jc w:val="left"/>
        <w:rPr>
          <w:sz w:val="22"/>
        </w:rPr>
      </w:pPr>
      <w:r>
        <w:rPr>
          <w:sz w:val="24"/>
        </w:rPr>
        <w:t>磋商产品相关</w:t>
      </w:r>
      <w:r>
        <w:rPr>
          <w:spacing w:val="-3"/>
          <w:sz w:val="24"/>
        </w:rPr>
        <w:t>资</w:t>
      </w:r>
      <w:r>
        <w:rPr>
          <w:sz w:val="24"/>
        </w:rPr>
        <w:t>料</w:t>
      </w:r>
      <w:r>
        <w:rPr>
          <w:sz w:val="24"/>
        </w:rPr>
        <w:tab/>
      </w:r>
      <w:r>
        <w:rPr>
          <w:sz w:val="24"/>
        </w:rPr>
        <w:t>所在页码</w:t>
      </w:r>
    </w:p>
    <w:p>
      <w:pPr>
        <w:pStyle w:val="13"/>
        <w:numPr>
          <w:ilvl w:val="0"/>
          <w:numId w:val="35"/>
        </w:numPr>
        <w:tabs>
          <w:tab w:val="left" w:pos="1259"/>
          <w:tab w:val="left" w:leader="dot" w:pos="8456"/>
        </w:tabs>
        <w:spacing w:before="158" w:after="0" w:line="240" w:lineRule="auto"/>
        <w:ind w:left="1258" w:right="0" w:hanging="751"/>
        <w:jc w:val="left"/>
        <w:rPr>
          <w:sz w:val="22"/>
        </w:rPr>
      </w:pPr>
      <w:r>
        <w:rPr>
          <w:sz w:val="24"/>
        </w:rPr>
        <w:t>供应商的类似</w:t>
      </w:r>
      <w:r>
        <w:rPr>
          <w:spacing w:val="-3"/>
          <w:sz w:val="24"/>
        </w:rPr>
        <w:t>业</w:t>
      </w:r>
      <w:r>
        <w:rPr>
          <w:sz w:val="24"/>
        </w:rPr>
        <w:t>绩证明材料</w:t>
      </w:r>
      <w:r>
        <w:rPr>
          <w:sz w:val="24"/>
        </w:rPr>
        <w:tab/>
      </w:r>
      <w:r>
        <w:rPr>
          <w:sz w:val="24"/>
        </w:rPr>
        <w:t>所在页码</w:t>
      </w:r>
    </w:p>
    <w:p>
      <w:pPr>
        <w:pStyle w:val="13"/>
        <w:numPr>
          <w:ilvl w:val="0"/>
          <w:numId w:val="35"/>
        </w:numPr>
        <w:tabs>
          <w:tab w:val="left" w:pos="1259"/>
          <w:tab w:val="left" w:leader="dot" w:pos="8456"/>
        </w:tabs>
        <w:spacing w:before="161" w:after="0" w:line="240" w:lineRule="auto"/>
        <w:ind w:left="1258" w:right="0" w:hanging="751"/>
        <w:jc w:val="left"/>
        <w:rPr>
          <w:sz w:val="22"/>
        </w:rPr>
      </w:pPr>
      <w:r>
        <w:rPr>
          <w:sz w:val="24"/>
        </w:rPr>
        <w:t>制造（生产）</w:t>
      </w:r>
      <w:r>
        <w:rPr>
          <w:spacing w:val="-3"/>
          <w:sz w:val="24"/>
        </w:rPr>
        <w:t>企</w:t>
      </w:r>
      <w:r>
        <w:rPr>
          <w:sz w:val="24"/>
        </w:rPr>
        <w:t>业小型微型企业声明函、从业人员声明函</w:t>
      </w:r>
      <w:r>
        <w:rPr>
          <w:sz w:val="24"/>
        </w:rPr>
        <w:tab/>
      </w:r>
      <w:r>
        <w:rPr>
          <w:sz w:val="24"/>
        </w:rPr>
        <w:t>所在页码</w:t>
      </w:r>
    </w:p>
    <w:p>
      <w:pPr>
        <w:pStyle w:val="13"/>
        <w:numPr>
          <w:ilvl w:val="0"/>
          <w:numId w:val="35"/>
        </w:numPr>
        <w:tabs>
          <w:tab w:val="left" w:pos="1259"/>
          <w:tab w:val="left" w:leader="dot" w:pos="8456"/>
        </w:tabs>
        <w:spacing w:before="158" w:after="0" w:line="240" w:lineRule="auto"/>
        <w:ind w:left="1258" w:right="0" w:hanging="751"/>
        <w:jc w:val="left"/>
        <w:rPr>
          <w:sz w:val="22"/>
        </w:rPr>
      </w:pPr>
      <w:r>
        <w:rPr>
          <w:sz w:val="24"/>
        </w:rPr>
        <w:t>残疾人福利性</w:t>
      </w:r>
      <w:r>
        <w:rPr>
          <w:spacing w:val="-3"/>
          <w:sz w:val="24"/>
        </w:rPr>
        <w:t>单</w:t>
      </w:r>
      <w:r>
        <w:rPr>
          <w:sz w:val="24"/>
        </w:rPr>
        <w:t>位声明函</w:t>
      </w:r>
      <w:r>
        <w:rPr>
          <w:sz w:val="24"/>
        </w:rPr>
        <w:tab/>
      </w:r>
      <w:r>
        <w:rPr>
          <w:sz w:val="24"/>
        </w:rPr>
        <w:t>所在页码</w:t>
      </w:r>
    </w:p>
    <w:p>
      <w:pPr>
        <w:pStyle w:val="13"/>
        <w:numPr>
          <w:ilvl w:val="0"/>
          <w:numId w:val="35"/>
        </w:numPr>
        <w:tabs>
          <w:tab w:val="left" w:pos="1259"/>
          <w:tab w:val="left" w:leader="dot" w:pos="8456"/>
        </w:tabs>
        <w:spacing w:before="161" w:after="0" w:line="240" w:lineRule="auto"/>
        <w:ind w:left="1258" w:right="0" w:hanging="751"/>
        <w:jc w:val="left"/>
        <w:rPr>
          <w:sz w:val="22"/>
        </w:rPr>
      </w:pPr>
      <w:r>
        <w:rPr>
          <w:sz w:val="24"/>
        </w:rPr>
        <w:t>供应商认为在</w:t>
      </w:r>
      <w:r>
        <w:rPr>
          <w:spacing w:val="-3"/>
          <w:sz w:val="24"/>
        </w:rPr>
        <w:t>其</w:t>
      </w:r>
      <w:r>
        <w:rPr>
          <w:sz w:val="24"/>
        </w:rPr>
        <w:t>他方面有必要说明的事项</w:t>
      </w:r>
      <w:r>
        <w:rPr>
          <w:sz w:val="24"/>
        </w:rPr>
        <w:tab/>
      </w:r>
      <w:r>
        <w:rPr>
          <w:sz w:val="24"/>
        </w:rPr>
        <w:t>所在页码</w:t>
      </w:r>
    </w:p>
    <w:p>
      <w:pPr>
        <w:pStyle w:val="13"/>
        <w:numPr>
          <w:ilvl w:val="0"/>
          <w:numId w:val="35"/>
        </w:numPr>
        <w:tabs>
          <w:tab w:val="left" w:pos="1259"/>
          <w:tab w:val="left" w:leader="dot" w:pos="8456"/>
        </w:tabs>
        <w:spacing w:before="161" w:after="0" w:line="240" w:lineRule="auto"/>
        <w:ind w:left="1258" w:right="0" w:hanging="751"/>
        <w:jc w:val="left"/>
        <w:rPr>
          <w:sz w:val="22"/>
        </w:rPr>
      </w:pPr>
      <w:r>
        <w:rPr>
          <w:sz w:val="24"/>
        </w:rPr>
        <w:t>最终报价表</w:t>
      </w:r>
      <w:r>
        <w:rPr>
          <w:sz w:val="24"/>
        </w:rPr>
        <w:tab/>
      </w:r>
      <w:r>
        <w:rPr>
          <w:sz w:val="24"/>
        </w:rPr>
        <w:t>所在页码</w:t>
      </w:r>
    </w:p>
    <w:p>
      <w:pPr>
        <w:spacing w:after="0" w:line="240" w:lineRule="auto"/>
        <w:jc w:val="left"/>
        <w:rPr>
          <w:sz w:val="22"/>
        </w:rPr>
        <w:sectPr>
          <w:pgSz w:w="11910" w:h="16840"/>
          <w:pgMar w:top="1180" w:right="720" w:bottom="1120" w:left="740" w:header="711" w:footer="923" w:gutter="0"/>
        </w:sectPr>
      </w:pPr>
    </w:p>
    <w:p>
      <w:pPr>
        <w:pStyle w:val="13"/>
        <w:numPr>
          <w:ilvl w:val="0"/>
          <w:numId w:val="38"/>
        </w:numPr>
        <w:tabs>
          <w:tab w:val="left" w:pos="1259"/>
        </w:tabs>
        <w:spacing w:before="67" w:after="0" w:line="240" w:lineRule="auto"/>
        <w:ind w:left="1258" w:right="0" w:hanging="751"/>
        <w:jc w:val="left"/>
        <w:rPr>
          <w:b/>
          <w:sz w:val="24"/>
        </w:rPr>
      </w:pPr>
      <w:bookmarkStart w:id="56" w:name="_TOC_250013"/>
      <w:bookmarkEnd w:id="56"/>
      <w:r>
        <w:rPr>
          <w:b/>
          <w:sz w:val="24"/>
        </w:rPr>
        <w:t>评分对照表</w:t>
      </w:r>
    </w:p>
    <w:p>
      <w:pPr>
        <w:pStyle w:val="2"/>
        <w:rPr>
          <w:b/>
          <w:sz w:val="20"/>
        </w:rPr>
      </w:pPr>
    </w:p>
    <w:p>
      <w:pPr>
        <w:pStyle w:val="2"/>
        <w:rPr>
          <w:b/>
          <w:sz w:val="20"/>
        </w:rPr>
      </w:pPr>
    </w:p>
    <w:p>
      <w:pPr>
        <w:pStyle w:val="2"/>
        <w:spacing w:before="5"/>
        <w:rPr>
          <w:b/>
          <w:sz w:val="14"/>
        </w:rPr>
      </w:pPr>
    </w:p>
    <w:p>
      <w:pPr>
        <w:spacing w:before="50"/>
        <w:ind w:left="396" w:right="412" w:firstLine="0"/>
        <w:jc w:val="center"/>
        <w:rPr>
          <w:b/>
          <w:sz w:val="36"/>
        </w:rPr>
      </w:pPr>
      <w:r>
        <w:rPr>
          <w:b/>
          <w:sz w:val="36"/>
        </w:rPr>
        <w:t>评分对照表</w:t>
      </w:r>
    </w:p>
    <w:p>
      <w:pPr>
        <w:pStyle w:val="2"/>
        <w:rPr>
          <w:b/>
          <w:sz w:val="20"/>
        </w:rPr>
      </w:pPr>
    </w:p>
    <w:p>
      <w:pPr>
        <w:pStyle w:val="2"/>
        <w:rPr>
          <w:b/>
          <w:sz w:val="20"/>
        </w:rPr>
      </w:pPr>
    </w:p>
    <w:p>
      <w:pPr>
        <w:pStyle w:val="2"/>
        <w:spacing w:before="11"/>
        <w:rPr>
          <w:b/>
          <w:sz w:val="10"/>
        </w:rPr>
      </w:pPr>
    </w:p>
    <w:tbl>
      <w:tblPr>
        <w:tblStyle w:val="9"/>
        <w:tblW w:w="0" w:type="auto"/>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748"/>
        <w:gridCol w:w="2479"/>
        <w:gridCol w:w="3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3" w:type="dxa"/>
          </w:tcPr>
          <w:p>
            <w:pPr>
              <w:pStyle w:val="14"/>
              <w:spacing w:before="129"/>
              <w:ind w:left="235"/>
              <w:rPr>
                <w:sz w:val="24"/>
              </w:rPr>
            </w:pPr>
            <w:r>
              <w:rPr>
                <w:sz w:val="24"/>
              </w:rPr>
              <w:t>序号</w:t>
            </w:r>
          </w:p>
        </w:tc>
        <w:tc>
          <w:tcPr>
            <w:tcW w:w="2748" w:type="dxa"/>
          </w:tcPr>
          <w:p>
            <w:pPr>
              <w:pStyle w:val="14"/>
              <w:spacing w:before="129"/>
              <w:ind w:left="410"/>
              <w:rPr>
                <w:sz w:val="24"/>
              </w:rPr>
            </w:pPr>
            <w:r>
              <w:rPr>
                <w:sz w:val="24"/>
              </w:rPr>
              <w:t>磋商文件评分标准</w:t>
            </w:r>
          </w:p>
        </w:tc>
        <w:tc>
          <w:tcPr>
            <w:tcW w:w="2479" w:type="dxa"/>
          </w:tcPr>
          <w:p>
            <w:pPr>
              <w:pStyle w:val="14"/>
              <w:spacing w:before="129"/>
              <w:ind w:left="519"/>
              <w:rPr>
                <w:sz w:val="24"/>
              </w:rPr>
            </w:pPr>
            <w:r>
              <w:rPr>
                <w:sz w:val="24"/>
              </w:rPr>
              <w:t>磋商响应部分</w:t>
            </w:r>
          </w:p>
        </w:tc>
        <w:tc>
          <w:tcPr>
            <w:tcW w:w="3242" w:type="dxa"/>
          </w:tcPr>
          <w:p>
            <w:pPr>
              <w:pStyle w:val="14"/>
              <w:spacing w:before="129"/>
              <w:ind w:left="298"/>
              <w:rPr>
                <w:sz w:val="24"/>
              </w:rPr>
            </w:pPr>
            <w:r>
              <w:rPr>
                <w:sz w:val="24"/>
              </w:rPr>
              <w:t>磋商响应文件中对应页码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3" w:type="dxa"/>
          </w:tcPr>
          <w:p>
            <w:pPr>
              <w:pStyle w:val="14"/>
              <w:rPr>
                <w:rFonts w:ascii="Times New Roman"/>
                <w:sz w:val="24"/>
              </w:rPr>
            </w:pPr>
          </w:p>
        </w:tc>
        <w:tc>
          <w:tcPr>
            <w:tcW w:w="2748" w:type="dxa"/>
          </w:tcPr>
          <w:p>
            <w:pPr>
              <w:pStyle w:val="14"/>
              <w:rPr>
                <w:rFonts w:ascii="Times New Roman"/>
                <w:sz w:val="24"/>
              </w:rPr>
            </w:pPr>
          </w:p>
        </w:tc>
        <w:tc>
          <w:tcPr>
            <w:tcW w:w="2479" w:type="dxa"/>
          </w:tcPr>
          <w:p>
            <w:pPr>
              <w:pStyle w:val="14"/>
              <w:rPr>
                <w:rFonts w:ascii="Times New Roman"/>
                <w:sz w:val="24"/>
              </w:rPr>
            </w:pPr>
          </w:p>
        </w:tc>
        <w:tc>
          <w:tcPr>
            <w:tcW w:w="324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3" w:type="dxa"/>
          </w:tcPr>
          <w:p>
            <w:pPr>
              <w:pStyle w:val="14"/>
              <w:rPr>
                <w:rFonts w:ascii="Times New Roman"/>
                <w:sz w:val="24"/>
              </w:rPr>
            </w:pPr>
          </w:p>
        </w:tc>
        <w:tc>
          <w:tcPr>
            <w:tcW w:w="2748" w:type="dxa"/>
          </w:tcPr>
          <w:p>
            <w:pPr>
              <w:pStyle w:val="14"/>
              <w:rPr>
                <w:rFonts w:ascii="Times New Roman"/>
                <w:sz w:val="24"/>
              </w:rPr>
            </w:pPr>
          </w:p>
        </w:tc>
        <w:tc>
          <w:tcPr>
            <w:tcW w:w="2479" w:type="dxa"/>
          </w:tcPr>
          <w:p>
            <w:pPr>
              <w:pStyle w:val="14"/>
              <w:rPr>
                <w:rFonts w:ascii="Times New Roman"/>
                <w:sz w:val="24"/>
              </w:rPr>
            </w:pPr>
          </w:p>
        </w:tc>
        <w:tc>
          <w:tcPr>
            <w:tcW w:w="324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3" w:type="dxa"/>
          </w:tcPr>
          <w:p>
            <w:pPr>
              <w:pStyle w:val="14"/>
              <w:rPr>
                <w:rFonts w:ascii="Times New Roman"/>
                <w:sz w:val="24"/>
              </w:rPr>
            </w:pPr>
          </w:p>
        </w:tc>
        <w:tc>
          <w:tcPr>
            <w:tcW w:w="2748" w:type="dxa"/>
          </w:tcPr>
          <w:p>
            <w:pPr>
              <w:pStyle w:val="14"/>
              <w:rPr>
                <w:rFonts w:ascii="Times New Roman"/>
                <w:sz w:val="24"/>
              </w:rPr>
            </w:pPr>
          </w:p>
        </w:tc>
        <w:tc>
          <w:tcPr>
            <w:tcW w:w="2479" w:type="dxa"/>
          </w:tcPr>
          <w:p>
            <w:pPr>
              <w:pStyle w:val="14"/>
              <w:rPr>
                <w:rFonts w:ascii="Times New Roman"/>
                <w:sz w:val="24"/>
              </w:rPr>
            </w:pPr>
          </w:p>
        </w:tc>
        <w:tc>
          <w:tcPr>
            <w:tcW w:w="324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3" w:type="dxa"/>
          </w:tcPr>
          <w:p>
            <w:pPr>
              <w:pStyle w:val="14"/>
              <w:rPr>
                <w:rFonts w:ascii="Times New Roman"/>
                <w:sz w:val="24"/>
              </w:rPr>
            </w:pPr>
          </w:p>
        </w:tc>
        <w:tc>
          <w:tcPr>
            <w:tcW w:w="2748" w:type="dxa"/>
          </w:tcPr>
          <w:p>
            <w:pPr>
              <w:pStyle w:val="14"/>
              <w:rPr>
                <w:rFonts w:ascii="Times New Roman"/>
                <w:sz w:val="24"/>
              </w:rPr>
            </w:pPr>
          </w:p>
        </w:tc>
        <w:tc>
          <w:tcPr>
            <w:tcW w:w="2479" w:type="dxa"/>
          </w:tcPr>
          <w:p>
            <w:pPr>
              <w:pStyle w:val="14"/>
              <w:rPr>
                <w:rFonts w:ascii="Times New Roman"/>
                <w:sz w:val="24"/>
              </w:rPr>
            </w:pPr>
          </w:p>
        </w:tc>
        <w:tc>
          <w:tcPr>
            <w:tcW w:w="324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3" w:type="dxa"/>
          </w:tcPr>
          <w:p>
            <w:pPr>
              <w:pStyle w:val="14"/>
              <w:rPr>
                <w:rFonts w:ascii="Times New Roman"/>
                <w:sz w:val="24"/>
              </w:rPr>
            </w:pPr>
          </w:p>
        </w:tc>
        <w:tc>
          <w:tcPr>
            <w:tcW w:w="2748" w:type="dxa"/>
          </w:tcPr>
          <w:p>
            <w:pPr>
              <w:pStyle w:val="14"/>
              <w:rPr>
                <w:rFonts w:ascii="Times New Roman"/>
                <w:sz w:val="24"/>
              </w:rPr>
            </w:pPr>
          </w:p>
        </w:tc>
        <w:tc>
          <w:tcPr>
            <w:tcW w:w="2479" w:type="dxa"/>
          </w:tcPr>
          <w:p>
            <w:pPr>
              <w:pStyle w:val="14"/>
              <w:rPr>
                <w:rFonts w:ascii="Times New Roman"/>
                <w:sz w:val="24"/>
              </w:rPr>
            </w:pPr>
          </w:p>
        </w:tc>
        <w:tc>
          <w:tcPr>
            <w:tcW w:w="324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3" w:type="dxa"/>
          </w:tcPr>
          <w:p>
            <w:pPr>
              <w:pStyle w:val="14"/>
              <w:rPr>
                <w:rFonts w:ascii="Times New Roman"/>
                <w:sz w:val="24"/>
              </w:rPr>
            </w:pPr>
          </w:p>
        </w:tc>
        <w:tc>
          <w:tcPr>
            <w:tcW w:w="2748" w:type="dxa"/>
          </w:tcPr>
          <w:p>
            <w:pPr>
              <w:pStyle w:val="14"/>
              <w:rPr>
                <w:rFonts w:ascii="Times New Roman"/>
                <w:sz w:val="24"/>
              </w:rPr>
            </w:pPr>
          </w:p>
        </w:tc>
        <w:tc>
          <w:tcPr>
            <w:tcW w:w="2479" w:type="dxa"/>
          </w:tcPr>
          <w:p>
            <w:pPr>
              <w:pStyle w:val="14"/>
              <w:rPr>
                <w:rFonts w:ascii="Times New Roman"/>
                <w:sz w:val="24"/>
              </w:rPr>
            </w:pPr>
          </w:p>
        </w:tc>
        <w:tc>
          <w:tcPr>
            <w:tcW w:w="3242" w:type="dxa"/>
          </w:tcPr>
          <w:p>
            <w:pPr>
              <w:pStyle w:val="14"/>
              <w:rPr>
                <w:rFonts w:ascii="Times New Roman"/>
                <w:sz w:val="24"/>
              </w:rPr>
            </w:pPr>
          </w:p>
        </w:tc>
      </w:tr>
    </w:tbl>
    <w:p>
      <w:pPr>
        <w:pStyle w:val="2"/>
        <w:rPr>
          <w:b/>
          <w:sz w:val="36"/>
        </w:rPr>
      </w:pPr>
    </w:p>
    <w:p>
      <w:pPr>
        <w:pStyle w:val="2"/>
        <w:rPr>
          <w:b/>
          <w:sz w:val="36"/>
        </w:rPr>
      </w:pPr>
    </w:p>
    <w:p>
      <w:pPr>
        <w:pStyle w:val="2"/>
        <w:rPr>
          <w:b/>
          <w:sz w:val="36"/>
        </w:rPr>
      </w:pPr>
    </w:p>
    <w:p>
      <w:pPr>
        <w:pStyle w:val="2"/>
        <w:rPr>
          <w:b/>
          <w:sz w:val="36"/>
        </w:rPr>
      </w:pPr>
    </w:p>
    <w:p>
      <w:pPr>
        <w:spacing w:before="260"/>
        <w:ind w:left="396" w:right="412" w:firstLine="0"/>
        <w:jc w:val="center"/>
        <w:rPr>
          <w:b/>
          <w:sz w:val="24"/>
        </w:rPr>
      </w:pPr>
      <w:r>
        <w:rPr>
          <w:b/>
          <w:sz w:val="24"/>
        </w:rPr>
        <w:t>供应商：（公章）</w:t>
      </w:r>
    </w:p>
    <w:p>
      <w:pPr>
        <w:spacing w:before="160" w:line="362"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2" w:lineRule="auto"/>
        <w:jc w:val="center"/>
        <w:rPr>
          <w:sz w:val="24"/>
        </w:rPr>
        <w:sectPr>
          <w:pgSz w:w="11910" w:h="16840"/>
          <w:pgMar w:top="1180" w:right="720" w:bottom="1120" w:left="740" w:header="711" w:footer="923" w:gutter="0"/>
        </w:sectPr>
      </w:pPr>
    </w:p>
    <w:p>
      <w:pPr>
        <w:pStyle w:val="13"/>
        <w:numPr>
          <w:ilvl w:val="0"/>
          <w:numId w:val="38"/>
        </w:numPr>
        <w:tabs>
          <w:tab w:val="left" w:pos="1259"/>
        </w:tabs>
        <w:spacing w:before="67" w:after="0" w:line="240" w:lineRule="auto"/>
        <w:ind w:left="1258" w:right="0" w:hanging="751"/>
        <w:jc w:val="left"/>
        <w:rPr>
          <w:b/>
          <w:sz w:val="24"/>
        </w:rPr>
      </w:pPr>
      <w:bookmarkStart w:id="57" w:name="_TOC_250012"/>
      <w:bookmarkEnd w:id="57"/>
      <w:r>
        <w:rPr>
          <w:b/>
          <w:sz w:val="24"/>
        </w:rPr>
        <w:t>开标一览表（报价表）</w:t>
      </w:r>
    </w:p>
    <w:p>
      <w:pPr>
        <w:pStyle w:val="2"/>
        <w:rPr>
          <w:b/>
          <w:sz w:val="26"/>
        </w:rPr>
      </w:pPr>
    </w:p>
    <w:p>
      <w:pPr>
        <w:pStyle w:val="2"/>
        <w:spacing w:before="10"/>
        <w:rPr>
          <w:b/>
          <w:sz w:val="26"/>
        </w:rPr>
      </w:pPr>
    </w:p>
    <w:p>
      <w:pPr>
        <w:spacing w:before="1"/>
        <w:ind w:left="397" w:right="412" w:firstLine="0"/>
        <w:jc w:val="center"/>
        <w:rPr>
          <w:b/>
          <w:sz w:val="36"/>
        </w:rPr>
      </w:pPr>
      <w:r>
        <w:rPr>
          <w:b/>
          <w:sz w:val="36"/>
        </w:rPr>
        <w:t>开标一览表（报价表）</w:t>
      </w:r>
    </w:p>
    <w:p>
      <w:pPr>
        <w:pStyle w:val="2"/>
        <w:rPr>
          <w:b/>
          <w:sz w:val="20"/>
        </w:rPr>
      </w:pPr>
    </w:p>
    <w:p>
      <w:pPr>
        <w:pStyle w:val="2"/>
        <w:rPr>
          <w:b/>
          <w:sz w:val="20"/>
        </w:rPr>
      </w:pPr>
    </w:p>
    <w:p>
      <w:pPr>
        <w:pStyle w:val="2"/>
        <w:spacing w:before="11"/>
        <w:rPr>
          <w:b/>
          <w:sz w:val="10"/>
        </w:rPr>
      </w:pPr>
    </w:p>
    <w:tbl>
      <w:tblPr>
        <w:tblStyle w:val="9"/>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3"/>
        <w:gridCol w:w="6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3203" w:type="dxa"/>
          </w:tcPr>
          <w:p>
            <w:pPr>
              <w:pStyle w:val="14"/>
              <w:spacing w:before="50"/>
              <w:ind w:left="141" w:right="132"/>
              <w:jc w:val="center"/>
              <w:rPr>
                <w:sz w:val="24"/>
              </w:rPr>
            </w:pPr>
            <w:r>
              <w:rPr>
                <w:sz w:val="24"/>
              </w:rPr>
              <w:t>供应商名称</w:t>
            </w:r>
          </w:p>
        </w:tc>
        <w:tc>
          <w:tcPr>
            <w:tcW w:w="63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3" w:type="dxa"/>
          </w:tcPr>
          <w:p>
            <w:pPr>
              <w:pStyle w:val="14"/>
              <w:spacing w:before="50"/>
              <w:ind w:left="141" w:right="132"/>
              <w:jc w:val="center"/>
              <w:rPr>
                <w:sz w:val="24"/>
              </w:rPr>
            </w:pPr>
            <w:r>
              <w:rPr>
                <w:sz w:val="24"/>
              </w:rPr>
              <w:t>磋商包号</w:t>
            </w:r>
          </w:p>
        </w:tc>
        <w:tc>
          <w:tcPr>
            <w:tcW w:w="63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203" w:type="dxa"/>
          </w:tcPr>
          <w:p>
            <w:pPr>
              <w:pStyle w:val="14"/>
              <w:spacing w:before="4"/>
              <w:rPr>
                <w:b/>
                <w:sz w:val="18"/>
              </w:rPr>
            </w:pPr>
          </w:p>
          <w:p>
            <w:pPr>
              <w:pStyle w:val="14"/>
              <w:ind w:left="141" w:right="132"/>
              <w:jc w:val="center"/>
              <w:rPr>
                <w:sz w:val="24"/>
              </w:rPr>
            </w:pPr>
            <w:r>
              <w:rPr>
                <w:sz w:val="24"/>
              </w:rPr>
              <w:t>磋商报价</w:t>
            </w:r>
          </w:p>
        </w:tc>
        <w:tc>
          <w:tcPr>
            <w:tcW w:w="6325" w:type="dxa"/>
          </w:tcPr>
          <w:p>
            <w:pPr>
              <w:pStyle w:val="14"/>
              <w:ind w:left="54"/>
              <w:rPr>
                <w:sz w:val="24"/>
              </w:rPr>
            </w:pPr>
            <w:r>
              <w:rPr>
                <w:sz w:val="24"/>
              </w:rPr>
              <w:t>大写：</w:t>
            </w:r>
          </w:p>
          <w:p>
            <w:pPr>
              <w:pStyle w:val="14"/>
              <w:spacing w:before="160"/>
              <w:ind w:left="54"/>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03" w:type="dxa"/>
          </w:tcPr>
          <w:p>
            <w:pPr>
              <w:pStyle w:val="14"/>
              <w:spacing w:before="50"/>
              <w:ind w:left="141" w:right="132"/>
              <w:jc w:val="center"/>
              <w:rPr>
                <w:sz w:val="24"/>
              </w:rPr>
            </w:pPr>
            <w:r>
              <w:rPr>
                <w:sz w:val="24"/>
              </w:rPr>
              <w:t>交货期</w:t>
            </w:r>
          </w:p>
        </w:tc>
        <w:tc>
          <w:tcPr>
            <w:tcW w:w="63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203" w:type="dxa"/>
          </w:tcPr>
          <w:p>
            <w:pPr>
              <w:pStyle w:val="14"/>
              <w:ind w:left="141" w:right="132"/>
              <w:jc w:val="center"/>
              <w:rPr>
                <w:sz w:val="24"/>
              </w:rPr>
            </w:pPr>
            <w:r>
              <w:rPr>
                <w:sz w:val="24"/>
              </w:rPr>
              <w:t>其他承诺及所需要说明的事</w:t>
            </w:r>
          </w:p>
          <w:p>
            <w:pPr>
              <w:pStyle w:val="14"/>
              <w:spacing w:before="160"/>
              <w:ind w:left="9"/>
              <w:jc w:val="center"/>
              <w:rPr>
                <w:sz w:val="24"/>
              </w:rPr>
            </w:pPr>
            <w:r>
              <w:rPr>
                <w:sz w:val="24"/>
              </w:rPr>
              <w:t>项</w:t>
            </w:r>
          </w:p>
        </w:tc>
        <w:tc>
          <w:tcPr>
            <w:tcW w:w="6325" w:type="dxa"/>
          </w:tcPr>
          <w:p>
            <w:pPr>
              <w:pStyle w:val="14"/>
              <w:rPr>
                <w:rFonts w:ascii="Times New Roman"/>
                <w:sz w:val="24"/>
              </w:rPr>
            </w:pPr>
          </w:p>
        </w:tc>
      </w:tr>
    </w:tbl>
    <w:p>
      <w:pPr>
        <w:pStyle w:val="2"/>
        <w:ind w:left="508"/>
      </w:pPr>
      <w:r>
        <w:rPr>
          <w:b/>
        </w:rPr>
        <w:t>注：</w:t>
      </w:r>
      <w:r>
        <w:rPr>
          <w:rFonts w:ascii="Arial" w:eastAsia="Arial"/>
        </w:rPr>
        <w:t>1.</w:t>
      </w:r>
      <w:r>
        <w:t>填写此表时不得改变表格形式。</w:t>
      </w:r>
    </w:p>
    <w:p>
      <w:pPr>
        <w:pStyle w:val="13"/>
        <w:numPr>
          <w:ilvl w:val="0"/>
          <w:numId w:val="39"/>
        </w:numPr>
        <w:tabs>
          <w:tab w:val="left" w:pos="1191"/>
        </w:tabs>
        <w:spacing w:before="160" w:after="0" w:line="364" w:lineRule="auto"/>
        <w:ind w:left="508" w:right="524" w:firstLine="480"/>
        <w:jc w:val="both"/>
        <w:rPr>
          <w:sz w:val="24"/>
        </w:rPr>
      </w:pPr>
      <w:r>
        <w:rPr>
          <w:rFonts w:ascii="Arial" w:hAnsi="Arial" w:eastAsia="Arial"/>
          <w:sz w:val="24"/>
        </w:rPr>
        <w:t>“</w:t>
      </w:r>
      <w:r>
        <w:rPr>
          <w:sz w:val="24"/>
        </w:rPr>
        <w:t>磋商报价</w:t>
      </w:r>
      <w:r>
        <w:rPr>
          <w:rFonts w:ascii="Arial" w:hAnsi="Arial" w:eastAsia="Arial"/>
          <w:sz w:val="24"/>
        </w:rPr>
        <w:t>”</w:t>
      </w:r>
      <w:r>
        <w:rPr>
          <w:spacing w:val="-8"/>
          <w:sz w:val="24"/>
        </w:rPr>
        <w:t>为磋商总价。磋商报价必须包括：产品费、验收费、手续费、包装费、运</w:t>
      </w:r>
      <w:r>
        <w:rPr>
          <w:spacing w:val="-1"/>
          <w:sz w:val="24"/>
        </w:rPr>
        <w:t>输费、保险费、安装费、调试费、培训费、售前、售中、售后服务费、磋商代理费、税金</w:t>
      </w:r>
      <w:r>
        <w:rPr>
          <w:sz w:val="24"/>
        </w:rPr>
        <w:t>及不可预见费等全部费用。</w:t>
      </w:r>
    </w:p>
    <w:p>
      <w:pPr>
        <w:pStyle w:val="13"/>
        <w:numPr>
          <w:ilvl w:val="0"/>
          <w:numId w:val="39"/>
        </w:numPr>
        <w:tabs>
          <w:tab w:val="left" w:pos="1191"/>
        </w:tabs>
        <w:spacing w:before="0" w:after="0" w:line="304" w:lineRule="exact"/>
        <w:ind w:left="1190" w:right="0" w:hanging="203"/>
        <w:jc w:val="left"/>
        <w:rPr>
          <w:sz w:val="24"/>
        </w:rPr>
      </w:pPr>
      <w:r>
        <w:rPr>
          <w:rFonts w:ascii="Arial" w:hAnsi="Arial" w:eastAsia="Arial"/>
          <w:sz w:val="24"/>
        </w:rPr>
        <w:t>“</w:t>
      </w:r>
      <w:r>
        <w:rPr>
          <w:sz w:val="24"/>
        </w:rPr>
        <w:t>交货时间</w:t>
      </w:r>
      <w:r>
        <w:rPr>
          <w:rFonts w:ascii="Arial" w:hAnsi="Arial" w:eastAsia="Arial"/>
          <w:sz w:val="24"/>
        </w:rPr>
        <w:t>”</w:t>
      </w:r>
      <w:r>
        <w:rPr>
          <w:sz w:val="24"/>
        </w:rPr>
        <w:t>是指产品能够交付使用的具体时间（</w:t>
      </w:r>
      <w:r>
        <w:rPr>
          <w:rFonts w:hint="eastAsia"/>
          <w:sz w:val="24"/>
          <w:lang w:eastAsia="zh-CN"/>
        </w:rPr>
        <w:t>日历天</w:t>
      </w:r>
      <w:r>
        <w:rPr>
          <w:sz w:val="24"/>
        </w:rPr>
        <w:t>）。</w:t>
      </w:r>
    </w:p>
    <w:p>
      <w:pPr>
        <w:pStyle w:val="13"/>
        <w:numPr>
          <w:ilvl w:val="0"/>
          <w:numId w:val="39"/>
        </w:numPr>
        <w:tabs>
          <w:tab w:val="left" w:pos="1191"/>
        </w:tabs>
        <w:spacing w:before="161" w:after="0" w:line="240" w:lineRule="auto"/>
        <w:ind w:left="1190" w:right="0" w:hanging="203"/>
        <w:jc w:val="left"/>
        <w:rPr>
          <w:sz w:val="24"/>
        </w:rPr>
      </w:pPr>
      <w:r>
        <w:rPr>
          <w:spacing w:val="-1"/>
          <w:sz w:val="24"/>
        </w:rPr>
        <w:t>磋商报价不能有两个或两个以上的报价方案，否则磋商无效。</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3"/>
      </w:pPr>
    </w:p>
    <w:p>
      <w:pPr>
        <w:spacing w:before="0"/>
        <w:ind w:left="396" w:right="412" w:firstLine="0"/>
        <w:jc w:val="center"/>
        <w:rPr>
          <w:b/>
          <w:sz w:val="24"/>
        </w:rPr>
      </w:pPr>
      <w:r>
        <w:rPr>
          <w:b/>
          <w:sz w:val="24"/>
        </w:rPr>
        <w:t>供应商：（公章）</w:t>
      </w:r>
    </w:p>
    <w:p>
      <w:pPr>
        <w:spacing w:before="160" w:line="364"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4" w:lineRule="auto"/>
        <w:jc w:val="center"/>
        <w:rPr>
          <w:sz w:val="24"/>
        </w:rPr>
        <w:sectPr>
          <w:pgSz w:w="11910" w:h="16840"/>
          <w:pgMar w:top="1180" w:right="720" w:bottom="1120" w:left="740" w:header="711" w:footer="923" w:gutter="0"/>
        </w:sectPr>
      </w:pPr>
    </w:p>
    <w:p>
      <w:pPr>
        <w:pStyle w:val="13"/>
        <w:numPr>
          <w:ilvl w:val="0"/>
          <w:numId w:val="38"/>
        </w:numPr>
        <w:tabs>
          <w:tab w:val="left" w:pos="1259"/>
        </w:tabs>
        <w:spacing w:before="67" w:after="0" w:line="240" w:lineRule="auto"/>
        <w:ind w:left="1258" w:right="0" w:hanging="751"/>
        <w:jc w:val="left"/>
        <w:rPr>
          <w:b/>
          <w:sz w:val="24"/>
        </w:rPr>
      </w:pPr>
      <w:bookmarkStart w:id="58" w:name="_TOC_250011"/>
      <w:bookmarkEnd w:id="58"/>
      <w:r>
        <w:rPr>
          <w:b/>
          <w:sz w:val="24"/>
        </w:rPr>
        <w:t>分项报价表</w:t>
      </w:r>
    </w:p>
    <w:p>
      <w:pPr>
        <w:pStyle w:val="2"/>
        <w:rPr>
          <w:b/>
          <w:sz w:val="20"/>
        </w:rPr>
      </w:pPr>
    </w:p>
    <w:p>
      <w:pPr>
        <w:pStyle w:val="2"/>
        <w:spacing w:before="12"/>
        <w:rPr>
          <w:b/>
          <w:sz w:val="28"/>
        </w:rPr>
      </w:pPr>
    </w:p>
    <w:p>
      <w:pPr>
        <w:spacing w:before="50"/>
        <w:ind w:left="396" w:right="412" w:firstLine="0"/>
        <w:jc w:val="center"/>
        <w:rPr>
          <w:b/>
          <w:sz w:val="36"/>
        </w:rPr>
      </w:pPr>
      <w:r>
        <w:rPr>
          <w:b/>
          <w:sz w:val="36"/>
        </w:rPr>
        <w:t>分项报价表</w:t>
      </w:r>
    </w:p>
    <w:p>
      <w:pPr>
        <w:pStyle w:val="2"/>
        <w:rPr>
          <w:b/>
          <w:sz w:val="20"/>
        </w:rPr>
      </w:pPr>
    </w:p>
    <w:p>
      <w:pPr>
        <w:pStyle w:val="2"/>
        <w:rPr>
          <w:b/>
          <w:sz w:val="20"/>
        </w:rPr>
      </w:pPr>
    </w:p>
    <w:p>
      <w:pPr>
        <w:spacing w:before="209"/>
        <w:ind w:left="508" w:right="0" w:firstLine="0"/>
        <w:jc w:val="left"/>
        <w:rPr>
          <w:b/>
          <w:sz w:val="24"/>
        </w:rPr>
      </w:pPr>
      <w:r>
        <w:rPr>
          <w:b/>
          <w:sz w:val="24"/>
        </w:rPr>
        <w:t>供应商名称：包号：</w:t>
      </w:r>
    </w:p>
    <w:p>
      <w:pPr>
        <w:pStyle w:val="2"/>
        <w:spacing w:before="7"/>
        <w:rPr>
          <w:b/>
          <w:sz w:val="12"/>
        </w:rPr>
      </w:pPr>
    </w:p>
    <w:tbl>
      <w:tblPr>
        <w:tblStyle w:val="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991"/>
        <w:gridCol w:w="849"/>
        <w:gridCol w:w="1560"/>
        <w:gridCol w:w="1416"/>
        <w:gridCol w:w="1399"/>
        <w:gridCol w:w="869"/>
        <w:gridCol w:w="994"/>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4" w:type="dxa"/>
          </w:tcPr>
          <w:p>
            <w:pPr>
              <w:pStyle w:val="14"/>
              <w:spacing w:before="127"/>
              <w:ind w:left="147" w:right="146"/>
              <w:jc w:val="center"/>
              <w:rPr>
                <w:sz w:val="24"/>
              </w:rPr>
            </w:pPr>
            <w:r>
              <w:rPr>
                <w:sz w:val="24"/>
              </w:rPr>
              <w:t>序号</w:t>
            </w:r>
          </w:p>
        </w:tc>
        <w:tc>
          <w:tcPr>
            <w:tcW w:w="991" w:type="dxa"/>
          </w:tcPr>
          <w:p>
            <w:pPr>
              <w:pStyle w:val="14"/>
              <w:spacing w:before="127"/>
              <w:ind w:left="11"/>
              <w:rPr>
                <w:sz w:val="24"/>
              </w:rPr>
            </w:pPr>
            <w:r>
              <w:rPr>
                <w:sz w:val="24"/>
              </w:rPr>
              <w:t>产品名称</w:t>
            </w:r>
          </w:p>
        </w:tc>
        <w:tc>
          <w:tcPr>
            <w:tcW w:w="849" w:type="dxa"/>
          </w:tcPr>
          <w:p>
            <w:pPr>
              <w:pStyle w:val="14"/>
              <w:spacing w:before="127"/>
              <w:ind w:left="184"/>
              <w:rPr>
                <w:sz w:val="24"/>
              </w:rPr>
            </w:pPr>
            <w:r>
              <w:rPr>
                <w:sz w:val="24"/>
              </w:rPr>
              <w:t>品牌</w:t>
            </w:r>
          </w:p>
        </w:tc>
        <w:tc>
          <w:tcPr>
            <w:tcW w:w="1560" w:type="dxa"/>
          </w:tcPr>
          <w:p>
            <w:pPr>
              <w:pStyle w:val="14"/>
              <w:spacing w:before="127"/>
              <w:ind w:left="300"/>
              <w:rPr>
                <w:sz w:val="24"/>
              </w:rPr>
            </w:pPr>
            <w:r>
              <w:rPr>
                <w:sz w:val="24"/>
              </w:rPr>
              <w:t>型号规格</w:t>
            </w:r>
          </w:p>
        </w:tc>
        <w:tc>
          <w:tcPr>
            <w:tcW w:w="1416" w:type="dxa"/>
          </w:tcPr>
          <w:p>
            <w:pPr>
              <w:pStyle w:val="14"/>
              <w:spacing w:before="127"/>
              <w:ind w:left="228"/>
              <w:rPr>
                <w:sz w:val="24"/>
              </w:rPr>
            </w:pPr>
            <w:r>
              <w:rPr>
                <w:sz w:val="24"/>
              </w:rPr>
              <w:t>生产厂家</w:t>
            </w:r>
          </w:p>
        </w:tc>
        <w:tc>
          <w:tcPr>
            <w:tcW w:w="1399" w:type="dxa"/>
          </w:tcPr>
          <w:p>
            <w:pPr>
              <w:pStyle w:val="14"/>
              <w:spacing w:before="127"/>
              <w:ind w:left="99"/>
              <w:rPr>
                <w:sz w:val="24"/>
              </w:rPr>
            </w:pPr>
            <w:r>
              <w:rPr>
                <w:sz w:val="24"/>
              </w:rPr>
              <w:t>数量及单位</w:t>
            </w:r>
          </w:p>
        </w:tc>
        <w:tc>
          <w:tcPr>
            <w:tcW w:w="869" w:type="dxa"/>
          </w:tcPr>
          <w:p>
            <w:pPr>
              <w:pStyle w:val="14"/>
              <w:spacing w:before="127"/>
              <w:ind w:left="193"/>
              <w:rPr>
                <w:sz w:val="24"/>
              </w:rPr>
            </w:pPr>
            <w:r>
              <w:rPr>
                <w:sz w:val="24"/>
              </w:rPr>
              <w:t>单价</w:t>
            </w:r>
          </w:p>
        </w:tc>
        <w:tc>
          <w:tcPr>
            <w:tcW w:w="994" w:type="dxa"/>
          </w:tcPr>
          <w:p>
            <w:pPr>
              <w:pStyle w:val="14"/>
              <w:spacing w:before="127"/>
              <w:ind w:left="256"/>
              <w:rPr>
                <w:sz w:val="24"/>
              </w:rPr>
            </w:pPr>
            <w:r>
              <w:rPr>
                <w:sz w:val="24"/>
              </w:rPr>
              <w:t>合计</w:t>
            </w:r>
          </w:p>
        </w:tc>
        <w:tc>
          <w:tcPr>
            <w:tcW w:w="1303" w:type="dxa"/>
          </w:tcPr>
          <w:p>
            <w:pPr>
              <w:pStyle w:val="14"/>
              <w:spacing w:before="127"/>
              <w:ind w:left="49"/>
              <w:rPr>
                <w:sz w:val="24"/>
              </w:rPr>
            </w:pPr>
            <w:r>
              <w:rPr>
                <w:sz w:val="24"/>
              </w:rPr>
              <w:t>免费质保期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4" w:type="dxa"/>
          </w:tcPr>
          <w:p>
            <w:pPr>
              <w:pStyle w:val="14"/>
              <w:spacing w:before="142"/>
              <w:jc w:val="center"/>
              <w:rPr>
                <w:rFonts w:ascii="Arial"/>
                <w:sz w:val="24"/>
              </w:rPr>
            </w:pPr>
            <w:r>
              <w:rPr>
                <w:rFonts w:ascii="Arial"/>
                <w:w w:val="99"/>
                <w:sz w:val="24"/>
              </w:rPr>
              <w:t>1</w:t>
            </w:r>
          </w:p>
        </w:tc>
        <w:tc>
          <w:tcPr>
            <w:tcW w:w="991" w:type="dxa"/>
          </w:tcPr>
          <w:p>
            <w:pPr>
              <w:pStyle w:val="14"/>
              <w:rPr>
                <w:rFonts w:ascii="Times New Roman"/>
                <w:sz w:val="24"/>
              </w:rPr>
            </w:pPr>
          </w:p>
        </w:tc>
        <w:tc>
          <w:tcPr>
            <w:tcW w:w="849" w:type="dxa"/>
          </w:tcPr>
          <w:p>
            <w:pPr>
              <w:pStyle w:val="14"/>
              <w:rPr>
                <w:rFonts w:ascii="Times New Roman"/>
                <w:sz w:val="24"/>
              </w:rPr>
            </w:pPr>
          </w:p>
        </w:tc>
        <w:tc>
          <w:tcPr>
            <w:tcW w:w="1560" w:type="dxa"/>
          </w:tcPr>
          <w:p>
            <w:pPr>
              <w:pStyle w:val="14"/>
              <w:rPr>
                <w:rFonts w:ascii="Times New Roman"/>
                <w:sz w:val="24"/>
              </w:rPr>
            </w:pPr>
          </w:p>
        </w:tc>
        <w:tc>
          <w:tcPr>
            <w:tcW w:w="1416" w:type="dxa"/>
          </w:tcPr>
          <w:p>
            <w:pPr>
              <w:pStyle w:val="14"/>
              <w:rPr>
                <w:rFonts w:ascii="Times New Roman"/>
                <w:sz w:val="24"/>
              </w:rPr>
            </w:pPr>
          </w:p>
        </w:tc>
        <w:tc>
          <w:tcPr>
            <w:tcW w:w="1399" w:type="dxa"/>
          </w:tcPr>
          <w:p>
            <w:pPr>
              <w:pStyle w:val="14"/>
              <w:rPr>
                <w:rFonts w:ascii="Times New Roman"/>
                <w:sz w:val="24"/>
              </w:rPr>
            </w:pPr>
          </w:p>
        </w:tc>
        <w:tc>
          <w:tcPr>
            <w:tcW w:w="869" w:type="dxa"/>
          </w:tcPr>
          <w:p>
            <w:pPr>
              <w:pStyle w:val="14"/>
              <w:rPr>
                <w:rFonts w:ascii="Times New Roman"/>
                <w:sz w:val="24"/>
              </w:rPr>
            </w:pPr>
          </w:p>
        </w:tc>
        <w:tc>
          <w:tcPr>
            <w:tcW w:w="994" w:type="dxa"/>
          </w:tcPr>
          <w:p>
            <w:pPr>
              <w:pStyle w:val="14"/>
              <w:rPr>
                <w:rFonts w:ascii="Times New Roman"/>
                <w:sz w:val="24"/>
              </w:rPr>
            </w:pPr>
          </w:p>
        </w:tc>
        <w:tc>
          <w:tcPr>
            <w:tcW w:w="130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24" w:type="dxa"/>
          </w:tcPr>
          <w:p>
            <w:pPr>
              <w:pStyle w:val="14"/>
              <w:spacing w:before="142"/>
              <w:jc w:val="center"/>
              <w:rPr>
                <w:rFonts w:ascii="Arial"/>
                <w:sz w:val="24"/>
              </w:rPr>
            </w:pPr>
            <w:r>
              <w:rPr>
                <w:rFonts w:ascii="Arial"/>
                <w:w w:val="99"/>
                <w:sz w:val="24"/>
              </w:rPr>
              <w:t>2</w:t>
            </w:r>
          </w:p>
        </w:tc>
        <w:tc>
          <w:tcPr>
            <w:tcW w:w="991" w:type="dxa"/>
          </w:tcPr>
          <w:p>
            <w:pPr>
              <w:pStyle w:val="14"/>
              <w:rPr>
                <w:rFonts w:ascii="Times New Roman"/>
                <w:sz w:val="24"/>
              </w:rPr>
            </w:pPr>
          </w:p>
        </w:tc>
        <w:tc>
          <w:tcPr>
            <w:tcW w:w="849" w:type="dxa"/>
          </w:tcPr>
          <w:p>
            <w:pPr>
              <w:pStyle w:val="14"/>
              <w:rPr>
                <w:rFonts w:ascii="Times New Roman"/>
                <w:sz w:val="24"/>
              </w:rPr>
            </w:pPr>
          </w:p>
        </w:tc>
        <w:tc>
          <w:tcPr>
            <w:tcW w:w="1560" w:type="dxa"/>
          </w:tcPr>
          <w:p>
            <w:pPr>
              <w:pStyle w:val="14"/>
              <w:rPr>
                <w:rFonts w:ascii="Times New Roman"/>
                <w:sz w:val="24"/>
              </w:rPr>
            </w:pPr>
          </w:p>
        </w:tc>
        <w:tc>
          <w:tcPr>
            <w:tcW w:w="1416" w:type="dxa"/>
          </w:tcPr>
          <w:p>
            <w:pPr>
              <w:pStyle w:val="14"/>
              <w:rPr>
                <w:rFonts w:ascii="Times New Roman"/>
                <w:sz w:val="24"/>
              </w:rPr>
            </w:pPr>
          </w:p>
        </w:tc>
        <w:tc>
          <w:tcPr>
            <w:tcW w:w="1399" w:type="dxa"/>
          </w:tcPr>
          <w:p>
            <w:pPr>
              <w:pStyle w:val="14"/>
              <w:rPr>
                <w:rFonts w:ascii="Times New Roman"/>
                <w:sz w:val="24"/>
              </w:rPr>
            </w:pPr>
          </w:p>
        </w:tc>
        <w:tc>
          <w:tcPr>
            <w:tcW w:w="869" w:type="dxa"/>
          </w:tcPr>
          <w:p>
            <w:pPr>
              <w:pStyle w:val="14"/>
              <w:rPr>
                <w:rFonts w:ascii="Times New Roman"/>
                <w:sz w:val="24"/>
              </w:rPr>
            </w:pPr>
          </w:p>
        </w:tc>
        <w:tc>
          <w:tcPr>
            <w:tcW w:w="994" w:type="dxa"/>
          </w:tcPr>
          <w:p>
            <w:pPr>
              <w:pStyle w:val="14"/>
              <w:rPr>
                <w:rFonts w:ascii="Times New Roman"/>
                <w:sz w:val="24"/>
              </w:rPr>
            </w:pPr>
          </w:p>
        </w:tc>
        <w:tc>
          <w:tcPr>
            <w:tcW w:w="130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24" w:type="dxa"/>
          </w:tcPr>
          <w:p>
            <w:pPr>
              <w:pStyle w:val="14"/>
              <w:spacing w:before="142"/>
              <w:jc w:val="center"/>
              <w:rPr>
                <w:rFonts w:ascii="Arial"/>
                <w:sz w:val="24"/>
              </w:rPr>
            </w:pPr>
            <w:r>
              <w:rPr>
                <w:rFonts w:ascii="Arial"/>
                <w:w w:val="99"/>
                <w:sz w:val="24"/>
              </w:rPr>
              <w:t>3</w:t>
            </w:r>
          </w:p>
        </w:tc>
        <w:tc>
          <w:tcPr>
            <w:tcW w:w="991" w:type="dxa"/>
          </w:tcPr>
          <w:p>
            <w:pPr>
              <w:pStyle w:val="14"/>
              <w:rPr>
                <w:rFonts w:ascii="Times New Roman"/>
                <w:sz w:val="24"/>
              </w:rPr>
            </w:pPr>
          </w:p>
        </w:tc>
        <w:tc>
          <w:tcPr>
            <w:tcW w:w="849" w:type="dxa"/>
          </w:tcPr>
          <w:p>
            <w:pPr>
              <w:pStyle w:val="14"/>
              <w:rPr>
                <w:rFonts w:ascii="Times New Roman"/>
                <w:sz w:val="24"/>
              </w:rPr>
            </w:pPr>
          </w:p>
        </w:tc>
        <w:tc>
          <w:tcPr>
            <w:tcW w:w="1560" w:type="dxa"/>
          </w:tcPr>
          <w:p>
            <w:pPr>
              <w:pStyle w:val="14"/>
              <w:rPr>
                <w:rFonts w:ascii="Times New Roman"/>
                <w:sz w:val="24"/>
              </w:rPr>
            </w:pPr>
          </w:p>
        </w:tc>
        <w:tc>
          <w:tcPr>
            <w:tcW w:w="1416" w:type="dxa"/>
          </w:tcPr>
          <w:p>
            <w:pPr>
              <w:pStyle w:val="14"/>
              <w:rPr>
                <w:rFonts w:ascii="Times New Roman"/>
                <w:sz w:val="24"/>
              </w:rPr>
            </w:pPr>
          </w:p>
        </w:tc>
        <w:tc>
          <w:tcPr>
            <w:tcW w:w="1399" w:type="dxa"/>
          </w:tcPr>
          <w:p>
            <w:pPr>
              <w:pStyle w:val="14"/>
              <w:rPr>
                <w:rFonts w:ascii="Times New Roman"/>
                <w:sz w:val="24"/>
              </w:rPr>
            </w:pPr>
          </w:p>
        </w:tc>
        <w:tc>
          <w:tcPr>
            <w:tcW w:w="869" w:type="dxa"/>
          </w:tcPr>
          <w:p>
            <w:pPr>
              <w:pStyle w:val="14"/>
              <w:rPr>
                <w:rFonts w:ascii="Times New Roman"/>
                <w:sz w:val="24"/>
              </w:rPr>
            </w:pPr>
          </w:p>
        </w:tc>
        <w:tc>
          <w:tcPr>
            <w:tcW w:w="994" w:type="dxa"/>
          </w:tcPr>
          <w:p>
            <w:pPr>
              <w:pStyle w:val="14"/>
              <w:rPr>
                <w:rFonts w:ascii="Times New Roman"/>
                <w:sz w:val="24"/>
              </w:rPr>
            </w:pPr>
          </w:p>
        </w:tc>
        <w:tc>
          <w:tcPr>
            <w:tcW w:w="130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24" w:type="dxa"/>
          </w:tcPr>
          <w:p>
            <w:pPr>
              <w:pStyle w:val="14"/>
              <w:spacing w:before="142"/>
              <w:ind w:left="1"/>
              <w:jc w:val="center"/>
              <w:rPr>
                <w:rFonts w:ascii="Arial" w:hAnsi="Arial"/>
                <w:sz w:val="24"/>
              </w:rPr>
            </w:pPr>
            <w:r>
              <w:rPr>
                <w:rFonts w:ascii="Arial" w:hAnsi="Arial"/>
                <w:sz w:val="24"/>
              </w:rPr>
              <w:t>…</w:t>
            </w:r>
          </w:p>
        </w:tc>
        <w:tc>
          <w:tcPr>
            <w:tcW w:w="991" w:type="dxa"/>
          </w:tcPr>
          <w:p>
            <w:pPr>
              <w:pStyle w:val="14"/>
              <w:rPr>
                <w:rFonts w:ascii="Times New Roman"/>
                <w:sz w:val="24"/>
              </w:rPr>
            </w:pPr>
          </w:p>
        </w:tc>
        <w:tc>
          <w:tcPr>
            <w:tcW w:w="849" w:type="dxa"/>
          </w:tcPr>
          <w:p>
            <w:pPr>
              <w:pStyle w:val="14"/>
              <w:rPr>
                <w:rFonts w:ascii="Times New Roman"/>
                <w:sz w:val="24"/>
              </w:rPr>
            </w:pPr>
          </w:p>
        </w:tc>
        <w:tc>
          <w:tcPr>
            <w:tcW w:w="1560" w:type="dxa"/>
          </w:tcPr>
          <w:p>
            <w:pPr>
              <w:pStyle w:val="14"/>
              <w:rPr>
                <w:rFonts w:ascii="Times New Roman"/>
                <w:sz w:val="24"/>
              </w:rPr>
            </w:pPr>
          </w:p>
        </w:tc>
        <w:tc>
          <w:tcPr>
            <w:tcW w:w="1416" w:type="dxa"/>
          </w:tcPr>
          <w:p>
            <w:pPr>
              <w:pStyle w:val="14"/>
              <w:rPr>
                <w:rFonts w:ascii="Times New Roman"/>
                <w:sz w:val="24"/>
              </w:rPr>
            </w:pPr>
          </w:p>
        </w:tc>
        <w:tc>
          <w:tcPr>
            <w:tcW w:w="1399" w:type="dxa"/>
          </w:tcPr>
          <w:p>
            <w:pPr>
              <w:pStyle w:val="14"/>
              <w:rPr>
                <w:rFonts w:ascii="Times New Roman"/>
                <w:sz w:val="24"/>
              </w:rPr>
            </w:pPr>
          </w:p>
        </w:tc>
        <w:tc>
          <w:tcPr>
            <w:tcW w:w="869" w:type="dxa"/>
          </w:tcPr>
          <w:p>
            <w:pPr>
              <w:pStyle w:val="14"/>
              <w:rPr>
                <w:rFonts w:ascii="Times New Roman"/>
                <w:sz w:val="24"/>
              </w:rPr>
            </w:pPr>
          </w:p>
        </w:tc>
        <w:tc>
          <w:tcPr>
            <w:tcW w:w="994" w:type="dxa"/>
          </w:tcPr>
          <w:p>
            <w:pPr>
              <w:pStyle w:val="14"/>
              <w:rPr>
                <w:rFonts w:ascii="Times New Roman"/>
                <w:sz w:val="24"/>
              </w:rPr>
            </w:pPr>
          </w:p>
        </w:tc>
        <w:tc>
          <w:tcPr>
            <w:tcW w:w="130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24" w:type="dxa"/>
          </w:tcPr>
          <w:p>
            <w:pPr>
              <w:pStyle w:val="14"/>
              <w:ind w:left="167"/>
              <w:rPr>
                <w:sz w:val="24"/>
              </w:rPr>
            </w:pPr>
            <w:r>
              <w:rPr>
                <w:sz w:val="24"/>
              </w:rPr>
              <w:t>磋商</w:t>
            </w:r>
          </w:p>
          <w:p>
            <w:pPr>
              <w:pStyle w:val="14"/>
              <w:spacing w:before="158"/>
              <w:ind w:left="167"/>
              <w:rPr>
                <w:sz w:val="24"/>
              </w:rPr>
            </w:pPr>
            <w:r>
              <w:rPr>
                <w:sz w:val="24"/>
              </w:rPr>
              <w:t>总价</w:t>
            </w:r>
          </w:p>
        </w:tc>
        <w:tc>
          <w:tcPr>
            <w:tcW w:w="9381" w:type="dxa"/>
            <w:gridSpan w:val="8"/>
          </w:tcPr>
          <w:p>
            <w:pPr>
              <w:pStyle w:val="14"/>
              <w:ind w:left="1"/>
              <w:rPr>
                <w:sz w:val="24"/>
              </w:rPr>
            </w:pPr>
            <w:r>
              <w:rPr>
                <w:sz w:val="24"/>
              </w:rPr>
              <w:t>大写：</w:t>
            </w:r>
          </w:p>
          <w:p>
            <w:pPr>
              <w:pStyle w:val="14"/>
              <w:spacing w:before="158"/>
              <w:ind w:left="1"/>
              <w:rPr>
                <w:sz w:val="24"/>
              </w:rPr>
            </w:pPr>
            <w:r>
              <w:rPr>
                <w:sz w:val="24"/>
              </w:rPr>
              <w:t>小写：</w:t>
            </w:r>
          </w:p>
        </w:tc>
      </w:tr>
    </w:tbl>
    <w:p>
      <w:pPr>
        <w:pStyle w:val="2"/>
        <w:spacing w:line="364" w:lineRule="auto"/>
        <w:ind w:left="508" w:right="519"/>
      </w:pPr>
      <w:r>
        <w:t>注：</w:t>
      </w:r>
      <w:r>
        <w:rPr>
          <w:rFonts w:ascii="Arial" w:eastAsia="Arial"/>
        </w:rPr>
        <w:t>1.</w:t>
      </w:r>
      <w:r>
        <w:t>本表应依照每包采购一览表中的产品序号按顺序逐项填写，不得遗漏。否则，按无效磋商处理。</w:t>
      </w:r>
    </w:p>
    <w:p>
      <w:pPr>
        <w:pStyle w:val="2"/>
        <w:spacing w:line="306" w:lineRule="exact"/>
        <w:ind w:left="988"/>
      </w:pPr>
      <w:r>
        <w:rPr>
          <w:rFonts w:ascii="Arial" w:eastAsia="Arial"/>
        </w:rPr>
        <w:t>2.</w:t>
      </w:r>
      <w:r>
        <w:t>磋商报价不能有两个或两个以上的报价方案。</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spacing w:before="231"/>
        <w:ind w:left="396" w:right="412" w:firstLine="0"/>
        <w:jc w:val="center"/>
        <w:rPr>
          <w:b/>
          <w:sz w:val="24"/>
        </w:rPr>
      </w:pPr>
      <w:r>
        <w:rPr>
          <w:b/>
          <w:sz w:val="24"/>
        </w:rPr>
        <w:t>供应商：（公章）</w:t>
      </w:r>
    </w:p>
    <w:p>
      <w:pPr>
        <w:spacing w:before="160" w:line="362"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2" w:lineRule="auto"/>
        <w:jc w:val="center"/>
        <w:rPr>
          <w:sz w:val="24"/>
        </w:rPr>
        <w:sectPr>
          <w:pgSz w:w="11910" w:h="16840"/>
          <w:pgMar w:top="1180" w:right="720" w:bottom="1120" w:left="740" w:header="711" w:footer="923" w:gutter="0"/>
        </w:sectPr>
      </w:pPr>
    </w:p>
    <w:p>
      <w:pPr>
        <w:pStyle w:val="13"/>
        <w:numPr>
          <w:ilvl w:val="0"/>
          <w:numId w:val="38"/>
        </w:numPr>
        <w:tabs>
          <w:tab w:val="left" w:pos="1259"/>
        </w:tabs>
        <w:spacing w:before="67" w:after="0" w:line="240" w:lineRule="auto"/>
        <w:ind w:left="1258" w:right="0" w:hanging="751"/>
        <w:jc w:val="left"/>
        <w:rPr>
          <w:b/>
          <w:sz w:val="24"/>
        </w:rPr>
      </w:pPr>
      <w:bookmarkStart w:id="59" w:name="_TOC_250010"/>
      <w:bookmarkEnd w:id="59"/>
      <w:r>
        <w:rPr>
          <w:b/>
          <w:sz w:val="24"/>
        </w:rPr>
        <w:t>技术规格响应表</w:t>
      </w:r>
    </w:p>
    <w:p>
      <w:pPr>
        <w:pStyle w:val="2"/>
        <w:rPr>
          <w:b/>
          <w:sz w:val="20"/>
        </w:rPr>
      </w:pPr>
    </w:p>
    <w:p>
      <w:pPr>
        <w:pStyle w:val="2"/>
        <w:rPr>
          <w:b/>
          <w:sz w:val="20"/>
        </w:rPr>
      </w:pPr>
    </w:p>
    <w:p>
      <w:pPr>
        <w:pStyle w:val="2"/>
        <w:spacing w:before="5"/>
        <w:rPr>
          <w:b/>
          <w:sz w:val="14"/>
        </w:rPr>
      </w:pPr>
    </w:p>
    <w:p>
      <w:pPr>
        <w:spacing w:before="50"/>
        <w:ind w:left="393" w:right="412" w:firstLine="0"/>
        <w:jc w:val="center"/>
        <w:rPr>
          <w:b/>
          <w:sz w:val="36"/>
        </w:rPr>
      </w:pPr>
      <w:r>
        <w:rPr>
          <w:b/>
          <w:sz w:val="36"/>
        </w:rPr>
        <w:t>技术规格响应表</w:t>
      </w:r>
    </w:p>
    <w:p>
      <w:pPr>
        <w:pStyle w:val="2"/>
        <w:spacing w:before="6"/>
        <w:rPr>
          <w:b/>
          <w:sz w:val="13"/>
        </w:rPr>
      </w:pPr>
    </w:p>
    <w:p>
      <w:pPr>
        <w:spacing w:before="67"/>
        <w:ind w:left="508" w:right="0" w:firstLine="0"/>
        <w:jc w:val="left"/>
        <w:rPr>
          <w:b/>
          <w:sz w:val="24"/>
        </w:rPr>
      </w:pPr>
      <w:r>
        <w:rPr>
          <w:b/>
          <w:sz w:val="24"/>
        </w:rPr>
        <w:t>供应商名称：包号：</w:t>
      </w:r>
    </w:p>
    <w:p>
      <w:pPr>
        <w:pStyle w:val="2"/>
        <w:spacing w:before="4"/>
        <w:rPr>
          <w:b/>
          <w:sz w:val="12"/>
        </w:rPr>
      </w:pPr>
    </w:p>
    <w:tbl>
      <w:tblPr>
        <w:tblStyle w:val="9"/>
        <w:tblW w:w="0" w:type="auto"/>
        <w:tblInd w:w="4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356"/>
        <w:gridCol w:w="2612"/>
        <w:gridCol w:w="1371"/>
        <w:gridCol w:w="2713"/>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77" w:type="dxa"/>
          </w:tcPr>
          <w:p>
            <w:pPr>
              <w:pStyle w:val="14"/>
              <w:rPr>
                <w:rFonts w:ascii="Times New Roman"/>
                <w:sz w:val="24"/>
              </w:rPr>
            </w:pPr>
          </w:p>
        </w:tc>
        <w:tc>
          <w:tcPr>
            <w:tcW w:w="3968" w:type="dxa"/>
            <w:gridSpan w:val="2"/>
          </w:tcPr>
          <w:p>
            <w:pPr>
              <w:pStyle w:val="14"/>
              <w:spacing w:before="129"/>
              <w:ind w:left="664"/>
              <w:rPr>
                <w:sz w:val="24"/>
              </w:rPr>
            </w:pPr>
            <w:r>
              <w:rPr>
                <w:sz w:val="24"/>
              </w:rPr>
              <w:t>采购需求技术参数、指标</w:t>
            </w:r>
          </w:p>
        </w:tc>
        <w:tc>
          <w:tcPr>
            <w:tcW w:w="4084" w:type="dxa"/>
            <w:gridSpan w:val="2"/>
          </w:tcPr>
          <w:p>
            <w:pPr>
              <w:pStyle w:val="14"/>
              <w:spacing w:before="129"/>
              <w:ind w:left="720"/>
              <w:rPr>
                <w:sz w:val="24"/>
              </w:rPr>
            </w:pPr>
            <w:r>
              <w:rPr>
                <w:sz w:val="24"/>
              </w:rPr>
              <w:t>磋商产品技术参数、指标</w:t>
            </w:r>
          </w:p>
        </w:tc>
        <w:tc>
          <w:tcPr>
            <w:tcW w:w="742" w:type="dxa"/>
          </w:tcPr>
          <w:p>
            <w:pPr>
              <w:pStyle w:val="14"/>
              <w:spacing w:before="129"/>
              <w:ind w:left="128"/>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77" w:type="dxa"/>
          </w:tcPr>
          <w:p>
            <w:pPr>
              <w:pStyle w:val="14"/>
              <w:spacing w:before="127"/>
              <w:ind w:left="78" w:right="63"/>
              <w:jc w:val="center"/>
              <w:rPr>
                <w:sz w:val="24"/>
              </w:rPr>
            </w:pPr>
            <w:r>
              <w:rPr>
                <w:sz w:val="24"/>
              </w:rPr>
              <w:t>序号</w:t>
            </w:r>
          </w:p>
        </w:tc>
        <w:tc>
          <w:tcPr>
            <w:tcW w:w="1356" w:type="dxa"/>
          </w:tcPr>
          <w:p>
            <w:pPr>
              <w:pStyle w:val="14"/>
              <w:spacing w:before="127"/>
              <w:ind w:left="436"/>
              <w:rPr>
                <w:sz w:val="24"/>
              </w:rPr>
            </w:pPr>
            <w:r>
              <w:rPr>
                <w:sz w:val="24"/>
              </w:rPr>
              <w:t>名称</w:t>
            </w:r>
          </w:p>
        </w:tc>
        <w:tc>
          <w:tcPr>
            <w:tcW w:w="2612" w:type="dxa"/>
          </w:tcPr>
          <w:p>
            <w:pPr>
              <w:pStyle w:val="14"/>
              <w:spacing w:before="127"/>
              <w:ind w:left="463"/>
              <w:rPr>
                <w:sz w:val="24"/>
              </w:rPr>
            </w:pPr>
            <w:r>
              <w:rPr>
                <w:sz w:val="24"/>
              </w:rPr>
              <w:t>技术参数及配置</w:t>
            </w:r>
          </w:p>
        </w:tc>
        <w:tc>
          <w:tcPr>
            <w:tcW w:w="1371" w:type="dxa"/>
          </w:tcPr>
          <w:p>
            <w:pPr>
              <w:pStyle w:val="14"/>
              <w:spacing w:before="127"/>
              <w:ind w:left="443"/>
              <w:rPr>
                <w:sz w:val="24"/>
              </w:rPr>
            </w:pPr>
            <w:r>
              <w:rPr>
                <w:sz w:val="24"/>
              </w:rPr>
              <w:t>名称</w:t>
            </w:r>
          </w:p>
        </w:tc>
        <w:tc>
          <w:tcPr>
            <w:tcW w:w="2713" w:type="dxa"/>
          </w:tcPr>
          <w:p>
            <w:pPr>
              <w:pStyle w:val="14"/>
              <w:spacing w:before="127"/>
              <w:ind w:left="513"/>
              <w:rPr>
                <w:sz w:val="24"/>
              </w:rPr>
            </w:pPr>
            <w:r>
              <w:rPr>
                <w:sz w:val="24"/>
              </w:rPr>
              <w:t>技术参数及配置</w:t>
            </w:r>
          </w:p>
        </w:tc>
        <w:tc>
          <w:tcPr>
            <w:tcW w:w="742"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77" w:type="dxa"/>
          </w:tcPr>
          <w:p>
            <w:pPr>
              <w:pStyle w:val="14"/>
              <w:spacing w:before="141"/>
              <w:ind w:left="14"/>
              <w:jc w:val="center"/>
              <w:rPr>
                <w:rFonts w:ascii="Arial"/>
                <w:sz w:val="24"/>
              </w:rPr>
            </w:pPr>
            <w:r>
              <w:rPr>
                <w:rFonts w:ascii="Arial"/>
                <w:w w:val="99"/>
                <w:sz w:val="24"/>
              </w:rPr>
              <w:t>1</w:t>
            </w:r>
          </w:p>
        </w:tc>
        <w:tc>
          <w:tcPr>
            <w:tcW w:w="1356" w:type="dxa"/>
          </w:tcPr>
          <w:p>
            <w:pPr>
              <w:pStyle w:val="14"/>
              <w:rPr>
                <w:rFonts w:ascii="Times New Roman"/>
                <w:sz w:val="24"/>
              </w:rPr>
            </w:pPr>
          </w:p>
        </w:tc>
        <w:tc>
          <w:tcPr>
            <w:tcW w:w="2612" w:type="dxa"/>
          </w:tcPr>
          <w:p>
            <w:pPr>
              <w:pStyle w:val="14"/>
              <w:rPr>
                <w:rFonts w:ascii="Times New Roman"/>
                <w:sz w:val="24"/>
              </w:rPr>
            </w:pPr>
          </w:p>
        </w:tc>
        <w:tc>
          <w:tcPr>
            <w:tcW w:w="1371" w:type="dxa"/>
          </w:tcPr>
          <w:p>
            <w:pPr>
              <w:pStyle w:val="14"/>
              <w:rPr>
                <w:rFonts w:ascii="Times New Roman"/>
                <w:sz w:val="24"/>
              </w:rPr>
            </w:pPr>
          </w:p>
        </w:tc>
        <w:tc>
          <w:tcPr>
            <w:tcW w:w="2713" w:type="dxa"/>
          </w:tcPr>
          <w:p>
            <w:pPr>
              <w:pStyle w:val="14"/>
              <w:rPr>
                <w:rFonts w:ascii="Times New Roman"/>
                <w:sz w:val="24"/>
              </w:rPr>
            </w:pPr>
          </w:p>
        </w:tc>
        <w:tc>
          <w:tcPr>
            <w:tcW w:w="742"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77" w:type="dxa"/>
          </w:tcPr>
          <w:p>
            <w:pPr>
              <w:pStyle w:val="14"/>
              <w:spacing w:before="141"/>
              <w:ind w:left="14"/>
              <w:jc w:val="center"/>
              <w:rPr>
                <w:rFonts w:ascii="Arial"/>
                <w:sz w:val="24"/>
              </w:rPr>
            </w:pPr>
            <w:r>
              <w:rPr>
                <w:rFonts w:ascii="Arial"/>
                <w:w w:val="99"/>
                <w:sz w:val="24"/>
              </w:rPr>
              <w:t>2</w:t>
            </w:r>
          </w:p>
        </w:tc>
        <w:tc>
          <w:tcPr>
            <w:tcW w:w="1356" w:type="dxa"/>
          </w:tcPr>
          <w:p>
            <w:pPr>
              <w:pStyle w:val="14"/>
              <w:rPr>
                <w:rFonts w:ascii="Times New Roman"/>
                <w:sz w:val="24"/>
              </w:rPr>
            </w:pPr>
          </w:p>
        </w:tc>
        <w:tc>
          <w:tcPr>
            <w:tcW w:w="2612" w:type="dxa"/>
          </w:tcPr>
          <w:p>
            <w:pPr>
              <w:pStyle w:val="14"/>
              <w:rPr>
                <w:rFonts w:ascii="Times New Roman"/>
                <w:sz w:val="24"/>
              </w:rPr>
            </w:pPr>
          </w:p>
        </w:tc>
        <w:tc>
          <w:tcPr>
            <w:tcW w:w="1371" w:type="dxa"/>
          </w:tcPr>
          <w:p>
            <w:pPr>
              <w:pStyle w:val="14"/>
              <w:rPr>
                <w:rFonts w:ascii="Times New Roman"/>
                <w:sz w:val="24"/>
              </w:rPr>
            </w:pPr>
          </w:p>
        </w:tc>
        <w:tc>
          <w:tcPr>
            <w:tcW w:w="2713" w:type="dxa"/>
          </w:tcPr>
          <w:p>
            <w:pPr>
              <w:pStyle w:val="14"/>
              <w:rPr>
                <w:rFonts w:ascii="Times New Roman"/>
                <w:sz w:val="24"/>
              </w:rPr>
            </w:pPr>
          </w:p>
        </w:tc>
        <w:tc>
          <w:tcPr>
            <w:tcW w:w="742"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77" w:type="dxa"/>
          </w:tcPr>
          <w:p>
            <w:pPr>
              <w:pStyle w:val="14"/>
              <w:spacing w:before="141"/>
              <w:ind w:left="15"/>
              <w:jc w:val="center"/>
              <w:rPr>
                <w:rFonts w:ascii="Arial" w:hAnsi="Arial"/>
                <w:sz w:val="24"/>
              </w:rPr>
            </w:pPr>
            <w:r>
              <w:rPr>
                <w:rFonts w:ascii="Arial" w:hAnsi="Arial"/>
                <w:sz w:val="24"/>
              </w:rPr>
              <w:t>…</w:t>
            </w:r>
          </w:p>
        </w:tc>
        <w:tc>
          <w:tcPr>
            <w:tcW w:w="1356" w:type="dxa"/>
          </w:tcPr>
          <w:p>
            <w:pPr>
              <w:pStyle w:val="14"/>
              <w:rPr>
                <w:rFonts w:ascii="Times New Roman"/>
                <w:sz w:val="24"/>
              </w:rPr>
            </w:pPr>
          </w:p>
        </w:tc>
        <w:tc>
          <w:tcPr>
            <w:tcW w:w="2612" w:type="dxa"/>
          </w:tcPr>
          <w:p>
            <w:pPr>
              <w:pStyle w:val="14"/>
              <w:rPr>
                <w:rFonts w:ascii="Times New Roman"/>
                <w:sz w:val="24"/>
              </w:rPr>
            </w:pPr>
          </w:p>
        </w:tc>
        <w:tc>
          <w:tcPr>
            <w:tcW w:w="1371" w:type="dxa"/>
          </w:tcPr>
          <w:p>
            <w:pPr>
              <w:pStyle w:val="14"/>
              <w:rPr>
                <w:rFonts w:ascii="Times New Roman"/>
                <w:sz w:val="24"/>
              </w:rPr>
            </w:pPr>
          </w:p>
        </w:tc>
        <w:tc>
          <w:tcPr>
            <w:tcW w:w="2713" w:type="dxa"/>
          </w:tcPr>
          <w:p>
            <w:pPr>
              <w:pStyle w:val="14"/>
              <w:rPr>
                <w:rFonts w:ascii="Times New Roman"/>
                <w:sz w:val="24"/>
              </w:rPr>
            </w:pPr>
          </w:p>
        </w:tc>
        <w:tc>
          <w:tcPr>
            <w:tcW w:w="742" w:type="dxa"/>
          </w:tcPr>
          <w:p>
            <w:pPr>
              <w:pStyle w:val="14"/>
              <w:rPr>
                <w:rFonts w:ascii="Times New Roman"/>
                <w:sz w:val="24"/>
              </w:rPr>
            </w:pPr>
          </w:p>
        </w:tc>
      </w:tr>
    </w:tbl>
    <w:p>
      <w:pPr>
        <w:pStyle w:val="2"/>
        <w:spacing w:line="362" w:lineRule="auto"/>
        <w:ind w:left="508" w:right="524"/>
      </w:pPr>
      <w:r>
        <w:rPr>
          <w:spacing w:val="-52"/>
        </w:rPr>
        <w:t>注：</w:t>
      </w:r>
      <w:r>
        <w:rPr>
          <w:rFonts w:ascii="Arial" w:hAnsi="Arial" w:eastAsia="Arial"/>
        </w:rPr>
        <w:t>1.</w:t>
      </w:r>
      <w:r>
        <w:rPr>
          <w:spacing w:val="-1"/>
        </w:rPr>
        <w:t>本表应按照每包</w:t>
      </w:r>
      <w:r>
        <w:rPr>
          <w:rFonts w:ascii="Arial" w:hAnsi="Arial" w:eastAsia="Arial"/>
          <w:spacing w:val="-1"/>
        </w:rPr>
        <w:t>“</w:t>
      </w:r>
      <w:r>
        <w:t>项目概况及技术参数</w:t>
      </w:r>
      <w:r>
        <w:rPr>
          <w:rFonts w:ascii="Arial" w:hAnsi="Arial" w:eastAsia="Arial"/>
          <w:spacing w:val="-1"/>
        </w:rPr>
        <w:t>”</w:t>
      </w:r>
      <w:r>
        <w:rPr>
          <w:spacing w:val="-14"/>
        </w:rPr>
        <w:t>中产品序号的指标逐项填写，不得遗漏，否则，</w:t>
      </w:r>
      <w:r>
        <w:t>按无效磋商处理。</w:t>
      </w:r>
    </w:p>
    <w:p>
      <w:pPr>
        <w:pStyle w:val="13"/>
        <w:numPr>
          <w:ilvl w:val="0"/>
          <w:numId w:val="40"/>
        </w:numPr>
        <w:tabs>
          <w:tab w:val="left" w:pos="1191"/>
        </w:tabs>
        <w:spacing w:before="5" w:after="0" w:line="364" w:lineRule="auto"/>
        <w:ind w:left="508" w:right="522" w:firstLine="480"/>
        <w:jc w:val="both"/>
        <w:rPr>
          <w:sz w:val="24"/>
        </w:rPr>
      </w:pPr>
      <w:r>
        <w:rPr>
          <w:rFonts w:ascii="Arial" w:hAnsi="Arial" w:eastAsia="Arial"/>
          <w:sz w:val="24"/>
        </w:rPr>
        <w:t>“</w:t>
      </w:r>
      <w:r>
        <w:rPr>
          <w:spacing w:val="-4"/>
          <w:sz w:val="24"/>
        </w:rPr>
        <w:t>磋商产品技术参数、指标</w:t>
      </w:r>
      <w:r>
        <w:rPr>
          <w:rFonts w:ascii="Arial" w:hAnsi="Arial" w:eastAsia="Arial"/>
          <w:sz w:val="24"/>
        </w:rPr>
        <w:t>”</w:t>
      </w:r>
      <w:r>
        <w:rPr>
          <w:spacing w:val="-3"/>
          <w:sz w:val="24"/>
        </w:rPr>
        <w:t>必须与磋商响应文件中提供的产品检测报告</w:t>
      </w:r>
      <w:r>
        <w:rPr>
          <w:rFonts w:hint="eastAsia"/>
          <w:spacing w:val="-3"/>
          <w:sz w:val="24"/>
          <w:lang w:eastAsia="zh-CN"/>
        </w:rPr>
        <w:t>，</w:t>
      </w:r>
      <w:r>
        <w:rPr>
          <w:spacing w:val="-3"/>
          <w:sz w:val="24"/>
        </w:rPr>
        <w:t>彩页等证明</w:t>
      </w:r>
      <w:r>
        <w:rPr>
          <w:spacing w:val="-1"/>
          <w:sz w:val="24"/>
        </w:rPr>
        <w:t>材料的实质性响应情况相一致。若在评标环节发现该项与磋商响应文件中提供的产品检测</w:t>
      </w:r>
      <w:r>
        <w:rPr>
          <w:sz w:val="24"/>
        </w:rPr>
        <w:t>报告</w:t>
      </w:r>
      <w:r>
        <w:rPr>
          <w:rFonts w:hint="eastAsia"/>
          <w:sz w:val="24"/>
          <w:lang w:eastAsia="zh-CN"/>
        </w:rPr>
        <w:t>，</w:t>
      </w:r>
      <w:r>
        <w:rPr>
          <w:sz w:val="24"/>
        </w:rPr>
        <w:t>彩页（或厂家公开发布的资料参数）</w:t>
      </w:r>
      <w:r>
        <w:rPr>
          <w:spacing w:val="-1"/>
          <w:sz w:val="24"/>
        </w:rPr>
        <w:t>等证明材料的实质性响应情况不一致或直接复</w:t>
      </w:r>
      <w:r>
        <w:rPr>
          <w:sz w:val="24"/>
        </w:rPr>
        <w:t>制磋商文件</w:t>
      </w:r>
      <w:r>
        <w:rPr>
          <w:rFonts w:ascii="Arial" w:hAnsi="Arial" w:eastAsia="Arial"/>
          <w:sz w:val="24"/>
        </w:rPr>
        <w:t>“</w:t>
      </w:r>
      <w:r>
        <w:rPr>
          <w:sz w:val="24"/>
        </w:rPr>
        <w:t>采购需求技术参数、指标</w:t>
      </w:r>
      <w:r>
        <w:rPr>
          <w:rFonts w:ascii="Arial" w:hAnsi="Arial" w:eastAsia="Arial"/>
          <w:sz w:val="24"/>
        </w:rPr>
        <w:t>”</w:t>
      </w:r>
      <w:r>
        <w:rPr>
          <w:sz w:val="24"/>
        </w:rPr>
        <w:t>内容的，按无效磋商处理。</w:t>
      </w:r>
    </w:p>
    <w:p>
      <w:pPr>
        <w:pStyle w:val="13"/>
        <w:numPr>
          <w:ilvl w:val="0"/>
          <w:numId w:val="40"/>
        </w:numPr>
        <w:tabs>
          <w:tab w:val="left" w:pos="1193"/>
        </w:tabs>
        <w:spacing w:before="0" w:after="0" w:line="364" w:lineRule="auto"/>
        <w:ind w:left="508" w:right="521" w:firstLine="480"/>
        <w:jc w:val="both"/>
        <w:rPr>
          <w:sz w:val="24"/>
        </w:rPr>
      </w:pPr>
      <w:r>
        <w:rPr>
          <w:sz w:val="24"/>
        </w:rPr>
        <w:t>填写此表时以磋商项目参数要求为基本磋商要求，满足磋商项目参数要求的指标需列出</w:t>
      </w:r>
      <w:r>
        <w:rPr>
          <w:rFonts w:ascii="Arial" w:hAnsi="Arial" w:eastAsia="Arial"/>
          <w:spacing w:val="-4"/>
          <w:sz w:val="24"/>
        </w:rPr>
        <w:t>“0”</w:t>
      </w:r>
      <w:r>
        <w:rPr>
          <w:spacing w:val="-4"/>
          <w:sz w:val="24"/>
        </w:rPr>
        <w:t>；超出、不满足磋商项目参数要求的指标需列出</w:t>
      </w:r>
      <w:r>
        <w:rPr>
          <w:rFonts w:ascii="Arial" w:hAnsi="Arial" w:eastAsia="Arial"/>
          <w:sz w:val="24"/>
        </w:rPr>
        <w:t>“+”</w:t>
      </w:r>
      <w:r>
        <w:rPr>
          <w:spacing w:val="-12"/>
          <w:sz w:val="24"/>
        </w:rPr>
        <w:t>、</w:t>
      </w:r>
      <w:r>
        <w:rPr>
          <w:rFonts w:ascii="Arial" w:hAnsi="Arial" w:eastAsia="Arial"/>
          <w:sz w:val="24"/>
        </w:rPr>
        <w:t>“-”</w:t>
      </w:r>
      <w:r>
        <w:rPr>
          <w:spacing w:val="-5"/>
          <w:sz w:val="24"/>
        </w:rPr>
        <w:t>偏差，并做出详细说明；如</w:t>
      </w:r>
      <w:r>
        <w:rPr>
          <w:sz w:val="24"/>
        </w:rPr>
        <w:t>果只注明</w:t>
      </w:r>
      <w:r>
        <w:rPr>
          <w:rFonts w:ascii="Arial" w:hAnsi="Arial" w:eastAsia="Arial"/>
          <w:sz w:val="24"/>
        </w:rPr>
        <w:t>“+”</w:t>
      </w:r>
      <w:r>
        <w:rPr>
          <w:sz w:val="24"/>
        </w:rPr>
        <w:t>、</w:t>
      </w:r>
      <w:r>
        <w:rPr>
          <w:rFonts w:ascii="Arial" w:hAnsi="Arial" w:eastAsia="Arial"/>
          <w:sz w:val="24"/>
        </w:rPr>
        <w:t>“-”</w:t>
      </w:r>
      <w:r>
        <w:rPr>
          <w:sz w:val="24"/>
        </w:rPr>
        <w:t>或未填写，将视为该项指标不响应。</w:t>
      </w:r>
    </w:p>
    <w:p>
      <w:pPr>
        <w:pStyle w:val="13"/>
        <w:numPr>
          <w:ilvl w:val="0"/>
          <w:numId w:val="40"/>
        </w:numPr>
        <w:tabs>
          <w:tab w:val="left" w:pos="1193"/>
        </w:tabs>
        <w:spacing w:before="0" w:after="0" w:line="362" w:lineRule="auto"/>
        <w:ind w:left="508" w:right="521" w:firstLine="480"/>
        <w:jc w:val="left"/>
        <w:rPr>
          <w:sz w:val="24"/>
        </w:rPr>
      </w:pPr>
      <w:r>
        <w:rPr>
          <w:sz w:val="24"/>
        </w:rPr>
        <w:t>供应商响应采购需求应具体、明确，含糊不清、不确切或伪造、编造证明材料的， 按照实质性不响应处理。对伪造、编造证明材料的，将报告本级财政部门。</w:t>
      </w:r>
    </w:p>
    <w:p>
      <w:pPr>
        <w:pStyle w:val="2"/>
      </w:pPr>
    </w:p>
    <w:p>
      <w:pPr>
        <w:pStyle w:val="2"/>
      </w:pPr>
    </w:p>
    <w:p>
      <w:pPr>
        <w:pStyle w:val="2"/>
      </w:pPr>
    </w:p>
    <w:p>
      <w:pPr>
        <w:pStyle w:val="2"/>
      </w:pPr>
    </w:p>
    <w:p>
      <w:pPr>
        <w:pStyle w:val="2"/>
        <w:spacing w:before="6"/>
        <w:rPr>
          <w:sz w:val="33"/>
        </w:rPr>
      </w:pPr>
    </w:p>
    <w:p>
      <w:pPr>
        <w:spacing w:before="0"/>
        <w:ind w:left="396" w:right="412" w:firstLine="0"/>
        <w:jc w:val="center"/>
        <w:rPr>
          <w:b/>
          <w:sz w:val="24"/>
        </w:rPr>
      </w:pPr>
      <w:r>
        <w:rPr>
          <w:b/>
          <w:sz w:val="24"/>
        </w:rPr>
        <w:t>供应商：（公章）</w:t>
      </w:r>
    </w:p>
    <w:p>
      <w:pPr>
        <w:spacing w:before="158" w:line="364" w:lineRule="auto"/>
        <w:ind w:left="3288" w:right="3303" w:firstLine="0"/>
        <w:jc w:val="center"/>
        <w:rPr>
          <w:b/>
          <w:sz w:val="24"/>
        </w:rPr>
      </w:pPr>
      <w:r>
        <w:rPr>
          <w:rFonts w:hint="eastAsia"/>
          <w:b/>
          <w:sz w:val="24"/>
          <w:lang w:eastAsia="zh-CN"/>
        </w:rPr>
        <w:t xml:space="preserve">法定代表人或委托代理人：（签字盖章） </w:t>
      </w:r>
      <w:r>
        <w:rPr>
          <w:b/>
          <w:sz w:val="24"/>
        </w:rPr>
        <w:t>年月日</w:t>
      </w:r>
    </w:p>
    <w:p>
      <w:pPr>
        <w:spacing w:after="0" w:line="364" w:lineRule="auto"/>
        <w:jc w:val="center"/>
        <w:rPr>
          <w:sz w:val="24"/>
        </w:rPr>
        <w:sectPr>
          <w:pgSz w:w="11910" w:h="16840"/>
          <w:pgMar w:top="1180" w:right="720" w:bottom="1120" w:left="740" w:header="711" w:footer="923" w:gutter="0"/>
        </w:sectPr>
      </w:pPr>
    </w:p>
    <w:p>
      <w:pPr>
        <w:pStyle w:val="13"/>
        <w:numPr>
          <w:ilvl w:val="0"/>
          <w:numId w:val="38"/>
        </w:numPr>
        <w:tabs>
          <w:tab w:val="left" w:pos="1259"/>
        </w:tabs>
        <w:spacing w:before="67" w:after="0" w:line="240" w:lineRule="auto"/>
        <w:ind w:left="1258" w:right="0" w:hanging="751"/>
        <w:jc w:val="left"/>
        <w:rPr>
          <w:b/>
          <w:sz w:val="24"/>
        </w:rPr>
      </w:pPr>
      <w:bookmarkStart w:id="60" w:name="_TOC_250009"/>
      <w:bookmarkEnd w:id="60"/>
      <w:r>
        <w:rPr>
          <w:b/>
          <w:sz w:val="24"/>
        </w:rPr>
        <w:t>磋商产品相关资料</w:t>
      </w:r>
    </w:p>
    <w:p>
      <w:pPr>
        <w:pStyle w:val="2"/>
        <w:rPr>
          <w:b/>
          <w:sz w:val="20"/>
        </w:rPr>
      </w:pPr>
    </w:p>
    <w:p>
      <w:pPr>
        <w:pStyle w:val="2"/>
        <w:rPr>
          <w:b/>
          <w:sz w:val="20"/>
        </w:rPr>
      </w:pPr>
    </w:p>
    <w:p>
      <w:pPr>
        <w:pStyle w:val="2"/>
        <w:spacing w:before="5"/>
        <w:rPr>
          <w:b/>
          <w:sz w:val="14"/>
        </w:rPr>
      </w:pPr>
    </w:p>
    <w:p>
      <w:pPr>
        <w:spacing w:before="50"/>
        <w:ind w:left="395" w:right="412" w:firstLine="0"/>
        <w:jc w:val="center"/>
        <w:rPr>
          <w:b/>
          <w:sz w:val="36"/>
        </w:rPr>
      </w:pPr>
      <w:r>
        <w:rPr>
          <w:b/>
          <w:sz w:val="36"/>
        </w:rPr>
        <w:t>磋商产品相关资料</w:t>
      </w:r>
    </w:p>
    <w:p>
      <w:pPr>
        <w:pStyle w:val="2"/>
        <w:spacing w:before="11"/>
        <w:rPr>
          <w:b/>
          <w:sz w:val="50"/>
        </w:rPr>
      </w:pPr>
    </w:p>
    <w:p>
      <w:pPr>
        <w:pStyle w:val="2"/>
        <w:spacing w:line="364" w:lineRule="auto"/>
        <w:ind w:left="508" w:right="403" w:firstLine="480"/>
      </w:pPr>
      <w:r>
        <w:rPr>
          <w:spacing w:val="-9"/>
        </w:rPr>
        <w:t>根据采购项目内容，磋商时提供国家认可的质监机构出具的磋商产品的产品检验报告</w:t>
      </w:r>
      <w:r>
        <w:rPr>
          <w:rFonts w:hint="eastAsia"/>
          <w:spacing w:val="-9"/>
          <w:lang w:eastAsia="zh-CN"/>
        </w:rPr>
        <w:t>，</w:t>
      </w:r>
      <w:r>
        <w:t>证明技术参数响应的相关资料</w:t>
      </w:r>
      <w:r>
        <w:rPr>
          <w:rFonts w:hint="eastAsia"/>
          <w:lang w:eastAsia="zh-CN"/>
        </w:rPr>
        <w:t>，</w:t>
      </w:r>
      <w:r>
        <w:t>彩页（或厂家公开发布的资料参数）、相关认证等资料。</w:t>
      </w:r>
    </w:p>
    <w:p>
      <w:pPr>
        <w:spacing w:after="0" w:line="364" w:lineRule="auto"/>
        <w:sectPr>
          <w:pgSz w:w="11910" w:h="16840"/>
          <w:pgMar w:top="1180" w:right="720" w:bottom="1120" w:left="740" w:header="711" w:footer="923" w:gutter="0"/>
        </w:sectPr>
      </w:pPr>
    </w:p>
    <w:p>
      <w:pPr>
        <w:pStyle w:val="13"/>
        <w:numPr>
          <w:ilvl w:val="0"/>
          <w:numId w:val="38"/>
        </w:numPr>
        <w:tabs>
          <w:tab w:val="left" w:pos="1259"/>
        </w:tabs>
        <w:spacing w:before="67" w:after="0" w:line="240" w:lineRule="auto"/>
        <w:ind w:left="1258" w:right="0" w:hanging="751"/>
        <w:jc w:val="left"/>
        <w:rPr>
          <w:b/>
          <w:sz w:val="24"/>
        </w:rPr>
      </w:pPr>
      <w:bookmarkStart w:id="61" w:name="_TOC_250008"/>
      <w:bookmarkEnd w:id="61"/>
      <w:r>
        <w:rPr>
          <w:b/>
          <w:sz w:val="24"/>
        </w:rPr>
        <w:t>供应商的类似业绩证明材料</w:t>
      </w:r>
    </w:p>
    <w:p>
      <w:pPr>
        <w:pStyle w:val="2"/>
        <w:rPr>
          <w:b/>
          <w:sz w:val="26"/>
        </w:rPr>
      </w:pPr>
    </w:p>
    <w:p>
      <w:pPr>
        <w:pStyle w:val="2"/>
        <w:spacing w:before="3"/>
        <w:rPr>
          <w:b/>
          <w:sz w:val="32"/>
        </w:rPr>
      </w:pPr>
    </w:p>
    <w:p>
      <w:pPr>
        <w:spacing w:before="0"/>
        <w:ind w:left="396" w:right="412" w:firstLine="0"/>
        <w:jc w:val="center"/>
        <w:rPr>
          <w:b/>
          <w:sz w:val="36"/>
        </w:rPr>
      </w:pPr>
      <w:r>
        <w:rPr>
          <w:b/>
          <w:sz w:val="36"/>
        </w:rPr>
        <w:t>供应商的类似业绩证明材料</w:t>
      </w:r>
    </w:p>
    <w:p>
      <w:pPr>
        <w:pStyle w:val="2"/>
        <w:spacing w:before="12"/>
        <w:rPr>
          <w:b/>
          <w:sz w:val="50"/>
        </w:rPr>
      </w:pPr>
    </w:p>
    <w:p>
      <w:pPr>
        <w:pStyle w:val="2"/>
        <w:spacing w:line="364" w:lineRule="auto"/>
        <w:ind w:left="508" w:right="520" w:firstLine="480"/>
        <w:jc w:val="both"/>
      </w:pPr>
      <w:r>
        <w:t>提供自</w:t>
      </w:r>
      <w:r>
        <w:rPr>
          <w:rFonts w:ascii="Arial" w:eastAsia="Arial"/>
          <w:u w:val="single"/>
        </w:rPr>
        <w:t>2017</w:t>
      </w:r>
      <w:r>
        <w:t>年以来的类似业绩证明材料。类似业绩是指与采购项目在产品类型、使用功能、合同规模等方面相同或相近的项目。需提供包含合同首页、中标的金额所在页、供货合同签字盖章页的扫描（或复印）件。</w:t>
      </w:r>
    </w:p>
    <w:p>
      <w:pPr>
        <w:spacing w:after="0" w:line="364" w:lineRule="auto"/>
        <w:jc w:val="both"/>
        <w:sectPr>
          <w:pgSz w:w="11910" w:h="16840"/>
          <w:pgMar w:top="1180" w:right="720" w:bottom="1120" w:left="740" w:header="711" w:footer="923" w:gutter="0"/>
        </w:sectPr>
      </w:pPr>
    </w:p>
    <w:p>
      <w:pPr>
        <w:spacing w:before="67"/>
        <w:ind w:left="508" w:right="0" w:firstLine="0"/>
        <w:jc w:val="left"/>
        <w:rPr>
          <w:b/>
          <w:sz w:val="24"/>
        </w:rPr>
      </w:pPr>
      <w:bookmarkStart w:id="62" w:name="_TOC_250007"/>
      <w:r>
        <w:rPr>
          <w:b/>
          <w:sz w:val="24"/>
        </w:rPr>
        <w:t>（</w:t>
      </w:r>
      <w:r>
        <w:rPr>
          <w:rFonts w:ascii="Arial" w:eastAsia="Arial"/>
          <w:b/>
          <w:sz w:val="24"/>
        </w:rPr>
        <w:t>17.1</w:t>
      </w:r>
      <w:bookmarkEnd w:id="62"/>
      <w:r>
        <w:rPr>
          <w:b/>
          <w:sz w:val="24"/>
        </w:rPr>
        <w:t>）制造（生产）企业小型、微型企业声明函</w:t>
      </w:r>
    </w:p>
    <w:p>
      <w:pPr>
        <w:pStyle w:val="2"/>
        <w:rPr>
          <w:b/>
          <w:sz w:val="26"/>
        </w:rPr>
      </w:pPr>
    </w:p>
    <w:p>
      <w:pPr>
        <w:spacing w:before="171"/>
        <w:ind w:left="397" w:right="412" w:firstLine="0"/>
        <w:jc w:val="center"/>
        <w:rPr>
          <w:b/>
          <w:sz w:val="36"/>
        </w:rPr>
      </w:pPr>
      <w:r>
        <w:rPr>
          <w:b/>
          <w:sz w:val="36"/>
        </w:rPr>
        <w:t>制造（生产）企业小型、微型企业声明函</w:t>
      </w:r>
    </w:p>
    <w:p>
      <w:pPr>
        <w:pStyle w:val="2"/>
        <w:rPr>
          <w:b/>
          <w:sz w:val="36"/>
        </w:rPr>
      </w:pPr>
    </w:p>
    <w:p>
      <w:pPr>
        <w:spacing w:before="261"/>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9"/>
        <w:rPr>
          <w:b/>
          <w:sz w:val="20"/>
        </w:rPr>
      </w:pPr>
    </w:p>
    <w:p>
      <w:pPr>
        <w:pStyle w:val="2"/>
        <w:tabs>
          <w:tab w:val="left" w:pos="3225"/>
        </w:tabs>
        <w:spacing w:line="364" w:lineRule="auto"/>
        <w:ind w:left="508" w:right="521" w:firstLine="360"/>
        <w:jc w:val="both"/>
      </w:pPr>
      <w:r>
        <w:t>本公司郑重声明</w:t>
      </w:r>
      <w:r>
        <w:rPr>
          <w:spacing w:val="-48"/>
        </w:rPr>
        <w:t>，</w:t>
      </w:r>
      <w:r>
        <w:t>根</w:t>
      </w:r>
      <w:r>
        <w:rPr>
          <w:spacing w:val="-48"/>
        </w:rPr>
        <w:t>据</w:t>
      </w:r>
      <w:r>
        <w:t>《政府采购促进中小企业发展暂行办法</w:t>
      </w:r>
      <w:r>
        <w:rPr>
          <w:spacing w:val="-96"/>
        </w:rPr>
        <w:t>》</w:t>
      </w:r>
      <w:r>
        <w:t>（财</w:t>
      </w:r>
      <w:r>
        <w:rPr>
          <w:spacing w:val="-48"/>
        </w:rPr>
        <w:t>库</w:t>
      </w:r>
      <w:r>
        <w:t>〔</w:t>
      </w:r>
      <w:r>
        <w:rPr>
          <w:rFonts w:ascii="Arial" w:eastAsia="Arial"/>
        </w:rPr>
        <w:t>2011</w:t>
      </w:r>
      <w:r>
        <w:rPr>
          <w:spacing w:val="-48"/>
        </w:rPr>
        <w:t>〕</w:t>
      </w:r>
      <w:r>
        <w:rPr>
          <w:rFonts w:ascii="Arial" w:eastAsia="Arial"/>
        </w:rPr>
        <w:t>181</w:t>
      </w:r>
      <w:r>
        <w:t>号</w:t>
      </w:r>
      <w:r>
        <w:rPr>
          <w:spacing w:val="-11"/>
        </w:rPr>
        <w:t xml:space="preserve">） </w:t>
      </w:r>
      <w:r>
        <w:t>的规定</w:t>
      </w:r>
      <w:r>
        <w:rPr>
          <w:spacing w:val="-3"/>
        </w:rPr>
        <w:t>，</w:t>
      </w:r>
      <w:r>
        <w:t>本公司为</w:t>
      </w:r>
      <w:r>
        <w:rPr>
          <w:u w:val="single"/>
        </w:rPr>
        <w:t xml:space="preserve"> </w:t>
      </w:r>
      <w:r>
        <w:rPr>
          <w:u w:val="single"/>
        </w:rPr>
        <w:tab/>
      </w:r>
      <w:r>
        <w:t>（请填写</w:t>
      </w:r>
      <w:r>
        <w:rPr>
          <w:spacing w:val="-3"/>
        </w:rPr>
        <w:t>：</w:t>
      </w:r>
      <w:r>
        <w:t>小</w:t>
      </w:r>
      <w:r>
        <w:rPr>
          <w:spacing w:val="-3"/>
        </w:rPr>
        <w:t>型、微</w:t>
      </w:r>
      <w:r>
        <w:t>型</w:t>
      </w:r>
      <w:r>
        <w:rPr>
          <w:spacing w:val="-3"/>
        </w:rPr>
        <w:t>）</w:t>
      </w:r>
      <w:r>
        <w:t>企业</w:t>
      </w:r>
      <w:r>
        <w:rPr>
          <w:spacing w:val="-3"/>
        </w:rPr>
        <w:t>。</w:t>
      </w:r>
      <w:r>
        <w:t>即</w:t>
      </w:r>
      <w:r>
        <w:rPr>
          <w:spacing w:val="-3"/>
        </w:rPr>
        <w:t>，</w:t>
      </w:r>
      <w:r>
        <w:t>本公</w:t>
      </w:r>
      <w:r>
        <w:rPr>
          <w:spacing w:val="-3"/>
        </w:rPr>
        <w:t>司</w:t>
      </w:r>
      <w:r>
        <w:t>满足以下条件</w:t>
      </w:r>
      <w:r>
        <w:rPr>
          <w:spacing w:val="-5"/>
        </w:rPr>
        <w:t>：</w:t>
      </w:r>
      <w:r>
        <w:t>《</w:t>
      </w:r>
      <w:r>
        <w:rPr>
          <w:spacing w:val="-11"/>
        </w:rPr>
        <w:t>工</w:t>
      </w:r>
      <w:r>
        <w:t>业和信息化部、国家统计局、国家发展和改革委员会、财政部关于印发中小企业划型标</w:t>
      </w:r>
      <w:r>
        <w:rPr>
          <w:spacing w:val="-11"/>
        </w:rPr>
        <w:t>准</w:t>
      </w:r>
      <w:r>
        <w:t>规定的通知》（工信部联企业〔</w:t>
      </w:r>
      <w:r>
        <w:rPr>
          <w:rFonts w:ascii="Arial" w:eastAsia="Arial"/>
        </w:rPr>
        <w:t>2011</w:t>
      </w:r>
      <w:r>
        <w:rPr>
          <w:spacing w:val="-3"/>
        </w:rPr>
        <w:t>〕</w:t>
      </w:r>
      <w:r>
        <w:rPr>
          <w:rFonts w:ascii="Arial" w:eastAsia="Arial"/>
        </w:rPr>
        <w:t>300</w:t>
      </w:r>
      <w:r>
        <w:rPr>
          <w:spacing w:val="-3"/>
        </w:rPr>
        <w:t>号</w:t>
      </w:r>
      <w:r>
        <w:t>）规定的划分标准。</w:t>
      </w:r>
    </w:p>
    <w:p>
      <w:pPr>
        <w:pStyle w:val="2"/>
        <w:spacing w:line="306" w:lineRule="exact"/>
        <w:ind w:left="868"/>
      </w:pPr>
      <w:r>
        <w:t>本公司对上述声明的真实性负责。如有虚假，将依法承担相应责任。</w:t>
      </w:r>
    </w:p>
    <w:p>
      <w:pPr>
        <w:pStyle w:val="2"/>
        <w:spacing w:before="161"/>
        <w:ind w:left="508"/>
      </w:pPr>
      <w:r>
        <w:t>注：</w:t>
      </w:r>
      <w:r>
        <w:rPr>
          <w:rFonts w:ascii="Arial" w:eastAsia="Arial"/>
        </w:rPr>
        <w:t>1</w:t>
      </w:r>
      <w:r>
        <w:t>、此函需声明参与本次磋商的货物（产品）名称、规格、型号等相关资料；</w:t>
      </w:r>
    </w:p>
    <w:p>
      <w:pPr>
        <w:pStyle w:val="2"/>
        <w:spacing w:before="158" w:line="364" w:lineRule="auto"/>
        <w:ind w:left="508" w:right="446" w:firstLine="480"/>
      </w:pPr>
      <w:r>
        <w:rPr>
          <w:rFonts w:ascii="Arial" w:eastAsia="Arial"/>
        </w:rPr>
        <w:t>2</w:t>
      </w:r>
      <w:r>
        <w:t>、此函须由磋商产品的制造（生产）企业提供并声明，且加盖供应商公章。同时附制造（生产）企业上一年度的财务状况审计报告；</w:t>
      </w:r>
    </w:p>
    <w:p>
      <w:pPr>
        <w:pStyle w:val="2"/>
        <w:spacing w:before="1" w:line="362" w:lineRule="auto"/>
        <w:ind w:left="508" w:right="921" w:firstLine="480"/>
      </w:pPr>
      <w:r>
        <w:rPr>
          <w:rFonts w:ascii="Arial" w:eastAsia="Arial"/>
        </w:rPr>
        <w:t>3</w:t>
      </w:r>
      <w:r>
        <w:t>、此函若出现多家制造（生产）企业的货物（产品）磋商时，可按制造（生产） 企业分别声明，一家制造（生产）企业填写一张。</w:t>
      </w:r>
    </w:p>
    <w:p>
      <w:pPr>
        <w:pStyle w:val="2"/>
        <w:spacing w:before="5"/>
        <w:ind w:left="988"/>
      </w:pPr>
      <w:r>
        <w:rPr>
          <w:rFonts w:ascii="Arial" w:eastAsia="Arial"/>
        </w:rPr>
        <w:t>4</w:t>
      </w:r>
      <w:r>
        <w:t>、若无此项内容，可不提供此函。</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spacing w:before="184" w:line="364" w:lineRule="auto"/>
        <w:ind w:left="3045" w:right="3064" w:firstLine="363"/>
        <w:jc w:val="left"/>
        <w:rPr>
          <w:b/>
          <w:sz w:val="24"/>
        </w:rPr>
      </w:pPr>
      <w:r>
        <w:rPr>
          <w:b/>
          <w:sz w:val="24"/>
        </w:rPr>
        <w:t>制造（生产）企业名称：（公章）  制造（生产）企业法定代表人：（签字</w:t>
      </w:r>
      <w:r>
        <w:rPr>
          <w:rFonts w:hint="eastAsia"/>
          <w:b/>
          <w:sz w:val="24"/>
          <w:lang w:eastAsia="zh-CN"/>
        </w:rPr>
        <w:t>盖章</w:t>
      </w:r>
      <w:r>
        <w:rPr>
          <w:b/>
          <w:spacing w:val="-17"/>
          <w:sz w:val="24"/>
        </w:rPr>
        <w:t>）</w:t>
      </w:r>
    </w:p>
    <w:p>
      <w:pPr>
        <w:spacing w:before="0" w:line="306" w:lineRule="exact"/>
        <w:ind w:left="4852" w:right="0" w:firstLine="0"/>
        <w:jc w:val="left"/>
        <w:rPr>
          <w:b/>
          <w:sz w:val="24"/>
        </w:rPr>
      </w:pPr>
      <w:r>
        <w:rPr>
          <w:b/>
          <w:sz w:val="24"/>
        </w:rPr>
        <w:t>年月日</w:t>
      </w:r>
    </w:p>
    <w:p>
      <w:pPr>
        <w:spacing w:after="0" w:line="306" w:lineRule="exact"/>
        <w:jc w:val="left"/>
        <w:rPr>
          <w:sz w:val="24"/>
        </w:rPr>
        <w:sectPr>
          <w:pgSz w:w="11910" w:h="16840"/>
          <w:pgMar w:top="1180" w:right="720" w:bottom="1120" w:left="740" w:header="711" w:footer="923" w:gutter="0"/>
        </w:sectPr>
      </w:pPr>
    </w:p>
    <w:p>
      <w:pPr>
        <w:spacing w:before="67"/>
        <w:ind w:left="508" w:right="0" w:firstLine="0"/>
        <w:jc w:val="left"/>
        <w:rPr>
          <w:b/>
          <w:sz w:val="24"/>
        </w:rPr>
      </w:pPr>
      <w:bookmarkStart w:id="63" w:name="_TOC_250006"/>
      <w:r>
        <w:rPr>
          <w:b/>
          <w:sz w:val="24"/>
        </w:rPr>
        <w:t>（</w:t>
      </w:r>
      <w:r>
        <w:rPr>
          <w:rFonts w:ascii="Arial" w:eastAsia="Arial"/>
          <w:b/>
          <w:sz w:val="24"/>
        </w:rPr>
        <w:t>17.2</w:t>
      </w:r>
      <w:bookmarkEnd w:id="63"/>
      <w:r>
        <w:rPr>
          <w:b/>
          <w:sz w:val="24"/>
        </w:rPr>
        <w:t>）从业人员声明函</w:t>
      </w:r>
    </w:p>
    <w:p>
      <w:pPr>
        <w:pStyle w:val="2"/>
        <w:rPr>
          <w:b/>
          <w:sz w:val="20"/>
        </w:rPr>
      </w:pPr>
    </w:p>
    <w:p>
      <w:pPr>
        <w:pStyle w:val="2"/>
        <w:rPr>
          <w:b/>
          <w:sz w:val="20"/>
        </w:rPr>
      </w:pPr>
    </w:p>
    <w:p>
      <w:pPr>
        <w:spacing w:before="184"/>
        <w:ind w:left="393" w:right="412" w:firstLine="0"/>
        <w:jc w:val="center"/>
        <w:rPr>
          <w:b/>
          <w:sz w:val="36"/>
        </w:rPr>
      </w:pPr>
      <w:r>
        <w:rPr>
          <w:b/>
          <w:sz w:val="36"/>
        </w:rPr>
        <w:t>从业人员声明函</w:t>
      </w:r>
    </w:p>
    <w:p>
      <w:pPr>
        <w:pStyle w:val="2"/>
        <w:spacing w:before="1"/>
        <w:rPr>
          <w:b/>
          <w:sz w:val="28"/>
        </w:rPr>
      </w:pPr>
    </w:p>
    <w:p>
      <w:pPr>
        <w:spacing w:before="67"/>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7"/>
        <w:rPr>
          <w:b/>
          <w:sz w:val="22"/>
        </w:rPr>
      </w:pPr>
    </w:p>
    <w:p>
      <w:pPr>
        <w:pStyle w:val="2"/>
        <w:ind w:left="983"/>
      </w:pPr>
      <w:r>
        <w:rPr>
          <w:spacing w:val="-5"/>
        </w:rPr>
        <w:t>本公司郑重声明：根据《政府采购促进中小企业发展暂行办法》</w:t>
      </w:r>
      <w:r>
        <w:t>（财库</w:t>
      </w:r>
      <w:r>
        <w:rPr>
          <w:rFonts w:ascii="Arial" w:eastAsia="Arial"/>
          <w:spacing w:val="-3"/>
        </w:rPr>
        <w:t xml:space="preserve">[2011]181 </w:t>
      </w:r>
      <w:r>
        <w:t>号</w:t>
      </w:r>
      <w:r>
        <w:rPr>
          <w:spacing w:val="-120"/>
        </w:rPr>
        <w:t>）</w:t>
      </w:r>
      <w:r>
        <w:t>、</w:t>
      </w:r>
    </w:p>
    <w:p>
      <w:pPr>
        <w:pStyle w:val="2"/>
        <w:spacing w:before="161" w:line="364" w:lineRule="auto"/>
        <w:ind w:left="503" w:right="529"/>
      </w:pPr>
      <w:r>
        <w:rPr>
          <w:spacing w:val="-1"/>
        </w:rPr>
        <w:t>《工业和信息部、国家统计局、国家发展和改革委员会、财政部关于印发中小企业划型标</w:t>
      </w:r>
      <w:r>
        <w:rPr>
          <w:spacing w:val="-18"/>
        </w:rPr>
        <w:t>准规定的通知》</w:t>
      </w:r>
      <w:r>
        <w:t>（工信部联企业</w:t>
      </w:r>
      <w:r>
        <w:rPr>
          <w:rFonts w:ascii="Arial" w:eastAsia="Arial"/>
          <w:spacing w:val="-3"/>
        </w:rPr>
        <w:t>[2011]300</w:t>
      </w:r>
      <w:r>
        <w:rPr>
          <w:rFonts w:ascii="Arial" w:eastAsia="Arial"/>
          <w:spacing w:val="55"/>
        </w:rPr>
        <w:t xml:space="preserve"> </w:t>
      </w:r>
      <w:r>
        <w:rPr>
          <w:spacing w:val="-3"/>
        </w:rPr>
        <w:t>号</w:t>
      </w:r>
      <w:r>
        <w:t>）规定，本公司从业人员数为人。</w:t>
      </w:r>
    </w:p>
    <w:p>
      <w:pPr>
        <w:pStyle w:val="2"/>
        <w:spacing w:line="307" w:lineRule="exact"/>
        <w:ind w:left="988"/>
      </w:pPr>
      <w:r>
        <w:t>本公司对上述声明的真实性负责，如有虚假，将依法承担相应责任。</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206" w:line="364" w:lineRule="auto"/>
        <w:ind w:left="3045" w:right="3064" w:firstLine="363"/>
        <w:jc w:val="left"/>
        <w:rPr>
          <w:b/>
          <w:sz w:val="24"/>
        </w:rPr>
      </w:pPr>
      <w:r>
        <w:rPr>
          <w:b/>
          <w:sz w:val="24"/>
        </w:rPr>
        <w:t>制造（生产）企业名称：（公章）  制造（生产）企业法定代表人：（签字</w:t>
      </w:r>
      <w:r>
        <w:rPr>
          <w:rFonts w:hint="eastAsia"/>
          <w:b/>
          <w:sz w:val="24"/>
          <w:lang w:eastAsia="zh-CN"/>
        </w:rPr>
        <w:t>盖章</w:t>
      </w:r>
      <w:r>
        <w:rPr>
          <w:b/>
          <w:spacing w:val="-17"/>
          <w:sz w:val="24"/>
        </w:rPr>
        <w:t>）</w:t>
      </w:r>
    </w:p>
    <w:p>
      <w:pPr>
        <w:spacing w:before="0"/>
        <w:ind w:left="4898" w:right="0" w:firstLine="0"/>
        <w:jc w:val="left"/>
        <w:rPr>
          <w:b/>
          <w:sz w:val="21"/>
        </w:rPr>
      </w:pPr>
      <w:r>
        <w:rPr>
          <w:b/>
          <w:sz w:val="21"/>
        </w:rPr>
        <w:t>年月日</w:t>
      </w:r>
    </w:p>
    <w:p>
      <w:pPr>
        <w:spacing w:after="0"/>
        <w:jc w:val="left"/>
        <w:rPr>
          <w:sz w:val="21"/>
        </w:rPr>
        <w:sectPr>
          <w:pgSz w:w="11910" w:h="16840"/>
          <w:pgMar w:top="1180" w:right="720" w:bottom="1120" w:left="740" w:header="711" w:footer="923" w:gutter="0"/>
        </w:sectPr>
      </w:pPr>
    </w:p>
    <w:p>
      <w:pPr>
        <w:pStyle w:val="13"/>
        <w:numPr>
          <w:ilvl w:val="0"/>
          <w:numId w:val="41"/>
        </w:numPr>
        <w:tabs>
          <w:tab w:val="left" w:pos="1259"/>
        </w:tabs>
        <w:spacing w:before="67" w:after="0" w:line="240" w:lineRule="auto"/>
        <w:ind w:left="1258" w:right="0" w:hanging="751"/>
        <w:jc w:val="left"/>
        <w:rPr>
          <w:b/>
          <w:sz w:val="24"/>
        </w:rPr>
      </w:pPr>
      <w:bookmarkStart w:id="64" w:name="_TOC_250005"/>
      <w:bookmarkEnd w:id="64"/>
      <w:r>
        <w:rPr>
          <w:b/>
          <w:sz w:val="24"/>
        </w:rPr>
        <w:t>残疾人福利性单位声明函</w:t>
      </w:r>
    </w:p>
    <w:p>
      <w:pPr>
        <w:pStyle w:val="2"/>
        <w:rPr>
          <w:b/>
          <w:sz w:val="26"/>
        </w:rPr>
      </w:pPr>
    </w:p>
    <w:p>
      <w:pPr>
        <w:pStyle w:val="2"/>
        <w:spacing w:before="10"/>
        <w:rPr>
          <w:b/>
          <w:sz w:val="26"/>
        </w:rPr>
      </w:pPr>
    </w:p>
    <w:p>
      <w:pPr>
        <w:spacing w:before="1"/>
        <w:ind w:left="395" w:right="412" w:firstLine="0"/>
        <w:jc w:val="center"/>
        <w:rPr>
          <w:b/>
          <w:sz w:val="36"/>
        </w:rPr>
      </w:pPr>
      <w:r>
        <w:rPr>
          <w:b/>
          <w:sz w:val="36"/>
        </w:rPr>
        <w:t>残疾人福利性单位声明函</w:t>
      </w:r>
    </w:p>
    <w:p>
      <w:pPr>
        <w:pStyle w:val="2"/>
        <w:rPr>
          <w:b/>
          <w:sz w:val="36"/>
        </w:rPr>
      </w:pPr>
    </w:p>
    <w:p>
      <w:pPr>
        <w:pStyle w:val="2"/>
        <w:spacing w:before="2"/>
        <w:rPr>
          <w:b/>
          <w:sz w:val="31"/>
        </w:rPr>
      </w:pPr>
    </w:p>
    <w:p>
      <w:pPr>
        <w:spacing w:before="0"/>
        <w:ind w:left="508" w:right="0" w:firstLine="0"/>
        <w:jc w:val="left"/>
        <w:rPr>
          <w:rFonts w:hint="eastAsia" w:eastAsia="宋体"/>
          <w:b/>
          <w:sz w:val="24"/>
          <w:lang w:eastAsia="zh-CN"/>
        </w:rPr>
      </w:pPr>
      <w:r>
        <w:rPr>
          <w:b/>
          <w:sz w:val="24"/>
        </w:rPr>
        <w:t>致：</w:t>
      </w:r>
      <w:r>
        <w:rPr>
          <w:rFonts w:hint="eastAsia"/>
          <w:b/>
          <w:sz w:val="24"/>
          <w:lang w:eastAsia="zh-CN"/>
        </w:rPr>
        <w:t>鸿利项目管理有限公司</w:t>
      </w:r>
    </w:p>
    <w:p>
      <w:pPr>
        <w:pStyle w:val="2"/>
        <w:rPr>
          <w:b/>
        </w:rPr>
      </w:pPr>
    </w:p>
    <w:p>
      <w:pPr>
        <w:pStyle w:val="2"/>
        <w:spacing w:before="8"/>
        <w:rPr>
          <w:b/>
          <w:sz w:val="22"/>
        </w:rPr>
      </w:pPr>
    </w:p>
    <w:p>
      <w:pPr>
        <w:pStyle w:val="2"/>
        <w:tabs>
          <w:tab w:val="left" w:pos="8405"/>
          <w:tab w:val="left" w:pos="9978"/>
        </w:tabs>
        <w:spacing w:line="364" w:lineRule="auto"/>
        <w:ind w:left="508" w:right="465" w:firstLine="480"/>
        <w:jc w:val="both"/>
      </w:pPr>
      <w:r>
        <w:t>本公司郑重声明，根据《财政部、民政部、中国残疾人联合会关于促进残疾人就业政府采购政策的通知</w:t>
      </w:r>
      <w:r>
        <w:rPr>
          <w:spacing w:val="-130"/>
        </w:rPr>
        <w:t>》</w:t>
      </w:r>
      <w:r>
        <w:t>（财</w:t>
      </w:r>
      <w:r>
        <w:rPr>
          <w:spacing w:val="-10"/>
        </w:rPr>
        <w:t>库</w:t>
      </w:r>
      <w:r>
        <w:t>〔</w:t>
      </w:r>
      <w:r>
        <w:rPr>
          <w:rFonts w:ascii="Arial" w:eastAsia="Arial"/>
        </w:rPr>
        <w:t>2017</w:t>
      </w:r>
      <w:r>
        <w:rPr>
          <w:spacing w:val="-10"/>
        </w:rPr>
        <w:t>〕</w:t>
      </w:r>
      <w:r>
        <w:rPr>
          <w:rFonts w:ascii="Arial" w:eastAsia="Arial"/>
        </w:rPr>
        <w:t>141</w:t>
      </w:r>
      <w:r>
        <w:t>号</w:t>
      </w:r>
      <w:r>
        <w:rPr>
          <w:spacing w:val="-10"/>
        </w:rPr>
        <w:t>）</w:t>
      </w:r>
      <w:r>
        <w:t>的规定</w:t>
      </w:r>
      <w:r>
        <w:rPr>
          <w:spacing w:val="-10"/>
        </w:rPr>
        <w:t>，</w:t>
      </w:r>
      <w:r>
        <w:t>本单位为符合条件的残疾人福利性单位</w:t>
      </w:r>
      <w:r>
        <w:rPr>
          <w:spacing w:val="-36"/>
        </w:rPr>
        <w:t>，</w:t>
      </w:r>
      <w:r>
        <w:t>本单位在职职工人数为人</w:t>
      </w:r>
      <w:r>
        <w:rPr>
          <w:spacing w:val="-36"/>
        </w:rPr>
        <w:t>，</w:t>
      </w:r>
      <w:r>
        <w:t>安置的残疾人人数人</w:t>
      </w:r>
      <w:r>
        <w:rPr>
          <w:spacing w:val="-36"/>
        </w:rPr>
        <w:t>。</w:t>
      </w:r>
      <w:r>
        <w:t>且本单位参加</w:t>
      </w:r>
      <w:r>
        <w:rPr>
          <w:u w:val="single"/>
        </w:rPr>
        <w:t xml:space="preserve"> </w:t>
      </w:r>
      <w:r>
        <w:rPr>
          <w:u w:val="single"/>
        </w:rPr>
        <w:tab/>
      </w:r>
      <w:r>
        <w:t>单位</w:t>
      </w:r>
      <w:r>
        <w:rPr>
          <w:spacing w:val="-3"/>
        </w:rPr>
        <w:t>的</w:t>
      </w:r>
      <w:r>
        <w:rPr>
          <w:rFonts w:ascii="Times New Roman" w:eastAsia="Times New Roman"/>
          <w:u w:val="single"/>
        </w:rPr>
        <w:t xml:space="preserve"> </w:t>
      </w:r>
      <w:r>
        <w:rPr>
          <w:rFonts w:ascii="Times New Roman" w:eastAsia="Times New Roman"/>
          <w:u w:val="single"/>
        </w:rPr>
        <w:tab/>
      </w:r>
      <w:r>
        <w:rPr>
          <w:spacing w:val="2"/>
        </w:rPr>
        <w:t>项目采购活动提供本</w:t>
      </w:r>
      <w:r>
        <w:rPr>
          <w:spacing w:val="4"/>
        </w:rPr>
        <w:t>单</w:t>
      </w:r>
      <w:r>
        <w:rPr>
          <w:spacing w:val="2"/>
        </w:rPr>
        <w:t>位制造的货物（由本</w:t>
      </w:r>
      <w:r>
        <w:rPr>
          <w:spacing w:val="4"/>
        </w:rPr>
        <w:t>单</w:t>
      </w:r>
      <w:r>
        <w:rPr>
          <w:spacing w:val="2"/>
        </w:rPr>
        <w:t>位承担工</w:t>
      </w:r>
      <w:r>
        <w:rPr>
          <w:spacing w:val="4"/>
        </w:rPr>
        <w:t>程</w:t>
      </w:r>
      <w:r>
        <w:rPr>
          <w:rFonts w:ascii="Arial" w:eastAsia="Arial"/>
          <w:spacing w:val="2"/>
          <w:w w:val="100"/>
        </w:rPr>
        <w:t>/</w:t>
      </w:r>
      <w:r>
        <w:rPr>
          <w:spacing w:val="2"/>
        </w:rPr>
        <w:t>提供服务</w:t>
      </w:r>
      <w:r>
        <w:rPr>
          <w:spacing w:val="-116"/>
        </w:rPr>
        <w:t>）</w:t>
      </w:r>
      <w:r>
        <w:rPr>
          <w:spacing w:val="2"/>
        </w:rPr>
        <w:t>，或者提供其他残</w:t>
      </w:r>
      <w:r>
        <w:t>疾人福利性单位制造的货物（不包括使用非残疾人福利性单位注册商标的货物</w:t>
      </w:r>
      <w:r>
        <w:rPr>
          <w:spacing w:val="-120"/>
        </w:rPr>
        <w:t>）</w:t>
      </w:r>
      <w:r>
        <w:t>。</w:t>
      </w:r>
    </w:p>
    <w:p>
      <w:pPr>
        <w:pStyle w:val="2"/>
        <w:spacing w:line="686" w:lineRule="auto"/>
        <w:ind w:left="988" w:right="2255"/>
      </w:pPr>
      <w:r>
        <w:t>本单位对上述声明的真实性负责。如有虚假，将依法承担相应责任。注：若无此项内容，可不提供此函。</w:t>
      </w:r>
    </w:p>
    <w:p>
      <w:pPr>
        <w:pStyle w:val="2"/>
      </w:pPr>
    </w:p>
    <w:p>
      <w:pPr>
        <w:pStyle w:val="2"/>
      </w:pPr>
    </w:p>
    <w:p>
      <w:pPr>
        <w:pStyle w:val="2"/>
      </w:pPr>
    </w:p>
    <w:p>
      <w:pPr>
        <w:pStyle w:val="2"/>
      </w:pPr>
    </w:p>
    <w:p>
      <w:pPr>
        <w:pStyle w:val="2"/>
      </w:pPr>
    </w:p>
    <w:p>
      <w:pPr>
        <w:pStyle w:val="2"/>
      </w:pPr>
    </w:p>
    <w:p>
      <w:pPr>
        <w:pStyle w:val="2"/>
      </w:pPr>
    </w:p>
    <w:p>
      <w:pPr>
        <w:pStyle w:val="2"/>
        <w:rPr>
          <w:sz w:val="26"/>
        </w:rPr>
      </w:pPr>
    </w:p>
    <w:p>
      <w:pPr>
        <w:spacing w:before="1"/>
        <w:ind w:left="397" w:right="411" w:firstLine="0"/>
        <w:jc w:val="center"/>
        <w:rPr>
          <w:b/>
          <w:sz w:val="24"/>
        </w:rPr>
      </w:pPr>
      <w:r>
        <w:rPr>
          <w:b/>
          <w:sz w:val="24"/>
        </w:rPr>
        <w:t>企业名称：（公章）</w:t>
      </w:r>
    </w:p>
    <w:p>
      <w:pPr>
        <w:spacing w:before="160" w:line="362" w:lineRule="auto"/>
        <w:ind w:left="3408" w:right="3423" w:firstLine="0"/>
        <w:jc w:val="center"/>
        <w:rPr>
          <w:b/>
          <w:sz w:val="24"/>
        </w:rPr>
      </w:pPr>
      <w:r>
        <w:rPr>
          <w:b/>
          <w:sz w:val="24"/>
        </w:rPr>
        <w:t>企业法定代表人：（签字盖章） 年月日</w:t>
      </w:r>
    </w:p>
    <w:p>
      <w:pPr>
        <w:spacing w:after="0" w:line="362" w:lineRule="auto"/>
        <w:jc w:val="center"/>
        <w:rPr>
          <w:sz w:val="24"/>
        </w:rPr>
        <w:sectPr>
          <w:pgSz w:w="11910" w:h="16840"/>
          <w:pgMar w:top="1180" w:right="720" w:bottom="1120" w:left="740" w:header="711" w:footer="923" w:gutter="0"/>
        </w:sectPr>
      </w:pPr>
    </w:p>
    <w:p>
      <w:pPr>
        <w:pStyle w:val="13"/>
        <w:numPr>
          <w:ilvl w:val="0"/>
          <w:numId w:val="41"/>
        </w:numPr>
        <w:tabs>
          <w:tab w:val="left" w:pos="1259"/>
        </w:tabs>
        <w:spacing w:before="67" w:after="0" w:line="240" w:lineRule="auto"/>
        <w:ind w:left="1258" w:right="0" w:hanging="751"/>
        <w:jc w:val="left"/>
        <w:rPr>
          <w:b/>
          <w:sz w:val="24"/>
        </w:rPr>
      </w:pPr>
      <w:bookmarkStart w:id="65" w:name="_TOC_250004"/>
      <w:bookmarkEnd w:id="65"/>
      <w:r>
        <w:rPr>
          <w:b/>
          <w:sz w:val="24"/>
        </w:rPr>
        <w:t>供应商认为在其他方面有必要说明的事项</w:t>
      </w:r>
    </w:p>
    <w:p>
      <w:pPr>
        <w:pStyle w:val="2"/>
        <w:rPr>
          <w:b/>
          <w:sz w:val="26"/>
        </w:rPr>
      </w:pPr>
    </w:p>
    <w:p>
      <w:pPr>
        <w:pStyle w:val="2"/>
        <w:spacing w:before="10"/>
        <w:rPr>
          <w:b/>
          <w:sz w:val="26"/>
        </w:rPr>
      </w:pPr>
    </w:p>
    <w:p>
      <w:pPr>
        <w:spacing w:before="1"/>
        <w:ind w:left="395" w:right="412" w:firstLine="0"/>
        <w:jc w:val="center"/>
        <w:rPr>
          <w:b/>
          <w:sz w:val="36"/>
        </w:rPr>
      </w:pPr>
      <w:r>
        <w:rPr>
          <w:b/>
          <w:sz w:val="36"/>
        </w:rPr>
        <w:t>供应商认为在其他方面有必要说明的事项</w:t>
      </w:r>
    </w:p>
    <w:p>
      <w:pPr>
        <w:pStyle w:val="2"/>
        <w:spacing w:before="239"/>
        <w:ind w:left="508"/>
      </w:pPr>
      <w:r>
        <w:t>格式自定</w:t>
      </w:r>
    </w:p>
    <w:p>
      <w:pPr>
        <w:spacing w:after="0"/>
        <w:sectPr>
          <w:pgSz w:w="11910" w:h="16840"/>
          <w:pgMar w:top="1180" w:right="720" w:bottom="1120" w:left="740" w:header="711" w:footer="923" w:gutter="0"/>
        </w:sectPr>
      </w:pPr>
    </w:p>
    <w:p>
      <w:pPr>
        <w:pStyle w:val="13"/>
        <w:numPr>
          <w:ilvl w:val="0"/>
          <w:numId w:val="41"/>
        </w:numPr>
        <w:tabs>
          <w:tab w:val="left" w:pos="1259"/>
        </w:tabs>
        <w:spacing w:before="67" w:after="0" w:line="240" w:lineRule="auto"/>
        <w:ind w:left="1258" w:right="0" w:hanging="751"/>
        <w:jc w:val="left"/>
        <w:rPr>
          <w:b/>
          <w:sz w:val="24"/>
        </w:rPr>
      </w:pPr>
      <w:bookmarkStart w:id="66" w:name="_TOC_250003"/>
      <w:bookmarkEnd w:id="66"/>
      <w:r>
        <w:rPr>
          <w:b/>
          <w:sz w:val="24"/>
        </w:rPr>
        <w:t>最终报价表</w:t>
      </w:r>
    </w:p>
    <w:p>
      <w:pPr>
        <w:pStyle w:val="2"/>
        <w:rPr>
          <w:b/>
          <w:sz w:val="20"/>
        </w:rPr>
      </w:pPr>
    </w:p>
    <w:p>
      <w:pPr>
        <w:pStyle w:val="2"/>
        <w:spacing w:before="12"/>
        <w:rPr>
          <w:b/>
          <w:sz w:val="28"/>
        </w:rPr>
      </w:pPr>
    </w:p>
    <w:p>
      <w:pPr>
        <w:spacing w:before="50"/>
        <w:ind w:left="396" w:right="412" w:firstLine="0"/>
        <w:jc w:val="center"/>
        <w:rPr>
          <w:b/>
          <w:sz w:val="36"/>
        </w:rPr>
      </w:pPr>
      <w:r>
        <w:rPr>
          <w:b/>
          <w:sz w:val="36"/>
        </w:rPr>
        <w:t>最终报价表</w:t>
      </w:r>
    </w:p>
    <w:p>
      <w:pPr>
        <w:pStyle w:val="2"/>
        <w:rPr>
          <w:b/>
          <w:sz w:val="20"/>
        </w:rPr>
      </w:pPr>
    </w:p>
    <w:p>
      <w:pPr>
        <w:pStyle w:val="2"/>
        <w:rPr>
          <w:b/>
          <w:sz w:val="20"/>
        </w:rPr>
      </w:pPr>
    </w:p>
    <w:p>
      <w:pPr>
        <w:pStyle w:val="2"/>
        <w:spacing w:before="11" w:after="1"/>
        <w:rPr>
          <w:b/>
          <w:sz w:val="10"/>
        </w:rPr>
      </w:pPr>
    </w:p>
    <w:tbl>
      <w:tblPr>
        <w:tblStyle w:val="9"/>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3"/>
        <w:gridCol w:w="6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3203" w:type="dxa"/>
          </w:tcPr>
          <w:p>
            <w:pPr>
              <w:pStyle w:val="14"/>
              <w:spacing w:before="50"/>
              <w:ind w:left="141" w:right="132"/>
              <w:jc w:val="center"/>
              <w:rPr>
                <w:sz w:val="24"/>
              </w:rPr>
            </w:pPr>
            <w:r>
              <w:rPr>
                <w:sz w:val="24"/>
              </w:rPr>
              <w:t>供应商名称</w:t>
            </w:r>
          </w:p>
        </w:tc>
        <w:tc>
          <w:tcPr>
            <w:tcW w:w="63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3" w:type="dxa"/>
          </w:tcPr>
          <w:p>
            <w:pPr>
              <w:pStyle w:val="14"/>
              <w:spacing w:before="50"/>
              <w:ind w:left="141" w:right="132"/>
              <w:jc w:val="center"/>
              <w:rPr>
                <w:sz w:val="24"/>
              </w:rPr>
            </w:pPr>
            <w:r>
              <w:rPr>
                <w:sz w:val="24"/>
              </w:rPr>
              <w:t>磋商包号</w:t>
            </w:r>
          </w:p>
        </w:tc>
        <w:tc>
          <w:tcPr>
            <w:tcW w:w="63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203" w:type="dxa"/>
          </w:tcPr>
          <w:p>
            <w:pPr>
              <w:pStyle w:val="14"/>
              <w:spacing w:before="4"/>
              <w:rPr>
                <w:b/>
                <w:sz w:val="18"/>
              </w:rPr>
            </w:pPr>
          </w:p>
          <w:p>
            <w:pPr>
              <w:pStyle w:val="14"/>
              <w:ind w:left="141" w:right="132"/>
              <w:jc w:val="center"/>
              <w:rPr>
                <w:sz w:val="24"/>
              </w:rPr>
            </w:pPr>
            <w:r>
              <w:rPr>
                <w:sz w:val="24"/>
              </w:rPr>
              <w:t>最终磋商报价</w:t>
            </w:r>
          </w:p>
        </w:tc>
        <w:tc>
          <w:tcPr>
            <w:tcW w:w="6325" w:type="dxa"/>
          </w:tcPr>
          <w:p>
            <w:pPr>
              <w:pStyle w:val="14"/>
              <w:ind w:left="54"/>
              <w:rPr>
                <w:sz w:val="24"/>
              </w:rPr>
            </w:pPr>
            <w:r>
              <w:rPr>
                <w:sz w:val="24"/>
              </w:rPr>
              <w:t>大写：</w:t>
            </w:r>
          </w:p>
          <w:p>
            <w:pPr>
              <w:pStyle w:val="14"/>
              <w:spacing w:before="160"/>
              <w:ind w:left="54"/>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03" w:type="dxa"/>
          </w:tcPr>
          <w:p>
            <w:pPr>
              <w:pStyle w:val="14"/>
              <w:spacing w:before="50"/>
              <w:ind w:left="141" w:right="132"/>
              <w:jc w:val="center"/>
              <w:rPr>
                <w:sz w:val="24"/>
              </w:rPr>
            </w:pPr>
            <w:r>
              <w:rPr>
                <w:sz w:val="24"/>
              </w:rPr>
              <w:t>交货期</w:t>
            </w:r>
          </w:p>
        </w:tc>
        <w:tc>
          <w:tcPr>
            <w:tcW w:w="63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203" w:type="dxa"/>
          </w:tcPr>
          <w:p>
            <w:pPr>
              <w:pStyle w:val="14"/>
              <w:ind w:left="141" w:right="132"/>
              <w:jc w:val="center"/>
              <w:rPr>
                <w:sz w:val="24"/>
              </w:rPr>
            </w:pPr>
            <w:r>
              <w:rPr>
                <w:sz w:val="24"/>
              </w:rPr>
              <w:t>其他承诺及所需要说明的事</w:t>
            </w:r>
          </w:p>
          <w:p>
            <w:pPr>
              <w:pStyle w:val="14"/>
              <w:spacing w:before="160"/>
              <w:ind w:left="9"/>
              <w:jc w:val="center"/>
              <w:rPr>
                <w:sz w:val="24"/>
              </w:rPr>
            </w:pPr>
            <w:r>
              <w:rPr>
                <w:sz w:val="24"/>
              </w:rPr>
              <w:t>项</w:t>
            </w:r>
          </w:p>
        </w:tc>
        <w:tc>
          <w:tcPr>
            <w:tcW w:w="6325" w:type="dxa"/>
          </w:tcPr>
          <w:p>
            <w:pPr>
              <w:pStyle w:val="14"/>
              <w:rPr>
                <w:rFonts w:ascii="Times New Roman"/>
                <w:sz w:val="24"/>
              </w:rPr>
            </w:pPr>
          </w:p>
        </w:tc>
      </w:tr>
    </w:tbl>
    <w:p>
      <w:pPr>
        <w:pStyle w:val="2"/>
        <w:spacing w:line="364" w:lineRule="auto"/>
        <w:ind w:left="508" w:right="525"/>
      </w:pPr>
      <w:r>
        <w:rPr>
          <w:b/>
        </w:rPr>
        <w:t>注：</w:t>
      </w:r>
      <w:r>
        <w:t>此表不需装订在响应文件中，供应商事先须盖章、签字。在磋商期间，由磋商小组确定合格的供应商现场填写。</w:t>
      </w: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2"/>
        <w:rPr>
          <w:sz w:val="34"/>
        </w:rPr>
      </w:pPr>
    </w:p>
    <w:p>
      <w:pPr>
        <w:spacing w:before="0"/>
        <w:ind w:left="396" w:right="412" w:firstLine="0"/>
        <w:jc w:val="center"/>
        <w:rPr>
          <w:b/>
          <w:sz w:val="24"/>
        </w:rPr>
      </w:pPr>
      <w:r>
        <w:rPr>
          <w:b/>
          <w:sz w:val="24"/>
        </w:rPr>
        <w:t>供应商：（公章）</w:t>
      </w:r>
    </w:p>
    <w:p>
      <w:pPr>
        <w:spacing w:before="159" w:line="364" w:lineRule="auto"/>
        <w:ind w:right="3303"/>
        <w:jc w:val="right"/>
        <w:rPr>
          <w:rFonts w:hint="eastAsia"/>
          <w:b/>
          <w:sz w:val="24"/>
          <w:lang w:eastAsia="zh-CN"/>
        </w:rPr>
      </w:pPr>
      <w:r>
        <w:rPr>
          <w:rFonts w:hint="eastAsia"/>
          <w:b/>
          <w:sz w:val="24"/>
          <w:lang w:eastAsia="zh-CN"/>
        </w:rPr>
        <w:t>法定代表人或委托代理人：（签字盖章）</w:t>
      </w:r>
    </w:p>
    <w:p>
      <w:pPr>
        <w:spacing w:before="159" w:line="364" w:lineRule="auto"/>
        <w:ind w:right="3303" w:firstLine="2409" w:firstLineChars="1000"/>
        <w:jc w:val="right"/>
        <w:rPr>
          <w:b/>
          <w:sz w:val="24"/>
        </w:rPr>
      </w:pPr>
      <w:r>
        <w:rPr>
          <w:rFonts w:hint="eastAsia"/>
          <w:b/>
          <w:sz w:val="24"/>
          <w:lang w:eastAsia="zh-CN"/>
        </w:rPr>
        <w:t xml:space="preserve"> </w:t>
      </w:r>
      <w:r>
        <w:rPr>
          <w:b/>
          <w:sz w:val="24"/>
        </w:rPr>
        <w:t>年月日</w:t>
      </w:r>
    </w:p>
    <w:p>
      <w:pPr>
        <w:spacing w:after="0" w:line="364" w:lineRule="auto"/>
        <w:jc w:val="center"/>
        <w:rPr>
          <w:sz w:val="24"/>
        </w:rPr>
        <w:sectPr>
          <w:pgSz w:w="11910" w:h="16840"/>
          <w:pgMar w:top="1180" w:right="720" w:bottom="1120" w:left="740" w:header="711" w:footer="923" w:gutter="0"/>
        </w:sectPr>
      </w:pPr>
    </w:p>
    <w:p>
      <w:pPr>
        <w:pStyle w:val="3"/>
      </w:pPr>
      <w:bookmarkStart w:id="67" w:name="_TOC_250002"/>
      <w:bookmarkEnd w:id="67"/>
      <w:r>
        <w:t>第六部分磋商及采购项目要求</w:t>
      </w:r>
    </w:p>
    <w:p>
      <w:pPr>
        <w:pStyle w:val="2"/>
        <w:spacing w:before="5"/>
        <w:rPr>
          <w:sz w:val="13"/>
        </w:rPr>
      </w:pPr>
    </w:p>
    <w:p>
      <w:pPr>
        <w:spacing w:after="0"/>
        <w:rPr>
          <w:sz w:val="13"/>
        </w:rPr>
        <w:sectPr>
          <w:pgSz w:w="11910" w:h="16840"/>
          <w:pgMar w:top="1180" w:right="720" w:bottom="1120" w:left="740" w:header="711" w:footer="923" w:gutter="0"/>
        </w:sectPr>
      </w:pPr>
    </w:p>
    <w:p>
      <w:pPr>
        <w:pStyle w:val="2"/>
        <w:rPr>
          <w:sz w:val="26"/>
        </w:rPr>
      </w:pPr>
    </w:p>
    <w:p>
      <w:pPr>
        <w:pStyle w:val="13"/>
        <w:numPr>
          <w:ilvl w:val="0"/>
          <w:numId w:val="42"/>
        </w:numPr>
        <w:tabs>
          <w:tab w:val="left" w:pos="1193"/>
        </w:tabs>
        <w:spacing w:before="201" w:after="0" w:line="240" w:lineRule="auto"/>
        <w:ind w:left="1192" w:right="0" w:hanging="203"/>
        <w:jc w:val="left"/>
        <w:rPr>
          <w:b/>
          <w:sz w:val="24"/>
        </w:rPr>
      </w:pPr>
      <w:r>
        <w:rPr>
          <w:b/>
          <w:sz w:val="24"/>
        </w:rPr>
        <w:t>磋商说明</w:t>
      </w:r>
    </w:p>
    <w:p>
      <w:pPr>
        <w:spacing w:before="66"/>
        <w:ind w:left="990" w:right="0" w:firstLine="0"/>
        <w:jc w:val="left"/>
        <w:rPr>
          <w:b/>
          <w:sz w:val="24"/>
        </w:rPr>
      </w:pPr>
      <w:bookmarkStart w:id="68" w:name="_TOC_250001"/>
      <w:r>
        <w:br w:type="column"/>
      </w:r>
      <w:bookmarkEnd w:id="68"/>
      <w:r>
        <w:rPr>
          <w:b/>
          <w:sz w:val="24"/>
        </w:rPr>
        <w:t>（一）磋商要求</w:t>
      </w:r>
    </w:p>
    <w:p>
      <w:pPr>
        <w:spacing w:after="0"/>
        <w:jc w:val="left"/>
        <w:rPr>
          <w:sz w:val="24"/>
        </w:rPr>
        <w:sectPr>
          <w:type w:val="continuous"/>
          <w:pgSz w:w="11910" w:h="16840"/>
          <w:pgMar w:top="1580" w:right="720" w:bottom="280" w:left="740" w:header="720" w:footer="720" w:gutter="0"/>
          <w:cols w:equalWidth="0" w:num="2">
            <w:col w:w="2195" w:space="1185"/>
            <w:col w:w="7070"/>
          </w:cols>
        </w:sectPr>
      </w:pPr>
    </w:p>
    <w:p>
      <w:pPr>
        <w:pStyle w:val="13"/>
        <w:numPr>
          <w:ilvl w:val="1"/>
          <w:numId w:val="42"/>
        </w:numPr>
        <w:tabs>
          <w:tab w:val="left" w:pos="1447"/>
        </w:tabs>
        <w:spacing w:before="158" w:after="0" w:line="364" w:lineRule="auto"/>
        <w:ind w:left="508" w:right="532" w:firstLine="480"/>
        <w:jc w:val="both"/>
        <w:rPr>
          <w:sz w:val="24"/>
        </w:rPr>
      </w:pPr>
      <w:r>
        <w:rPr>
          <w:spacing w:val="-1"/>
          <w:sz w:val="24"/>
        </w:rPr>
        <w:t>供应商可以按照磋商文件规定的包号选择磋商，但必须对所投包号中的所有内容</w:t>
      </w:r>
      <w:r>
        <w:rPr>
          <w:sz w:val="24"/>
        </w:rPr>
        <w:t>作为一个整体进行磋商，不能拆分或少报。否则，磋商无效。</w:t>
      </w:r>
    </w:p>
    <w:p>
      <w:pPr>
        <w:pStyle w:val="13"/>
        <w:numPr>
          <w:ilvl w:val="1"/>
          <w:numId w:val="42"/>
        </w:numPr>
        <w:tabs>
          <w:tab w:val="left" w:pos="1445"/>
        </w:tabs>
        <w:spacing w:before="1" w:after="0" w:line="364" w:lineRule="auto"/>
        <w:ind w:left="508" w:right="521" w:firstLine="480"/>
        <w:jc w:val="both"/>
        <w:rPr>
          <w:sz w:val="24"/>
        </w:rPr>
      </w:pPr>
      <w:r>
        <w:rPr>
          <w:spacing w:val="-1"/>
          <w:sz w:val="24"/>
        </w:rPr>
        <w:t>供应商必须如实填写</w:t>
      </w:r>
      <w:r>
        <w:rPr>
          <w:rFonts w:ascii="Arial" w:hAnsi="Arial" w:eastAsia="Arial"/>
          <w:sz w:val="24"/>
        </w:rPr>
        <w:t>“</w:t>
      </w:r>
      <w:r>
        <w:rPr>
          <w:sz w:val="24"/>
        </w:rPr>
        <w:t>技术规格响应表</w:t>
      </w:r>
      <w:r>
        <w:rPr>
          <w:rFonts w:ascii="Arial" w:hAnsi="Arial" w:eastAsia="Arial"/>
          <w:sz w:val="24"/>
        </w:rPr>
        <w:t>”</w:t>
      </w:r>
      <w:r>
        <w:rPr>
          <w:sz w:val="24"/>
        </w:rPr>
        <w:t>，在</w:t>
      </w:r>
      <w:r>
        <w:rPr>
          <w:rFonts w:ascii="Arial" w:hAnsi="Arial" w:eastAsia="Arial"/>
          <w:sz w:val="24"/>
        </w:rPr>
        <w:t>“</w:t>
      </w:r>
      <w:r>
        <w:rPr>
          <w:sz w:val="24"/>
        </w:rPr>
        <w:t>磋商产品技术参数、指标</w:t>
      </w:r>
      <w:r>
        <w:rPr>
          <w:rFonts w:ascii="Arial" w:hAnsi="Arial" w:eastAsia="Arial"/>
          <w:sz w:val="24"/>
        </w:rPr>
        <w:t>”</w:t>
      </w:r>
      <w:r>
        <w:rPr>
          <w:spacing w:val="-3"/>
          <w:sz w:val="24"/>
        </w:rPr>
        <w:t>栏中列出所</w:t>
      </w:r>
      <w:r>
        <w:rPr>
          <w:spacing w:val="-1"/>
          <w:sz w:val="24"/>
        </w:rPr>
        <w:t>投产品的具体技术参数、指标；以采购人需求为最低指标要求，供应商对超出或不满足最</w:t>
      </w:r>
      <w:r>
        <w:rPr>
          <w:sz w:val="24"/>
        </w:rPr>
        <w:t>低指标要求的指标需列出</w:t>
      </w:r>
      <w:r>
        <w:rPr>
          <w:rFonts w:ascii="Arial" w:hAnsi="Arial" w:eastAsia="Arial"/>
          <w:sz w:val="24"/>
        </w:rPr>
        <w:t>“</w:t>
      </w:r>
      <w:r>
        <w:rPr>
          <w:sz w:val="24"/>
        </w:rPr>
        <w:t>＋、</w:t>
      </w:r>
      <w:r>
        <w:rPr>
          <w:rFonts w:ascii="Arial" w:hAnsi="Arial" w:eastAsia="Arial"/>
          <w:sz w:val="24"/>
        </w:rPr>
        <w:t>-”</w:t>
      </w:r>
      <w:r>
        <w:rPr>
          <w:spacing w:val="-1"/>
          <w:sz w:val="24"/>
        </w:rPr>
        <w:t>偏差。如果与磋商响应文件中提供的产品检测报告、彩页</w:t>
      </w:r>
      <w:r>
        <w:rPr>
          <w:sz w:val="24"/>
        </w:rPr>
        <w:t>等证明材料中的实质性响应情况不一致或直接复制磋商文件</w:t>
      </w:r>
      <w:r>
        <w:rPr>
          <w:rFonts w:ascii="Arial" w:hAnsi="Arial" w:eastAsia="Arial"/>
          <w:sz w:val="24"/>
        </w:rPr>
        <w:t>“</w:t>
      </w:r>
      <w:r>
        <w:rPr>
          <w:spacing w:val="-11"/>
          <w:sz w:val="24"/>
        </w:rPr>
        <w:t>采购需求技术参数、指标</w:t>
      </w:r>
      <w:r>
        <w:rPr>
          <w:rFonts w:ascii="Arial" w:hAnsi="Arial" w:eastAsia="Arial"/>
          <w:sz w:val="24"/>
        </w:rPr>
        <w:t>”</w:t>
      </w:r>
      <w:r>
        <w:rPr>
          <w:spacing w:val="-7"/>
          <w:sz w:val="24"/>
        </w:rPr>
        <w:t>内容</w:t>
      </w:r>
      <w:r>
        <w:rPr>
          <w:sz w:val="24"/>
        </w:rPr>
        <w:t>的，按无效投标处理。</w:t>
      </w:r>
    </w:p>
    <w:p>
      <w:pPr>
        <w:pStyle w:val="13"/>
        <w:numPr>
          <w:ilvl w:val="1"/>
          <w:numId w:val="42"/>
        </w:numPr>
        <w:tabs>
          <w:tab w:val="left" w:pos="1445"/>
        </w:tabs>
        <w:spacing w:before="0" w:after="0" w:line="364" w:lineRule="auto"/>
        <w:ind w:left="508" w:right="522" w:firstLine="480"/>
        <w:jc w:val="both"/>
        <w:rPr>
          <w:sz w:val="24"/>
        </w:rPr>
      </w:pPr>
      <w:r>
        <w:rPr>
          <w:spacing w:val="-1"/>
          <w:sz w:val="24"/>
        </w:rPr>
        <w:t>磋商内容中未特别标注为</w:t>
      </w:r>
      <w:r>
        <w:rPr>
          <w:rFonts w:ascii="Arial" w:hAnsi="Arial" w:eastAsia="Arial"/>
          <w:sz w:val="24"/>
        </w:rPr>
        <w:t>“</w:t>
      </w:r>
      <w:r>
        <w:rPr>
          <w:sz w:val="24"/>
        </w:rPr>
        <w:t>原装进口</w:t>
      </w:r>
      <w:r>
        <w:rPr>
          <w:rFonts w:ascii="Arial" w:hAnsi="Arial" w:eastAsia="Arial"/>
          <w:sz w:val="24"/>
        </w:rPr>
        <w:t>”</w:t>
      </w:r>
      <w:r>
        <w:rPr>
          <w:spacing w:val="-10"/>
          <w:sz w:val="24"/>
        </w:rPr>
        <w:t>字样的产品，供应商必须投国产产品；标注为</w:t>
      </w:r>
      <w:r>
        <w:rPr>
          <w:rFonts w:ascii="Arial" w:hAnsi="Arial" w:eastAsia="Arial"/>
          <w:sz w:val="24"/>
        </w:rPr>
        <w:t>“</w:t>
      </w:r>
      <w:r>
        <w:rPr>
          <w:sz w:val="24"/>
        </w:rPr>
        <w:t>原装进口</w:t>
      </w:r>
      <w:r>
        <w:rPr>
          <w:rFonts w:ascii="Arial" w:hAnsi="Arial" w:eastAsia="Arial"/>
          <w:sz w:val="24"/>
        </w:rPr>
        <w:t>”</w:t>
      </w:r>
      <w:r>
        <w:rPr>
          <w:spacing w:val="-10"/>
          <w:sz w:val="24"/>
        </w:rPr>
        <w:t>字样的产品，供应商可以投进口产品，但如果因信息不对称等原因，仍有满足采</w:t>
      </w:r>
      <w:r>
        <w:rPr>
          <w:spacing w:val="-1"/>
          <w:sz w:val="24"/>
        </w:rPr>
        <w:t>购需求的国内产品要求参与采购竞争的，可以投国产产品，并且按照公平竞争原则实施采</w:t>
      </w:r>
      <w:r>
        <w:rPr>
          <w:sz w:val="24"/>
        </w:rPr>
        <w:t>购。</w:t>
      </w:r>
    </w:p>
    <w:p>
      <w:pPr>
        <w:pStyle w:val="13"/>
        <w:numPr>
          <w:ilvl w:val="1"/>
          <w:numId w:val="42"/>
        </w:numPr>
        <w:tabs>
          <w:tab w:val="left" w:pos="1325"/>
        </w:tabs>
        <w:spacing w:before="0" w:after="0" w:line="302" w:lineRule="exact"/>
        <w:ind w:left="1324" w:right="0" w:hanging="337"/>
        <w:jc w:val="left"/>
        <w:rPr>
          <w:sz w:val="24"/>
        </w:rPr>
      </w:pPr>
      <w:r>
        <w:rPr>
          <w:spacing w:val="-4"/>
          <w:sz w:val="24"/>
        </w:rPr>
        <w:t>所投产品或其任何一部分不得侵犯专利权、著作权、商标权和工业设计权等知识产</w:t>
      </w:r>
    </w:p>
    <w:p>
      <w:pPr>
        <w:pStyle w:val="2"/>
        <w:spacing w:before="160"/>
        <w:ind w:left="508"/>
      </w:pPr>
      <w:r>
        <w:t>权。</w:t>
      </w:r>
    </w:p>
    <w:p>
      <w:pPr>
        <w:pStyle w:val="13"/>
        <w:numPr>
          <w:ilvl w:val="1"/>
          <w:numId w:val="42"/>
        </w:numPr>
        <w:tabs>
          <w:tab w:val="left" w:pos="1445"/>
        </w:tabs>
        <w:spacing w:before="158" w:after="0" w:line="240" w:lineRule="auto"/>
        <w:ind w:left="1444" w:right="0" w:hanging="457"/>
        <w:jc w:val="left"/>
        <w:rPr>
          <w:sz w:val="24"/>
        </w:rPr>
      </w:pPr>
      <w:r>
        <w:rPr>
          <w:spacing w:val="-1"/>
          <w:sz w:val="24"/>
        </w:rPr>
        <w:t>项目中标后分包情况：不允许。</w:t>
      </w:r>
    </w:p>
    <w:p>
      <w:pPr>
        <w:pStyle w:val="13"/>
        <w:numPr>
          <w:ilvl w:val="0"/>
          <w:numId w:val="42"/>
        </w:numPr>
        <w:tabs>
          <w:tab w:val="left" w:pos="1193"/>
        </w:tabs>
        <w:spacing w:before="161" w:after="0" w:line="240" w:lineRule="auto"/>
        <w:ind w:left="1192" w:right="0" w:hanging="203"/>
        <w:jc w:val="left"/>
        <w:rPr>
          <w:b/>
          <w:sz w:val="24"/>
        </w:rPr>
      </w:pPr>
      <w:r>
        <w:rPr>
          <w:b/>
          <w:sz w:val="24"/>
        </w:rPr>
        <w:t>重要指标</w:t>
      </w:r>
    </w:p>
    <w:p>
      <w:pPr>
        <w:pStyle w:val="13"/>
        <w:numPr>
          <w:ilvl w:val="1"/>
          <w:numId w:val="42"/>
        </w:numPr>
        <w:tabs>
          <w:tab w:val="left" w:pos="1447"/>
        </w:tabs>
        <w:spacing w:before="158" w:after="0" w:line="240" w:lineRule="auto"/>
        <w:ind w:left="1446" w:right="0" w:hanging="459"/>
        <w:jc w:val="left"/>
        <w:rPr>
          <w:sz w:val="24"/>
        </w:rPr>
      </w:pPr>
      <w:r>
        <w:rPr>
          <w:sz w:val="24"/>
        </w:rPr>
        <w:t>磋商文件在技术参数中列出了采购人可以接受的最低技术指标，供应商必须对采</w:t>
      </w:r>
    </w:p>
    <w:p>
      <w:pPr>
        <w:pStyle w:val="2"/>
        <w:spacing w:before="161" w:line="362" w:lineRule="auto"/>
        <w:ind w:left="508" w:right="524"/>
        <w:rPr>
          <w:rFonts w:hint="default" w:eastAsia="宋体"/>
          <w:lang w:val="en-US" w:eastAsia="zh-CN"/>
        </w:rPr>
      </w:pPr>
      <w:r>
        <w:t>购一览表中各项产品和指标进行实质性响应。</w:t>
      </w:r>
      <w:r>
        <w:rPr>
          <w:rFonts w:hint="eastAsia"/>
          <w:lang w:eastAsia="zh-CN"/>
        </w:rPr>
        <w:t>采购项目要求及技术参数中标有“</w:t>
      </w:r>
      <w:r>
        <w:rPr>
          <w:rFonts w:hint="eastAsia" w:ascii="宋体" w:hAnsi="宋体" w:eastAsia="宋体" w:cs="宋体"/>
          <w:lang w:eastAsia="zh-CN"/>
        </w:rPr>
        <w:t>★</w:t>
      </w:r>
      <w:r>
        <w:rPr>
          <w:rFonts w:hint="eastAsia"/>
          <w:lang w:eastAsia="zh-CN"/>
        </w:rPr>
        <w:t>”符号的属于重要技术参数、指标，必须完全响应，否则视为无效响应。</w:t>
      </w:r>
    </w:p>
    <w:p>
      <w:pPr>
        <w:pStyle w:val="13"/>
        <w:numPr>
          <w:ilvl w:val="1"/>
          <w:numId w:val="42"/>
        </w:numPr>
        <w:tabs>
          <w:tab w:val="left" w:pos="1325"/>
        </w:tabs>
        <w:spacing w:before="5" w:after="0" w:line="364" w:lineRule="auto"/>
        <w:ind w:left="508" w:right="526" w:firstLine="480"/>
        <w:jc w:val="left"/>
        <w:rPr>
          <w:sz w:val="24"/>
        </w:rPr>
      </w:pPr>
      <w:r>
        <w:rPr>
          <w:spacing w:val="-4"/>
          <w:sz w:val="24"/>
        </w:rPr>
        <w:t>技术参数中除注明签订合同时提供的相关授权、服务承诺等资料以外，其余相关资</w:t>
      </w:r>
      <w:r>
        <w:rPr>
          <w:sz w:val="24"/>
        </w:rPr>
        <w:t>料在磋商时必须附在磋商响应文件中。</w:t>
      </w:r>
    </w:p>
    <w:p>
      <w:pPr>
        <w:pStyle w:val="13"/>
        <w:numPr>
          <w:ilvl w:val="0"/>
          <w:numId w:val="42"/>
        </w:numPr>
        <w:tabs>
          <w:tab w:val="left" w:pos="1193"/>
        </w:tabs>
        <w:spacing w:before="0" w:after="0" w:line="306" w:lineRule="exact"/>
        <w:ind w:left="1192" w:right="0" w:hanging="203"/>
        <w:jc w:val="left"/>
        <w:rPr>
          <w:b/>
          <w:sz w:val="24"/>
        </w:rPr>
      </w:pPr>
      <w:r>
        <w:rPr>
          <w:b/>
          <w:w w:val="95"/>
          <w:sz w:val="24"/>
        </w:rPr>
        <w:t>商务要求</w:t>
      </w:r>
    </w:p>
    <w:p>
      <w:pPr>
        <w:pStyle w:val="13"/>
        <w:numPr>
          <w:ilvl w:val="1"/>
          <w:numId w:val="43"/>
        </w:numPr>
        <w:tabs>
          <w:tab w:val="left" w:pos="1392"/>
        </w:tabs>
        <w:spacing w:before="5" w:after="0" w:line="240" w:lineRule="auto"/>
        <w:ind w:left="1391" w:right="0" w:hanging="404"/>
        <w:jc w:val="left"/>
        <w:rPr>
          <w:spacing w:val="-1"/>
          <w:sz w:val="24"/>
        </w:rPr>
      </w:pPr>
      <w:r>
        <w:rPr>
          <w:spacing w:val="-1"/>
          <w:sz w:val="24"/>
        </w:rPr>
        <w:t>交货时间：</w:t>
      </w:r>
      <w:r>
        <w:rPr>
          <w:rFonts w:hint="eastAsia"/>
          <w:spacing w:val="-1"/>
          <w:sz w:val="24"/>
          <w:lang w:eastAsia="zh-CN"/>
        </w:rPr>
        <w:t>自合同签订后</w:t>
      </w:r>
      <w:r>
        <w:rPr>
          <w:rFonts w:hint="eastAsia"/>
          <w:spacing w:val="-1"/>
          <w:sz w:val="24"/>
          <w:lang w:val="en-US" w:eastAsia="zh-CN"/>
        </w:rPr>
        <w:t>7</w:t>
      </w:r>
      <w:r>
        <w:rPr>
          <w:rFonts w:hint="eastAsia"/>
          <w:spacing w:val="-1"/>
          <w:sz w:val="24"/>
          <w:lang w:eastAsia="zh-CN"/>
        </w:rPr>
        <w:t>个日历天</w:t>
      </w:r>
    </w:p>
    <w:p>
      <w:pPr>
        <w:pStyle w:val="13"/>
        <w:numPr>
          <w:ilvl w:val="1"/>
          <w:numId w:val="43"/>
        </w:numPr>
        <w:tabs>
          <w:tab w:val="left" w:pos="1392"/>
        </w:tabs>
        <w:spacing w:before="5" w:after="0" w:line="240" w:lineRule="auto"/>
        <w:ind w:left="1391" w:right="0" w:hanging="404"/>
        <w:jc w:val="left"/>
        <w:rPr>
          <w:spacing w:val="-1"/>
          <w:sz w:val="24"/>
        </w:rPr>
      </w:pPr>
      <w:r>
        <w:rPr>
          <w:spacing w:val="-1"/>
          <w:sz w:val="24"/>
        </w:rPr>
        <w:t>交货地点：采购人指定地点</w:t>
      </w:r>
    </w:p>
    <w:p>
      <w:pPr>
        <w:pStyle w:val="13"/>
        <w:numPr>
          <w:ilvl w:val="1"/>
          <w:numId w:val="43"/>
        </w:numPr>
        <w:tabs>
          <w:tab w:val="left" w:pos="1392"/>
        </w:tabs>
        <w:spacing w:before="5" w:after="0" w:line="240" w:lineRule="auto"/>
        <w:ind w:left="1391" w:right="0" w:hanging="404"/>
        <w:jc w:val="left"/>
        <w:rPr>
          <w:spacing w:val="-1"/>
          <w:sz w:val="24"/>
        </w:rPr>
      </w:pPr>
      <w:r>
        <w:rPr>
          <w:spacing w:val="-1"/>
          <w:sz w:val="24"/>
        </w:rPr>
        <w:t>付款方式：付款方式：详见“第三部分青海省政府采购项目合同书范本”中“四、付款方式”的规定。</w:t>
      </w:r>
    </w:p>
    <w:p>
      <w:pPr>
        <w:pStyle w:val="13"/>
        <w:numPr>
          <w:ilvl w:val="1"/>
          <w:numId w:val="43"/>
        </w:numPr>
        <w:tabs>
          <w:tab w:val="left" w:pos="1392"/>
        </w:tabs>
        <w:spacing w:before="5" w:after="0" w:line="240" w:lineRule="auto"/>
        <w:ind w:left="1391" w:right="0" w:hanging="404"/>
        <w:jc w:val="left"/>
        <w:rPr>
          <w:spacing w:val="-1"/>
          <w:sz w:val="24"/>
        </w:rPr>
      </w:pPr>
      <w:r>
        <w:rPr>
          <w:spacing w:val="-1"/>
          <w:sz w:val="24"/>
        </w:rPr>
        <w:t>免费质保期：验收合格后一年。</w:t>
      </w:r>
    </w:p>
    <w:p>
      <w:pPr>
        <w:pStyle w:val="13"/>
        <w:numPr>
          <w:ilvl w:val="1"/>
          <w:numId w:val="43"/>
        </w:numPr>
        <w:tabs>
          <w:tab w:val="left" w:pos="1392"/>
        </w:tabs>
        <w:spacing w:before="5" w:after="0" w:line="240" w:lineRule="auto"/>
        <w:ind w:left="1391" w:right="0" w:hanging="404"/>
        <w:jc w:val="left"/>
        <w:rPr>
          <w:rFonts w:hint="default"/>
          <w:spacing w:val="-1"/>
          <w:sz w:val="24"/>
          <w:lang w:val="en-US" w:eastAsia="zh-CN"/>
        </w:rPr>
      </w:pPr>
      <w:r>
        <w:rPr>
          <w:rFonts w:hint="eastAsia"/>
          <w:spacing w:val="-1"/>
          <w:sz w:val="24"/>
          <w:lang w:val="en-US" w:eastAsia="zh-CN"/>
        </w:rPr>
        <w:t>供应商就本项目必须到现场实地考察，综合报价，不另行增加设备及费用</w:t>
      </w:r>
    </w:p>
    <w:p>
      <w:pPr>
        <w:pStyle w:val="13"/>
        <w:numPr>
          <w:ilvl w:val="1"/>
          <w:numId w:val="43"/>
        </w:numPr>
        <w:tabs>
          <w:tab w:val="left" w:pos="1392"/>
        </w:tabs>
        <w:spacing w:before="5" w:after="0" w:line="240" w:lineRule="auto"/>
        <w:ind w:left="1391" w:right="0" w:hanging="404"/>
        <w:jc w:val="left"/>
        <w:rPr>
          <w:rFonts w:hint="default"/>
          <w:spacing w:val="-1"/>
          <w:sz w:val="24"/>
          <w:lang w:val="en-US" w:eastAsia="zh-CN"/>
        </w:rPr>
        <w:sectPr>
          <w:type w:val="continuous"/>
          <w:pgSz w:w="11910" w:h="16840"/>
          <w:pgMar w:top="1580" w:right="720" w:bottom="280" w:left="740" w:header="720" w:footer="720" w:gutter="0"/>
        </w:sectPr>
      </w:pPr>
      <w:r>
        <w:rPr>
          <w:rFonts w:hint="eastAsia"/>
          <w:spacing w:val="-1"/>
          <w:sz w:val="24"/>
          <w:lang w:val="en-US" w:eastAsia="zh-CN"/>
        </w:rPr>
        <w:t>磋商及采购项目要求供应商必须响应并承诺签字盖章</w:t>
      </w:r>
    </w:p>
    <w:p>
      <w:pPr>
        <w:pStyle w:val="15"/>
        <w:jc w:val="center"/>
        <w:rPr>
          <w:rFonts w:hint="eastAsia"/>
          <w:b/>
          <w:bCs/>
          <w:sz w:val="36"/>
          <w:szCs w:val="36"/>
        </w:rPr>
      </w:pPr>
      <w:bookmarkStart w:id="69" w:name="_TOC_250000"/>
      <w:bookmarkEnd w:id="69"/>
      <w:r>
        <w:rPr>
          <w:rFonts w:hint="eastAsia"/>
          <w:b/>
          <w:bCs/>
          <w:sz w:val="36"/>
          <w:szCs w:val="36"/>
          <w:lang w:val="zh-CN"/>
        </w:rPr>
        <w:t>（二）项目概况及</w:t>
      </w:r>
      <w:r>
        <w:rPr>
          <w:rFonts w:hint="eastAsia"/>
          <w:b/>
          <w:bCs/>
          <w:sz w:val="36"/>
          <w:szCs w:val="36"/>
        </w:rPr>
        <w:t>技术参数要求</w:t>
      </w:r>
    </w:p>
    <w:p>
      <w:pPr>
        <w:jc w:val="left"/>
        <w:rPr>
          <w:rFonts w:hint="eastAsia"/>
        </w:rPr>
      </w:pPr>
    </w:p>
    <w:tbl>
      <w:tblPr>
        <w:tblStyle w:val="1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56"/>
        <w:gridCol w:w="523"/>
        <w:gridCol w:w="690"/>
        <w:gridCol w:w="621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05" w:type="dxa"/>
            <w:noWrap w:val="0"/>
            <w:vAlign w:val="center"/>
          </w:tcPr>
          <w:p>
            <w:pPr>
              <w:spacing w:line="24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756" w:type="dxa"/>
            <w:noWrap w:val="0"/>
            <w:vAlign w:val="center"/>
          </w:tcPr>
          <w:p>
            <w:pPr>
              <w:spacing w:line="24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种类</w:t>
            </w:r>
          </w:p>
        </w:tc>
        <w:tc>
          <w:tcPr>
            <w:tcW w:w="523" w:type="dxa"/>
            <w:noWrap w:val="0"/>
            <w:vAlign w:val="center"/>
          </w:tcPr>
          <w:p>
            <w:pPr>
              <w:spacing w:line="24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数量</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i w:val="0"/>
                <w:color w:val="auto"/>
                <w:kern w:val="0"/>
                <w:sz w:val="24"/>
                <w:szCs w:val="24"/>
                <w:u w:val="none"/>
                <w:lang w:val="en-US" w:eastAsia="zh-CN" w:bidi="ar"/>
              </w:rPr>
              <w:t>计量单位</w:t>
            </w:r>
          </w:p>
        </w:tc>
        <w:tc>
          <w:tcPr>
            <w:tcW w:w="6210" w:type="dxa"/>
            <w:noWrap w:val="0"/>
            <w:vAlign w:val="center"/>
          </w:tcPr>
          <w:p>
            <w:pPr>
              <w:spacing w:line="24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参数要求</w:t>
            </w:r>
          </w:p>
        </w:tc>
        <w:tc>
          <w:tcPr>
            <w:tcW w:w="1293" w:type="dxa"/>
            <w:noWrap w:val="0"/>
            <w:vAlign w:val="center"/>
          </w:tcPr>
          <w:p>
            <w:pPr>
              <w:spacing w:line="24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505" w:type="dxa"/>
            <w:noWrap w:val="0"/>
            <w:vAlign w:val="center"/>
          </w:tcPr>
          <w:p>
            <w:pPr>
              <w:spacing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756" w:type="dxa"/>
            <w:noWrap w:val="0"/>
            <w:vAlign w:val="center"/>
          </w:tcPr>
          <w:p>
            <w:pPr>
              <w:pStyle w:val="7"/>
              <w:keepNext w:val="0"/>
              <w:keepLines w:val="0"/>
              <w:widowControl/>
              <w:suppressLineNumbers w:val="0"/>
              <w:spacing w:before="0" w:beforeAutospacing="0" w:after="0" w:afterAutospacing="0"/>
              <w:ind w:left="0" w:right="0" w:firstLine="0"/>
            </w:pPr>
            <w:r>
              <w:t>标志牌</w:t>
            </w:r>
          </w:p>
          <w:p>
            <w:pPr>
              <w:spacing w:line="240" w:lineRule="auto"/>
              <w:jc w:val="center"/>
              <w:rPr>
                <w:rFonts w:hint="eastAsia" w:ascii="宋体" w:hAnsi="宋体" w:eastAsia="宋体" w:cs="宋体"/>
                <w:b w:val="0"/>
                <w:bCs/>
                <w:color w:val="auto"/>
                <w:sz w:val="24"/>
                <w:szCs w:val="24"/>
                <w:lang w:val="en-US" w:eastAsia="zh-CN"/>
              </w:rPr>
            </w:pPr>
          </w:p>
        </w:tc>
        <w:tc>
          <w:tcPr>
            <w:tcW w:w="523" w:type="dxa"/>
            <w:noWrap w:val="0"/>
            <w:vAlign w:val="center"/>
          </w:tcPr>
          <w:p>
            <w:pPr>
              <w:spacing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b w:val="0"/>
                <w:bCs/>
                <w:i w:val="0"/>
                <w:color w:val="auto"/>
                <w:kern w:val="0"/>
                <w:sz w:val="24"/>
                <w:szCs w:val="24"/>
                <w:u w:val="none"/>
                <w:lang w:val="en-US" w:eastAsia="zh-CN" w:bidi="ar"/>
              </w:rPr>
            </w:pPr>
            <w:r>
              <w:rPr>
                <w:rFonts w:hint="eastAsia" w:cs="宋体"/>
                <w:b w:val="0"/>
                <w:bCs/>
                <w:i w:val="0"/>
                <w:color w:val="auto"/>
                <w:kern w:val="0"/>
                <w:sz w:val="24"/>
                <w:szCs w:val="24"/>
                <w:u w:val="none"/>
                <w:lang w:val="en-US" w:eastAsia="zh-CN" w:bidi="ar"/>
              </w:rPr>
              <w:t>套</w:t>
            </w:r>
          </w:p>
        </w:tc>
        <w:tc>
          <w:tcPr>
            <w:tcW w:w="6210" w:type="dxa"/>
            <w:noWrap w:val="0"/>
            <w:vAlign w:val="center"/>
          </w:tcPr>
          <w:p>
            <w:pPr>
              <w:pStyle w:val="7"/>
              <w:keepNext w:val="0"/>
              <w:keepLines w:val="0"/>
              <w:widowControl/>
              <w:suppressLineNumbers w:val="0"/>
              <w:spacing w:before="0" w:beforeAutospacing="0" w:after="0" w:afterAutospacing="0"/>
              <w:ind w:left="0" w:right="0" w:firstLine="0"/>
            </w:pPr>
            <w:r>
              <w:t>1.材料种类、规格:标志牌 2500*5000*3 II类反光膜</w:t>
            </w:r>
          </w:p>
          <w:p>
            <w:pPr>
              <w:pStyle w:val="7"/>
              <w:keepNext w:val="0"/>
              <w:keepLines w:val="0"/>
              <w:widowControl/>
              <w:suppressLineNumbers w:val="0"/>
              <w:spacing w:before="0" w:beforeAutospacing="0" w:after="0" w:afterAutospacing="0"/>
              <w:ind w:left="0" w:right="0" w:firstLine="0"/>
            </w:pPr>
            <w:r>
              <w:t>2.主杆:Φ377*10*8000</w:t>
            </w:r>
          </w:p>
          <w:p>
            <w:pPr>
              <w:pStyle w:val="7"/>
              <w:keepNext w:val="0"/>
              <w:keepLines w:val="0"/>
              <w:widowControl/>
              <w:suppressLineNumbers w:val="0"/>
              <w:spacing w:before="0" w:beforeAutospacing="0" w:after="0" w:afterAutospacing="0"/>
              <w:ind w:left="0" w:right="0" w:firstLine="0"/>
            </w:pPr>
            <w:r>
              <w:t>3.横臂:Φ165*6*6000*2</w:t>
            </w:r>
          </w:p>
          <w:p>
            <w:pPr>
              <w:pStyle w:val="7"/>
              <w:keepNext w:val="0"/>
              <w:keepLines w:val="0"/>
              <w:widowControl/>
              <w:suppressLineNumbers w:val="0"/>
              <w:spacing w:before="0" w:beforeAutospacing="0" w:after="0" w:afterAutospacing="0"/>
              <w:ind w:left="0" w:right="0" w:firstLine="0"/>
            </w:pPr>
            <w:r>
              <w:t>4.横臂法兰:Φ400*20</w:t>
            </w:r>
          </w:p>
          <w:p>
            <w:pPr>
              <w:pStyle w:val="7"/>
              <w:keepNext w:val="0"/>
              <w:keepLines w:val="0"/>
              <w:widowControl/>
              <w:suppressLineNumbers w:val="0"/>
              <w:spacing w:before="0" w:beforeAutospacing="0" w:after="0" w:afterAutospacing="0"/>
              <w:ind w:left="0" w:right="0" w:firstLine="0"/>
            </w:pPr>
            <w:r>
              <w:t>5.底座法兰:1000*1200*20</w:t>
            </w:r>
          </w:p>
          <w:p>
            <w:pPr>
              <w:pStyle w:val="7"/>
              <w:keepNext w:val="0"/>
              <w:keepLines w:val="0"/>
              <w:widowControl/>
              <w:suppressLineNumbers w:val="0"/>
              <w:spacing w:before="0" w:beforeAutospacing="0" w:after="0" w:afterAutospacing="0"/>
              <w:ind w:left="0" w:right="0" w:firstLine="0"/>
            </w:pPr>
            <w:r>
              <w:t>6.定位法兰:1000*1200*10</w:t>
            </w:r>
          </w:p>
          <w:p>
            <w:pPr>
              <w:pStyle w:val="7"/>
              <w:keepNext w:val="0"/>
              <w:keepLines w:val="0"/>
              <w:widowControl/>
              <w:suppressLineNumbers w:val="0"/>
              <w:spacing w:before="0" w:beforeAutospacing="0" w:after="0" w:afterAutospacing="0"/>
              <w:ind w:left="0" w:right="0" w:firstLine="0"/>
            </w:pPr>
            <w:r>
              <w:t>7.地脚螺栓:M30*1500*16根</w:t>
            </w:r>
          </w:p>
          <w:p>
            <w:pPr>
              <w:pStyle w:val="7"/>
              <w:keepNext w:val="0"/>
              <w:keepLines w:val="0"/>
              <w:widowControl/>
              <w:suppressLineNumbers w:val="0"/>
              <w:spacing w:before="0" w:beforeAutospacing="0" w:after="0" w:afterAutospacing="0"/>
              <w:ind w:left="0" w:right="0" w:firstLine="0"/>
            </w:pPr>
            <w:r>
              <w:t>8.标志杆整体热镀锌纯化处理</w:t>
            </w:r>
          </w:p>
          <w:p>
            <w:pPr>
              <w:rPr>
                <w:rFonts w:hint="eastAsia"/>
                <w:lang w:val="zh-CN" w:eastAsia="zh-CN"/>
              </w:rPr>
            </w:pPr>
          </w:p>
        </w:tc>
        <w:tc>
          <w:tcPr>
            <w:tcW w:w="1293" w:type="dxa"/>
            <w:noWrap w:val="0"/>
            <w:vAlign w:val="center"/>
          </w:tcPr>
          <w:p>
            <w:pPr>
              <w:spacing w:line="240" w:lineRule="auto"/>
              <w:jc w:val="center"/>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05" w:type="dxa"/>
            <w:noWrap w:val="0"/>
            <w:vAlign w:val="center"/>
          </w:tcPr>
          <w:p>
            <w:pPr>
              <w:spacing w:line="240" w:lineRule="auto"/>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2</w:t>
            </w:r>
          </w:p>
        </w:tc>
        <w:tc>
          <w:tcPr>
            <w:tcW w:w="756" w:type="dxa"/>
            <w:noWrap w:val="0"/>
            <w:vAlign w:val="center"/>
          </w:tcPr>
          <w:p>
            <w:pPr>
              <w:spacing w:line="240" w:lineRule="auto"/>
              <w:ind w:left="0" w:leftChars="0" w:right="0" w:rightChars="0"/>
              <w:jc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行人通行智能预警设备</w:t>
            </w:r>
          </w:p>
        </w:tc>
        <w:tc>
          <w:tcPr>
            <w:tcW w:w="523" w:type="dxa"/>
            <w:noWrap w:val="0"/>
            <w:vAlign w:val="center"/>
          </w:tcPr>
          <w:p>
            <w:pPr>
              <w:spacing w:line="240" w:lineRule="auto"/>
              <w:ind w:left="0" w:leftChars="0" w:right="0" w:rightChars="0"/>
              <w:jc w:val="center"/>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28</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i w:val="0"/>
                <w:color w:val="auto"/>
                <w:kern w:val="0"/>
                <w:sz w:val="24"/>
                <w:szCs w:val="24"/>
                <w:u w:val="none"/>
                <w:lang w:val="en-US" w:eastAsia="zh-CN" w:bidi="ar"/>
              </w:rPr>
            </w:pPr>
            <w:r>
              <w:rPr>
                <w:rFonts w:hint="eastAsia" w:cs="宋体"/>
                <w:b w:val="0"/>
                <w:bCs/>
                <w:i w:val="0"/>
                <w:color w:val="auto"/>
                <w:kern w:val="0"/>
                <w:sz w:val="24"/>
                <w:szCs w:val="24"/>
                <w:u w:val="none"/>
                <w:lang w:val="en-US" w:eastAsia="zh-CN" w:bidi="ar"/>
              </w:rPr>
              <w:t>套</w:t>
            </w:r>
          </w:p>
        </w:tc>
        <w:tc>
          <w:tcPr>
            <w:tcW w:w="6210" w:type="dxa"/>
            <w:noWrap w:val="0"/>
            <w:vAlign w:val="center"/>
          </w:tcPr>
          <w:p>
            <w:pPr>
              <w:spacing w:line="240" w:lineRule="auto"/>
              <w:ind w:left="0" w:leftChars="0" w:right="0" w:rightChars="0"/>
              <w:jc w:val="center"/>
              <w:rPr>
                <w:rFonts w:hint="eastAsia"/>
                <w:lang w:val="en-US" w:eastAsia="zh-CN"/>
              </w:rPr>
            </w:pPr>
            <w:r>
              <w:rPr>
                <w:rFonts w:hint="eastAsia"/>
                <w:lang w:val="en-US" w:eastAsia="zh-CN"/>
              </w:rPr>
              <w:t>详见以下参数</w:t>
            </w:r>
          </w:p>
        </w:tc>
        <w:tc>
          <w:tcPr>
            <w:tcW w:w="1293" w:type="dxa"/>
            <w:noWrap w:val="0"/>
            <w:vAlign w:val="center"/>
          </w:tcPr>
          <w:p>
            <w:pPr>
              <w:spacing w:line="240" w:lineRule="auto"/>
              <w:ind w:left="0" w:leftChars="0" w:right="0" w:rightChars="0"/>
              <w:jc w:val="center"/>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05" w:type="dxa"/>
            <w:noWrap w:val="0"/>
            <w:vAlign w:val="center"/>
          </w:tcPr>
          <w:p>
            <w:pPr>
              <w:spacing w:line="240" w:lineRule="auto"/>
              <w:ind w:left="0" w:leftChars="0" w:right="0" w:rightChars="0"/>
              <w:jc w:val="center"/>
              <w:rPr>
                <w:rFonts w:hint="default" w:ascii="宋体" w:hAnsi="宋体" w:eastAsia="宋体" w:cs="宋体"/>
                <w:sz w:val="22"/>
                <w:szCs w:val="22"/>
                <w:lang w:val="en-US" w:eastAsia="zh-CN" w:bidi="zh-CN"/>
              </w:rPr>
            </w:pPr>
            <w:r>
              <w:rPr>
                <w:rFonts w:hint="eastAsia" w:cs="宋体"/>
                <w:sz w:val="22"/>
                <w:szCs w:val="22"/>
                <w:lang w:val="en-US" w:eastAsia="zh-CN" w:bidi="zh-CN"/>
              </w:rPr>
              <w:t>3</w:t>
            </w:r>
          </w:p>
        </w:tc>
        <w:tc>
          <w:tcPr>
            <w:tcW w:w="756" w:type="dxa"/>
            <w:noWrap w:val="0"/>
            <w:vAlign w:val="center"/>
          </w:tcPr>
          <w:p>
            <w:pPr>
              <w:pStyle w:val="7"/>
              <w:keepNext w:val="0"/>
              <w:keepLines w:val="0"/>
              <w:widowControl/>
              <w:suppressLineNumbers w:val="0"/>
              <w:spacing w:before="0" w:beforeAutospacing="0" w:after="0" w:afterAutospacing="0"/>
              <w:ind w:left="0" w:right="0" w:firstLine="0"/>
            </w:pPr>
            <w:r>
              <w:rPr>
                <w:rFonts w:hint="eastAsia"/>
                <w:lang w:eastAsia="zh-CN"/>
              </w:rPr>
              <w:t>人行道</w:t>
            </w:r>
            <w:r>
              <w:t>礼让提示牌</w:t>
            </w:r>
          </w:p>
          <w:p>
            <w:pPr>
              <w:spacing w:line="240" w:lineRule="auto"/>
              <w:ind w:left="0" w:leftChars="0" w:right="0" w:rightChars="0"/>
              <w:jc w:val="center"/>
              <w:rPr>
                <w:rFonts w:hint="eastAsia" w:ascii="宋体" w:hAnsi="宋体" w:eastAsia="宋体" w:cs="宋体"/>
                <w:sz w:val="22"/>
                <w:szCs w:val="22"/>
                <w:lang w:val="en-US" w:eastAsia="zh-CN" w:bidi="zh-CN"/>
              </w:rPr>
            </w:pPr>
          </w:p>
        </w:tc>
        <w:tc>
          <w:tcPr>
            <w:tcW w:w="523" w:type="dxa"/>
            <w:noWrap w:val="0"/>
            <w:vAlign w:val="center"/>
          </w:tcPr>
          <w:p>
            <w:pPr>
              <w:spacing w:line="240" w:lineRule="auto"/>
              <w:ind w:left="0" w:leftChars="0" w:right="0" w:rightChars="0"/>
              <w:jc w:val="center"/>
              <w:rPr>
                <w:rFonts w:hint="default" w:cs="宋体"/>
                <w:b w:val="0"/>
                <w:bCs/>
                <w:color w:val="auto"/>
                <w:sz w:val="24"/>
                <w:szCs w:val="24"/>
                <w:lang w:val="en-US" w:eastAsia="zh-CN"/>
              </w:rPr>
            </w:pPr>
            <w:r>
              <w:rPr>
                <w:rFonts w:hint="eastAsia" w:cs="宋体"/>
                <w:b w:val="0"/>
                <w:bCs/>
                <w:color w:val="auto"/>
                <w:sz w:val="24"/>
                <w:szCs w:val="24"/>
                <w:lang w:val="en-US" w:eastAsia="zh-CN"/>
              </w:rPr>
              <w:t>28</w:t>
            </w:r>
          </w:p>
        </w:tc>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宋体"/>
                <w:b w:val="0"/>
                <w:bCs/>
                <w:i w:val="0"/>
                <w:color w:val="auto"/>
                <w:kern w:val="0"/>
                <w:sz w:val="24"/>
                <w:szCs w:val="24"/>
                <w:u w:val="none"/>
                <w:lang w:val="en-US" w:eastAsia="zh-CN" w:bidi="ar"/>
              </w:rPr>
            </w:pPr>
            <w:r>
              <w:rPr>
                <w:rFonts w:hint="eastAsia" w:cs="宋体"/>
                <w:b w:val="0"/>
                <w:bCs/>
                <w:i w:val="0"/>
                <w:color w:val="auto"/>
                <w:kern w:val="0"/>
                <w:sz w:val="24"/>
                <w:szCs w:val="24"/>
                <w:u w:val="none"/>
                <w:lang w:val="en-US" w:eastAsia="zh-CN" w:bidi="ar"/>
              </w:rPr>
              <w:t>套</w:t>
            </w:r>
          </w:p>
        </w:tc>
        <w:tc>
          <w:tcPr>
            <w:tcW w:w="6210" w:type="dxa"/>
            <w:noWrap w:val="0"/>
            <w:vAlign w:val="center"/>
          </w:tcPr>
          <w:p>
            <w:pPr>
              <w:pStyle w:val="7"/>
              <w:keepNext w:val="0"/>
              <w:keepLines w:val="0"/>
              <w:widowControl/>
              <w:suppressLineNumbers w:val="0"/>
              <w:spacing w:before="0" w:beforeAutospacing="0" w:after="0" w:afterAutospacing="0"/>
              <w:ind w:left="0" w:right="0" w:firstLine="0"/>
            </w:pPr>
            <w:r>
              <w:t>1.材料种类、规格:标志牌 800*800*2 II类反光膜</w:t>
            </w:r>
          </w:p>
          <w:p>
            <w:pPr>
              <w:pStyle w:val="7"/>
              <w:keepNext w:val="0"/>
              <w:keepLines w:val="0"/>
              <w:widowControl/>
              <w:suppressLineNumbers w:val="0"/>
              <w:spacing w:before="0" w:beforeAutospacing="0" w:after="0" w:afterAutospacing="0"/>
              <w:ind w:left="0" w:right="0" w:firstLine="0"/>
            </w:pPr>
            <w:r>
              <w:rPr>
                <w:rFonts w:hint="eastAsia"/>
                <w:lang w:val="en-US" w:eastAsia="zh-CN"/>
              </w:rPr>
              <w:t>2</w:t>
            </w:r>
            <w:r>
              <w:t>立柱:Φ89*4*3000</w:t>
            </w:r>
          </w:p>
          <w:p>
            <w:pPr>
              <w:pStyle w:val="7"/>
              <w:keepNext w:val="0"/>
              <w:keepLines w:val="0"/>
              <w:widowControl/>
              <w:suppressLineNumbers w:val="0"/>
              <w:spacing w:before="0" w:beforeAutospacing="0" w:after="0" w:afterAutospacing="0"/>
              <w:ind w:left="0" w:right="0" w:firstLine="0"/>
            </w:pPr>
            <w:r>
              <w:rPr>
                <w:rFonts w:hint="eastAsia"/>
                <w:lang w:val="en-US" w:eastAsia="zh-CN"/>
              </w:rPr>
              <w:t>3</w:t>
            </w:r>
            <w:r>
              <w:t>底座法兰:300*300*16</w:t>
            </w:r>
          </w:p>
          <w:p>
            <w:pPr>
              <w:pStyle w:val="7"/>
              <w:keepNext w:val="0"/>
              <w:keepLines w:val="0"/>
              <w:widowControl/>
              <w:suppressLineNumbers w:val="0"/>
              <w:spacing w:before="0" w:beforeAutospacing="0" w:after="0" w:afterAutospacing="0"/>
              <w:ind w:left="0" w:right="0" w:firstLine="0"/>
            </w:pPr>
            <w:r>
              <w:rPr>
                <w:rFonts w:hint="eastAsia"/>
                <w:lang w:val="en-US" w:eastAsia="zh-CN"/>
              </w:rPr>
              <w:t>4</w:t>
            </w:r>
            <w:r>
              <w:t>定位法兰:300*300*6</w:t>
            </w:r>
          </w:p>
          <w:p>
            <w:pPr>
              <w:pStyle w:val="7"/>
              <w:keepNext w:val="0"/>
              <w:keepLines w:val="0"/>
              <w:widowControl/>
              <w:suppressLineNumbers w:val="0"/>
              <w:spacing w:before="0" w:beforeAutospacing="0" w:after="0" w:afterAutospacing="0"/>
              <w:ind w:left="0" w:right="0" w:firstLine="0"/>
            </w:pPr>
            <w:r>
              <w:rPr>
                <w:rFonts w:hint="eastAsia"/>
                <w:lang w:val="en-US" w:eastAsia="zh-CN"/>
              </w:rPr>
              <w:t>5</w:t>
            </w:r>
            <w:r>
              <w:t>地脚螺栓:M18*1500*4根</w:t>
            </w:r>
          </w:p>
          <w:p>
            <w:pPr>
              <w:pStyle w:val="7"/>
              <w:keepNext w:val="0"/>
              <w:keepLines w:val="0"/>
              <w:widowControl/>
              <w:suppressLineNumbers w:val="0"/>
              <w:spacing w:before="0" w:beforeAutospacing="0" w:after="0" w:afterAutospacing="0"/>
              <w:ind w:left="0" w:right="0" w:firstLine="0"/>
            </w:pPr>
            <w:r>
              <w:rPr>
                <w:rFonts w:hint="eastAsia"/>
                <w:lang w:val="en-US" w:eastAsia="zh-CN"/>
              </w:rPr>
              <w:t>6</w:t>
            </w:r>
            <w:r>
              <w:t>标志杆整体热镀锌纯化处理:</w:t>
            </w:r>
          </w:p>
          <w:p>
            <w:pPr>
              <w:spacing w:line="240" w:lineRule="auto"/>
              <w:ind w:left="0" w:leftChars="0" w:right="0" w:rightChars="0"/>
              <w:jc w:val="center"/>
              <w:rPr>
                <w:rFonts w:hint="eastAsia"/>
                <w:lang w:val="en-US" w:eastAsia="zh-CN"/>
              </w:rPr>
            </w:pPr>
          </w:p>
        </w:tc>
        <w:tc>
          <w:tcPr>
            <w:tcW w:w="1293" w:type="dxa"/>
            <w:noWrap w:val="0"/>
            <w:vAlign w:val="center"/>
          </w:tcPr>
          <w:p>
            <w:pPr>
              <w:spacing w:line="240" w:lineRule="auto"/>
              <w:ind w:left="0" w:leftChars="0" w:right="0" w:rightChars="0"/>
              <w:jc w:val="center"/>
              <w:rPr>
                <w:rFonts w:hint="eastAsia" w:ascii="宋体" w:hAnsi="宋体" w:eastAsia="宋体" w:cs="宋体"/>
                <w:b w:val="0"/>
                <w:bCs/>
                <w:color w:val="auto"/>
                <w:sz w:val="24"/>
                <w:szCs w:val="24"/>
              </w:rPr>
            </w:pPr>
          </w:p>
        </w:tc>
      </w:tr>
    </w:tbl>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行人通行智能预警设备</w:t>
      </w:r>
    </w:p>
    <w:p>
      <w:pPr>
        <w:jc w:val="center"/>
        <w:rPr>
          <w:rFonts w:hint="eastAsia" w:ascii="宋体" w:hAnsi="宋体" w:eastAsia="宋体" w:cs="宋体"/>
          <w:b/>
          <w:bCs/>
          <w:sz w:val="48"/>
          <w:szCs w:val="48"/>
          <w:lang w:val="en-US" w:eastAsia="zh-CN"/>
        </w:rPr>
      </w:pPr>
    </w:p>
    <w:p>
      <w:pPr>
        <w:jc w:val="center"/>
      </w:pPr>
      <w:r>
        <w:drawing>
          <wp:inline distT="0" distB="0" distL="114300" distR="114300">
            <wp:extent cx="2305050" cy="2755900"/>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305050" cy="2755900"/>
                    </a:xfrm>
                    <a:prstGeom prst="rect">
                      <a:avLst/>
                    </a:prstGeom>
                    <a:noFill/>
                    <a:ln>
                      <a:noFill/>
                    </a:ln>
                  </pic:spPr>
                </pic:pic>
              </a:graphicData>
            </a:graphic>
          </wp:inline>
        </w:drawing>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行人通行智能预警设备主要适用于乡道与国道、省道交叉路口，安装在乡道一侧。当设备探测到电动车或行人要穿行经过交叉路口时，自动发出语音提示，提醒骑行者或行人注意观察路口车况，安全通过路口，减少交通事故的发生。</w:t>
      </w:r>
    </w:p>
    <w:p>
      <w:pPr>
        <w:keepNext w:val="0"/>
        <w:keepLines w:val="0"/>
        <w:pageBreakBefore w:val="0"/>
        <w:widowControl w:val="0"/>
        <w:tabs>
          <w:tab w:val="left" w:pos="7290"/>
          <w:tab w:val="left" w:pos="9330"/>
        </w:tabs>
        <w:kinsoku/>
        <w:wordWrap/>
        <w:overflowPunct/>
        <w:topLinePunct w:val="0"/>
        <w:autoSpaceDE/>
        <w:autoSpaceDN/>
        <w:bidi w:val="0"/>
        <w:adjustRightInd/>
        <w:snapToGrid/>
        <w:ind w:firstLine="360" w:firstLineChars="200"/>
        <w:jc w:val="center"/>
        <w:textAlignment w:val="auto"/>
        <w:rPr>
          <w:rFonts w:hint="eastAsia"/>
          <w:sz w:val="18"/>
          <w:szCs w:val="18"/>
          <w:lang w:val="en-US" w:eastAsia="zh-CN"/>
        </w:rPr>
      </w:pPr>
      <w:r>
        <w:rPr>
          <w:rFonts w:hint="eastAsia"/>
          <w:sz w:val="18"/>
          <w:szCs w:val="1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723" w:firstLineChars="200"/>
        <w:jc w:val="center"/>
        <w:textAlignment w:val="auto"/>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---主要参数---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1、箱体尺寸：355*585*275mm</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2、产品尺寸（含太阳能板）：357*230*583mm</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3、产品重量（含太阳能板）：7.4kg</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4、供电方式</w:t>
      </w:r>
      <w:r>
        <w:rPr>
          <w:rFonts w:hint="default" w:ascii="宋体" w:hAnsi="宋体" w:eastAsia="宋体" w:cs="宋体"/>
          <w:b w:val="0"/>
          <w:bCs/>
          <w:sz w:val="28"/>
          <w:szCs w:val="28"/>
          <w:lang w:val="en-US" w:eastAsia="zh-CN"/>
        </w:rPr>
        <w:t>：</w:t>
      </w:r>
      <w:r>
        <w:rPr>
          <w:rFonts w:hint="eastAsia" w:ascii="宋体" w:hAnsi="宋体" w:eastAsia="宋体" w:cs="宋体"/>
          <w:b w:val="0"/>
          <w:bCs/>
          <w:sz w:val="28"/>
          <w:szCs w:val="28"/>
          <w:lang w:val="en-US" w:eastAsia="zh-CN"/>
        </w:rPr>
        <w:t>太阳能供电</w:t>
      </w:r>
      <w:r>
        <w:rPr>
          <w:rFonts w:hint="default" w:ascii="宋体" w:hAnsi="宋体" w:eastAsia="宋体" w:cs="宋体"/>
          <w:b w:val="0"/>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5、太阳能板功率：18V 10W充电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6、警示灯颜色：红蓝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7、警示灯功率：2.4W（红蓝灯珠总功率）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val="0"/>
          <w:color w:val="auto"/>
          <w:sz w:val="28"/>
          <w:szCs w:val="28"/>
          <w:lang w:val="en-US" w:eastAsia="zh-CN"/>
        </w:rPr>
      </w:pPr>
      <w:r>
        <w:rPr>
          <w:rFonts w:hint="eastAsia" w:ascii="宋体" w:hAnsi="宋体"/>
          <w:sz w:val="21"/>
          <w:szCs w:val="21"/>
        </w:rPr>
        <w:t>★</w:t>
      </w:r>
      <w:r>
        <w:rPr>
          <w:rFonts w:hint="eastAsia" w:ascii="宋体" w:hAnsi="宋体" w:eastAsia="宋体" w:cs="宋体"/>
          <w:b/>
          <w:bCs w:val="0"/>
          <w:color w:val="auto"/>
          <w:sz w:val="28"/>
          <w:szCs w:val="28"/>
          <w:lang w:val="en-US" w:eastAsia="zh-CN"/>
        </w:rPr>
        <w:t>8、可视距离：LED 频闪警示灯300米可见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val="0"/>
          <w:sz w:val="28"/>
          <w:szCs w:val="28"/>
          <w:lang w:val="en-US" w:eastAsia="zh-CN"/>
        </w:rPr>
      </w:pPr>
      <w:r>
        <w:rPr>
          <w:rFonts w:hint="eastAsia" w:ascii="宋体" w:hAnsi="宋体"/>
          <w:sz w:val="21"/>
          <w:szCs w:val="21"/>
        </w:rPr>
        <w:t>★</w:t>
      </w:r>
      <w:r>
        <w:rPr>
          <w:rFonts w:hint="eastAsia" w:ascii="宋体" w:hAnsi="宋体" w:eastAsia="宋体" w:cs="宋体"/>
          <w:b/>
          <w:bCs w:val="0"/>
          <w:sz w:val="28"/>
          <w:szCs w:val="28"/>
          <w:lang w:val="en-US" w:eastAsia="zh-CN"/>
        </w:rPr>
        <w:t>9、探测感应方式：微波探测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bCs w:val="0"/>
          <w:sz w:val="28"/>
          <w:szCs w:val="28"/>
          <w:lang w:val="en-US" w:eastAsia="zh-CN"/>
        </w:rPr>
      </w:pPr>
      <w:r>
        <w:rPr>
          <w:rFonts w:hint="eastAsia" w:ascii="宋体" w:hAnsi="宋体"/>
          <w:sz w:val="21"/>
          <w:szCs w:val="21"/>
        </w:rPr>
        <w:t>★</w:t>
      </w:r>
      <w:r>
        <w:rPr>
          <w:rFonts w:hint="eastAsia" w:ascii="宋体" w:hAnsi="宋体" w:eastAsia="宋体" w:cs="宋体"/>
          <w:b/>
          <w:bCs w:val="0"/>
          <w:sz w:val="28"/>
          <w:szCs w:val="28"/>
          <w:lang w:val="en-US" w:eastAsia="zh-CN"/>
        </w:rPr>
        <w:t>10、探测感应距离：10米左右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bCs w:val="0"/>
          <w:color w:val="auto"/>
          <w:sz w:val="28"/>
          <w:szCs w:val="28"/>
          <w:lang w:val="en-US" w:eastAsia="zh-CN"/>
        </w:rPr>
      </w:pPr>
      <w:r>
        <w:rPr>
          <w:rFonts w:hint="eastAsia" w:ascii="宋体" w:hAnsi="宋体"/>
          <w:sz w:val="21"/>
          <w:szCs w:val="21"/>
        </w:rPr>
        <w:t>★</w:t>
      </w:r>
      <w:r>
        <w:rPr>
          <w:rFonts w:hint="eastAsia" w:ascii="宋体" w:hAnsi="宋体" w:eastAsia="宋体" w:cs="宋体"/>
          <w:b/>
          <w:bCs w:val="0"/>
          <w:color w:val="auto"/>
          <w:sz w:val="28"/>
          <w:szCs w:val="28"/>
          <w:lang w:val="en-US" w:eastAsia="zh-CN"/>
        </w:rPr>
        <w:t>11、工作方式：当探测感应到移动物体时，设备自动发出语音提醒,10秒左右后停止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12、喇叭功率：</w:t>
      </w:r>
      <w:r>
        <w:rPr>
          <w:rFonts w:hint="eastAsia" w:ascii="宋体" w:hAnsi="宋体" w:cs="宋体"/>
          <w:b w:val="0"/>
          <w:bCs/>
          <w:color w:val="auto"/>
          <w:sz w:val="28"/>
          <w:szCs w:val="28"/>
          <w:lang w:val="en-US" w:eastAsia="zh-CN"/>
        </w:rPr>
        <w:t>30W</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13、安装方式：固定杆安装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sz w:val="28"/>
          <w:szCs w:val="28"/>
          <w:lang w:val="en-US" w:eastAsia="zh-CN"/>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0" w:name="_Toc376936786"/>
      <w:bookmarkStart w:id="71" w:name="_Toc28078213"/>
      <w:r>
        <w:rPr>
          <w:rFonts w:hint="eastAsia" w:ascii="宋体" w:hAnsi="宋体"/>
          <w:b/>
          <w:bCs/>
          <w:kern w:val="0"/>
          <w:sz w:val="27"/>
          <w:szCs w:val="27"/>
        </w:rPr>
        <w:t>3、重要指标</w:t>
      </w:r>
      <w:bookmarkEnd w:id="70"/>
      <w:bookmarkEnd w:id="71"/>
    </w:p>
    <w:p>
      <w:pPr>
        <w:ind w:firstLine="431" w:firstLineChars="196"/>
        <w:rPr>
          <w:rFonts w:hint="eastAsia" w:ascii="宋体" w:hAnsi="宋体" w:cs="宋体"/>
          <w:kern w:val="0"/>
        </w:rPr>
      </w:pPr>
      <w:r>
        <w:rPr>
          <w:rFonts w:hint="eastAsia" w:ascii="宋体" w:hAnsi="宋体"/>
        </w:rPr>
        <w:t>3.1磋商文件在技术要求中列出了采购人可以接受的最低技术指标，供应商必须对技术参数一览表中各项产品和指标进行实质性响应，所提供的每一项技术指标不能低于所列的各项指标。“技术参数”中用“★”符号标注的属于重要技术参数、指标，必须完全响应</w:t>
      </w:r>
      <w:r>
        <w:rPr>
          <w:rFonts w:hint="eastAsia" w:ascii="宋体" w:hAnsi="宋体"/>
          <w:b/>
          <w:bCs/>
        </w:rPr>
        <w:t>（须提供相关证明材料）</w:t>
      </w:r>
      <w:r>
        <w:rPr>
          <w:rFonts w:hint="eastAsia" w:ascii="宋体" w:hAnsi="宋体"/>
        </w:rPr>
        <w:t>。否则，视为无效投标。</w:t>
      </w:r>
    </w:p>
    <w:p>
      <w:pPr>
        <w:tabs>
          <w:tab w:val="left" w:pos="4215"/>
        </w:tabs>
        <w:jc w:val="center"/>
        <w:rPr>
          <w:rFonts w:hint="eastAsia" w:ascii="宋体" w:hAnsi="宋体"/>
          <w:b/>
          <w:bCs/>
          <w:color w:val="auto"/>
          <w:sz w:val="21"/>
          <w:szCs w:val="21"/>
          <w:lang w:eastAsia="zh-CN"/>
        </w:rPr>
      </w:pPr>
      <w:r>
        <w:rPr>
          <w:rFonts w:hint="eastAsia" w:ascii="宋体" w:hAnsi="宋体"/>
          <w:sz w:val="21"/>
          <w:szCs w:val="21"/>
          <w:lang w:eastAsia="zh-CN"/>
        </w:rPr>
        <w:t xml:space="preserve">               </w:t>
      </w:r>
    </w:p>
    <w:p/>
    <w:sectPr>
      <w:pgSz w:w="11910" w:h="16840"/>
      <w:pgMar w:top="1180" w:right="720" w:bottom="1120" w:left="740" w:header="711" w:footer="92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014400" behindDoc="1" locked="0" layoutInCell="1" allowOverlap="1">
              <wp:simplePos x="0" y="0"/>
              <wp:positionH relativeFrom="page">
                <wp:posOffset>3140710</wp:posOffset>
              </wp:positionH>
              <wp:positionV relativeFrom="page">
                <wp:posOffset>9966325</wp:posOffset>
              </wp:positionV>
              <wp:extent cx="1281430" cy="1962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81430" cy="196215"/>
                      </a:xfrm>
                      <a:prstGeom prst="rect">
                        <a:avLst/>
                      </a:prstGeom>
                      <a:noFill/>
                      <a:ln>
                        <a:noFill/>
                      </a:ln>
                    </wps:spPr>
                    <wps:txbx>
                      <w:txbxContent>
                        <w:p>
                          <w:pPr>
                            <w:pStyle w:val="2"/>
                            <w:spacing w:line="305" w:lineRule="exact"/>
                            <w:ind w:left="20"/>
                          </w:pPr>
                          <w:r>
                            <w:rPr>
                              <w:spacing w:val="-31"/>
                            </w:rPr>
                            <w:t xml:space="preserve">第 </w:t>
                          </w:r>
                          <w:r>
                            <w:fldChar w:fldCharType="begin"/>
                          </w:r>
                          <w:r>
                            <w:rPr>
                              <w:rFonts w:ascii="Arial" w:eastAsia="Arial"/>
                            </w:rPr>
                            <w:instrText xml:space="preserve"> PAGE </w:instrText>
                          </w:r>
                          <w:r>
                            <w:fldChar w:fldCharType="separate"/>
                          </w:r>
                          <w:r>
                            <w:t>10</w:t>
                          </w:r>
                          <w:r>
                            <w:fldChar w:fldCharType="end"/>
                          </w:r>
                          <w:r>
                            <w:rPr>
                              <w:rFonts w:ascii="Arial" w:eastAsia="Arial"/>
                            </w:rPr>
                            <w:t xml:space="preserve"> </w:t>
                          </w:r>
                          <w:r>
                            <w:rPr>
                              <w:spacing w:val="-15"/>
                            </w:rPr>
                            <w:t xml:space="preserve">页，共 </w:t>
                          </w:r>
                          <w:r>
                            <w:rPr>
                              <w:rFonts w:ascii="Arial" w:eastAsia="Arial"/>
                            </w:rPr>
                            <w:t xml:space="preserve">77 </w:t>
                          </w:r>
                          <w:r>
                            <w:t>页</w:t>
                          </w:r>
                        </w:p>
                      </w:txbxContent>
                    </wps:txbx>
                    <wps:bodyPr lIns="0" tIns="0" rIns="0" bIns="0" upright="1"/>
                  </wps:wsp>
                </a:graphicData>
              </a:graphic>
            </wp:anchor>
          </w:drawing>
        </mc:Choice>
        <mc:Fallback>
          <w:pict>
            <v:shape id="_x0000_s1026" o:spid="_x0000_s1026" o:spt="202" type="#_x0000_t202" style="position:absolute;left:0pt;margin-left:247.3pt;margin-top:784.75pt;height:15.45pt;width:100.9pt;mso-position-horizontal-relative:page;mso-position-vertical-relative:page;z-index:-256302080;mso-width-relative:page;mso-height-relative:page;" filled="f" stroked="f" coordsize="21600,21600" o:gfxdata="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8gW+fdoAAAANAQAADwAAAAAA&#10;AAABACAAAAAiAAAAZHJzL2Rvd25yZXYueG1sUEsBAhQAFAAAAAgAh07iQKQ8rpmfAQAAJAMAAA4A&#10;AAAAAAAAAQAgAAAAKQEAAGRycy9lMm9Eb2MueG1sUEsFBgAAAAAGAAYAWQEAADoFAAAAAA==&#10;">
              <v:fill on="f" focussize="0,0"/>
              <v:stroke on="f"/>
              <v:imagedata o:title=""/>
              <o:lock v:ext="edit" aspectratio="f"/>
              <v:textbox inset="0mm,0mm,0mm,0mm">
                <w:txbxContent>
                  <w:p>
                    <w:pPr>
                      <w:pStyle w:val="2"/>
                      <w:spacing w:line="305" w:lineRule="exact"/>
                      <w:ind w:left="20"/>
                    </w:pPr>
                    <w:r>
                      <w:rPr>
                        <w:spacing w:val="-31"/>
                      </w:rPr>
                      <w:t xml:space="preserve">第 </w:t>
                    </w:r>
                    <w:r>
                      <w:fldChar w:fldCharType="begin"/>
                    </w:r>
                    <w:r>
                      <w:rPr>
                        <w:rFonts w:ascii="Arial" w:eastAsia="Arial"/>
                      </w:rPr>
                      <w:instrText xml:space="preserve"> PAGE </w:instrText>
                    </w:r>
                    <w:r>
                      <w:fldChar w:fldCharType="separate"/>
                    </w:r>
                    <w:r>
                      <w:t>10</w:t>
                    </w:r>
                    <w:r>
                      <w:fldChar w:fldCharType="end"/>
                    </w:r>
                    <w:r>
                      <w:rPr>
                        <w:rFonts w:ascii="Arial" w:eastAsia="Arial"/>
                      </w:rPr>
                      <w:t xml:space="preserve"> </w:t>
                    </w:r>
                    <w:r>
                      <w:rPr>
                        <w:spacing w:val="-15"/>
                      </w:rPr>
                      <w:t xml:space="preserve">页，共 </w:t>
                    </w:r>
                    <w:r>
                      <w:rPr>
                        <w:rFonts w:ascii="Arial" w:eastAsia="Arial"/>
                      </w:rPr>
                      <w:t xml:space="preserve">77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013376" behindDoc="1" locked="0" layoutInCell="1" allowOverlap="1">
              <wp:simplePos x="0" y="0"/>
              <wp:positionH relativeFrom="page">
                <wp:posOffset>6181725</wp:posOffset>
              </wp:positionH>
              <wp:positionV relativeFrom="page">
                <wp:posOffset>476885</wp:posOffset>
              </wp:positionV>
              <wp:extent cx="560705" cy="1600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0705" cy="160020"/>
                      </a:xfrm>
                      <a:prstGeom prst="rect">
                        <a:avLst/>
                      </a:prstGeom>
                      <a:noFill/>
                      <a:ln>
                        <a:noFill/>
                      </a:ln>
                    </wps:spPr>
                    <wps:txbx>
                      <w:txbxContent>
                        <w:p>
                          <w:pPr>
                            <w:spacing w:before="0" w:line="251" w:lineRule="exact"/>
                            <w:ind w:left="20" w:right="0" w:firstLine="0"/>
                            <w:jc w:val="left"/>
                            <w:rPr>
                              <w:sz w:val="21"/>
                            </w:rPr>
                          </w:pPr>
                          <w:r>
                            <w:rPr>
                              <w:sz w:val="21"/>
                            </w:rPr>
                            <w:t>磋商文件</w:t>
                          </w:r>
                        </w:p>
                      </w:txbxContent>
                    </wps:txbx>
                    <wps:bodyPr lIns="0" tIns="0" rIns="0" bIns="0" upright="1"/>
                  </wps:wsp>
                </a:graphicData>
              </a:graphic>
            </wp:anchor>
          </w:drawing>
        </mc:Choice>
        <mc:Fallback>
          <w:pict>
            <v:shape id="_x0000_s1026" o:spid="_x0000_s1026" o:spt="202" type="#_x0000_t202" style="position:absolute;left:0pt;margin-left:486.75pt;margin-top:37.55pt;height:12.6pt;width:44.15pt;mso-position-horizontal-relative:page;mso-position-vertical-relative:page;z-index:-256303104;mso-width-relative:page;mso-height-relative:page;" filled="f" stroked="f" coordsize="21600,21600" o:gfxdata="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Ocx2QAAAAsBAAAPAAAAAAAA&#10;AAEAIAAAACIAAABkcnMvZG93bnJldi54bWxQSwECFAAUAAAACACHTuJAwwKmlZ8BAAAjAwAADgAA&#10;AAAAAAABACAAAAAoAQAAZHJzL2Uyb0RvYy54bWxQSwUGAAAAAAYABgBZAQAAOQUAAAAA&#10;">
              <v:fill on="f" focussize="0,0"/>
              <v:stroke on="f"/>
              <v:imagedata o:title=""/>
              <o:lock v:ext="edit" aspectratio="f"/>
              <v:textbox inset="0mm,0mm,0mm,0mm">
                <w:txbxContent>
                  <w:p>
                    <w:pPr>
                      <w:spacing w:before="0" w:line="251" w:lineRule="exact"/>
                      <w:ind w:left="20" w:right="0" w:firstLine="0"/>
                      <w:jc w:val="left"/>
                      <w:rPr>
                        <w:sz w:val="21"/>
                      </w:rPr>
                    </w:pPr>
                    <w:r>
                      <w:rPr>
                        <w:sz w:val="21"/>
                      </w:rPr>
                      <w:t>磋商文件</w:t>
                    </w:r>
                  </w:p>
                </w:txbxContent>
              </v:textbox>
            </v:shape>
          </w:pict>
        </mc:Fallback>
      </mc:AlternateContent>
    </w:r>
    <w:r>
      <mc:AlternateContent>
        <mc:Choice Requires="wps">
          <w:drawing>
            <wp:anchor distT="0" distB="0" distL="114300" distR="114300" simplePos="0" relativeHeight="247012352" behindDoc="1" locked="0" layoutInCell="1" allowOverlap="1">
              <wp:simplePos x="0" y="0"/>
              <wp:positionH relativeFrom="page">
                <wp:posOffset>787400</wp:posOffset>
              </wp:positionH>
              <wp:positionV relativeFrom="page">
                <wp:posOffset>469265</wp:posOffset>
              </wp:positionV>
              <wp:extent cx="3388995"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88995" cy="175260"/>
                      </a:xfrm>
                      <a:prstGeom prst="rect">
                        <a:avLst/>
                      </a:prstGeom>
                      <a:noFill/>
                      <a:ln>
                        <a:noFill/>
                      </a:ln>
                    </wps:spPr>
                    <wps:txbx>
                      <w:txbxContent>
                        <w:p>
                          <w:pPr>
                            <w:spacing w:before="0" w:line="251" w:lineRule="exact"/>
                            <w:ind w:left="20" w:right="0" w:firstLine="0"/>
                            <w:jc w:val="left"/>
                            <w:rPr>
                              <w:rFonts w:hint="eastAsia" w:eastAsia="宋体"/>
                              <w:sz w:val="21"/>
                              <w:lang w:eastAsia="zh-CN"/>
                            </w:rPr>
                          </w:pPr>
                          <w:r>
                            <w:rPr>
                              <w:rFonts w:hint="eastAsia"/>
                              <w:sz w:val="21"/>
                              <w:lang w:eastAsia="zh-CN"/>
                            </w:rPr>
                            <w:t>交通应急项目</w:t>
                          </w:r>
                        </w:p>
                      </w:txbxContent>
                    </wps:txbx>
                    <wps:bodyPr lIns="0" tIns="0" rIns="0" bIns="0" upright="1"/>
                  </wps:wsp>
                </a:graphicData>
              </a:graphic>
            </wp:anchor>
          </w:drawing>
        </mc:Choice>
        <mc:Fallback>
          <w:pict>
            <v:shape id="_x0000_s1026" o:spid="_x0000_s1026" o:spt="202" type="#_x0000_t202" style="position:absolute;left:0pt;margin-left:62pt;margin-top:36.95pt;height:13.8pt;width:266.85pt;mso-position-horizontal-relative:page;mso-position-vertical-relative:page;z-index:-256304128;mso-width-relative:page;mso-height-relative:page;" filled="f" stroked="f" coordsize="21600,21600" o:gfxdata="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KqlbNgAAAAKAQAADwAAAAAA&#10;AAABACAAAAAiAAAAZHJzL2Rvd25yZXYueG1sUEsBAhQAFAAAAAgAh07iQJYS1ZGhAQAAJAMAAA4A&#10;AAAAAAAAAQAgAAAAJwEAAGRycy9lMm9Eb2MueG1sUEsFBgAAAAAGAAYAWQEAADoFAAAAAA==&#10;">
              <v:fill on="f" focussize="0,0"/>
              <v:stroke on="f"/>
              <v:imagedata o:title=""/>
              <o:lock v:ext="edit" aspectratio="f"/>
              <v:textbox inset="0mm,0mm,0mm,0mm">
                <w:txbxContent>
                  <w:p>
                    <w:pPr>
                      <w:spacing w:before="0" w:line="251" w:lineRule="exact"/>
                      <w:ind w:left="20" w:right="0" w:firstLine="0"/>
                      <w:jc w:val="left"/>
                      <w:rPr>
                        <w:rFonts w:hint="eastAsia" w:eastAsia="宋体"/>
                        <w:sz w:val="21"/>
                        <w:lang w:eastAsia="zh-CN"/>
                      </w:rPr>
                    </w:pPr>
                    <w:r>
                      <w:rPr>
                        <w:rFonts w:hint="eastAsia"/>
                        <w:sz w:val="21"/>
                        <w:lang w:eastAsia="zh-CN"/>
                      </w:rPr>
                      <w:t>交通应急项目</w:t>
                    </w:r>
                  </w:p>
                </w:txbxContent>
              </v:textbox>
            </v:shape>
          </w:pict>
        </mc:Fallback>
      </mc:AlternateContent>
    </w:r>
    <w:r>
      <mc:AlternateContent>
        <mc:Choice Requires="wps">
          <w:drawing>
            <wp:anchor distT="0" distB="0" distL="114300" distR="114300" simplePos="0" relativeHeight="247011328" behindDoc="1" locked="0" layoutInCell="1" allowOverlap="1">
              <wp:simplePos x="0" y="0"/>
              <wp:positionH relativeFrom="page">
                <wp:posOffset>774065</wp:posOffset>
              </wp:positionH>
              <wp:positionV relativeFrom="page">
                <wp:posOffset>621665</wp:posOffset>
              </wp:positionV>
              <wp:extent cx="6014720" cy="0"/>
              <wp:effectExtent l="0" t="0" r="0" b="0"/>
              <wp:wrapNone/>
              <wp:docPr id="1" name="直线 1"/>
              <wp:cNvGraphicFramePr/>
              <a:graphic xmlns:a="http://schemas.openxmlformats.org/drawingml/2006/main">
                <a:graphicData uri="http://schemas.microsoft.com/office/word/2010/wordprocessingShape">
                  <wps:wsp>
                    <wps:cNvCnPr/>
                    <wps:spPr>
                      <a:xfrm>
                        <a:off x="0" y="0"/>
                        <a:ext cx="60147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60.95pt;margin-top:48.95pt;height:0pt;width:473.6pt;mso-position-horizontal-relative:page;mso-position-vertical-relative:page;z-index:-256305152;mso-width-relative:page;mso-height-relative:page;" filled="f" stroked="t" coordsize="21600,21600" o:gfxdata="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Z21c1gAAAAoBAAAPAAAAAAAAAAEAIAAAACIAAABkcnMv&#10;ZG93bnJldi54bWxQSwECFAAUAAAACACHTuJAwJl048wBAACNAwAADgAAAAAAAAABACAAAAAlAQAA&#10;ZHJzL2Uyb0RvYy54bWxQSwUGAAAAAAYABgBZAQAAYw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070"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016" w:hanging="203"/>
      </w:pPr>
      <w:rPr>
        <w:rFonts w:hint="default"/>
        <w:lang w:val="zh-CN" w:eastAsia="zh-CN" w:bidi="zh-CN"/>
      </w:rPr>
    </w:lvl>
    <w:lvl w:ilvl="2" w:tentative="0">
      <w:start w:val="0"/>
      <w:numFmt w:val="bullet"/>
      <w:lvlText w:val="•"/>
      <w:lvlJc w:val="left"/>
      <w:pPr>
        <w:ind w:left="2953" w:hanging="203"/>
      </w:pPr>
      <w:rPr>
        <w:rFonts w:hint="default"/>
        <w:lang w:val="zh-CN" w:eastAsia="zh-CN" w:bidi="zh-CN"/>
      </w:rPr>
    </w:lvl>
    <w:lvl w:ilvl="3" w:tentative="0">
      <w:start w:val="0"/>
      <w:numFmt w:val="bullet"/>
      <w:lvlText w:val="•"/>
      <w:lvlJc w:val="left"/>
      <w:pPr>
        <w:ind w:left="3889" w:hanging="203"/>
      </w:pPr>
      <w:rPr>
        <w:rFonts w:hint="default"/>
        <w:lang w:val="zh-CN" w:eastAsia="zh-CN" w:bidi="zh-CN"/>
      </w:rPr>
    </w:lvl>
    <w:lvl w:ilvl="4" w:tentative="0">
      <w:start w:val="0"/>
      <w:numFmt w:val="bullet"/>
      <w:lvlText w:val="•"/>
      <w:lvlJc w:val="left"/>
      <w:pPr>
        <w:ind w:left="4826" w:hanging="203"/>
      </w:pPr>
      <w:rPr>
        <w:rFonts w:hint="default"/>
        <w:lang w:val="zh-CN" w:eastAsia="zh-CN" w:bidi="zh-CN"/>
      </w:rPr>
    </w:lvl>
    <w:lvl w:ilvl="5" w:tentative="0">
      <w:start w:val="0"/>
      <w:numFmt w:val="bullet"/>
      <w:lvlText w:val="•"/>
      <w:lvlJc w:val="left"/>
      <w:pPr>
        <w:ind w:left="5763" w:hanging="203"/>
      </w:pPr>
      <w:rPr>
        <w:rFonts w:hint="default"/>
        <w:lang w:val="zh-CN" w:eastAsia="zh-CN" w:bidi="zh-CN"/>
      </w:rPr>
    </w:lvl>
    <w:lvl w:ilvl="6" w:tentative="0">
      <w:start w:val="0"/>
      <w:numFmt w:val="bullet"/>
      <w:lvlText w:val="•"/>
      <w:lvlJc w:val="left"/>
      <w:pPr>
        <w:ind w:left="6699" w:hanging="203"/>
      </w:pPr>
      <w:rPr>
        <w:rFonts w:hint="default"/>
        <w:lang w:val="zh-CN" w:eastAsia="zh-CN" w:bidi="zh-CN"/>
      </w:rPr>
    </w:lvl>
    <w:lvl w:ilvl="7" w:tentative="0">
      <w:start w:val="0"/>
      <w:numFmt w:val="bullet"/>
      <w:lvlText w:val="•"/>
      <w:lvlJc w:val="left"/>
      <w:pPr>
        <w:ind w:left="7636" w:hanging="203"/>
      </w:pPr>
      <w:rPr>
        <w:rFonts w:hint="default"/>
        <w:lang w:val="zh-CN" w:eastAsia="zh-CN" w:bidi="zh-CN"/>
      </w:rPr>
    </w:lvl>
    <w:lvl w:ilvl="8" w:tentative="0">
      <w:start w:val="0"/>
      <w:numFmt w:val="bullet"/>
      <w:lvlText w:val="•"/>
      <w:lvlJc w:val="left"/>
      <w:pPr>
        <w:ind w:left="8573" w:hanging="203"/>
      </w:pPr>
      <w:rPr>
        <w:rFonts w:hint="default"/>
        <w:lang w:val="zh-CN" w:eastAsia="zh-CN" w:bidi="zh-CN"/>
      </w:rPr>
    </w:lvl>
  </w:abstractNum>
  <w:abstractNum w:abstractNumId="1">
    <w:nsid w:val="845B5372"/>
    <w:multiLevelType w:val="multilevel"/>
    <w:tmpl w:val="845B5372"/>
    <w:lvl w:ilvl="0" w:tentative="0">
      <w:start w:val="18"/>
      <w:numFmt w:val="decimal"/>
      <w:lvlText w:val="（%1）"/>
      <w:lvlJc w:val="left"/>
      <w:pPr>
        <w:ind w:left="1258" w:hanging="751"/>
        <w:jc w:val="left"/>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2178" w:hanging="751"/>
      </w:pPr>
      <w:rPr>
        <w:rFonts w:hint="default"/>
        <w:lang w:val="zh-CN" w:eastAsia="zh-CN" w:bidi="zh-CN"/>
      </w:rPr>
    </w:lvl>
    <w:lvl w:ilvl="2" w:tentative="0">
      <w:start w:val="0"/>
      <w:numFmt w:val="bullet"/>
      <w:lvlText w:val="•"/>
      <w:lvlJc w:val="left"/>
      <w:pPr>
        <w:ind w:left="3097" w:hanging="751"/>
      </w:pPr>
      <w:rPr>
        <w:rFonts w:hint="default"/>
        <w:lang w:val="zh-CN" w:eastAsia="zh-CN" w:bidi="zh-CN"/>
      </w:rPr>
    </w:lvl>
    <w:lvl w:ilvl="3" w:tentative="0">
      <w:start w:val="0"/>
      <w:numFmt w:val="bullet"/>
      <w:lvlText w:val="•"/>
      <w:lvlJc w:val="left"/>
      <w:pPr>
        <w:ind w:left="4015" w:hanging="751"/>
      </w:pPr>
      <w:rPr>
        <w:rFonts w:hint="default"/>
        <w:lang w:val="zh-CN" w:eastAsia="zh-CN" w:bidi="zh-CN"/>
      </w:rPr>
    </w:lvl>
    <w:lvl w:ilvl="4" w:tentative="0">
      <w:start w:val="0"/>
      <w:numFmt w:val="bullet"/>
      <w:lvlText w:val="•"/>
      <w:lvlJc w:val="left"/>
      <w:pPr>
        <w:ind w:left="4934" w:hanging="751"/>
      </w:pPr>
      <w:rPr>
        <w:rFonts w:hint="default"/>
        <w:lang w:val="zh-CN" w:eastAsia="zh-CN" w:bidi="zh-CN"/>
      </w:rPr>
    </w:lvl>
    <w:lvl w:ilvl="5" w:tentative="0">
      <w:start w:val="0"/>
      <w:numFmt w:val="bullet"/>
      <w:lvlText w:val="•"/>
      <w:lvlJc w:val="left"/>
      <w:pPr>
        <w:ind w:left="5853" w:hanging="751"/>
      </w:pPr>
      <w:rPr>
        <w:rFonts w:hint="default"/>
        <w:lang w:val="zh-CN" w:eastAsia="zh-CN" w:bidi="zh-CN"/>
      </w:rPr>
    </w:lvl>
    <w:lvl w:ilvl="6" w:tentative="0">
      <w:start w:val="0"/>
      <w:numFmt w:val="bullet"/>
      <w:lvlText w:val="•"/>
      <w:lvlJc w:val="left"/>
      <w:pPr>
        <w:ind w:left="6771" w:hanging="751"/>
      </w:pPr>
      <w:rPr>
        <w:rFonts w:hint="default"/>
        <w:lang w:val="zh-CN" w:eastAsia="zh-CN" w:bidi="zh-CN"/>
      </w:rPr>
    </w:lvl>
    <w:lvl w:ilvl="7" w:tentative="0">
      <w:start w:val="0"/>
      <w:numFmt w:val="bullet"/>
      <w:lvlText w:val="•"/>
      <w:lvlJc w:val="left"/>
      <w:pPr>
        <w:ind w:left="7690" w:hanging="751"/>
      </w:pPr>
      <w:rPr>
        <w:rFonts w:hint="default"/>
        <w:lang w:val="zh-CN" w:eastAsia="zh-CN" w:bidi="zh-CN"/>
      </w:rPr>
    </w:lvl>
    <w:lvl w:ilvl="8" w:tentative="0">
      <w:start w:val="0"/>
      <w:numFmt w:val="bullet"/>
      <w:lvlText w:val="•"/>
      <w:lvlJc w:val="left"/>
      <w:pPr>
        <w:ind w:left="8609" w:hanging="75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508" w:hanging="204"/>
        <w:jc w:val="left"/>
      </w:pPr>
      <w:rPr>
        <w:rFonts w:hint="default" w:ascii="Arial" w:hAnsi="Arial" w:eastAsia="Arial" w:cs="Arial"/>
        <w:w w:val="100"/>
        <w:sz w:val="22"/>
        <w:szCs w:val="22"/>
        <w:lang w:val="zh-CN" w:eastAsia="zh-CN" w:bidi="zh-CN"/>
      </w:rPr>
    </w:lvl>
    <w:lvl w:ilvl="1" w:tentative="0">
      <w:start w:val="0"/>
      <w:numFmt w:val="bullet"/>
      <w:lvlText w:val="•"/>
      <w:lvlJc w:val="left"/>
      <w:pPr>
        <w:ind w:left="1494" w:hanging="204"/>
      </w:pPr>
      <w:rPr>
        <w:rFonts w:hint="default"/>
        <w:lang w:val="zh-CN" w:eastAsia="zh-CN" w:bidi="zh-CN"/>
      </w:rPr>
    </w:lvl>
    <w:lvl w:ilvl="2" w:tentative="0">
      <w:start w:val="0"/>
      <w:numFmt w:val="bullet"/>
      <w:lvlText w:val="•"/>
      <w:lvlJc w:val="left"/>
      <w:pPr>
        <w:ind w:left="2489" w:hanging="204"/>
      </w:pPr>
      <w:rPr>
        <w:rFonts w:hint="default"/>
        <w:lang w:val="zh-CN" w:eastAsia="zh-CN" w:bidi="zh-CN"/>
      </w:rPr>
    </w:lvl>
    <w:lvl w:ilvl="3" w:tentative="0">
      <w:start w:val="0"/>
      <w:numFmt w:val="bullet"/>
      <w:lvlText w:val="•"/>
      <w:lvlJc w:val="left"/>
      <w:pPr>
        <w:ind w:left="3483" w:hanging="204"/>
      </w:pPr>
      <w:rPr>
        <w:rFonts w:hint="default"/>
        <w:lang w:val="zh-CN" w:eastAsia="zh-CN" w:bidi="zh-CN"/>
      </w:rPr>
    </w:lvl>
    <w:lvl w:ilvl="4" w:tentative="0">
      <w:start w:val="0"/>
      <w:numFmt w:val="bullet"/>
      <w:lvlText w:val="•"/>
      <w:lvlJc w:val="left"/>
      <w:pPr>
        <w:ind w:left="4478" w:hanging="204"/>
      </w:pPr>
      <w:rPr>
        <w:rFonts w:hint="default"/>
        <w:lang w:val="zh-CN" w:eastAsia="zh-CN" w:bidi="zh-CN"/>
      </w:rPr>
    </w:lvl>
    <w:lvl w:ilvl="5" w:tentative="0">
      <w:start w:val="0"/>
      <w:numFmt w:val="bullet"/>
      <w:lvlText w:val="•"/>
      <w:lvlJc w:val="left"/>
      <w:pPr>
        <w:ind w:left="5473" w:hanging="204"/>
      </w:pPr>
      <w:rPr>
        <w:rFonts w:hint="default"/>
        <w:lang w:val="zh-CN" w:eastAsia="zh-CN" w:bidi="zh-CN"/>
      </w:rPr>
    </w:lvl>
    <w:lvl w:ilvl="6" w:tentative="0">
      <w:start w:val="0"/>
      <w:numFmt w:val="bullet"/>
      <w:lvlText w:val="•"/>
      <w:lvlJc w:val="left"/>
      <w:pPr>
        <w:ind w:left="6467" w:hanging="204"/>
      </w:pPr>
      <w:rPr>
        <w:rFonts w:hint="default"/>
        <w:lang w:val="zh-CN" w:eastAsia="zh-CN" w:bidi="zh-CN"/>
      </w:rPr>
    </w:lvl>
    <w:lvl w:ilvl="7" w:tentative="0">
      <w:start w:val="0"/>
      <w:numFmt w:val="bullet"/>
      <w:lvlText w:val="•"/>
      <w:lvlJc w:val="left"/>
      <w:pPr>
        <w:ind w:left="7462" w:hanging="204"/>
      </w:pPr>
      <w:rPr>
        <w:rFonts w:hint="default"/>
        <w:lang w:val="zh-CN" w:eastAsia="zh-CN" w:bidi="zh-CN"/>
      </w:rPr>
    </w:lvl>
    <w:lvl w:ilvl="8" w:tentative="0">
      <w:start w:val="0"/>
      <w:numFmt w:val="bullet"/>
      <w:lvlText w:val="•"/>
      <w:lvlJc w:val="left"/>
      <w:pPr>
        <w:ind w:left="8457" w:hanging="204"/>
      </w:pPr>
      <w:rPr>
        <w:rFonts w:hint="default"/>
        <w:lang w:val="zh-CN" w:eastAsia="zh-CN" w:bidi="zh-CN"/>
      </w:rPr>
    </w:lvl>
  </w:abstractNum>
  <w:abstractNum w:abstractNumId="3">
    <w:nsid w:val="8CAEB125"/>
    <w:multiLevelType w:val="multilevel"/>
    <w:tmpl w:val="8CAEB125"/>
    <w:lvl w:ilvl="0" w:tentative="0">
      <w:start w:val="3"/>
      <w:numFmt w:val="decimal"/>
      <w:lvlText w:val="%1"/>
      <w:lvlJc w:val="left"/>
      <w:pPr>
        <w:ind w:left="1391" w:hanging="404"/>
        <w:jc w:val="left"/>
      </w:pPr>
      <w:rPr>
        <w:rFonts w:hint="default"/>
        <w:lang w:val="zh-CN" w:eastAsia="zh-CN" w:bidi="zh-CN"/>
      </w:rPr>
    </w:lvl>
    <w:lvl w:ilvl="1" w:tentative="0">
      <w:start w:val="1"/>
      <w:numFmt w:val="decimal"/>
      <w:lvlText w:val="%1.%2."/>
      <w:lvlJc w:val="left"/>
      <w:pPr>
        <w:ind w:left="1391" w:hanging="404"/>
        <w:jc w:val="left"/>
      </w:pPr>
      <w:rPr>
        <w:rFonts w:hint="default" w:ascii="Arial" w:hAnsi="Arial" w:eastAsia="Arial" w:cs="Arial"/>
        <w:w w:val="99"/>
        <w:sz w:val="22"/>
        <w:szCs w:val="22"/>
        <w:lang w:val="zh-CN" w:eastAsia="zh-CN" w:bidi="zh-CN"/>
      </w:rPr>
    </w:lvl>
    <w:lvl w:ilvl="2" w:tentative="0">
      <w:start w:val="0"/>
      <w:numFmt w:val="bullet"/>
      <w:lvlText w:val="•"/>
      <w:lvlJc w:val="left"/>
      <w:pPr>
        <w:ind w:left="3209" w:hanging="404"/>
      </w:pPr>
      <w:rPr>
        <w:rFonts w:hint="default"/>
        <w:lang w:val="zh-CN" w:eastAsia="zh-CN" w:bidi="zh-CN"/>
      </w:rPr>
    </w:lvl>
    <w:lvl w:ilvl="3" w:tentative="0">
      <w:start w:val="0"/>
      <w:numFmt w:val="bullet"/>
      <w:lvlText w:val="•"/>
      <w:lvlJc w:val="left"/>
      <w:pPr>
        <w:ind w:left="4113" w:hanging="404"/>
      </w:pPr>
      <w:rPr>
        <w:rFonts w:hint="default"/>
        <w:lang w:val="zh-CN" w:eastAsia="zh-CN" w:bidi="zh-CN"/>
      </w:rPr>
    </w:lvl>
    <w:lvl w:ilvl="4" w:tentative="0">
      <w:start w:val="0"/>
      <w:numFmt w:val="bullet"/>
      <w:lvlText w:val="•"/>
      <w:lvlJc w:val="left"/>
      <w:pPr>
        <w:ind w:left="5018" w:hanging="404"/>
      </w:pPr>
      <w:rPr>
        <w:rFonts w:hint="default"/>
        <w:lang w:val="zh-CN" w:eastAsia="zh-CN" w:bidi="zh-CN"/>
      </w:rPr>
    </w:lvl>
    <w:lvl w:ilvl="5" w:tentative="0">
      <w:start w:val="0"/>
      <w:numFmt w:val="bullet"/>
      <w:lvlText w:val="•"/>
      <w:lvlJc w:val="left"/>
      <w:pPr>
        <w:ind w:left="5923" w:hanging="404"/>
      </w:pPr>
      <w:rPr>
        <w:rFonts w:hint="default"/>
        <w:lang w:val="zh-CN" w:eastAsia="zh-CN" w:bidi="zh-CN"/>
      </w:rPr>
    </w:lvl>
    <w:lvl w:ilvl="6" w:tentative="0">
      <w:start w:val="0"/>
      <w:numFmt w:val="bullet"/>
      <w:lvlText w:val="•"/>
      <w:lvlJc w:val="left"/>
      <w:pPr>
        <w:ind w:left="6827" w:hanging="404"/>
      </w:pPr>
      <w:rPr>
        <w:rFonts w:hint="default"/>
        <w:lang w:val="zh-CN" w:eastAsia="zh-CN" w:bidi="zh-CN"/>
      </w:rPr>
    </w:lvl>
    <w:lvl w:ilvl="7" w:tentative="0">
      <w:start w:val="0"/>
      <w:numFmt w:val="bullet"/>
      <w:lvlText w:val="•"/>
      <w:lvlJc w:val="left"/>
      <w:pPr>
        <w:ind w:left="7732" w:hanging="404"/>
      </w:pPr>
      <w:rPr>
        <w:rFonts w:hint="default"/>
        <w:lang w:val="zh-CN" w:eastAsia="zh-CN" w:bidi="zh-CN"/>
      </w:rPr>
    </w:lvl>
    <w:lvl w:ilvl="8" w:tentative="0">
      <w:start w:val="0"/>
      <w:numFmt w:val="bullet"/>
      <w:lvlText w:val="•"/>
      <w:lvlJc w:val="left"/>
      <w:pPr>
        <w:ind w:left="8637" w:hanging="404"/>
      </w:pPr>
      <w:rPr>
        <w:rFonts w:hint="default"/>
        <w:lang w:val="zh-CN" w:eastAsia="zh-CN" w:bidi="zh-CN"/>
      </w:rPr>
    </w:lvl>
  </w:abstractNum>
  <w:abstractNum w:abstractNumId="4">
    <w:nsid w:val="91995D4F"/>
    <w:multiLevelType w:val="multilevel"/>
    <w:tmpl w:val="91995D4F"/>
    <w:lvl w:ilvl="0" w:tentative="0">
      <w:start w:val="11"/>
      <w:numFmt w:val="decimal"/>
      <w:lvlText w:val="（%1）"/>
      <w:lvlJc w:val="left"/>
      <w:pPr>
        <w:ind w:left="1258" w:hanging="751"/>
        <w:jc w:val="left"/>
      </w:pPr>
      <w:rPr>
        <w:rFonts w:hint="default" w:ascii="宋体" w:hAnsi="宋体" w:eastAsia="宋体" w:cs="宋体"/>
        <w:b/>
        <w:bCs/>
        <w:spacing w:val="-2"/>
        <w:w w:val="99"/>
        <w:sz w:val="22"/>
        <w:szCs w:val="22"/>
        <w:lang w:val="zh-CN" w:eastAsia="zh-CN" w:bidi="zh-CN"/>
      </w:rPr>
    </w:lvl>
    <w:lvl w:ilvl="1" w:tentative="0">
      <w:start w:val="0"/>
      <w:numFmt w:val="bullet"/>
      <w:lvlText w:val="•"/>
      <w:lvlJc w:val="left"/>
      <w:pPr>
        <w:ind w:left="2178" w:hanging="751"/>
      </w:pPr>
      <w:rPr>
        <w:rFonts w:hint="default"/>
        <w:lang w:val="zh-CN" w:eastAsia="zh-CN" w:bidi="zh-CN"/>
      </w:rPr>
    </w:lvl>
    <w:lvl w:ilvl="2" w:tentative="0">
      <w:start w:val="0"/>
      <w:numFmt w:val="bullet"/>
      <w:lvlText w:val="•"/>
      <w:lvlJc w:val="left"/>
      <w:pPr>
        <w:ind w:left="3097" w:hanging="751"/>
      </w:pPr>
      <w:rPr>
        <w:rFonts w:hint="default"/>
        <w:lang w:val="zh-CN" w:eastAsia="zh-CN" w:bidi="zh-CN"/>
      </w:rPr>
    </w:lvl>
    <w:lvl w:ilvl="3" w:tentative="0">
      <w:start w:val="0"/>
      <w:numFmt w:val="bullet"/>
      <w:lvlText w:val="•"/>
      <w:lvlJc w:val="left"/>
      <w:pPr>
        <w:ind w:left="4015" w:hanging="751"/>
      </w:pPr>
      <w:rPr>
        <w:rFonts w:hint="default"/>
        <w:lang w:val="zh-CN" w:eastAsia="zh-CN" w:bidi="zh-CN"/>
      </w:rPr>
    </w:lvl>
    <w:lvl w:ilvl="4" w:tentative="0">
      <w:start w:val="0"/>
      <w:numFmt w:val="bullet"/>
      <w:lvlText w:val="•"/>
      <w:lvlJc w:val="left"/>
      <w:pPr>
        <w:ind w:left="4934" w:hanging="751"/>
      </w:pPr>
      <w:rPr>
        <w:rFonts w:hint="default"/>
        <w:lang w:val="zh-CN" w:eastAsia="zh-CN" w:bidi="zh-CN"/>
      </w:rPr>
    </w:lvl>
    <w:lvl w:ilvl="5" w:tentative="0">
      <w:start w:val="0"/>
      <w:numFmt w:val="bullet"/>
      <w:lvlText w:val="•"/>
      <w:lvlJc w:val="left"/>
      <w:pPr>
        <w:ind w:left="5853" w:hanging="751"/>
      </w:pPr>
      <w:rPr>
        <w:rFonts w:hint="default"/>
        <w:lang w:val="zh-CN" w:eastAsia="zh-CN" w:bidi="zh-CN"/>
      </w:rPr>
    </w:lvl>
    <w:lvl w:ilvl="6" w:tentative="0">
      <w:start w:val="0"/>
      <w:numFmt w:val="bullet"/>
      <w:lvlText w:val="•"/>
      <w:lvlJc w:val="left"/>
      <w:pPr>
        <w:ind w:left="6771" w:hanging="751"/>
      </w:pPr>
      <w:rPr>
        <w:rFonts w:hint="default"/>
        <w:lang w:val="zh-CN" w:eastAsia="zh-CN" w:bidi="zh-CN"/>
      </w:rPr>
    </w:lvl>
    <w:lvl w:ilvl="7" w:tentative="0">
      <w:start w:val="0"/>
      <w:numFmt w:val="bullet"/>
      <w:lvlText w:val="•"/>
      <w:lvlJc w:val="left"/>
      <w:pPr>
        <w:ind w:left="7690" w:hanging="751"/>
      </w:pPr>
      <w:rPr>
        <w:rFonts w:hint="default"/>
        <w:lang w:val="zh-CN" w:eastAsia="zh-CN" w:bidi="zh-CN"/>
      </w:rPr>
    </w:lvl>
    <w:lvl w:ilvl="8" w:tentative="0">
      <w:start w:val="0"/>
      <w:numFmt w:val="bullet"/>
      <w:lvlText w:val="•"/>
      <w:lvlJc w:val="left"/>
      <w:pPr>
        <w:ind w:left="8609" w:hanging="751"/>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710" w:hanging="203"/>
        <w:jc w:val="left"/>
      </w:pPr>
      <w:rPr>
        <w:rFonts w:hint="default" w:ascii="Arial" w:hAnsi="Arial" w:eastAsia="Arial" w:cs="Arial"/>
        <w:b/>
        <w:bCs/>
        <w:w w:val="99"/>
        <w:sz w:val="22"/>
        <w:szCs w:val="22"/>
        <w:lang w:val="zh-CN" w:eastAsia="zh-CN" w:bidi="zh-CN"/>
      </w:rPr>
    </w:lvl>
    <w:lvl w:ilvl="1" w:tentative="0">
      <w:start w:val="1"/>
      <w:numFmt w:val="decimal"/>
      <w:lvlText w:val="%1.%2"/>
      <w:lvlJc w:val="left"/>
      <w:pPr>
        <w:ind w:left="1324" w:hanging="336"/>
        <w:jc w:val="left"/>
      </w:pPr>
      <w:rPr>
        <w:rFonts w:hint="default" w:ascii="Arial" w:hAnsi="Arial" w:eastAsia="Arial" w:cs="Arial"/>
        <w:w w:val="99"/>
        <w:sz w:val="22"/>
        <w:szCs w:val="22"/>
        <w:lang w:val="zh-CN" w:eastAsia="zh-CN" w:bidi="zh-CN"/>
      </w:rPr>
    </w:lvl>
    <w:lvl w:ilvl="2" w:tentative="0">
      <w:start w:val="0"/>
      <w:numFmt w:val="bullet"/>
      <w:lvlText w:val="•"/>
      <w:lvlJc w:val="left"/>
      <w:pPr>
        <w:ind w:left="1320" w:hanging="336"/>
      </w:pPr>
      <w:rPr>
        <w:rFonts w:hint="default"/>
        <w:lang w:val="zh-CN" w:eastAsia="zh-CN" w:bidi="zh-CN"/>
      </w:rPr>
    </w:lvl>
    <w:lvl w:ilvl="3" w:tentative="0">
      <w:start w:val="0"/>
      <w:numFmt w:val="bullet"/>
      <w:lvlText w:val="•"/>
      <w:lvlJc w:val="left"/>
      <w:pPr>
        <w:ind w:left="1440" w:hanging="336"/>
      </w:pPr>
      <w:rPr>
        <w:rFonts w:hint="default"/>
        <w:lang w:val="zh-CN" w:eastAsia="zh-CN" w:bidi="zh-CN"/>
      </w:rPr>
    </w:lvl>
    <w:lvl w:ilvl="4" w:tentative="0">
      <w:start w:val="0"/>
      <w:numFmt w:val="bullet"/>
      <w:lvlText w:val="•"/>
      <w:lvlJc w:val="left"/>
      <w:pPr>
        <w:ind w:left="1460" w:hanging="336"/>
      </w:pPr>
      <w:rPr>
        <w:rFonts w:hint="default"/>
        <w:lang w:val="zh-CN" w:eastAsia="zh-CN" w:bidi="zh-CN"/>
      </w:rPr>
    </w:lvl>
    <w:lvl w:ilvl="5" w:tentative="0">
      <w:start w:val="0"/>
      <w:numFmt w:val="bullet"/>
      <w:lvlText w:val="•"/>
      <w:lvlJc w:val="left"/>
      <w:pPr>
        <w:ind w:left="2957" w:hanging="336"/>
      </w:pPr>
      <w:rPr>
        <w:rFonts w:hint="default"/>
        <w:lang w:val="zh-CN" w:eastAsia="zh-CN" w:bidi="zh-CN"/>
      </w:rPr>
    </w:lvl>
    <w:lvl w:ilvl="6" w:tentative="0">
      <w:start w:val="0"/>
      <w:numFmt w:val="bullet"/>
      <w:lvlText w:val="•"/>
      <w:lvlJc w:val="left"/>
      <w:pPr>
        <w:ind w:left="4455" w:hanging="336"/>
      </w:pPr>
      <w:rPr>
        <w:rFonts w:hint="default"/>
        <w:lang w:val="zh-CN" w:eastAsia="zh-CN" w:bidi="zh-CN"/>
      </w:rPr>
    </w:lvl>
    <w:lvl w:ilvl="7" w:tentative="0">
      <w:start w:val="0"/>
      <w:numFmt w:val="bullet"/>
      <w:lvlText w:val="•"/>
      <w:lvlJc w:val="left"/>
      <w:pPr>
        <w:ind w:left="5953" w:hanging="336"/>
      </w:pPr>
      <w:rPr>
        <w:rFonts w:hint="default"/>
        <w:lang w:val="zh-CN" w:eastAsia="zh-CN" w:bidi="zh-CN"/>
      </w:rPr>
    </w:lvl>
    <w:lvl w:ilvl="8" w:tentative="0">
      <w:start w:val="0"/>
      <w:numFmt w:val="bullet"/>
      <w:lvlText w:val="•"/>
      <w:lvlJc w:val="left"/>
      <w:pPr>
        <w:ind w:left="7450" w:hanging="336"/>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1190"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124" w:hanging="203"/>
      </w:pPr>
      <w:rPr>
        <w:rFonts w:hint="default"/>
        <w:lang w:val="zh-CN" w:eastAsia="zh-CN" w:bidi="zh-CN"/>
      </w:rPr>
    </w:lvl>
    <w:lvl w:ilvl="2" w:tentative="0">
      <w:start w:val="0"/>
      <w:numFmt w:val="bullet"/>
      <w:lvlText w:val="•"/>
      <w:lvlJc w:val="left"/>
      <w:pPr>
        <w:ind w:left="3049" w:hanging="203"/>
      </w:pPr>
      <w:rPr>
        <w:rFonts w:hint="default"/>
        <w:lang w:val="zh-CN" w:eastAsia="zh-CN" w:bidi="zh-CN"/>
      </w:rPr>
    </w:lvl>
    <w:lvl w:ilvl="3" w:tentative="0">
      <w:start w:val="0"/>
      <w:numFmt w:val="bullet"/>
      <w:lvlText w:val="•"/>
      <w:lvlJc w:val="left"/>
      <w:pPr>
        <w:ind w:left="3973" w:hanging="203"/>
      </w:pPr>
      <w:rPr>
        <w:rFonts w:hint="default"/>
        <w:lang w:val="zh-CN" w:eastAsia="zh-CN" w:bidi="zh-CN"/>
      </w:rPr>
    </w:lvl>
    <w:lvl w:ilvl="4" w:tentative="0">
      <w:start w:val="0"/>
      <w:numFmt w:val="bullet"/>
      <w:lvlText w:val="•"/>
      <w:lvlJc w:val="left"/>
      <w:pPr>
        <w:ind w:left="4898" w:hanging="203"/>
      </w:pPr>
      <w:rPr>
        <w:rFonts w:hint="default"/>
        <w:lang w:val="zh-CN" w:eastAsia="zh-CN" w:bidi="zh-CN"/>
      </w:rPr>
    </w:lvl>
    <w:lvl w:ilvl="5" w:tentative="0">
      <w:start w:val="0"/>
      <w:numFmt w:val="bullet"/>
      <w:lvlText w:val="•"/>
      <w:lvlJc w:val="left"/>
      <w:pPr>
        <w:ind w:left="5823" w:hanging="203"/>
      </w:pPr>
      <w:rPr>
        <w:rFonts w:hint="default"/>
        <w:lang w:val="zh-CN" w:eastAsia="zh-CN" w:bidi="zh-CN"/>
      </w:rPr>
    </w:lvl>
    <w:lvl w:ilvl="6" w:tentative="0">
      <w:start w:val="0"/>
      <w:numFmt w:val="bullet"/>
      <w:lvlText w:val="•"/>
      <w:lvlJc w:val="left"/>
      <w:pPr>
        <w:ind w:left="6747" w:hanging="203"/>
      </w:pPr>
      <w:rPr>
        <w:rFonts w:hint="default"/>
        <w:lang w:val="zh-CN" w:eastAsia="zh-CN" w:bidi="zh-CN"/>
      </w:rPr>
    </w:lvl>
    <w:lvl w:ilvl="7" w:tentative="0">
      <w:start w:val="0"/>
      <w:numFmt w:val="bullet"/>
      <w:lvlText w:val="•"/>
      <w:lvlJc w:val="left"/>
      <w:pPr>
        <w:ind w:left="7672" w:hanging="203"/>
      </w:pPr>
      <w:rPr>
        <w:rFonts w:hint="default"/>
        <w:lang w:val="zh-CN" w:eastAsia="zh-CN" w:bidi="zh-CN"/>
      </w:rPr>
    </w:lvl>
    <w:lvl w:ilvl="8" w:tentative="0">
      <w:start w:val="0"/>
      <w:numFmt w:val="bullet"/>
      <w:lvlText w:val="•"/>
      <w:lvlJc w:val="left"/>
      <w:pPr>
        <w:ind w:left="8597" w:hanging="203"/>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508" w:hanging="616"/>
        <w:jc w:val="left"/>
      </w:pPr>
      <w:rPr>
        <w:rFonts w:hint="default" w:ascii="宋体" w:hAnsi="宋体" w:eastAsia="宋体" w:cs="宋体"/>
        <w:spacing w:val="-20"/>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8">
    <w:nsid w:val="B5E306ED"/>
    <w:multiLevelType w:val="multilevel"/>
    <w:tmpl w:val="B5E306ED"/>
    <w:lvl w:ilvl="0" w:tentative="0">
      <w:start w:val="1"/>
      <w:numFmt w:val="decimal"/>
      <w:lvlText w:val="%1）"/>
      <w:lvlJc w:val="left"/>
      <w:pPr>
        <w:ind w:left="481" w:hanging="376"/>
        <w:jc w:val="left"/>
      </w:pPr>
      <w:rPr>
        <w:rFonts w:hint="default" w:ascii="Arial" w:hAnsi="Arial" w:eastAsia="Arial" w:cs="Arial"/>
        <w:w w:val="99"/>
        <w:sz w:val="22"/>
        <w:szCs w:val="22"/>
        <w:lang w:val="zh-CN" w:eastAsia="zh-CN" w:bidi="zh-CN"/>
      </w:rPr>
    </w:lvl>
    <w:lvl w:ilvl="1" w:tentative="0">
      <w:start w:val="0"/>
      <w:numFmt w:val="bullet"/>
      <w:lvlText w:val="•"/>
      <w:lvlJc w:val="left"/>
      <w:pPr>
        <w:ind w:left="1111" w:hanging="376"/>
      </w:pPr>
      <w:rPr>
        <w:rFonts w:hint="default"/>
        <w:lang w:val="zh-CN" w:eastAsia="zh-CN" w:bidi="zh-CN"/>
      </w:rPr>
    </w:lvl>
    <w:lvl w:ilvl="2" w:tentative="0">
      <w:start w:val="0"/>
      <w:numFmt w:val="bullet"/>
      <w:lvlText w:val="•"/>
      <w:lvlJc w:val="left"/>
      <w:pPr>
        <w:ind w:left="1743" w:hanging="376"/>
      </w:pPr>
      <w:rPr>
        <w:rFonts w:hint="default"/>
        <w:lang w:val="zh-CN" w:eastAsia="zh-CN" w:bidi="zh-CN"/>
      </w:rPr>
    </w:lvl>
    <w:lvl w:ilvl="3" w:tentative="0">
      <w:start w:val="0"/>
      <w:numFmt w:val="bullet"/>
      <w:lvlText w:val="•"/>
      <w:lvlJc w:val="left"/>
      <w:pPr>
        <w:ind w:left="2374" w:hanging="376"/>
      </w:pPr>
      <w:rPr>
        <w:rFonts w:hint="default"/>
        <w:lang w:val="zh-CN" w:eastAsia="zh-CN" w:bidi="zh-CN"/>
      </w:rPr>
    </w:lvl>
    <w:lvl w:ilvl="4" w:tentative="0">
      <w:start w:val="0"/>
      <w:numFmt w:val="bullet"/>
      <w:lvlText w:val="•"/>
      <w:lvlJc w:val="left"/>
      <w:pPr>
        <w:ind w:left="3006" w:hanging="376"/>
      </w:pPr>
      <w:rPr>
        <w:rFonts w:hint="default"/>
        <w:lang w:val="zh-CN" w:eastAsia="zh-CN" w:bidi="zh-CN"/>
      </w:rPr>
    </w:lvl>
    <w:lvl w:ilvl="5" w:tentative="0">
      <w:start w:val="0"/>
      <w:numFmt w:val="bullet"/>
      <w:lvlText w:val="•"/>
      <w:lvlJc w:val="left"/>
      <w:pPr>
        <w:ind w:left="3637" w:hanging="376"/>
      </w:pPr>
      <w:rPr>
        <w:rFonts w:hint="default"/>
        <w:lang w:val="zh-CN" w:eastAsia="zh-CN" w:bidi="zh-CN"/>
      </w:rPr>
    </w:lvl>
    <w:lvl w:ilvl="6" w:tentative="0">
      <w:start w:val="0"/>
      <w:numFmt w:val="bullet"/>
      <w:lvlText w:val="•"/>
      <w:lvlJc w:val="left"/>
      <w:pPr>
        <w:ind w:left="4269" w:hanging="376"/>
      </w:pPr>
      <w:rPr>
        <w:rFonts w:hint="default"/>
        <w:lang w:val="zh-CN" w:eastAsia="zh-CN" w:bidi="zh-CN"/>
      </w:rPr>
    </w:lvl>
    <w:lvl w:ilvl="7" w:tentative="0">
      <w:start w:val="0"/>
      <w:numFmt w:val="bullet"/>
      <w:lvlText w:val="•"/>
      <w:lvlJc w:val="left"/>
      <w:pPr>
        <w:ind w:left="4900" w:hanging="376"/>
      </w:pPr>
      <w:rPr>
        <w:rFonts w:hint="default"/>
        <w:lang w:val="zh-CN" w:eastAsia="zh-CN" w:bidi="zh-CN"/>
      </w:rPr>
    </w:lvl>
    <w:lvl w:ilvl="8" w:tentative="0">
      <w:start w:val="0"/>
      <w:numFmt w:val="bullet"/>
      <w:lvlText w:val="•"/>
      <w:lvlJc w:val="left"/>
      <w:pPr>
        <w:ind w:left="5532" w:hanging="376"/>
      </w:pPr>
      <w:rPr>
        <w:rFonts w:hint="default"/>
        <w:lang w:val="zh-CN" w:eastAsia="zh-CN" w:bidi="zh-CN"/>
      </w:rPr>
    </w:lvl>
  </w:abstractNum>
  <w:abstractNum w:abstractNumId="9">
    <w:nsid w:val="B8CEF35B"/>
    <w:multiLevelType w:val="multilevel"/>
    <w:tmpl w:val="B8CEF35B"/>
    <w:lvl w:ilvl="0" w:tentative="0">
      <w:start w:val="2"/>
      <w:numFmt w:val="decimal"/>
      <w:lvlText w:val="%1."/>
      <w:lvlJc w:val="left"/>
      <w:pPr>
        <w:ind w:left="508" w:hanging="202"/>
        <w:jc w:val="left"/>
      </w:pPr>
      <w:rPr>
        <w:rFonts w:hint="default" w:ascii="Arial" w:hAnsi="Arial" w:eastAsia="Arial" w:cs="Arial"/>
        <w:w w:val="100"/>
        <w:sz w:val="22"/>
        <w:szCs w:val="22"/>
        <w:lang w:val="zh-CN" w:eastAsia="zh-CN" w:bidi="zh-CN"/>
      </w:rPr>
    </w:lvl>
    <w:lvl w:ilvl="1" w:tentative="0">
      <w:start w:val="0"/>
      <w:numFmt w:val="bullet"/>
      <w:lvlText w:val="•"/>
      <w:lvlJc w:val="left"/>
      <w:pPr>
        <w:ind w:left="1494" w:hanging="202"/>
      </w:pPr>
      <w:rPr>
        <w:rFonts w:hint="default"/>
        <w:lang w:val="zh-CN" w:eastAsia="zh-CN" w:bidi="zh-CN"/>
      </w:rPr>
    </w:lvl>
    <w:lvl w:ilvl="2" w:tentative="0">
      <w:start w:val="0"/>
      <w:numFmt w:val="bullet"/>
      <w:lvlText w:val="•"/>
      <w:lvlJc w:val="left"/>
      <w:pPr>
        <w:ind w:left="2489" w:hanging="202"/>
      </w:pPr>
      <w:rPr>
        <w:rFonts w:hint="default"/>
        <w:lang w:val="zh-CN" w:eastAsia="zh-CN" w:bidi="zh-CN"/>
      </w:rPr>
    </w:lvl>
    <w:lvl w:ilvl="3" w:tentative="0">
      <w:start w:val="0"/>
      <w:numFmt w:val="bullet"/>
      <w:lvlText w:val="•"/>
      <w:lvlJc w:val="left"/>
      <w:pPr>
        <w:ind w:left="3483" w:hanging="202"/>
      </w:pPr>
      <w:rPr>
        <w:rFonts w:hint="default"/>
        <w:lang w:val="zh-CN" w:eastAsia="zh-CN" w:bidi="zh-CN"/>
      </w:rPr>
    </w:lvl>
    <w:lvl w:ilvl="4" w:tentative="0">
      <w:start w:val="0"/>
      <w:numFmt w:val="bullet"/>
      <w:lvlText w:val="•"/>
      <w:lvlJc w:val="left"/>
      <w:pPr>
        <w:ind w:left="4478" w:hanging="202"/>
      </w:pPr>
      <w:rPr>
        <w:rFonts w:hint="default"/>
        <w:lang w:val="zh-CN" w:eastAsia="zh-CN" w:bidi="zh-CN"/>
      </w:rPr>
    </w:lvl>
    <w:lvl w:ilvl="5" w:tentative="0">
      <w:start w:val="0"/>
      <w:numFmt w:val="bullet"/>
      <w:lvlText w:val="•"/>
      <w:lvlJc w:val="left"/>
      <w:pPr>
        <w:ind w:left="5473" w:hanging="202"/>
      </w:pPr>
      <w:rPr>
        <w:rFonts w:hint="default"/>
        <w:lang w:val="zh-CN" w:eastAsia="zh-CN" w:bidi="zh-CN"/>
      </w:rPr>
    </w:lvl>
    <w:lvl w:ilvl="6" w:tentative="0">
      <w:start w:val="0"/>
      <w:numFmt w:val="bullet"/>
      <w:lvlText w:val="•"/>
      <w:lvlJc w:val="left"/>
      <w:pPr>
        <w:ind w:left="6467" w:hanging="202"/>
      </w:pPr>
      <w:rPr>
        <w:rFonts w:hint="default"/>
        <w:lang w:val="zh-CN" w:eastAsia="zh-CN" w:bidi="zh-CN"/>
      </w:rPr>
    </w:lvl>
    <w:lvl w:ilvl="7" w:tentative="0">
      <w:start w:val="0"/>
      <w:numFmt w:val="bullet"/>
      <w:lvlText w:val="•"/>
      <w:lvlJc w:val="left"/>
      <w:pPr>
        <w:ind w:left="7462" w:hanging="202"/>
      </w:pPr>
      <w:rPr>
        <w:rFonts w:hint="default"/>
        <w:lang w:val="zh-CN" w:eastAsia="zh-CN" w:bidi="zh-CN"/>
      </w:rPr>
    </w:lvl>
    <w:lvl w:ilvl="8" w:tentative="0">
      <w:start w:val="0"/>
      <w:numFmt w:val="bullet"/>
      <w:lvlText w:val="•"/>
      <w:lvlJc w:val="left"/>
      <w:pPr>
        <w:ind w:left="8457" w:hanging="202"/>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508" w:hanging="616"/>
        <w:jc w:val="left"/>
      </w:pPr>
      <w:rPr>
        <w:rFonts w:hint="default" w:ascii="宋体" w:hAnsi="宋体" w:eastAsia="宋体" w:cs="宋体"/>
        <w:spacing w:val="-17"/>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11">
    <w:nsid w:val="BE923771"/>
    <w:multiLevelType w:val="multilevel"/>
    <w:tmpl w:val="BE923771"/>
    <w:lvl w:ilvl="0" w:tentative="0">
      <w:start w:val="20"/>
      <w:numFmt w:val="decimal"/>
      <w:lvlText w:val="%1"/>
      <w:lvlJc w:val="left"/>
      <w:pPr>
        <w:ind w:left="508" w:hanging="471"/>
        <w:jc w:val="left"/>
      </w:pPr>
      <w:rPr>
        <w:rFonts w:hint="default"/>
        <w:lang w:val="zh-CN" w:eastAsia="zh-CN" w:bidi="zh-CN"/>
      </w:rPr>
    </w:lvl>
    <w:lvl w:ilvl="1" w:tentative="0">
      <w:start w:val="1"/>
      <w:numFmt w:val="decimal"/>
      <w:lvlText w:val="%1.%2"/>
      <w:lvlJc w:val="left"/>
      <w:pPr>
        <w:ind w:left="508" w:hanging="471"/>
        <w:jc w:val="left"/>
      </w:pPr>
      <w:rPr>
        <w:rFonts w:hint="default" w:ascii="Arial" w:hAnsi="Arial" w:eastAsia="Arial" w:cs="Arial"/>
        <w:w w:val="99"/>
        <w:sz w:val="22"/>
        <w:szCs w:val="22"/>
        <w:lang w:val="zh-CN" w:eastAsia="zh-CN" w:bidi="zh-CN"/>
      </w:rPr>
    </w:lvl>
    <w:lvl w:ilvl="2" w:tentative="0">
      <w:start w:val="0"/>
      <w:numFmt w:val="bullet"/>
      <w:lvlText w:val="•"/>
      <w:lvlJc w:val="left"/>
      <w:pPr>
        <w:ind w:left="2489" w:hanging="471"/>
      </w:pPr>
      <w:rPr>
        <w:rFonts w:hint="default"/>
        <w:lang w:val="zh-CN" w:eastAsia="zh-CN" w:bidi="zh-CN"/>
      </w:rPr>
    </w:lvl>
    <w:lvl w:ilvl="3" w:tentative="0">
      <w:start w:val="0"/>
      <w:numFmt w:val="bullet"/>
      <w:lvlText w:val="•"/>
      <w:lvlJc w:val="left"/>
      <w:pPr>
        <w:ind w:left="3483" w:hanging="471"/>
      </w:pPr>
      <w:rPr>
        <w:rFonts w:hint="default"/>
        <w:lang w:val="zh-CN" w:eastAsia="zh-CN" w:bidi="zh-CN"/>
      </w:rPr>
    </w:lvl>
    <w:lvl w:ilvl="4" w:tentative="0">
      <w:start w:val="0"/>
      <w:numFmt w:val="bullet"/>
      <w:lvlText w:val="•"/>
      <w:lvlJc w:val="left"/>
      <w:pPr>
        <w:ind w:left="4478" w:hanging="471"/>
      </w:pPr>
      <w:rPr>
        <w:rFonts w:hint="default"/>
        <w:lang w:val="zh-CN" w:eastAsia="zh-CN" w:bidi="zh-CN"/>
      </w:rPr>
    </w:lvl>
    <w:lvl w:ilvl="5" w:tentative="0">
      <w:start w:val="0"/>
      <w:numFmt w:val="bullet"/>
      <w:lvlText w:val="•"/>
      <w:lvlJc w:val="left"/>
      <w:pPr>
        <w:ind w:left="5473" w:hanging="471"/>
      </w:pPr>
      <w:rPr>
        <w:rFonts w:hint="default"/>
        <w:lang w:val="zh-CN" w:eastAsia="zh-CN" w:bidi="zh-CN"/>
      </w:rPr>
    </w:lvl>
    <w:lvl w:ilvl="6" w:tentative="0">
      <w:start w:val="0"/>
      <w:numFmt w:val="bullet"/>
      <w:lvlText w:val="•"/>
      <w:lvlJc w:val="left"/>
      <w:pPr>
        <w:ind w:left="6467" w:hanging="471"/>
      </w:pPr>
      <w:rPr>
        <w:rFonts w:hint="default"/>
        <w:lang w:val="zh-CN" w:eastAsia="zh-CN" w:bidi="zh-CN"/>
      </w:rPr>
    </w:lvl>
    <w:lvl w:ilvl="7" w:tentative="0">
      <w:start w:val="0"/>
      <w:numFmt w:val="bullet"/>
      <w:lvlText w:val="•"/>
      <w:lvlJc w:val="left"/>
      <w:pPr>
        <w:ind w:left="7462" w:hanging="471"/>
      </w:pPr>
      <w:rPr>
        <w:rFonts w:hint="default"/>
        <w:lang w:val="zh-CN" w:eastAsia="zh-CN" w:bidi="zh-CN"/>
      </w:rPr>
    </w:lvl>
    <w:lvl w:ilvl="8" w:tentative="0">
      <w:start w:val="0"/>
      <w:numFmt w:val="bullet"/>
      <w:lvlText w:val="•"/>
      <w:lvlJc w:val="left"/>
      <w:pPr>
        <w:ind w:left="8457" w:hanging="471"/>
      </w:pPr>
      <w:rPr>
        <w:rFonts w:hint="default"/>
        <w:lang w:val="zh-CN" w:eastAsia="zh-CN" w:bidi="zh-CN"/>
      </w:rPr>
    </w:lvl>
  </w:abstractNum>
  <w:abstractNum w:abstractNumId="12">
    <w:nsid w:val="BF205925"/>
    <w:multiLevelType w:val="multilevel"/>
    <w:tmpl w:val="BF205925"/>
    <w:lvl w:ilvl="0" w:tentative="0">
      <w:start w:val="18"/>
      <w:numFmt w:val="decimal"/>
      <w:lvlText w:val="（%1）"/>
      <w:lvlJc w:val="left"/>
      <w:pPr>
        <w:ind w:left="1263" w:hanging="751"/>
        <w:jc w:val="left"/>
      </w:pPr>
      <w:rPr>
        <w:rFonts w:hint="default" w:ascii="宋体" w:hAnsi="宋体" w:eastAsia="宋体" w:cs="宋体"/>
        <w:spacing w:val="-3"/>
        <w:w w:val="99"/>
        <w:sz w:val="22"/>
        <w:szCs w:val="22"/>
        <w:lang w:val="zh-CN" w:eastAsia="zh-CN" w:bidi="zh-CN"/>
      </w:rPr>
    </w:lvl>
    <w:lvl w:ilvl="1" w:tentative="0">
      <w:start w:val="0"/>
      <w:numFmt w:val="bullet"/>
      <w:lvlText w:val="•"/>
      <w:lvlJc w:val="left"/>
      <w:pPr>
        <w:ind w:left="2178" w:hanging="751"/>
      </w:pPr>
      <w:rPr>
        <w:rFonts w:hint="default"/>
        <w:lang w:val="zh-CN" w:eastAsia="zh-CN" w:bidi="zh-CN"/>
      </w:rPr>
    </w:lvl>
    <w:lvl w:ilvl="2" w:tentative="0">
      <w:start w:val="0"/>
      <w:numFmt w:val="bullet"/>
      <w:lvlText w:val="•"/>
      <w:lvlJc w:val="left"/>
      <w:pPr>
        <w:ind w:left="3097" w:hanging="751"/>
      </w:pPr>
      <w:rPr>
        <w:rFonts w:hint="default"/>
        <w:lang w:val="zh-CN" w:eastAsia="zh-CN" w:bidi="zh-CN"/>
      </w:rPr>
    </w:lvl>
    <w:lvl w:ilvl="3" w:tentative="0">
      <w:start w:val="0"/>
      <w:numFmt w:val="bullet"/>
      <w:lvlText w:val="•"/>
      <w:lvlJc w:val="left"/>
      <w:pPr>
        <w:ind w:left="4015" w:hanging="751"/>
      </w:pPr>
      <w:rPr>
        <w:rFonts w:hint="default"/>
        <w:lang w:val="zh-CN" w:eastAsia="zh-CN" w:bidi="zh-CN"/>
      </w:rPr>
    </w:lvl>
    <w:lvl w:ilvl="4" w:tentative="0">
      <w:start w:val="0"/>
      <w:numFmt w:val="bullet"/>
      <w:lvlText w:val="•"/>
      <w:lvlJc w:val="left"/>
      <w:pPr>
        <w:ind w:left="4934" w:hanging="751"/>
      </w:pPr>
      <w:rPr>
        <w:rFonts w:hint="default"/>
        <w:lang w:val="zh-CN" w:eastAsia="zh-CN" w:bidi="zh-CN"/>
      </w:rPr>
    </w:lvl>
    <w:lvl w:ilvl="5" w:tentative="0">
      <w:start w:val="0"/>
      <w:numFmt w:val="bullet"/>
      <w:lvlText w:val="•"/>
      <w:lvlJc w:val="left"/>
      <w:pPr>
        <w:ind w:left="5853" w:hanging="751"/>
      </w:pPr>
      <w:rPr>
        <w:rFonts w:hint="default"/>
        <w:lang w:val="zh-CN" w:eastAsia="zh-CN" w:bidi="zh-CN"/>
      </w:rPr>
    </w:lvl>
    <w:lvl w:ilvl="6" w:tentative="0">
      <w:start w:val="0"/>
      <w:numFmt w:val="bullet"/>
      <w:lvlText w:val="•"/>
      <w:lvlJc w:val="left"/>
      <w:pPr>
        <w:ind w:left="6771" w:hanging="751"/>
      </w:pPr>
      <w:rPr>
        <w:rFonts w:hint="default"/>
        <w:lang w:val="zh-CN" w:eastAsia="zh-CN" w:bidi="zh-CN"/>
      </w:rPr>
    </w:lvl>
    <w:lvl w:ilvl="7" w:tentative="0">
      <w:start w:val="0"/>
      <w:numFmt w:val="bullet"/>
      <w:lvlText w:val="•"/>
      <w:lvlJc w:val="left"/>
      <w:pPr>
        <w:ind w:left="7690" w:hanging="751"/>
      </w:pPr>
      <w:rPr>
        <w:rFonts w:hint="default"/>
        <w:lang w:val="zh-CN" w:eastAsia="zh-CN" w:bidi="zh-CN"/>
      </w:rPr>
    </w:lvl>
    <w:lvl w:ilvl="8" w:tentative="0">
      <w:start w:val="0"/>
      <w:numFmt w:val="bullet"/>
      <w:lvlText w:val="•"/>
      <w:lvlJc w:val="left"/>
      <w:pPr>
        <w:ind w:left="8609" w:hanging="751"/>
      </w:pPr>
      <w:rPr>
        <w:rFonts w:hint="default"/>
        <w:lang w:val="zh-CN" w:eastAsia="zh-CN" w:bidi="zh-CN"/>
      </w:rPr>
    </w:lvl>
  </w:abstractNum>
  <w:abstractNum w:abstractNumId="13">
    <w:nsid w:val="C8879AEF"/>
    <w:multiLevelType w:val="multilevel"/>
    <w:tmpl w:val="C8879AEF"/>
    <w:lvl w:ilvl="0" w:tentative="0">
      <w:start w:val="1"/>
      <w:numFmt w:val="decimal"/>
      <w:lvlText w:val="（%1）"/>
      <w:lvlJc w:val="left"/>
      <w:pPr>
        <w:ind w:left="508" w:hanging="616"/>
        <w:jc w:val="left"/>
      </w:pPr>
      <w:rPr>
        <w:rFonts w:hint="default" w:ascii="宋体" w:hAnsi="宋体" w:eastAsia="宋体" w:cs="宋体"/>
        <w:spacing w:val="-41"/>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14">
    <w:nsid w:val="CF092B84"/>
    <w:multiLevelType w:val="multilevel"/>
    <w:tmpl w:val="CF092B84"/>
    <w:lvl w:ilvl="0" w:tentative="0">
      <w:start w:val="18"/>
      <w:numFmt w:val="decimal"/>
      <w:lvlText w:val="%1."/>
      <w:lvlJc w:val="left"/>
      <w:pPr>
        <w:ind w:left="849" w:hanging="337"/>
        <w:jc w:val="left"/>
      </w:pPr>
      <w:rPr>
        <w:rFonts w:hint="default" w:ascii="Arial" w:hAnsi="Arial" w:eastAsia="Arial" w:cs="Arial"/>
        <w:w w:val="99"/>
        <w:sz w:val="22"/>
        <w:szCs w:val="22"/>
        <w:lang w:val="zh-CN" w:eastAsia="zh-CN" w:bidi="zh-CN"/>
      </w:rPr>
    </w:lvl>
    <w:lvl w:ilvl="1" w:tentative="0">
      <w:start w:val="0"/>
      <w:numFmt w:val="bullet"/>
      <w:lvlText w:val="•"/>
      <w:lvlJc w:val="left"/>
      <w:pPr>
        <w:ind w:left="1800" w:hanging="337"/>
      </w:pPr>
      <w:rPr>
        <w:rFonts w:hint="default"/>
        <w:lang w:val="zh-CN" w:eastAsia="zh-CN" w:bidi="zh-CN"/>
      </w:rPr>
    </w:lvl>
    <w:lvl w:ilvl="2" w:tentative="0">
      <w:start w:val="0"/>
      <w:numFmt w:val="bullet"/>
      <w:lvlText w:val="•"/>
      <w:lvlJc w:val="left"/>
      <w:pPr>
        <w:ind w:left="2761" w:hanging="337"/>
      </w:pPr>
      <w:rPr>
        <w:rFonts w:hint="default"/>
        <w:lang w:val="zh-CN" w:eastAsia="zh-CN" w:bidi="zh-CN"/>
      </w:rPr>
    </w:lvl>
    <w:lvl w:ilvl="3" w:tentative="0">
      <w:start w:val="0"/>
      <w:numFmt w:val="bullet"/>
      <w:lvlText w:val="•"/>
      <w:lvlJc w:val="left"/>
      <w:pPr>
        <w:ind w:left="3721" w:hanging="337"/>
      </w:pPr>
      <w:rPr>
        <w:rFonts w:hint="default"/>
        <w:lang w:val="zh-CN" w:eastAsia="zh-CN" w:bidi="zh-CN"/>
      </w:rPr>
    </w:lvl>
    <w:lvl w:ilvl="4" w:tentative="0">
      <w:start w:val="0"/>
      <w:numFmt w:val="bullet"/>
      <w:lvlText w:val="•"/>
      <w:lvlJc w:val="left"/>
      <w:pPr>
        <w:ind w:left="4682" w:hanging="337"/>
      </w:pPr>
      <w:rPr>
        <w:rFonts w:hint="default"/>
        <w:lang w:val="zh-CN" w:eastAsia="zh-CN" w:bidi="zh-CN"/>
      </w:rPr>
    </w:lvl>
    <w:lvl w:ilvl="5" w:tentative="0">
      <w:start w:val="0"/>
      <w:numFmt w:val="bullet"/>
      <w:lvlText w:val="•"/>
      <w:lvlJc w:val="left"/>
      <w:pPr>
        <w:ind w:left="5643" w:hanging="337"/>
      </w:pPr>
      <w:rPr>
        <w:rFonts w:hint="default"/>
        <w:lang w:val="zh-CN" w:eastAsia="zh-CN" w:bidi="zh-CN"/>
      </w:rPr>
    </w:lvl>
    <w:lvl w:ilvl="6" w:tentative="0">
      <w:start w:val="0"/>
      <w:numFmt w:val="bullet"/>
      <w:lvlText w:val="•"/>
      <w:lvlJc w:val="left"/>
      <w:pPr>
        <w:ind w:left="6603" w:hanging="337"/>
      </w:pPr>
      <w:rPr>
        <w:rFonts w:hint="default"/>
        <w:lang w:val="zh-CN" w:eastAsia="zh-CN" w:bidi="zh-CN"/>
      </w:rPr>
    </w:lvl>
    <w:lvl w:ilvl="7" w:tentative="0">
      <w:start w:val="0"/>
      <w:numFmt w:val="bullet"/>
      <w:lvlText w:val="•"/>
      <w:lvlJc w:val="left"/>
      <w:pPr>
        <w:ind w:left="7564" w:hanging="337"/>
      </w:pPr>
      <w:rPr>
        <w:rFonts w:hint="default"/>
        <w:lang w:val="zh-CN" w:eastAsia="zh-CN" w:bidi="zh-CN"/>
      </w:rPr>
    </w:lvl>
    <w:lvl w:ilvl="8" w:tentative="0">
      <w:start w:val="0"/>
      <w:numFmt w:val="bullet"/>
      <w:lvlText w:val="•"/>
      <w:lvlJc w:val="left"/>
      <w:pPr>
        <w:ind w:left="8525" w:hanging="337"/>
      </w:pPr>
      <w:rPr>
        <w:rFonts w:hint="default"/>
        <w:lang w:val="zh-CN" w:eastAsia="zh-CN" w:bidi="zh-CN"/>
      </w:rPr>
    </w:lvl>
  </w:abstractNum>
  <w:abstractNum w:abstractNumId="15">
    <w:nsid w:val="D7F9FE59"/>
    <w:multiLevelType w:val="multilevel"/>
    <w:tmpl w:val="D7F9FE59"/>
    <w:lvl w:ilvl="0" w:tentative="0">
      <w:start w:val="1"/>
      <w:numFmt w:val="decimal"/>
      <w:lvlText w:val="（%1）"/>
      <w:lvlJc w:val="left"/>
      <w:pPr>
        <w:ind w:left="508" w:hanging="616"/>
        <w:jc w:val="left"/>
      </w:pPr>
      <w:rPr>
        <w:rFonts w:hint="default" w:ascii="宋体" w:hAnsi="宋体" w:eastAsia="宋体" w:cs="宋体"/>
        <w:spacing w:val="-41"/>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16">
    <w:nsid w:val="DCBA6B53"/>
    <w:multiLevelType w:val="multilevel"/>
    <w:tmpl w:val="DCBA6B53"/>
    <w:lvl w:ilvl="0" w:tentative="0">
      <w:start w:val="17"/>
      <w:numFmt w:val="decimal"/>
      <w:lvlText w:val="%1"/>
      <w:lvlJc w:val="left"/>
      <w:pPr>
        <w:ind w:left="837" w:hanging="330"/>
        <w:jc w:val="left"/>
      </w:pPr>
      <w:rPr>
        <w:rFonts w:hint="default" w:ascii="Arial" w:hAnsi="Arial" w:eastAsia="Arial" w:cs="Arial"/>
        <w:b/>
        <w:bCs/>
        <w:w w:val="99"/>
        <w:sz w:val="24"/>
        <w:szCs w:val="24"/>
        <w:lang w:val="zh-CN" w:eastAsia="zh-CN" w:bidi="zh-CN"/>
      </w:rPr>
    </w:lvl>
    <w:lvl w:ilvl="1" w:tentative="0">
      <w:start w:val="1"/>
      <w:numFmt w:val="decimal"/>
      <w:lvlText w:val="%1.%2"/>
      <w:lvlJc w:val="left"/>
      <w:pPr>
        <w:ind w:left="1578" w:hanging="591"/>
        <w:jc w:val="left"/>
      </w:pPr>
      <w:rPr>
        <w:rFonts w:hint="default" w:ascii="Arial" w:hAnsi="Arial" w:eastAsia="Arial" w:cs="Arial"/>
        <w:spacing w:val="-12"/>
        <w:w w:val="99"/>
        <w:sz w:val="24"/>
        <w:szCs w:val="24"/>
        <w:lang w:val="zh-CN" w:eastAsia="zh-CN" w:bidi="zh-CN"/>
      </w:rPr>
    </w:lvl>
    <w:lvl w:ilvl="2" w:tentative="0">
      <w:start w:val="0"/>
      <w:numFmt w:val="bullet"/>
      <w:lvlText w:val="•"/>
      <w:lvlJc w:val="left"/>
      <w:pPr>
        <w:ind w:left="2565" w:hanging="591"/>
      </w:pPr>
      <w:rPr>
        <w:rFonts w:hint="default"/>
        <w:lang w:val="zh-CN" w:eastAsia="zh-CN" w:bidi="zh-CN"/>
      </w:rPr>
    </w:lvl>
    <w:lvl w:ilvl="3" w:tentative="0">
      <w:start w:val="0"/>
      <w:numFmt w:val="bullet"/>
      <w:lvlText w:val="•"/>
      <w:lvlJc w:val="left"/>
      <w:pPr>
        <w:ind w:left="3550" w:hanging="591"/>
      </w:pPr>
      <w:rPr>
        <w:rFonts w:hint="default"/>
        <w:lang w:val="zh-CN" w:eastAsia="zh-CN" w:bidi="zh-CN"/>
      </w:rPr>
    </w:lvl>
    <w:lvl w:ilvl="4" w:tentative="0">
      <w:start w:val="0"/>
      <w:numFmt w:val="bullet"/>
      <w:lvlText w:val="•"/>
      <w:lvlJc w:val="left"/>
      <w:pPr>
        <w:ind w:left="4535" w:hanging="591"/>
      </w:pPr>
      <w:rPr>
        <w:rFonts w:hint="default"/>
        <w:lang w:val="zh-CN" w:eastAsia="zh-CN" w:bidi="zh-CN"/>
      </w:rPr>
    </w:lvl>
    <w:lvl w:ilvl="5" w:tentative="0">
      <w:start w:val="0"/>
      <w:numFmt w:val="bullet"/>
      <w:lvlText w:val="•"/>
      <w:lvlJc w:val="left"/>
      <w:pPr>
        <w:ind w:left="5520" w:hanging="591"/>
      </w:pPr>
      <w:rPr>
        <w:rFonts w:hint="default"/>
        <w:lang w:val="zh-CN" w:eastAsia="zh-CN" w:bidi="zh-CN"/>
      </w:rPr>
    </w:lvl>
    <w:lvl w:ilvl="6" w:tentative="0">
      <w:start w:val="0"/>
      <w:numFmt w:val="bullet"/>
      <w:lvlText w:val="•"/>
      <w:lvlJc w:val="left"/>
      <w:pPr>
        <w:ind w:left="6505" w:hanging="591"/>
      </w:pPr>
      <w:rPr>
        <w:rFonts w:hint="default"/>
        <w:lang w:val="zh-CN" w:eastAsia="zh-CN" w:bidi="zh-CN"/>
      </w:rPr>
    </w:lvl>
    <w:lvl w:ilvl="7" w:tentative="0">
      <w:start w:val="0"/>
      <w:numFmt w:val="bullet"/>
      <w:lvlText w:val="•"/>
      <w:lvlJc w:val="left"/>
      <w:pPr>
        <w:ind w:left="7490" w:hanging="591"/>
      </w:pPr>
      <w:rPr>
        <w:rFonts w:hint="default"/>
        <w:lang w:val="zh-CN" w:eastAsia="zh-CN" w:bidi="zh-CN"/>
      </w:rPr>
    </w:lvl>
    <w:lvl w:ilvl="8" w:tentative="0">
      <w:start w:val="0"/>
      <w:numFmt w:val="bullet"/>
      <w:lvlText w:val="•"/>
      <w:lvlJc w:val="left"/>
      <w:pPr>
        <w:ind w:left="8476" w:hanging="591"/>
      </w:pPr>
      <w:rPr>
        <w:rFonts w:hint="default"/>
        <w:lang w:val="zh-CN" w:eastAsia="zh-CN" w:bidi="zh-CN"/>
      </w:rPr>
    </w:lvl>
  </w:abstractNum>
  <w:abstractNum w:abstractNumId="17">
    <w:nsid w:val="E093A4B0"/>
    <w:multiLevelType w:val="multilevel"/>
    <w:tmpl w:val="E093A4B0"/>
    <w:lvl w:ilvl="0" w:tentative="0">
      <w:start w:val="1"/>
      <w:numFmt w:val="decimal"/>
      <w:lvlText w:val="（%1）"/>
      <w:lvlJc w:val="left"/>
      <w:pPr>
        <w:ind w:left="1123"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052" w:hanging="616"/>
      </w:pPr>
      <w:rPr>
        <w:rFonts w:hint="default"/>
        <w:lang w:val="zh-CN" w:eastAsia="zh-CN" w:bidi="zh-CN"/>
      </w:rPr>
    </w:lvl>
    <w:lvl w:ilvl="2" w:tentative="0">
      <w:start w:val="0"/>
      <w:numFmt w:val="bullet"/>
      <w:lvlText w:val="•"/>
      <w:lvlJc w:val="left"/>
      <w:pPr>
        <w:ind w:left="2985" w:hanging="616"/>
      </w:pPr>
      <w:rPr>
        <w:rFonts w:hint="default"/>
        <w:lang w:val="zh-CN" w:eastAsia="zh-CN" w:bidi="zh-CN"/>
      </w:rPr>
    </w:lvl>
    <w:lvl w:ilvl="3" w:tentative="0">
      <w:start w:val="0"/>
      <w:numFmt w:val="bullet"/>
      <w:lvlText w:val="•"/>
      <w:lvlJc w:val="left"/>
      <w:pPr>
        <w:ind w:left="3917" w:hanging="616"/>
      </w:pPr>
      <w:rPr>
        <w:rFonts w:hint="default"/>
        <w:lang w:val="zh-CN" w:eastAsia="zh-CN" w:bidi="zh-CN"/>
      </w:rPr>
    </w:lvl>
    <w:lvl w:ilvl="4" w:tentative="0">
      <w:start w:val="0"/>
      <w:numFmt w:val="bullet"/>
      <w:lvlText w:val="•"/>
      <w:lvlJc w:val="left"/>
      <w:pPr>
        <w:ind w:left="4850" w:hanging="616"/>
      </w:pPr>
      <w:rPr>
        <w:rFonts w:hint="default"/>
        <w:lang w:val="zh-CN" w:eastAsia="zh-CN" w:bidi="zh-CN"/>
      </w:rPr>
    </w:lvl>
    <w:lvl w:ilvl="5" w:tentative="0">
      <w:start w:val="0"/>
      <w:numFmt w:val="bullet"/>
      <w:lvlText w:val="•"/>
      <w:lvlJc w:val="left"/>
      <w:pPr>
        <w:ind w:left="5783" w:hanging="616"/>
      </w:pPr>
      <w:rPr>
        <w:rFonts w:hint="default"/>
        <w:lang w:val="zh-CN" w:eastAsia="zh-CN" w:bidi="zh-CN"/>
      </w:rPr>
    </w:lvl>
    <w:lvl w:ilvl="6" w:tentative="0">
      <w:start w:val="0"/>
      <w:numFmt w:val="bullet"/>
      <w:lvlText w:val="•"/>
      <w:lvlJc w:val="left"/>
      <w:pPr>
        <w:ind w:left="6715" w:hanging="616"/>
      </w:pPr>
      <w:rPr>
        <w:rFonts w:hint="default"/>
        <w:lang w:val="zh-CN" w:eastAsia="zh-CN" w:bidi="zh-CN"/>
      </w:rPr>
    </w:lvl>
    <w:lvl w:ilvl="7" w:tentative="0">
      <w:start w:val="0"/>
      <w:numFmt w:val="bullet"/>
      <w:lvlText w:val="•"/>
      <w:lvlJc w:val="left"/>
      <w:pPr>
        <w:ind w:left="7648" w:hanging="616"/>
      </w:pPr>
      <w:rPr>
        <w:rFonts w:hint="default"/>
        <w:lang w:val="zh-CN" w:eastAsia="zh-CN" w:bidi="zh-CN"/>
      </w:rPr>
    </w:lvl>
    <w:lvl w:ilvl="8" w:tentative="0">
      <w:start w:val="0"/>
      <w:numFmt w:val="bullet"/>
      <w:lvlText w:val="•"/>
      <w:lvlJc w:val="left"/>
      <w:pPr>
        <w:ind w:left="8581" w:hanging="616"/>
      </w:pPr>
      <w:rPr>
        <w:rFonts w:hint="default"/>
        <w:lang w:val="zh-CN" w:eastAsia="zh-CN" w:bidi="zh-CN"/>
      </w:rPr>
    </w:lvl>
  </w:abstractNum>
  <w:abstractNum w:abstractNumId="18">
    <w:nsid w:val="F4B5D9F5"/>
    <w:multiLevelType w:val="multilevel"/>
    <w:tmpl w:val="F4B5D9F5"/>
    <w:lvl w:ilvl="0" w:tentative="0">
      <w:start w:val="1"/>
      <w:numFmt w:val="decimal"/>
      <w:lvlText w:val="（%1）"/>
      <w:lvlJc w:val="left"/>
      <w:pPr>
        <w:ind w:left="1603"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484" w:hanging="616"/>
      </w:pPr>
      <w:rPr>
        <w:rFonts w:hint="default"/>
        <w:lang w:val="zh-CN" w:eastAsia="zh-CN" w:bidi="zh-CN"/>
      </w:rPr>
    </w:lvl>
    <w:lvl w:ilvl="2" w:tentative="0">
      <w:start w:val="0"/>
      <w:numFmt w:val="bullet"/>
      <w:lvlText w:val="•"/>
      <w:lvlJc w:val="left"/>
      <w:pPr>
        <w:ind w:left="3369" w:hanging="616"/>
      </w:pPr>
      <w:rPr>
        <w:rFonts w:hint="default"/>
        <w:lang w:val="zh-CN" w:eastAsia="zh-CN" w:bidi="zh-CN"/>
      </w:rPr>
    </w:lvl>
    <w:lvl w:ilvl="3" w:tentative="0">
      <w:start w:val="0"/>
      <w:numFmt w:val="bullet"/>
      <w:lvlText w:val="•"/>
      <w:lvlJc w:val="left"/>
      <w:pPr>
        <w:ind w:left="4253" w:hanging="616"/>
      </w:pPr>
      <w:rPr>
        <w:rFonts w:hint="default"/>
        <w:lang w:val="zh-CN" w:eastAsia="zh-CN" w:bidi="zh-CN"/>
      </w:rPr>
    </w:lvl>
    <w:lvl w:ilvl="4" w:tentative="0">
      <w:start w:val="0"/>
      <w:numFmt w:val="bullet"/>
      <w:lvlText w:val="•"/>
      <w:lvlJc w:val="left"/>
      <w:pPr>
        <w:ind w:left="5138" w:hanging="616"/>
      </w:pPr>
      <w:rPr>
        <w:rFonts w:hint="default"/>
        <w:lang w:val="zh-CN" w:eastAsia="zh-CN" w:bidi="zh-CN"/>
      </w:rPr>
    </w:lvl>
    <w:lvl w:ilvl="5" w:tentative="0">
      <w:start w:val="0"/>
      <w:numFmt w:val="bullet"/>
      <w:lvlText w:val="•"/>
      <w:lvlJc w:val="left"/>
      <w:pPr>
        <w:ind w:left="6023" w:hanging="616"/>
      </w:pPr>
      <w:rPr>
        <w:rFonts w:hint="default"/>
        <w:lang w:val="zh-CN" w:eastAsia="zh-CN" w:bidi="zh-CN"/>
      </w:rPr>
    </w:lvl>
    <w:lvl w:ilvl="6" w:tentative="0">
      <w:start w:val="0"/>
      <w:numFmt w:val="bullet"/>
      <w:lvlText w:val="•"/>
      <w:lvlJc w:val="left"/>
      <w:pPr>
        <w:ind w:left="6907" w:hanging="616"/>
      </w:pPr>
      <w:rPr>
        <w:rFonts w:hint="default"/>
        <w:lang w:val="zh-CN" w:eastAsia="zh-CN" w:bidi="zh-CN"/>
      </w:rPr>
    </w:lvl>
    <w:lvl w:ilvl="7" w:tentative="0">
      <w:start w:val="0"/>
      <w:numFmt w:val="bullet"/>
      <w:lvlText w:val="•"/>
      <w:lvlJc w:val="left"/>
      <w:pPr>
        <w:ind w:left="7792" w:hanging="616"/>
      </w:pPr>
      <w:rPr>
        <w:rFonts w:hint="default"/>
        <w:lang w:val="zh-CN" w:eastAsia="zh-CN" w:bidi="zh-CN"/>
      </w:rPr>
    </w:lvl>
    <w:lvl w:ilvl="8" w:tentative="0">
      <w:start w:val="0"/>
      <w:numFmt w:val="bullet"/>
      <w:lvlText w:val="•"/>
      <w:lvlJc w:val="left"/>
      <w:pPr>
        <w:ind w:left="8677" w:hanging="616"/>
      </w:pPr>
      <w:rPr>
        <w:rFonts w:hint="default"/>
        <w:lang w:val="zh-CN" w:eastAsia="zh-CN" w:bidi="zh-CN"/>
      </w:rPr>
    </w:lvl>
  </w:abstractNum>
  <w:abstractNum w:abstractNumId="19">
    <w:nsid w:val="F7735DC9"/>
    <w:multiLevelType w:val="multilevel"/>
    <w:tmpl w:val="F7735DC9"/>
    <w:lvl w:ilvl="0" w:tentative="0">
      <w:start w:val="13"/>
      <w:numFmt w:val="decimal"/>
      <w:lvlText w:val="%1."/>
      <w:lvlJc w:val="left"/>
      <w:pPr>
        <w:ind w:left="844" w:hanging="337"/>
        <w:jc w:val="left"/>
      </w:pPr>
      <w:rPr>
        <w:rFonts w:hint="default" w:ascii="Arial" w:hAnsi="Arial" w:eastAsia="Arial" w:cs="Arial"/>
        <w:b/>
        <w:bCs/>
        <w:spacing w:val="-2"/>
        <w:w w:val="99"/>
        <w:sz w:val="22"/>
        <w:szCs w:val="22"/>
        <w:lang w:val="zh-CN" w:eastAsia="zh-CN" w:bidi="zh-CN"/>
      </w:rPr>
    </w:lvl>
    <w:lvl w:ilvl="1" w:tentative="0">
      <w:start w:val="1"/>
      <w:numFmt w:val="decimal"/>
      <w:lvlText w:val="%1.%2"/>
      <w:lvlJc w:val="left"/>
      <w:pPr>
        <w:ind w:left="508" w:hanging="591"/>
        <w:jc w:val="left"/>
      </w:pPr>
      <w:rPr>
        <w:rFonts w:hint="default" w:ascii="Arial" w:hAnsi="Arial" w:eastAsia="Arial" w:cs="Arial"/>
        <w:spacing w:val="-12"/>
        <w:w w:val="99"/>
        <w:sz w:val="24"/>
        <w:szCs w:val="24"/>
        <w:lang w:val="zh-CN" w:eastAsia="zh-CN" w:bidi="zh-CN"/>
      </w:rPr>
    </w:lvl>
    <w:lvl w:ilvl="2" w:tentative="0">
      <w:start w:val="1"/>
      <w:numFmt w:val="decimal"/>
      <w:lvlText w:val="%1.%2.%3"/>
      <w:lvlJc w:val="left"/>
      <w:pPr>
        <w:ind w:left="1778" w:hanging="790"/>
        <w:jc w:val="left"/>
      </w:pPr>
      <w:rPr>
        <w:rFonts w:hint="default" w:ascii="Arial" w:hAnsi="Arial" w:eastAsia="Arial" w:cs="Arial"/>
        <w:spacing w:val="-12"/>
        <w:w w:val="99"/>
        <w:sz w:val="24"/>
        <w:szCs w:val="24"/>
        <w:lang w:val="zh-CN" w:eastAsia="zh-CN" w:bidi="zh-CN"/>
      </w:rPr>
    </w:lvl>
    <w:lvl w:ilvl="3" w:tentative="0">
      <w:start w:val="0"/>
      <w:numFmt w:val="bullet"/>
      <w:lvlText w:val="•"/>
      <w:lvlJc w:val="left"/>
      <w:pPr>
        <w:ind w:left="1580" w:hanging="790"/>
      </w:pPr>
      <w:rPr>
        <w:rFonts w:hint="default"/>
        <w:lang w:val="zh-CN" w:eastAsia="zh-CN" w:bidi="zh-CN"/>
      </w:rPr>
    </w:lvl>
    <w:lvl w:ilvl="4" w:tentative="0">
      <w:start w:val="0"/>
      <w:numFmt w:val="bullet"/>
      <w:lvlText w:val="•"/>
      <w:lvlJc w:val="left"/>
      <w:pPr>
        <w:ind w:left="1780" w:hanging="790"/>
      </w:pPr>
      <w:rPr>
        <w:rFonts w:hint="default"/>
        <w:lang w:val="zh-CN" w:eastAsia="zh-CN" w:bidi="zh-CN"/>
      </w:rPr>
    </w:lvl>
    <w:lvl w:ilvl="5" w:tentative="0">
      <w:start w:val="0"/>
      <w:numFmt w:val="bullet"/>
      <w:lvlText w:val="•"/>
      <w:lvlJc w:val="left"/>
      <w:pPr>
        <w:ind w:left="3224" w:hanging="790"/>
      </w:pPr>
      <w:rPr>
        <w:rFonts w:hint="default"/>
        <w:lang w:val="zh-CN" w:eastAsia="zh-CN" w:bidi="zh-CN"/>
      </w:rPr>
    </w:lvl>
    <w:lvl w:ilvl="6" w:tentative="0">
      <w:start w:val="0"/>
      <w:numFmt w:val="bullet"/>
      <w:lvlText w:val="•"/>
      <w:lvlJc w:val="left"/>
      <w:pPr>
        <w:ind w:left="4668" w:hanging="790"/>
      </w:pPr>
      <w:rPr>
        <w:rFonts w:hint="default"/>
        <w:lang w:val="zh-CN" w:eastAsia="zh-CN" w:bidi="zh-CN"/>
      </w:rPr>
    </w:lvl>
    <w:lvl w:ilvl="7" w:tentative="0">
      <w:start w:val="0"/>
      <w:numFmt w:val="bullet"/>
      <w:lvlText w:val="•"/>
      <w:lvlJc w:val="left"/>
      <w:pPr>
        <w:ind w:left="6113" w:hanging="790"/>
      </w:pPr>
      <w:rPr>
        <w:rFonts w:hint="default"/>
        <w:lang w:val="zh-CN" w:eastAsia="zh-CN" w:bidi="zh-CN"/>
      </w:rPr>
    </w:lvl>
    <w:lvl w:ilvl="8" w:tentative="0">
      <w:start w:val="0"/>
      <w:numFmt w:val="bullet"/>
      <w:lvlText w:val="•"/>
      <w:lvlJc w:val="left"/>
      <w:pPr>
        <w:ind w:left="7557" w:hanging="790"/>
      </w:pPr>
      <w:rPr>
        <w:rFonts w:hint="default"/>
        <w:lang w:val="zh-CN" w:eastAsia="zh-CN" w:bidi="zh-CN"/>
      </w:rPr>
    </w:lvl>
  </w:abstractNum>
  <w:abstractNum w:abstractNumId="20">
    <w:nsid w:val="0053208E"/>
    <w:multiLevelType w:val="multilevel"/>
    <w:tmpl w:val="0053208E"/>
    <w:lvl w:ilvl="0" w:tentative="0">
      <w:start w:val="1"/>
      <w:numFmt w:val="decimal"/>
      <w:lvlText w:val="%1."/>
      <w:lvlJc w:val="left"/>
      <w:pPr>
        <w:ind w:left="714"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1692" w:hanging="203"/>
      </w:pPr>
      <w:rPr>
        <w:rFonts w:hint="default"/>
        <w:lang w:val="zh-CN" w:eastAsia="zh-CN" w:bidi="zh-CN"/>
      </w:rPr>
    </w:lvl>
    <w:lvl w:ilvl="2" w:tentative="0">
      <w:start w:val="0"/>
      <w:numFmt w:val="bullet"/>
      <w:lvlText w:val="•"/>
      <w:lvlJc w:val="left"/>
      <w:pPr>
        <w:ind w:left="2665" w:hanging="203"/>
      </w:pPr>
      <w:rPr>
        <w:rFonts w:hint="default"/>
        <w:lang w:val="zh-CN" w:eastAsia="zh-CN" w:bidi="zh-CN"/>
      </w:rPr>
    </w:lvl>
    <w:lvl w:ilvl="3" w:tentative="0">
      <w:start w:val="0"/>
      <w:numFmt w:val="bullet"/>
      <w:lvlText w:val="•"/>
      <w:lvlJc w:val="left"/>
      <w:pPr>
        <w:ind w:left="3637" w:hanging="203"/>
      </w:pPr>
      <w:rPr>
        <w:rFonts w:hint="default"/>
        <w:lang w:val="zh-CN" w:eastAsia="zh-CN" w:bidi="zh-CN"/>
      </w:rPr>
    </w:lvl>
    <w:lvl w:ilvl="4" w:tentative="0">
      <w:start w:val="0"/>
      <w:numFmt w:val="bullet"/>
      <w:lvlText w:val="•"/>
      <w:lvlJc w:val="left"/>
      <w:pPr>
        <w:ind w:left="4610" w:hanging="203"/>
      </w:pPr>
      <w:rPr>
        <w:rFonts w:hint="default"/>
        <w:lang w:val="zh-CN" w:eastAsia="zh-CN" w:bidi="zh-CN"/>
      </w:rPr>
    </w:lvl>
    <w:lvl w:ilvl="5" w:tentative="0">
      <w:start w:val="0"/>
      <w:numFmt w:val="bullet"/>
      <w:lvlText w:val="•"/>
      <w:lvlJc w:val="left"/>
      <w:pPr>
        <w:ind w:left="5583" w:hanging="203"/>
      </w:pPr>
      <w:rPr>
        <w:rFonts w:hint="default"/>
        <w:lang w:val="zh-CN" w:eastAsia="zh-CN" w:bidi="zh-CN"/>
      </w:rPr>
    </w:lvl>
    <w:lvl w:ilvl="6" w:tentative="0">
      <w:start w:val="0"/>
      <w:numFmt w:val="bullet"/>
      <w:lvlText w:val="•"/>
      <w:lvlJc w:val="left"/>
      <w:pPr>
        <w:ind w:left="6555" w:hanging="203"/>
      </w:pPr>
      <w:rPr>
        <w:rFonts w:hint="default"/>
        <w:lang w:val="zh-CN" w:eastAsia="zh-CN" w:bidi="zh-CN"/>
      </w:rPr>
    </w:lvl>
    <w:lvl w:ilvl="7" w:tentative="0">
      <w:start w:val="0"/>
      <w:numFmt w:val="bullet"/>
      <w:lvlText w:val="•"/>
      <w:lvlJc w:val="left"/>
      <w:pPr>
        <w:ind w:left="7528" w:hanging="203"/>
      </w:pPr>
      <w:rPr>
        <w:rFonts w:hint="default"/>
        <w:lang w:val="zh-CN" w:eastAsia="zh-CN" w:bidi="zh-CN"/>
      </w:rPr>
    </w:lvl>
    <w:lvl w:ilvl="8" w:tentative="0">
      <w:start w:val="0"/>
      <w:numFmt w:val="bullet"/>
      <w:lvlText w:val="•"/>
      <w:lvlJc w:val="left"/>
      <w:pPr>
        <w:ind w:left="8501" w:hanging="203"/>
      </w:pPr>
      <w:rPr>
        <w:rFonts w:hint="default"/>
        <w:lang w:val="zh-CN" w:eastAsia="zh-CN" w:bidi="zh-CN"/>
      </w:rPr>
    </w:lvl>
  </w:abstractNum>
  <w:abstractNum w:abstractNumId="21">
    <w:nsid w:val="0248C179"/>
    <w:multiLevelType w:val="multilevel"/>
    <w:tmpl w:val="0248C179"/>
    <w:lvl w:ilvl="0" w:tentative="0">
      <w:start w:val="1"/>
      <w:numFmt w:val="decimal"/>
      <w:lvlText w:val="%1."/>
      <w:lvlJc w:val="left"/>
      <w:pPr>
        <w:ind w:left="105" w:hanging="204"/>
        <w:jc w:val="left"/>
      </w:pPr>
      <w:rPr>
        <w:rFonts w:hint="default" w:ascii="Arial" w:hAnsi="Arial" w:eastAsia="Arial" w:cs="Arial"/>
        <w:w w:val="100"/>
        <w:sz w:val="22"/>
        <w:szCs w:val="22"/>
        <w:lang w:val="zh-CN" w:eastAsia="zh-CN" w:bidi="zh-CN"/>
      </w:rPr>
    </w:lvl>
    <w:lvl w:ilvl="1" w:tentative="0">
      <w:start w:val="0"/>
      <w:numFmt w:val="bullet"/>
      <w:lvlText w:val="•"/>
      <w:lvlJc w:val="left"/>
      <w:pPr>
        <w:ind w:left="761" w:hanging="204"/>
      </w:pPr>
      <w:rPr>
        <w:rFonts w:hint="default"/>
        <w:lang w:val="zh-CN" w:eastAsia="zh-CN" w:bidi="zh-CN"/>
      </w:rPr>
    </w:lvl>
    <w:lvl w:ilvl="2" w:tentative="0">
      <w:start w:val="0"/>
      <w:numFmt w:val="bullet"/>
      <w:lvlText w:val="•"/>
      <w:lvlJc w:val="left"/>
      <w:pPr>
        <w:ind w:left="1423" w:hanging="204"/>
      </w:pPr>
      <w:rPr>
        <w:rFonts w:hint="default"/>
        <w:lang w:val="zh-CN" w:eastAsia="zh-CN" w:bidi="zh-CN"/>
      </w:rPr>
    </w:lvl>
    <w:lvl w:ilvl="3" w:tentative="0">
      <w:start w:val="0"/>
      <w:numFmt w:val="bullet"/>
      <w:lvlText w:val="•"/>
      <w:lvlJc w:val="left"/>
      <w:pPr>
        <w:ind w:left="2085" w:hanging="204"/>
      </w:pPr>
      <w:rPr>
        <w:rFonts w:hint="default"/>
        <w:lang w:val="zh-CN" w:eastAsia="zh-CN" w:bidi="zh-CN"/>
      </w:rPr>
    </w:lvl>
    <w:lvl w:ilvl="4" w:tentative="0">
      <w:start w:val="0"/>
      <w:numFmt w:val="bullet"/>
      <w:lvlText w:val="•"/>
      <w:lvlJc w:val="left"/>
      <w:pPr>
        <w:ind w:left="2747" w:hanging="204"/>
      </w:pPr>
      <w:rPr>
        <w:rFonts w:hint="default"/>
        <w:lang w:val="zh-CN" w:eastAsia="zh-CN" w:bidi="zh-CN"/>
      </w:rPr>
    </w:lvl>
    <w:lvl w:ilvl="5" w:tentative="0">
      <w:start w:val="0"/>
      <w:numFmt w:val="bullet"/>
      <w:lvlText w:val="•"/>
      <w:lvlJc w:val="left"/>
      <w:pPr>
        <w:ind w:left="3409" w:hanging="204"/>
      </w:pPr>
      <w:rPr>
        <w:rFonts w:hint="default"/>
        <w:lang w:val="zh-CN" w:eastAsia="zh-CN" w:bidi="zh-CN"/>
      </w:rPr>
    </w:lvl>
    <w:lvl w:ilvl="6" w:tentative="0">
      <w:start w:val="0"/>
      <w:numFmt w:val="bullet"/>
      <w:lvlText w:val="•"/>
      <w:lvlJc w:val="left"/>
      <w:pPr>
        <w:ind w:left="4070" w:hanging="204"/>
      </w:pPr>
      <w:rPr>
        <w:rFonts w:hint="default"/>
        <w:lang w:val="zh-CN" w:eastAsia="zh-CN" w:bidi="zh-CN"/>
      </w:rPr>
    </w:lvl>
    <w:lvl w:ilvl="7" w:tentative="0">
      <w:start w:val="0"/>
      <w:numFmt w:val="bullet"/>
      <w:lvlText w:val="•"/>
      <w:lvlJc w:val="left"/>
      <w:pPr>
        <w:ind w:left="4732" w:hanging="204"/>
      </w:pPr>
      <w:rPr>
        <w:rFonts w:hint="default"/>
        <w:lang w:val="zh-CN" w:eastAsia="zh-CN" w:bidi="zh-CN"/>
      </w:rPr>
    </w:lvl>
    <w:lvl w:ilvl="8" w:tentative="0">
      <w:start w:val="0"/>
      <w:numFmt w:val="bullet"/>
      <w:lvlText w:val="•"/>
      <w:lvlJc w:val="left"/>
      <w:pPr>
        <w:ind w:left="5394" w:hanging="204"/>
      </w:pPr>
      <w:rPr>
        <w:rFonts w:hint="default"/>
        <w:lang w:val="zh-CN" w:eastAsia="zh-CN" w:bidi="zh-CN"/>
      </w:rPr>
    </w:lvl>
  </w:abstractNum>
  <w:abstractNum w:abstractNumId="22">
    <w:nsid w:val="0E640482"/>
    <w:multiLevelType w:val="multilevel"/>
    <w:tmpl w:val="0E640482"/>
    <w:lvl w:ilvl="0" w:tentative="0">
      <w:start w:val="1"/>
      <w:numFmt w:val="decimal"/>
      <w:lvlText w:val="（%1）"/>
      <w:lvlJc w:val="left"/>
      <w:pPr>
        <w:ind w:left="1603" w:hanging="616"/>
        <w:jc w:val="left"/>
      </w:pPr>
      <w:rPr>
        <w:rFonts w:hint="default" w:ascii="宋体" w:hAnsi="宋体" w:eastAsia="宋体" w:cs="宋体"/>
        <w:spacing w:val="-4"/>
        <w:w w:val="99"/>
        <w:sz w:val="22"/>
        <w:szCs w:val="22"/>
        <w:lang w:val="zh-CN" w:eastAsia="zh-CN" w:bidi="zh-CN"/>
      </w:rPr>
    </w:lvl>
    <w:lvl w:ilvl="1" w:tentative="0">
      <w:start w:val="0"/>
      <w:numFmt w:val="bullet"/>
      <w:lvlText w:val="•"/>
      <w:lvlJc w:val="left"/>
      <w:pPr>
        <w:ind w:left="2484" w:hanging="616"/>
      </w:pPr>
      <w:rPr>
        <w:rFonts w:hint="default"/>
        <w:lang w:val="zh-CN" w:eastAsia="zh-CN" w:bidi="zh-CN"/>
      </w:rPr>
    </w:lvl>
    <w:lvl w:ilvl="2" w:tentative="0">
      <w:start w:val="0"/>
      <w:numFmt w:val="bullet"/>
      <w:lvlText w:val="•"/>
      <w:lvlJc w:val="left"/>
      <w:pPr>
        <w:ind w:left="3369" w:hanging="616"/>
      </w:pPr>
      <w:rPr>
        <w:rFonts w:hint="default"/>
        <w:lang w:val="zh-CN" w:eastAsia="zh-CN" w:bidi="zh-CN"/>
      </w:rPr>
    </w:lvl>
    <w:lvl w:ilvl="3" w:tentative="0">
      <w:start w:val="0"/>
      <w:numFmt w:val="bullet"/>
      <w:lvlText w:val="•"/>
      <w:lvlJc w:val="left"/>
      <w:pPr>
        <w:ind w:left="4253" w:hanging="616"/>
      </w:pPr>
      <w:rPr>
        <w:rFonts w:hint="default"/>
        <w:lang w:val="zh-CN" w:eastAsia="zh-CN" w:bidi="zh-CN"/>
      </w:rPr>
    </w:lvl>
    <w:lvl w:ilvl="4" w:tentative="0">
      <w:start w:val="0"/>
      <w:numFmt w:val="bullet"/>
      <w:lvlText w:val="•"/>
      <w:lvlJc w:val="left"/>
      <w:pPr>
        <w:ind w:left="5138" w:hanging="616"/>
      </w:pPr>
      <w:rPr>
        <w:rFonts w:hint="default"/>
        <w:lang w:val="zh-CN" w:eastAsia="zh-CN" w:bidi="zh-CN"/>
      </w:rPr>
    </w:lvl>
    <w:lvl w:ilvl="5" w:tentative="0">
      <w:start w:val="0"/>
      <w:numFmt w:val="bullet"/>
      <w:lvlText w:val="•"/>
      <w:lvlJc w:val="left"/>
      <w:pPr>
        <w:ind w:left="6023" w:hanging="616"/>
      </w:pPr>
      <w:rPr>
        <w:rFonts w:hint="default"/>
        <w:lang w:val="zh-CN" w:eastAsia="zh-CN" w:bidi="zh-CN"/>
      </w:rPr>
    </w:lvl>
    <w:lvl w:ilvl="6" w:tentative="0">
      <w:start w:val="0"/>
      <w:numFmt w:val="bullet"/>
      <w:lvlText w:val="•"/>
      <w:lvlJc w:val="left"/>
      <w:pPr>
        <w:ind w:left="6907" w:hanging="616"/>
      </w:pPr>
      <w:rPr>
        <w:rFonts w:hint="default"/>
        <w:lang w:val="zh-CN" w:eastAsia="zh-CN" w:bidi="zh-CN"/>
      </w:rPr>
    </w:lvl>
    <w:lvl w:ilvl="7" w:tentative="0">
      <w:start w:val="0"/>
      <w:numFmt w:val="bullet"/>
      <w:lvlText w:val="•"/>
      <w:lvlJc w:val="left"/>
      <w:pPr>
        <w:ind w:left="7792" w:hanging="616"/>
      </w:pPr>
      <w:rPr>
        <w:rFonts w:hint="default"/>
        <w:lang w:val="zh-CN" w:eastAsia="zh-CN" w:bidi="zh-CN"/>
      </w:rPr>
    </w:lvl>
    <w:lvl w:ilvl="8" w:tentative="0">
      <w:start w:val="0"/>
      <w:numFmt w:val="bullet"/>
      <w:lvlText w:val="•"/>
      <w:lvlJc w:val="left"/>
      <w:pPr>
        <w:ind w:left="8677" w:hanging="616"/>
      </w:pPr>
      <w:rPr>
        <w:rFonts w:hint="default"/>
        <w:lang w:val="zh-CN" w:eastAsia="zh-CN" w:bidi="zh-CN"/>
      </w:rPr>
    </w:lvl>
  </w:abstractNum>
  <w:abstractNum w:abstractNumId="23">
    <w:nsid w:val="1ACDE60F"/>
    <w:multiLevelType w:val="multilevel"/>
    <w:tmpl w:val="1ACDE60F"/>
    <w:lvl w:ilvl="0" w:tentative="0">
      <w:start w:val="1"/>
      <w:numFmt w:val="decimal"/>
      <w:lvlText w:val="%1."/>
      <w:lvlJc w:val="left"/>
      <w:pPr>
        <w:ind w:left="1192" w:hanging="203"/>
        <w:jc w:val="left"/>
      </w:pPr>
      <w:rPr>
        <w:rFonts w:hint="default" w:ascii="Arial" w:hAnsi="Arial" w:eastAsia="Arial" w:cs="Arial"/>
        <w:b/>
        <w:bCs/>
        <w:w w:val="99"/>
        <w:sz w:val="22"/>
        <w:szCs w:val="22"/>
        <w:lang w:val="zh-CN" w:eastAsia="zh-CN" w:bidi="zh-CN"/>
      </w:rPr>
    </w:lvl>
    <w:lvl w:ilvl="1" w:tentative="0">
      <w:start w:val="1"/>
      <w:numFmt w:val="decimal"/>
      <w:lvlText w:val="%1.%2"/>
      <w:lvlJc w:val="left"/>
      <w:pPr>
        <w:ind w:left="508" w:hanging="459"/>
        <w:jc w:val="left"/>
      </w:pPr>
      <w:rPr>
        <w:rFonts w:hint="default" w:ascii="Arial" w:hAnsi="Arial" w:eastAsia="Arial" w:cs="Arial"/>
        <w:spacing w:val="-11"/>
        <w:w w:val="99"/>
        <w:sz w:val="24"/>
        <w:szCs w:val="24"/>
        <w:lang w:val="zh-CN" w:eastAsia="zh-CN" w:bidi="zh-CN"/>
      </w:rPr>
    </w:lvl>
    <w:lvl w:ilvl="2" w:tentative="0">
      <w:start w:val="0"/>
      <w:numFmt w:val="bullet"/>
      <w:lvlText w:val="•"/>
      <w:lvlJc w:val="left"/>
      <w:pPr>
        <w:ind w:left="1440" w:hanging="459"/>
      </w:pPr>
      <w:rPr>
        <w:rFonts w:hint="default"/>
        <w:lang w:val="zh-CN" w:eastAsia="zh-CN" w:bidi="zh-CN"/>
      </w:rPr>
    </w:lvl>
    <w:lvl w:ilvl="3" w:tentative="0">
      <w:start w:val="0"/>
      <w:numFmt w:val="bullet"/>
      <w:lvlText w:val="•"/>
      <w:lvlJc w:val="left"/>
      <w:pPr>
        <w:ind w:left="1534" w:hanging="459"/>
      </w:pPr>
      <w:rPr>
        <w:rFonts w:hint="default"/>
        <w:lang w:val="zh-CN" w:eastAsia="zh-CN" w:bidi="zh-CN"/>
      </w:rPr>
    </w:lvl>
    <w:lvl w:ilvl="4" w:tentative="0">
      <w:start w:val="0"/>
      <w:numFmt w:val="bullet"/>
      <w:lvlText w:val="•"/>
      <w:lvlJc w:val="left"/>
      <w:pPr>
        <w:ind w:left="1628" w:hanging="459"/>
      </w:pPr>
      <w:rPr>
        <w:rFonts w:hint="default"/>
        <w:lang w:val="zh-CN" w:eastAsia="zh-CN" w:bidi="zh-CN"/>
      </w:rPr>
    </w:lvl>
    <w:lvl w:ilvl="5" w:tentative="0">
      <w:start w:val="0"/>
      <w:numFmt w:val="bullet"/>
      <w:lvlText w:val="•"/>
      <w:lvlJc w:val="left"/>
      <w:pPr>
        <w:ind w:left="1723" w:hanging="459"/>
      </w:pPr>
      <w:rPr>
        <w:rFonts w:hint="default"/>
        <w:lang w:val="zh-CN" w:eastAsia="zh-CN" w:bidi="zh-CN"/>
      </w:rPr>
    </w:lvl>
    <w:lvl w:ilvl="6" w:tentative="0">
      <w:start w:val="0"/>
      <w:numFmt w:val="bullet"/>
      <w:lvlText w:val="•"/>
      <w:lvlJc w:val="left"/>
      <w:pPr>
        <w:ind w:left="1817" w:hanging="459"/>
      </w:pPr>
      <w:rPr>
        <w:rFonts w:hint="default"/>
        <w:lang w:val="zh-CN" w:eastAsia="zh-CN" w:bidi="zh-CN"/>
      </w:rPr>
    </w:lvl>
    <w:lvl w:ilvl="7" w:tentative="0">
      <w:start w:val="0"/>
      <w:numFmt w:val="bullet"/>
      <w:lvlText w:val="•"/>
      <w:lvlJc w:val="left"/>
      <w:pPr>
        <w:ind w:left="1911" w:hanging="459"/>
      </w:pPr>
      <w:rPr>
        <w:rFonts w:hint="default"/>
        <w:lang w:val="zh-CN" w:eastAsia="zh-CN" w:bidi="zh-CN"/>
      </w:rPr>
    </w:lvl>
    <w:lvl w:ilvl="8" w:tentative="0">
      <w:start w:val="0"/>
      <w:numFmt w:val="bullet"/>
      <w:lvlText w:val="•"/>
      <w:lvlJc w:val="left"/>
      <w:pPr>
        <w:ind w:left="2005" w:hanging="459"/>
      </w:pPr>
      <w:rPr>
        <w:rFonts w:hint="default"/>
        <w:lang w:val="zh-CN" w:eastAsia="zh-CN" w:bidi="zh-CN"/>
      </w:rPr>
    </w:lvl>
  </w:abstractNum>
  <w:abstractNum w:abstractNumId="24">
    <w:nsid w:val="243FCF68"/>
    <w:multiLevelType w:val="multilevel"/>
    <w:tmpl w:val="243FCF68"/>
    <w:lvl w:ilvl="0" w:tentative="0">
      <w:start w:val="1"/>
      <w:numFmt w:val="decimal"/>
      <w:lvlText w:val="%1."/>
      <w:lvlJc w:val="left"/>
      <w:pPr>
        <w:ind w:left="710" w:hanging="203"/>
        <w:jc w:val="left"/>
      </w:pPr>
      <w:rPr>
        <w:rFonts w:hint="default" w:ascii="Arial" w:hAnsi="Arial" w:eastAsia="Arial" w:cs="Arial"/>
        <w:b/>
        <w:bCs/>
        <w:w w:val="99"/>
        <w:sz w:val="22"/>
        <w:szCs w:val="22"/>
        <w:lang w:val="zh-CN" w:eastAsia="zh-CN" w:bidi="zh-CN"/>
      </w:rPr>
    </w:lvl>
    <w:lvl w:ilvl="1" w:tentative="0">
      <w:start w:val="1"/>
      <w:numFmt w:val="decimal"/>
      <w:lvlText w:val="%1.%2"/>
      <w:lvlJc w:val="left"/>
      <w:pPr>
        <w:ind w:left="508" w:hanging="396"/>
        <w:jc w:val="left"/>
      </w:pPr>
      <w:rPr>
        <w:rFonts w:hint="default" w:ascii="Arial" w:hAnsi="Arial" w:eastAsia="Arial" w:cs="Arial"/>
        <w:w w:val="99"/>
        <w:sz w:val="24"/>
        <w:szCs w:val="24"/>
        <w:lang w:val="zh-CN" w:eastAsia="zh-CN" w:bidi="zh-CN"/>
      </w:rPr>
    </w:lvl>
    <w:lvl w:ilvl="2" w:tentative="0">
      <w:start w:val="1"/>
      <w:numFmt w:val="decimal"/>
      <w:lvlText w:val="%1.%2.%3"/>
      <w:lvlJc w:val="left"/>
      <w:pPr>
        <w:ind w:left="508" w:hanging="656"/>
        <w:jc w:val="left"/>
      </w:pPr>
      <w:rPr>
        <w:rFonts w:hint="default" w:ascii="Arial" w:hAnsi="Arial" w:eastAsia="Arial" w:cs="Arial"/>
        <w:spacing w:val="-2"/>
        <w:w w:val="99"/>
        <w:sz w:val="24"/>
        <w:szCs w:val="24"/>
        <w:lang w:val="zh-CN" w:eastAsia="zh-CN" w:bidi="zh-CN"/>
      </w:rPr>
    </w:lvl>
    <w:lvl w:ilvl="3" w:tentative="0">
      <w:start w:val="0"/>
      <w:numFmt w:val="bullet"/>
      <w:lvlText w:val="•"/>
      <w:lvlJc w:val="left"/>
      <w:pPr>
        <w:ind w:left="1580" w:hanging="656"/>
      </w:pPr>
      <w:rPr>
        <w:rFonts w:hint="default"/>
        <w:lang w:val="zh-CN" w:eastAsia="zh-CN" w:bidi="zh-CN"/>
      </w:rPr>
    </w:lvl>
    <w:lvl w:ilvl="4" w:tentative="0">
      <w:start w:val="0"/>
      <w:numFmt w:val="bullet"/>
      <w:lvlText w:val="•"/>
      <w:lvlJc w:val="left"/>
      <w:pPr>
        <w:ind w:left="2846" w:hanging="656"/>
      </w:pPr>
      <w:rPr>
        <w:rFonts w:hint="default"/>
        <w:lang w:val="zh-CN" w:eastAsia="zh-CN" w:bidi="zh-CN"/>
      </w:rPr>
    </w:lvl>
    <w:lvl w:ilvl="5" w:tentative="0">
      <w:start w:val="0"/>
      <w:numFmt w:val="bullet"/>
      <w:lvlText w:val="•"/>
      <w:lvlJc w:val="left"/>
      <w:pPr>
        <w:ind w:left="4113" w:hanging="656"/>
      </w:pPr>
      <w:rPr>
        <w:rFonts w:hint="default"/>
        <w:lang w:val="zh-CN" w:eastAsia="zh-CN" w:bidi="zh-CN"/>
      </w:rPr>
    </w:lvl>
    <w:lvl w:ilvl="6" w:tentative="0">
      <w:start w:val="0"/>
      <w:numFmt w:val="bullet"/>
      <w:lvlText w:val="•"/>
      <w:lvlJc w:val="left"/>
      <w:pPr>
        <w:ind w:left="5379" w:hanging="656"/>
      </w:pPr>
      <w:rPr>
        <w:rFonts w:hint="default"/>
        <w:lang w:val="zh-CN" w:eastAsia="zh-CN" w:bidi="zh-CN"/>
      </w:rPr>
    </w:lvl>
    <w:lvl w:ilvl="7" w:tentative="0">
      <w:start w:val="0"/>
      <w:numFmt w:val="bullet"/>
      <w:lvlText w:val="•"/>
      <w:lvlJc w:val="left"/>
      <w:pPr>
        <w:ind w:left="6646" w:hanging="656"/>
      </w:pPr>
      <w:rPr>
        <w:rFonts w:hint="default"/>
        <w:lang w:val="zh-CN" w:eastAsia="zh-CN" w:bidi="zh-CN"/>
      </w:rPr>
    </w:lvl>
    <w:lvl w:ilvl="8" w:tentative="0">
      <w:start w:val="0"/>
      <w:numFmt w:val="bullet"/>
      <w:lvlText w:val="•"/>
      <w:lvlJc w:val="left"/>
      <w:pPr>
        <w:ind w:left="7913" w:hanging="656"/>
      </w:pPr>
      <w:rPr>
        <w:rFonts w:hint="default"/>
        <w:lang w:val="zh-CN" w:eastAsia="zh-CN" w:bidi="zh-CN"/>
      </w:rPr>
    </w:lvl>
  </w:abstractNum>
  <w:abstractNum w:abstractNumId="25">
    <w:nsid w:val="2470EC97"/>
    <w:multiLevelType w:val="multilevel"/>
    <w:tmpl w:val="2470EC97"/>
    <w:lvl w:ilvl="0" w:tentative="0">
      <w:start w:val="1"/>
      <w:numFmt w:val="decimal"/>
      <w:lvlText w:val="(%1)"/>
      <w:lvlJc w:val="left"/>
      <w:pPr>
        <w:ind w:left="1282" w:hanging="295"/>
        <w:jc w:val="left"/>
      </w:pPr>
      <w:rPr>
        <w:rFonts w:hint="default" w:ascii="Arial" w:hAnsi="Arial" w:eastAsia="Arial" w:cs="Arial"/>
        <w:spacing w:val="-1"/>
        <w:w w:val="99"/>
        <w:sz w:val="22"/>
        <w:szCs w:val="22"/>
        <w:lang w:val="zh-CN" w:eastAsia="zh-CN" w:bidi="zh-CN"/>
      </w:rPr>
    </w:lvl>
    <w:lvl w:ilvl="1" w:tentative="0">
      <w:start w:val="0"/>
      <w:numFmt w:val="bullet"/>
      <w:lvlText w:val="•"/>
      <w:lvlJc w:val="left"/>
      <w:pPr>
        <w:ind w:left="2196" w:hanging="295"/>
      </w:pPr>
      <w:rPr>
        <w:rFonts w:hint="default"/>
        <w:lang w:val="zh-CN" w:eastAsia="zh-CN" w:bidi="zh-CN"/>
      </w:rPr>
    </w:lvl>
    <w:lvl w:ilvl="2" w:tentative="0">
      <w:start w:val="0"/>
      <w:numFmt w:val="bullet"/>
      <w:lvlText w:val="•"/>
      <w:lvlJc w:val="left"/>
      <w:pPr>
        <w:ind w:left="3113" w:hanging="295"/>
      </w:pPr>
      <w:rPr>
        <w:rFonts w:hint="default"/>
        <w:lang w:val="zh-CN" w:eastAsia="zh-CN" w:bidi="zh-CN"/>
      </w:rPr>
    </w:lvl>
    <w:lvl w:ilvl="3" w:tentative="0">
      <w:start w:val="0"/>
      <w:numFmt w:val="bullet"/>
      <w:lvlText w:val="•"/>
      <w:lvlJc w:val="left"/>
      <w:pPr>
        <w:ind w:left="4029" w:hanging="295"/>
      </w:pPr>
      <w:rPr>
        <w:rFonts w:hint="default"/>
        <w:lang w:val="zh-CN" w:eastAsia="zh-CN" w:bidi="zh-CN"/>
      </w:rPr>
    </w:lvl>
    <w:lvl w:ilvl="4" w:tentative="0">
      <w:start w:val="0"/>
      <w:numFmt w:val="bullet"/>
      <w:lvlText w:val="•"/>
      <w:lvlJc w:val="left"/>
      <w:pPr>
        <w:ind w:left="4946" w:hanging="295"/>
      </w:pPr>
      <w:rPr>
        <w:rFonts w:hint="default"/>
        <w:lang w:val="zh-CN" w:eastAsia="zh-CN" w:bidi="zh-CN"/>
      </w:rPr>
    </w:lvl>
    <w:lvl w:ilvl="5" w:tentative="0">
      <w:start w:val="0"/>
      <w:numFmt w:val="bullet"/>
      <w:lvlText w:val="•"/>
      <w:lvlJc w:val="left"/>
      <w:pPr>
        <w:ind w:left="5863" w:hanging="295"/>
      </w:pPr>
      <w:rPr>
        <w:rFonts w:hint="default"/>
        <w:lang w:val="zh-CN" w:eastAsia="zh-CN" w:bidi="zh-CN"/>
      </w:rPr>
    </w:lvl>
    <w:lvl w:ilvl="6" w:tentative="0">
      <w:start w:val="0"/>
      <w:numFmt w:val="bullet"/>
      <w:lvlText w:val="•"/>
      <w:lvlJc w:val="left"/>
      <w:pPr>
        <w:ind w:left="6779" w:hanging="295"/>
      </w:pPr>
      <w:rPr>
        <w:rFonts w:hint="default"/>
        <w:lang w:val="zh-CN" w:eastAsia="zh-CN" w:bidi="zh-CN"/>
      </w:rPr>
    </w:lvl>
    <w:lvl w:ilvl="7" w:tentative="0">
      <w:start w:val="0"/>
      <w:numFmt w:val="bullet"/>
      <w:lvlText w:val="•"/>
      <w:lvlJc w:val="left"/>
      <w:pPr>
        <w:ind w:left="7696" w:hanging="295"/>
      </w:pPr>
      <w:rPr>
        <w:rFonts w:hint="default"/>
        <w:lang w:val="zh-CN" w:eastAsia="zh-CN" w:bidi="zh-CN"/>
      </w:rPr>
    </w:lvl>
    <w:lvl w:ilvl="8" w:tentative="0">
      <w:start w:val="0"/>
      <w:numFmt w:val="bullet"/>
      <w:lvlText w:val="•"/>
      <w:lvlJc w:val="left"/>
      <w:pPr>
        <w:ind w:left="8613" w:hanging="295"/>
      </w:pPr>
      <w:rPr>
        <w:rFonts w:hint="default"/>
        <w:lang w:val="zh-CN" w:eastAsia="zh-CN" w:bidi="zh-CN"/>
      </w:rPr>
    </w:lvl>
  </w:abstractNum>
  <w:abstractNum w:abstractNumId="26">
    <w:nsid w:val="25B654F3"/>
    <w:multiLevelType w:val="multilevel"/>
    <w:tmpl w:val="25B654F3"/>
    <w:lvl w:ilvl="0" w:tentative="0">
      <w:start w:val="1"/>
      <w:numFmt w:val="decimal"/>
      <w:lvlText w:val="%1）"/>
      <w:lvlJc w:val="left"/>
      <w:pPr>
        <w:ind w:left="481" w:hanging="376"/>
        <w:jc w:val="left"/>
      </w:pPr>
      <w:rPr>
        <w:rFonts w:hint="default" w:ascii="Arial" w:hAnsi="Arial" w:eastAsia="Arial" w:cs="Arial"/>
        <w:w w:val="99"/>
        <w:sz w:val="22"/>
        <w:szCs w:val="22"/>
        <w:lang w:val="zh-CN" w:eastAsia="zh-CN" w:bidi="zh-CN"/>
      </w:rPr>
    </w:lvl>
    <w:lvl w:ilvl="1" w:tentative="0">
      <w:start w:val="0"/>
      <w:numFmt w:val="bullet"/>
      <w:lvlText w:val="•"/>
      <w:lvlJc w:val="left"/>
      <w:pPr>
        <w:ind w:left="1103" w:hanging="376"/>
      </w:pPr>
      <w:rPr>
        <w:rFonts w:hint="default"/>
        <w:lang w:val="zh-CN" w:eastAsia="zh-CN" w:bidi="zh-CN"/>
      </w:rPr>
    </w:lvl>
    <w:lvl w:ilvl="2" w:tentative="0">
      <w:start w:val="0"/>
      <w:numFmt w:val="bullet"/>
      <w:lvlText w:val="•"/>
      <w:lvlJc w:val="left"/>
      <w:pPr>
        <w:ind w:left="1727" w:hanging="376"/>
      </w:pPr>
      <w:rPr>
        <w:rFonts w:hint="default"/>
        <w:lang w:val="zh-CN" w:eastAsia="zh-CN" w:bidi="zh-CN"/>
      </w:rPr>
    </w:lvl>
    <w:lvl w:ilvl="3" w:tentative="0">
      <w:start w:val="0"/>
      <w:numFmt w:val="bullet"/>
      <w:lvlText w:val="•"/>
      <w:lvlJc w:val="left"/>
      <w:pPr>
        <w:ind w:left="2351" w:hanging="376"/>
      </w:pPr>
      <w:rPr>
        <w:rFonts w:hint="default"/>
        <w:lang w:val="zh-CN" w:eastAsia="zh-CN" w:bidi="zh-CN"/>
      </w:rPr>
    </w:lvl>
    <w:lvl w:ilvl="4" w:tentative="0">
      <w:start w:val="0"/>
      <w:numFmt w:val="bullet"/>
      <w:lvlText w:val="•"/>
      <w:lvlJc w:val="left"/>
      <w:pPr>
        <w:ind w:left="2975" w:hanging="376"/>
      </w:pPr>
      <w:rPr>
        <w:rFonts w:hint="default"/>
        <w:lang w:val="zh-CN" w:eastAsia="zh-CN" w:bidi="zh-CN"/>
      </w:rPr>
    </w:lvl>
    <w:lvl w:ilvl="5" w:tentative="0">
      <w:start w:val="0"/>
      <w:numFmt w:val="bullet"/>
      <w:lvlText w:val="•"/>
      <w:lvlJc w:val="left"/>
      <w:pPr>
        <w:ind w:left="3599" w:hanging="376"/>
      </w:pPr>
      <w:rPr>
        <w:rFonts w:hint="default"/>
        <w:lang w:val="zh-CN" w:eastAsia="zh-CN" w:bidi="zh-CN"/>
      </w:rPr>
    </w:lvl>
    <w:lvl w:ilvl="6" w:tentative="0">
      <w:start w:val="0"/>
      <w:numFmt w:val="bullet"/>
      <w:lvlText w:val="•"/>
      <w:lvlJc w:val="left"/>
      <w:pPr>
        <w:ind w:left="4222" w:hanging="376"/>
      </w:pPr>
      <w:rPr>
        <w:rFonts w:hint="default"/>
        <w:lang w:val="zh-CN" w:eastAsia="zh-CN" w:bidi="zh-CN"/>
      </w:rPr>
    </w:lvl>
    <w:lvl w:ilvl="7" w:tentative="0">
      <w:start w:val="0"/>
      <w:numFmt w:val="bullet"/>
      <w:lvlText w:val="•"/>
      <w:lvlJc w:val="left"/>
      <w:pPr>
        <w:ind w:left="4846" w:hanging="376"/>
      </w:pPr>
      <w:rPr>
        <w:rFonts w:hint="default"/>
        <w:lang w:val="zh-CN" w:eastAsia="zh-CN" w:bidi="zh-CN"/>
      </w:rPr>
    </w:lvl>
    <w:lvl w:ilvl="8" w:tentative="0">
      <w:start w:val="0"/>
      <w:numFmt w:val="bullet"/>
      <w:lvlText w:val="•"/>
      <w:lvlJc w:val="left"/>
      <w:pPr>
        <w:ind w:left="5470" w:hanging="376"/>
      </w:pPr>
      <w:rPr>
        <w:rFonts w:hint="default"/>
        <w:lang w:val="zh-CN" w:eastAsia="zh-CN" w:bidi="zh-CN"/>
      </w:rPr>
    </w:lvl>
  </w:abstractNum>
  <w:abstractNum w:abstractNumId="27">
    <w:nsid w:val="2A8F537B"/>
    <w:multiLevelType w:val="multilevel"/>
    <w:tmpl w:val="2A8F537B"/>
    <w:lvl w:ilvl="0" w:tentative="0">
      <w:start w:val="1"/>
      <w:numFmt w:val="decimal"/>
      <w:lvlText w:val="（%1）"/>
      <w:lvlJc w:val="left"/>
      <w:pPr>
        <w:ind w:left="508" w:hanging="616"/>
        <w:jc w:val="left"/>
      </w:pPr>
      <w:rPr>
        <w:rFonts w:hint="default" w:ascii="宋体" w:hAnsi="宋体" w:eastAsia="宋体" w:cs="宋体"/>
        <w:spacing w:val="-27"/>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28">
    <w:nsid w:val="30FC5B15"/>
    <w:multiLevelType w:val="multilevel"/>
    <w:tmpl w:val="30FC5B15"/>
    <w:lvl w:ilvl="0" w:tentative="0">
      <w:start w:val="1"/>
      <w:numFmt w:val="decimal"/>
      <w:lvlText w:val="（%1）"/>
      <w:lvlJc w:val="left"/>
      <w:pPr>
        <w:ind w:left="1125" w:hanging="618"/>
        <w:jc w:val="left"/>
      </w:pPr>
      <w:rPr>
        <w:rFonts w:hint="default"/>
        <w:b/>
        <w:bCs/>
        <w:spacing w:val="-2"/>
        <w:w w:val="99"/>
        <w:lang w:val="zh-CN" w:eastAsia="zh-CN" w:bidi="zh-CN"/>
      </w:rPr>
    </w:lvl>
    <w:lvl w:ilvl="1" w:tentative="0">
      <w:start w:val="1"/>
      <w:numFmt w:val="decimal"/>
      <w:lvlText w:val="%2."/>
      <w:lvlJc w:val="left"/>
      <w:pPr>
        <w:ind w:left="508" w:hanging="204"/>
        <w:jc w:val="left"/>
      </w:pPr>
      <w:rPr>
        <w:rFonts w:hint="default" w:ascii="Arial" w:hAnsi="Arial" w:eastAsia="Arial" w:cs="Arial"/>
        <w:w w:val="100"/>
        <w:sz w:val="22"/>
        <w:szCs w:val="22"/>
        <w:lang w:val="zh-CN" w:eastAsia="zh-CN" w:bidi="zh-CN"/>
      </w:rPr>
    </w:lvl>
    <w:lvl w:ilvl="2" w:tentative="0">
      <w:start w:val="0"/>
      <w:numFmt w:val="bullet"/>
      <w:lvlText w:val="•"/>
      <w:lvlJc w:val="left"/>
      <w:pPr>
        <w:ind w:left="2156" w:hanging="204"/>
      </w:pPr>
      <w:rPr>
        <w:rFonts w:hint="default"/>
        <w:lang w:val="zh-CN" w:eastAsia="zh-CN" w:bidi="zh-CN"/>
      </w:rPr>
    </w:lvl>
    <w:lvl w:ilvl="3" w:tentative="0">
      <w:start w:val="0"/>
      <w:numFmt w:val="bullet"/>
      <w:lvlText w:val="•"/>
      <w:lvlJc w:val="left"/>
      <w:pPr>
        <w:ind w:left="3192" w:hanging="204"/>
      </w:pPr>
      <w:rPr>
        <w:rFonts w:hint="default"/>
        <w:lang w:val="zh-CN" w:eastAsia="zh-CN" w:bidi="zh-CN"/>
      </w:rPr>
    </w:lvl>
    <w:lvl w:ilvl="4" w:tentative="0">
      <w:start w:val="0"/>
      <w:numFmt w:val="bullet"/>
      <w:lvlText w:val="•"/>
      <w:lvlJc w:val="left"/>
      <w:pPr>
        <w:ind w:left="4228" w:hanging="204"/>
      </w:pPr>
      <w:rPr>
        <w:rFonts w:hint="default"/>
        <w:lang w:val="zh-CN" w:eastAsia="zh-CN" w:bidi="zh-CN"/>
      </w:rPr>
    </w:lvl>
    <w:lvl w:ilvl="5" w:tentative="0">
      <w:start w:val="0"/>
      <w:numFmt w:val="bullet"/>
      <w:lvlText w:val="•"/>
      <w:lvlJc w:val="left"/>
      <w:pPr>
        <w:ind w:left="5265" w:hanging="204"/>
      </w:pPr>
      <w:rPr>
        <w:rFonts w:hint="default"/>
        <w:lang w:val="zh-CN" w:eastAsia="zh-CN" w:bidi="zh-CN"/>
      </w:rPr>
    </w:lvl>
    <w:lvl w:ilvl="6" w:tentative="0">
      <w:start w:val="0"/>
      <w:numFmt w:val="bullet"/>
      <w:lvlText w:val="•"/>
      <w:lvlJc w:val="left"/>
      <w:pPr>
        <w:ind w:left="6301" w:hanging="204"/>
      </w:pPr>
      <w:rPr>
        <w:rFonts w:hint="default"/>
        <w:lang w:val="zh-CN" w:eastAsia="zh-CN" w:bidi="zh-CN"/>
      </w:rPr>
    </w:lvl>
    <w:lvl w:ilvl="7" w:tentative="0">
      <w:start w:val="0"/>
      <w:numFmt w:val="bullet"/>
      <w:lvlText w:val="•"/>
      <w:lvlJc w:val="left"/>
      <w:pPr>
        <w:ind w:left="7337" w:hanging="204"/>
      </w:pPr>
      <w:rPr>
        <w:rFonts w:hint="default"/>
        <w:lang w:val="zh-CN" w:eastAsia="zh-CN" w:bidi="zh-CN"/>
      </w:rPr>
    </w:lvl>
    <w:lvl w:ilvl="8" w:tentative="0">
      <w:start w:val="0"/>
      <w:numFmt w:val="bullet"/>
      <w:lvlText w:val="•"/>
      <w:lvlJc w:val="left"/>
      <w:pPr>
        <w:ind w:left="8373" w:hanging="204"/>
      </w:pPr>
      <w:rPr>
        <w:rFonts w:hint="default"/>
        <w:lang w:val="zh-CN" w:eastAsia="zh-CN" w:bidi="zh-CN"/>
      </w:rPr>
    </w:lvl>
  </w:abstractNum>
  <w:abstractNum w:abstractNumId="29">
    <w:nsid w:val="39A0D9AC"/>
    <w:multiLevelType w:val="multilevel"/>
    <w:tmpl w:val="39A0D9AC"/>
    <w:lvl w:ilvl="0" w:tentative="0">
      <w:start w:val="1"/>
      <w:numFmt w:val="decimal"/>
      <w:lvlText w:val="%1."/>
      <w:lvlJc w:val="left"/>
      <w:pPr>
        <w:ind w:left="1190"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124" w:hanging="203"/>
      </w:pPr>
      <w:rPr>
        <w:rFonts w:hint="default"/>
        <w:lang w:val="zh-CN" w:eastAsia="zh-CN" w:bidi="zh-CN"/>
      </w:rPr>
    </w:lvl>
    <w:lvl w:ilvl="2" w:tentative="0">
      <w:start w:val="0"/>
      <w:numFmt w:val="bullet"/>
      <w:lvlText w:val="•"/>
      <w:lvlJc w:val="left"/>
      <w:pPr>
        <w:ind w:left="3049" w:hanging="203"/>
      </w:pPr>
      <w:rPr>
        <w:rFonts w:hint="default"/>
        <w:lang w:val="zh-CN" w:eastAsia="zh-CN" w:bidi="zh-CN"/>
      </w:rPr>
    </w:lvl>
    <w:lvl w:ilvl="3" w:tentative="0">
      <w:start w:val="0"/>
      <w:numFmt w:val="bullet"/>
      <w:lvlText w:val="•"/>
      <w:lvlJc w:val="left"/>
      <w:pPr>
        <w:ind w:left="3973" w:hanging="203"/>
      </w:pPr>
      <w:rPr>
        <w:rFonts w:hint="default"/>
        <w:lang w:val="zh-CN" w:eastAsia="zh-CN" w:bidi="zh-CN"/>
      </w:rPr>
    </w:lvl>
    <w:lvl w:ilvl="4" w:tentative="0">
      <w:start w:val="0"/>
      <w:numFmt w:val="bullet"/>
      <w:lvlText w:val="•"/>
      <w:lvlJc w:val="left"/>
      <w:pPr>
        <w:ind w:left="4898" w:hanging="203"/>
      </w:pPr>
      <w:rPr>
        <w:rFonts w:hint="default"/>
        <w:lang w:val="zh-CN" w:eastAsia="zh-CN" w:bidi="zh-CN"/>
      </w:rPr>
    </w:lvl>
    <w:lvl w:ilvl="5" w:tentative="0">
      <w:start w:val="0"/>
      <w:numFmt w:val="bullet"/>
      <w:lvlText w:val="•"/>
      <w:lvlJc w:val="left"/>
      <w:pPr>
        <w:ind w:left="5823" w:hanging="203"/>
      </w:pPr>
      <w:rPr>
        <w:rFonts w:hint="default"/>
        <w:lang w:val="zh-CN" w:eastAsia="zh-CN" w:bidi="zh-CN"/>
      </w:rPr>
    </w:lvl>
    <w:lvl w:ilvl="6" w:tentative="0">
      <w:start w:val="0"/>
      <w:numFmt w:val="bullet"/>
      <w:lvlText w:val="•"/>
      <w:lvlJc w:val="left"/>
      <w:pPr>
        <w:ind w:left="6747" w:hanging="203"/>
      </w:pPr>
      <w:rPr>
        <w:rFonts w:hint="default"/>
        <w:lang w:val="zh-CN" w:eastAsia="zh-CN" w:bidi="zh-CN"/>
      </w:rPr>
    </w:lvl>
    <w:lvl w:ilvl="7" w:tentative="0">
      <w:start w:val="0"/>
      <w:numFmt w:val="bullet"/>
      <w:lvlText w:val="•"/>
      <w:lvlJc w:val="left"/>
      <w:pPr>
        <w:ind w:left="7672" w:hanging="203"/>
      </w:pPr>
      <w:rPr>
        <w:rFonts w:hint="default"/>
        <w:lang w:val="zh-CN" w:eastAsia="zh-CN" w:bidi="zh-CN"/>
      </w:rPr>
    </w:lvl>
    <w:lvl w:ilvl="8" w:tentative="0">
      <w:start w:val="0"/>
      <w:numFmt w:val="bullet"/>
      <w:lvlText w:val="•"/>
      <w:lvlJc w:val="left"/>
      <w:pPr>
        <w:ind w:left="8597" w:hanging="203"/>
      </w:pPr>
      <w:rPr>
        <w:rFonts w:hint="default"/>
        <w:lang w:val="zh-CN" w:eastAsia="zh-CN" w:bidi="zh-CN"/>
      </w:rPr>
    </w:lvl>
  </w:abstractNum>
  <w:abstractNum w:abstractNumId="30">
    <w:nsid w:val="46A08BB8"/>
    <w:multiLevelType w:val="multilevel"/>
    <w:tmpl w:val="46A08BB8"/>
    <w:lvl w:ilvl="0" w:tentative="0">
      <w:start w:val="1"/>
      <w:numFmt w:val="decimal"/>
      <w:lvlText w:val="（%1）"/>
      <w:lvlJc w:val="left"/>
      <w:pPr>
        <w:ind w:left="508" w:hanging="616"/>
        <w:jc w:val="left"/>
      </w:pPr>
      <w:rPr>
        <w:rFonts w:hint="default" w:ascii="宋体" w:hAnsi="宋体" w:eastAsia="宋体" w:cs="宋体"/>
        <w:spacing w:val="-20"/>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31">
    <w:nsid w:val="4C1BAE26"/>
    <w:multiLevelType w:val="multilevel"/>
    <w:tmpl w:val="4C1BAE26"/>
    <w:lvl w:ilvl="0" w:tentative="0">
      <w:start w:val="1"/>
      <w:numFmt w:val="decimal"/>
      <w:lvlText w:val="（%1）"/>
      <w:lvlJc w:val="left"/>
      <w:pPr>
        <w:ind w:left="1603" w:hanging="616"/>
        <w:jc w:val="left"/>
      </w:pPr>
      <w:rPr>
        <w:rFonts w:hint="default" w:ascii="宋体" w:hAnsi="宋体" w:eastAsia="宋体" w:cs="宋体"/>
        <w:spacing w:val="-2"/>
        <w:w w:val="99"/>
        <w:sz w:val="22"/>
        <w:szCs w:val="22"/>
        <w:lang w:val="zh-CN" w:eastAsia="zh-CN" w:bidi="zh-CN"/>
      </w:rPr>
    </w:lvl>
    <w:lvl w:ilvl="1" w:tentative="0">
      <w:start w:val="0"/>
      <w:numFmt w:val="bullet"/>
      <w:lvlText w:val="•"/>
      <w:lvlJc w:val="left"/>
      <w:pPr>
        <w:ind w:left="2484" w:hanging="616"/>
      </w:pPr>
      <w:rPr>
        <w:rFonts w:hint="default"/>
        <w:lang w:val="zh-CN" w:eastAsia="zh-CN" w:bidi="zh-CN"/>
      </w:rPr>
    </w:lvl>
    <w:lvl w:ilvl="2" w:tentative="0">
      <w:start w:val="0"/>
      <w:numFmt w:val="bullet"/>
      <w:lvlText w:val="•"/>
      <w:lvlJc w:val="left"/>
      <w:pPr>
        <w:ind w:left="3369" w:hanging="616"/>
      </w:pPr>
      <w:rPr>
        <w:rFonts w:hint="default"/>
        <w:lang w:val="zh-CN" w:eastAsia="zh-CN" w:bidi="zh-CN"/>
      </w:rPr>
    </w:lvl>
    <w:lvl w:ilvl="3" w:tentative="0">
      <w:start w:val="0"/>
      <w:numFmt w:val="bullet"/>
      <w:lvlText w:val="•"/>
      <w:lvlJc w:val="left"/>
      <w:pPr>
        <w:ind w:left="4253" w:hanging="616"/>
      </w:pPr>
      <w:rPr>
        <w:rFonts w:hint="default"/>
        <w:lang w:val="zh-CN" w:eastAsia="zh-CN" w:bidi="zh-CN"/>
      </w:rPr>
    </w:lvl>
    <w:lvl w:ilvl="4" w:tentative="0">
      <w:start w:val="0"/>
      <w:numFmt w:val="bullet"/>
      <w:lvlText w:val="•"/>
      <w:lvlJc w:val="left"/>
      <w:pPr>
        <w:ind w:left="5138" w:hanging="616"/>
      </w:pPr>
      <w:rPr>
        <w:rFonts w:hint="default"/>
        <w:lang w:val="zh-CN" w:eastAsia="zh-CN" w:bidi="zh-CN"/>
      </w:rPr>
    </w:lvl>
    <w:lvl w:ilvl="5" w:tentative="0">
      <w:start w:val="0"/>
      <w:numFmt w:val="bullet"/>
      <w:lvlText w:val="•"/>
      <w:lvlJc w:val="left"/>
      <w:pPr>
        <w:ind w:left="6023" w:hanging="616"/>
      </w:pPr>
      <w:rPr>
        <w:rFonts w:hint="default"/>
        <w:lang w:val="zh-CN" w:eastAsia="zh-CN" w:bidi="zh-CN"/>
      </w:rPr>
    </w:lvl>
    <w:lvl w:ilvl="6" w:tentative="0">
      <w:start w:val="0"/>
      <w:numFmt w:val="bullet"/>
      <w:lvlText w:val="•"/>
      <w:lvlJc w:val="left"/>
      <w:pPr>
        <w:ind w:left="6907" w:hanging="616"/>
      </w:pPr>
      <w:rPr>
        <w:rFonts w:hint="default"/>
        <w:lang w:val="zh-CN" w:eastAsia="zh-CN" w:bidi="zh-CN"/>
      </w:rPr>
    </w:lvl>
    <w:lvl w:ilvl="7" w:tentative="0">
      <w:start w:val="0"/>
      <w:numFmt w:val="bullet"/>
      <w:lvlText w:val="•"/>
      <w:lvlJc w:val="left"/>
      <w:pPr>
        <w:ind w:left="7792" w:hanging="616"/>
      </w:pPr>
      <w:rPr>
        <w:rFonts w:hint="default"/>
        <w:lang w:val="zh-CN" w:eastAsia="zh-CN" w:bidi="zh-CN"/>
      </w:rPr>
    </w:lvl>
    <w:lvl w:ilvl="8" w:tentative="0">
      <w:start w:val="0"/>
      <w:numFmt w:val="bullet"/>
      <w:lvlText w:val="•"/>
      <w:lvlJc w:val="left"/>
      <w:pPr>
        <w:ind w:left="8677" w:hanging="616"/>
      </w:pPr>
      <w:rPr>
        <w:rFonts w:hint="default"/>
        <w:lang w:val="zh-CN" w:eastAsia="zh-CN" w:bidi="zh-CN"/>
      </w:rPr>
    </w:lvl>
  </w:abstractNum>
  <w:abstractNum w:abstractNumId="32">
    <w:nsid w:val="4D4DC07F"/>
    <w:multiLevelType w:val="multilevel"/>
    <w:tmpl w:val="4D4DC07F"/>
    <w:lvl w:ilvl="0" w:tentative="0">
      <w:start w:val="1"/>
      <w:numFmt w:val="decimal"/>
      <w:lvlText w:val="（%1）"/>
      <w:lvlJc w:val="left"/>
      <w:pPr>
        <w:ind w:left="508" w:hanging="616"/>
        <w:jc w:val="left"/>
      </w:pPr>
      <w:rPr>
        <w:rFonts w:hint="default" w:ascii="宋体" w:hAnsi="宋体" w:eastAsia="宋体" w:cs="宋体"/>
        <w:spacing w:val="-82"/>
        <w:w w:val="99"/>
        <w:sz w:val="22"/>
        <w:szCs w:val="22"/>
        <w:lang w:val="zh-CN" w:eastAsia="zh-CN" w:bidi="zh-CN"/>
      </w:rPr>
    </w:lvl>
    <w:lvl w:ilvl="1" w:tentative="0">
      <w:start w:val="0"/>
      <w:numFmt w:val="bullet"/>
      <w:lvlText w:val="•"/>
      <w:lvlJc w:val="left"/>
      <w:pPr>
        <w:ind w:left="1494" w:hanging="616"/>
      </w:pPr>
      <w:rPr>
        <w:rFonts w:hint="default"/>
        <w:lang w:val="zh-CN" w:eastAsia="zh-CN" w:bidi="zh-CN"/>
      </w:rPr>
    </w:lvl>
    <w:lvl w:ilvl="2" w:tentative="0">
      <w:start w:val="0"/>
      <w:numFmt w:val="bullet"/>
      <w:lvlText w:val="•"/>
      <w:lvlJc w:val="left"/>
      <w:pPr>
        <w:ind w:left="2489" w:hanging="616"/>
      </w:pPr>
      <w:rPr>
        <w:rFonts w:hint="default"/>
        <w:lang w:val="zh-CN" w:eastAsia="zh-CN" w:bidi="zh-CN"/>
      </w:rPr>
    </w:lvl>
    <w:lvl w:ilvl="3" w:tentative="0">
      <w:start w:val="0"/>
      <w:numFmt w:val="bullet"/>
      <w:lvlText w:val="•"/>
      <w:lvlJc w:val="left"/>
      <w:pPr>
        <w:ind w:left="3483" w:hanging="616"/>
      </w:pPr>
      <w:rPr>
        <w:rFonts w:hint="default"/>
        <w:lang w:val="zh-CN" w:eastAsia="zh-CN" w:bidi="zh-CN"/>
      </w:rPr>
    </w:lvl>
    <w:lvl w:ilvl="4" w:tentative="0">
      <w:start w:val="0"/>
      <w:numFmt w:val="bullet"/>
      <w:lvlText w:val="•"/>
      <w:lvlJc w:val="left"/>
      <w:pPr>
        <w:ind w:left="4478" w:hanging="616"/>
      </w:pPr>
      <w:rPr>
        <w:rFonts w:hint="default"/>
        <w:lang w:val="zh-CN" w:eastAsia="zh-CN" w:bidi="zh-CN"/>
      </w:rPr>
    </w:lvl>
    <w:lvl w:ilvl="5" w:tentative="0">
      <w:start w:val="0"/>
      <w:numFmt w:val="bullet"/>
      <w:lvlText w:val="•"/>
      <w:lvlJc w:val="left"/>
      <w:pPr>
        <w:ind w:left="5473" w:hanging="616"/>
      </w:pPr>
      <w:rPr>
        <w:rFonts w:hint="default"/>
        <w:lang w:val="zh-CN" w:eastAsia="zh-CN" w:bidi="zh-CN"/>
      </w:rPr>
    </w:lvl>
    <w:lvl w:ilvl="6" w:tentative="0">
      <w:start w:val="0"/>
      <w:numFmt w:val="bullet"/>
      <w:lvlText w:val="•"/>
      <w:lvlJc w:val="left"/>
      <w:pPr>
        <w:ind w:left="6467" w:hanging="616"/>
      </w:pPr>
      <w:rPr>
        <w:rFonts w:hint="default"/>
        <w:lang w:val="zh-CN" w:eastAsia="zh-CN" w:bidi="zh-CN"/>
      </w:rPr>
    </w:lvl>
    <w:lvl w:ilvl="7" w:tentative="0">
      <w:start w:val="0"/>
      <w:numFmt w:val="bullet"/>
      <w:lvlText w:val="•"/>
      <w:lvlJc w:val="left"/>
      <w:pPr>
        <w:ind w:left="7462" w:hanging="616"/>
      </w:pPr>
      <w:rPr>
        <w:rFonts w:hint="default"/>
        <w:lang w:val="zh-CN" w:eastAsia="zh-CN" w:bidi="zh-CN"/>
      </w:rPr>
    </w:lvl>
    <w:lvl w:ilvl="8" w:tentative="0">
      <w:start w:val="0"/>
      <w:numFmt w:val="bullet"/>
      <w:lvlText w:val="•"/>
      <w:lvlJc w:val="left"/>
      <w:pPr>
        <w:ind w:left="8457" w:hanging="616"/>
      </w:pPr>
      <w:rPr>
        <w:rFonts w:hint="default"/>
        <w:lang w:val="zh-CN" w:eastAsia="zh-CN" w:bidi="zh-CN"/>
      </w:rPr>
    </w:lvl>
  </w:abstractNum>
  <w:abstractNum w:abstractNumId="33">
    <w:nsid w:val="4D94DA66"/>
    <w:multiLevelType w:val="multilevel"/>
    <w:tmpl w:val="4D94DA66"/>
    <w:lvl w:ilvl="0" w:tentative="0">
      <w:start w:val="1"/>
      <w:numFmt w:val="lowerLetter"/>
      <w:lvlText w:val="%1."/>
      <w:lvlJc w:val="left"/>
      <w:pPr>
        <w:ind w:left="1190"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124" w:hanging="203"/>
      </w:pPr>
      <w:rPr>
        <w:rFonts w:hint="default"/>
        <w:lang w:val="zh-CN" w:eastAsia="zh-CN" w:bidi="zh-CN"/>
      </w:rPr>
    </w:lvl>
    <w:lvl w:ilvl="2" w:tentative="0">
      <w:start w:val="0"/>
      <w:numFmt w:val="bullet"/>
      <w:lvlText w:val="•"/>
      <w:lvlJc w:val="left"/>
      <w:pPr>
        <w:ind w:left="3049" w:hanging="203"/>
      </w:pPr>
      <w:rPr>
        <w:rFonts w:hint="default"/>
        <w:lang w:val="zh-CN" w:eastAsia="zh-CN" w:bidi="zh-CN"/>
      </w:rPr>
    </w:lvl>
    <w:lvl w:ilvl="3" w:tentative="0">
      <w:start w:val="0"/>
      <w:numFmt w:val="bullet"/>
      <w:lvlText w:val="•"/>
      <w:lvlJc w:val="left"/>
      <w:pPr>
        <w:ind w:left="3973" w:hanging="203"/>
      </w:pPr>
      <w:rPr>
        <w:rFonts w:hint="default"/>
        <w:lang w:val="zh-CN" w:eastAsia="zh-CN" w:bidi="zh-CN"/>
      </w:rPr>
    </w:lvl>
    <w:lvl w:ilvl="4" w:tentative="0">
      <w:start w:val="0"/>
      <w:numFmt w:val="bullet"/>
      <w:lvlText w:val="•"/>
      <w:lvlJc w:val="left"/>
      <w:pPr>
        <w:ind w:left="4898" w:hanging="203"/>
      </w:pPr>
      <w:rPr>
        <w:rFonts w:hint="default"/>
        <w:lang w:val="zh-CN" w:eastAsia="zh-CN" w:bidi="zh-CN"/>
      </w:rPr>
    </w:lvl>
    <w:lvl w:ilvl="5" w:tentative="0">
      <w:start w:val="0"/>
      <w:numFmt w:val="bullet"/>
      <w:lvlText w:val="•"/>
      <w:lvlJc w:val="left"/>
      <w:pPr>
        <w:ind w:left="5823" w:hanging="203"/>
      </w:pPr>
      <w:rPr>
        <w:rFonts w:hint="default"/>
        <w:lang w:val="zh-CN" w:eastAsia="zh-CN" w:bidi="zh-CN"/>
      </w:rPr>
    </w:lvl>
    <w:lvl w:ilvl="6" w:tentative="0">
      <w:start w:val="0"/>
      <w:numFmt w:val="bullet"/>
      <w:lvlText w:val="•"/>
      <w:lvlJc w:val="left"/>
      <w:pPr>
        <w:ind w:left="6747" w:hanging="203"/>
      </w:pPr>
      <w:rPr>
        <w:rFonts w:hint="default"/>
        <w:lang w:val="zh-CN" w:eastAsia="zh-CN" w:bidi="zh-CN"/>
      </w:rPr>
    </w:lvl>
    <w:lvl w:ilvl="7" w:tentative="0">
      <w:start w:val="0"/>
      <w:numFmt w:val="bullet"/>
      <w:lvlText w:val="•"/>
      <w:lvlJc w:val="left"/>
      <w:pPr>
        <w:ind w:left="7672" w:hanging="203"/>
      </w:pPr>
      <w:rPr>
        <w:rFonts w:hint="default"/>
        <w:lang w:val="zh-CN" w:eastAsia="zh-CN" w:bidi="zh-CN"/>
      </w:rPr>
    </w:lvl>
    <w:lvl w:ilvl="8" w:tentative="0">
      <w:start w:val="0"/>
      <w:numFmt w:val="bullet"/>
      <w:lvlText w:val="•"/>
      <w:lvlJc w:val="left"/>
      <w:pPr>
        <w:ind w:left="8597" w:hanging="203"/>
      </w:pPr>
      <w:rPr>
        <w:rFonts w:hint="default"/>
        <w:lang w:val="zh-CN" w:eastAsia="zh-CN" w:bidi="zh-CN"/>
      </w:rPr>
    </w:lvl>
  </w:abstractNum>
  <w:abstractNum w:abstractNumId="34">
    <w:nsid w:val="58765686"/>
    <w:multiLevelType w:val="multilevel"/>
    <w:tmpl w:val="58765686"/>
    <w:lvl w:ilvl="0" w:tentative="0">
      <w:start w:val="1"/>
      <w:numFmt w:val="decimal"/>
      <w:lvlText w:val="%1."/>
      <w:lvlJc w:val="left"/>
      <w:pPr>
        <w:ind w:left="508" w:hanging="204"/>
        <w:jc w:val="left"/>
      </w:pPr>
      <w:rPr>
        <w:rFonts w:hint="default" w:ascii="Arial" w:hAnsi="Arial" w:eastAsia="Arial" w:cs="Arial"/>
        <w:w w:val="100"/>
        <w:sz w:val="22"/>
        <w:szCs w:val="22"/>
        <w:lang w:val="zh-CN" w:eastAsia="zh-CN" w:bidi="zh-CN"/>
      </w:rPr>
    </w:lvl>
    <w:lvl w:ilvl="1" w:tentative="0">
      <w:start w:val="0"/>
      <w:numFmt w:val="bullet"/>
      <w:lvlText w:val="•"/>
      <w:lvlJc w:val="left"/>
      <w:pPr>
        <w:ind w:left="1494" w:hanging="204"/>
      </w:pPr>
      <w:rPr>
        <w:rFonts w:hint="default"/>
        <w:lang w:val="zh-CN" w:eastAsia="zh-CN" w:bidi="zh-CN"/>
      </w:rPr>
    </w:lvl>
    <w:lvl w:ilvl="2" w:tentative="0">
      <w:start w:val="0"/>
      <w:numFmt w:val="bullet"/>
      <w:lvlText w:val="•"/>
      <w:lvlJc w:val="left"/>
      <w:pPr>
        <w:ind w:left="2489" w:hanging="204"/>
      </w:pPr>
      <w:rPr>
        <w:rFonts w:hint="default"/>
        <w:lang w:val="zh-CN" w:eastAsia="zh-CN" w:bidi="zh-CN"/>
      </w:rPr>
    </w:lvl>
    <w:lvl w:ilvl="3" w:tentative="0">
      <w:start w:val="0"/>
      <w:numFmt w:val="bullet"/>
      <w:lvlText w:val="•"/>
      <w:lvlJc w:val="left"/>
      <w:pPr>
        <w:ind w:left="3483" w:hanging="204"/>
      </w:pPr>
      <w:rPr>
        <w:rFonts w:hint="default"/>
        <w:lang w:val="zh-CN" w:eastAsia="zh-CN" w:bidi="zh-CN"/>
      </w:rPr>
    </w:lvl>
    <w:lvl w:ilvl="4" w:tentative="0">
      <w:start w:val="0"/>
      <w:numFmt w:val="bullet"/>
      <w:lvlText w:val="•"/>
      <w:lvlJc w:val="left"/>
      <w:pPr>
        <w:ind w:left="4478" w:hanging="204"/>
      </w:pPr>
      <w:rPr>
        <w:rFonts w:hint="default"/>
        <w:lang w:val="zh-CN" w:eastAsia="zh-CN" w:bidi="zh-CN"/>
      </w:rPr>
    </w:lvl>
    <w:lvl w:ilvl="5" w:tentative="0">
      <w:start w:val="0"/>
      <w:numFmt w:val="bullet"/>
      <w:lvlText w:val="•"/>
      <w:lvlJc w:val="left"/>
      <w:pPr>
        <w:ind w:left="5473" w:hanging="204"/>
      </w:pPr>
      <w:rPr>
        <w:rFonts w:hint="default"/>
        <w:lang w:val="zh-CN" w:eastAsia="zh-CN" w:bidi="zh-CN"/>
      </w:rPr>
    </w:lvl>
    <w:lvl w:ilvl="6" w:tentative="0">
      <w:start w:val="0"/>
      <w:numFmt w:val="bullet"/>
      <w:lvlText w:val="•"/>
      <w:lvlJc w:val="left"/>
      <w:pPr>
        <w:ind w:left="6467" w:hanging="204"/>
      </w:pPr>
      <w:rPr>
        <w:rFonts w:hint="default"/>
        <w:lang w:val="zh-CN" w:eastAsia="zh-CN" w:bidi="zh-CN"/>
      </w:rPr>
    </w:lvl>
    <w:lvl w:ilvl="7" w:tentative="0">
      <w:start w:val="0"/>
      <w:numFmt w:val="bullet"/>
      <w:lvlText w:val="•"/>
      <w:lvlJc w:val="left"/>
      <w:pPr>
        <w:ind w:left="7462" w:hanging="204"/>
      </w:pPr>
      <w:rPr>
        <w:rFonts w:hint="default"/>
        <w:lang w:val="zh-CN" w:eastAsia="zh-CN" w:bidi="zh-CN"/>
      </w:rPr>
    </w:lvl>
    <w:lvl w:ilvl="8" w:tentative="0">
      <w:start w:val="0"/>
      <w:numFmt w:val="bullet"/>
      <w:lvlText w:val="•"/>
      <w:lvlJc w:val="left"/>
      <w:pPr>
        <w:ind w:left="8457" w:hanging="204"/>
      </w:pPr>
      <w:rPr>
        <w:rFonts w:hint="default"/>
        <w:lang w:val="zh-CN" w:eastAsia="zh-CN" w:bidi="zh-CN"/>
      </w:rPr>
    </w:lvl>
  </w:abstractNum>
  <w:abstractNum w:abstractNumId="35">
    <w:nsid w:val="59ADCABA"/>
    <w:multiLevelType w:val="multilevel"/>
    <w:tmpl w:val="59ADCABA"/>
    <w:lvl w:ilvl="0" w:tentative="0">
      <w:start w:val="1"/>
      <w:numFmt w:val="decimal"/>
      <w:lvlText w:val="（%1）"/>
      <w:lvlJc w:val="left"/>
      <w:pPr>
        <w:ind w:left="1128"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052" w:hanging="616"/>
      </w:pPr>
      <w:rPr>
        <w:rFonts w:hint="default"/>
        <w:lang w:val="zh-CN" w:eastAsia="zh-CN" w:bidi="zh-CN"/>
      </w:rPr>
    </w:lvl>
    <w:lvl w:ilvl="2" w:tentative="0">
      <w:start w:val="0"/>
      <w:numFmt w:val="bullet"/>
      <w:lvlText w:val="•"/>
      <w:lvlJc w:val="left"/>
      <w:pPr>
        <w:ind w:left="2985" w:hanging="616"/>
      </w:pPr>
      <w:rPr>
        <w:rFonts w:hint="default"/>
        <w:lang w:val="zh-CN" w:eastAsia="zh-CN" w:bidi="zh-CN"/>
      </w:rPr>
    </w:lvl>
    <w:lvl w:ilvl="3" w:tentative="0">
      <w:start w:val="0"/>
      <w:numFmt w:val="bullet"/>
      <w:lvlText w:val="•"/>
      <w:lvlJc w:val="left"/>
      <w:pPr>
        <w:ind w:left="3917" w:hanging="616"/>
      </w:pPr>
      <w:rPr>
        <w:rFonts w:hint="default"/>
        <w:lang w:val="zh-CN" w:eastAsia="zh-CN" w:bidi="zh-CN"/>
      </w:rPr>
    </w:lvl>
    <w:lvl w:ilvl="4" w:tentative="0">
      <w:start w:val="0"/>
      <w:numFmt w:val="bullet"/>
      <w:lvlText w:val="•"/>
      <w:lvlJc w:val="left"/>
      <w:pPr>
        <w:ind w:left="4850" w:hanging="616"/>
      </w:pPr>
      <w:rPr>
        <w:rFonts w:hint="default"/>
        <w:lang w:val="zh-CN" w:eastAsia="zh-CN" w:bidi="zh-CN"/>
      </w:rPr>
    </w:lvl>
    <w:lvl w:ilvl="5" w:tentative="0">
      <w:start w:val="0"/>
      <w:numFmt w:val="bullet"/>
      <w:lvlText w:val="•"/>
      <w:lvlJc w:val="left"/>
      <w:pPr>
        <w:ind w:left="5783" w:hanging="616"/>
      </w:pPr>
      <w:rPr>
        <w:rFonts w:hint="default"/>
        <w:lang w:val="zh-CN" w:eastAsia="zh-CN" w:bidi="zh-CN"/>
      </w:rPr>
    </w:lvl>
    <w:lvl w:ilvl="6" w:tentative="0">
      <w:start w:val="0"/>
      <w:numFmt w:val="bullet"/>
      <w:lvlText w:val="•"/>
      <w:lvlJc w:val="left"/>
      <w:pPr>
        <w:ind w:left="6715" w:hanging="616"/>
      </w:pPr>
      <w:rPr>
        <w:rFonts w:hint="default"/>
        <w:lang w:val="zh-CN" w:eastAsia="zh-CN" w:bidi="zh-CN"/>
      </w:rPr>
    </w:lvl>
    <w:lvl w:ilvl="7" w:tentative="0">
      <w:start w:val="0"/>
      <w:numFmt w:val="bullet"/>
      <w:lvlText w:val="•"/>
      <w:lvlJc w:val="left"/>
      <w:pPr>
        <w:ind w:left="7648" w:hanging="616"/>
      </w:pPr>
      <w:rPr>
        <w:rFonts w:hint="default"/>
        <w:lang w:val="zh-CN" w:eastAsia="zh-CN" w:bidi="zh-CN"/>
      </w:rPr>
    </w:lvl>
    <w:lvl w:ilvl="8" w:tentative="0">
      <w:start w:val="0"/>
      <w:numFmt w:val="bullet"/>
      <w:lvlText w:val="•"/>
      <w:lvlJc w:val="left"/>
      <w:pPr>
        <w:ind w:left="8581" w:hanging="616"/>
      </w:pPr>
      <w:rPr>
        <w:rFonts w:hint="default"/>
        <w:lang w:val="zh-CN" w:eastAsia="zh-CN" w:bidi="zh-CN"/>
      </w:rPr>
    </w:lvl>
  </w:abstractNum>
  <w:abstractNum w:abstractNumId="36">
    <w:nsid w:val="5A241D34"/>
    <w:multiLevelType w:val="multilevel"/>
    <w:tmpl w:val="5A241D34"/>
    <w:lvl w:ilvl="0" w:tentative="0">
      <w:start w:val="1"/>
      <w:numFmt w:val="decimal"/>
      <w:lvlText w:val="（%1）"/>
      <w:lvlJc w:val="left"/>
      <w:pPr>
        <w:ind w:left="1603"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484" w:hanging="616"/>
      </w:pPr>
      <w:rPr>
        <w:rFonts w:hint="default"/>
        <w:lang w:val="zh-CN" w:eastAsia="zh-CN" w:bidi="zh-CN"/>
      </w:rPr>
    </w:lvl>
    <w:lvl w:ilvl="2" w:tentative="0">
      <w:start w:val="0"/>
      <w:numFmt w:val="bullet"/>
      <w:lvlText w:val="•"/>
      <w:lvlJc w:val="left"/>
      <w:pPr>
        <w:ind w:left="3369" w:hanging="616"/>
      </w:pPr>
      <w:rPr>
        <w:rFonts w:hint="default"/>
        <w:lang w:val="zh-CN" w:eastAsia="zh-CN" w:bidi="zh-CN"/>
      </w:rPr>
    </w:lvl>
    <w:lvl w:ilvl="3" w:tentative="0">
      <w:start w:val="0"/>
      <w:numFmt w:val="bullet"/>
      <w:lvlText w:val="•"/>
      <w:lvlJc w:val="left"/>
      <w:pPr>
        <w:ind w:left="4253" w:hanging="616"/>
      </w:pPr>
      <w:rPr>
        <w:rFonts w:hint="default"/>
        <w:lang w:val="zh-CN" w:eastAsia="zh-CN" w:bidi="zh-CN"/>
      </w:rPr>
    </w:lvl>
    <w:lvl w:ilvl="4" w:tentative="0">
      <w:start w:val="0"/>
      <w:numFmt w:val="bullet"/>
      <w:lvlText w:val="•"/>
      <w:lvlJc w:val="left"/>
      <w:pPr>
        <w:ind w:left="5138" w:hanging="616"/>
      </w:pPr>
      <w:rPr>
        <w:rFonts w:hint="default"/>
        <w:lang w:val="zh-CN" w:eastAsia="zh-CN" w:bidi="zh-CN"/>
      </w:rPr>
    </w:lvl>
    <w:lvl w:ilvl="5" w:tentative="0">
      <w:start w:val="0"/>
      <w:numFmt w:val="bullet"/>
      <w:lvlText w:val="•"/>
      <w:lvlJc w:val="left"/>
      <w:pPr>
        <w:ind w:left="6023" w:hanging="616"/>
      </w:pPr>
      <w:rPr>
        <w:rFonts w:hint="default"/>
        <w:lang w:val="zh-CN" w:eastAsia="zh-CN" w:bidi="zh-CN"/>
      </w:rPr>
    </w:lvl>
    <w:lvl w:ilvl="6" w:tentative="0">
      <w:start w:val="0"/>
      <w:numFmt w:val="bullet"/>
      <w:lvlText w:val="•"/>
      <w:lvlJc w:val="left"/>
      <w:pPr>
        <w:ind w:left="6907" w:hanging="616"/>
      </w:pPr>
      <w:rPr>
        <w:rFonts w:hint="default"/>
        <w:lang w:val="zh-CN" w:eastAsia="zh-CN" w:bidi="zh-CN"/>
      </w:rPr>
    </w:lvl>
    <w:lvl w:ilvl="7" w:tentative="0">
      <w:start w:val="0"/>
      <w:numFmt w:val="bullet"/>
      <w:lvlText w:val="•"/>
      <w:lvlJc w:val="left"/>
      <w:pPr>
        <w:ind w:left="7792" w:hanging="616"/>
      </w:pPr>
      <w:rPr>
        <w:rFonts w:hint="default"/>
        <w:lang w:val="zh-CN" w:eastAsia="zh-CN" w:bidi="zh-CN"/>
      </w:rPr>
    </w:lvl>
    <w:lvl w:ilvl="8" w:tentative="0">
      <w:start w:val="0"/>
      <w:numFmt w:val="bullet"/>
      <w:lvlText w:val="•"/>
      <w:lvlJc w:val="left"/>
      <w:pPr>
        <w:ind w:left="8677" w:hanging="616"/>
      </w:pPr>
      <w:rPr>
        <w:rFonts w:hint="default"/>
        <w:lang w:val="zh-CN" w:eastAsia="zh-CN" w:bidi="zh-CN"/>
      </w:rPr>
    </w:lvl>
  </w:abstractNum>
  <w:abstractNum w:abstractNumId="37">
    <w:nsid w:val="5E29AB5A"/>
    <w:multiLevelType w:val="multilevel"/>
    <w:tmpl w:val="5E29AB5A"/>
    <w:lvl w:ilvl="0" w:tentative="0">
      <w:start w:val="2"/>
      <w:numFmt w:val="decimal"/>
      <w:lvlText w:val="%1."/>
      <w:lvlJc w:val="left"/>
      <w:pPr>
        <w:ind w:left="508" w:hanging="202"/>
        <w:jc w:val="left"/>
      </w:pPr>
      <w:rPr>
        <w:rFonts w:hint="default" w:ascii="Arial" w:hAnsi="Arial" w:eastAsia="Arial" w:cs="Arial"/>
        <w:w w:val="100"/>
        <w:sz w:val="22"/>
        <w:szCs w:val="22"/>
        <w:lang w:val="zh-CN" w:eastAsia="zh-CN" w:bidi="zh-CN"/>
      </w:rPr>
    </w:lvl>
    <w:lvl w:ilvl="1" w:tentative="0">
      <w:start w:val="0"/>
      <w:numFmt w:val="bullet"/>
      <w:lvlText w:val="•"/>
      <w:lvlJc w:val="left"/>
      <w:pPr>
        <w:ind w:left="1494" w:hanging="202"/>
      </w:pPr>
      <w:rPr>
        <w:rFonts w:hint="default"/>
        <w:lang w:val="zh-CN" w:eastAsia="zh-CN" w:bidi="zh-CN"/>
      </w:rPr>
    </w:lvl>
    <w:lvl w:ilvl="2" w:tentative="0">
      <w:start w:val="0"/>
      <w:numFmt w:val="bullet"/>
      <w:lvlText w:val="•"/>
      <w:lvlJc w:val="left"/>
      <w:pPr>
        <w:ind w:left="2489" w:hanging="202"/>
      </w:pPr>
      <w:rPr>
        <w:rFonts w:hint="default"/>
        <w:lang w:val="zh-CN" w:eastAsia="zh-CN" w:bidi="zh-CN"/>
      </w:rPr>
    </w:lvl>
    <w:lvl w:ilvl="3" w:tentative="0">
      <w:start w:val="0"/>
      <w:numFmt w:val="bullet"/>
      <w:lvlText w:val="•"/>
      <w:lvlJc w:val="left"/>
      <w:pPr>
        <w:ind w:left="3483" w:hanging="202"/>
      </w:pPr>
      <w:rPr>
        <w:rFonts w:hint="default"/>
        <w:lang w:val="zh-CN" w:eastAsia="zh-CN" w:bidi="zh-CN"/>
      </w:rPr>
    </w:lvl>
    <w:lvl w:ilvl="4" w:tentative="0">
      <w:start w:val="0"/>
      <w:numFmt w:val="bullet"/>
      <w:lvlText w:val="•"/>
      <w:lvlJc w:val="left"/>
      <w:pPr>
        <w:ind w:left="4478" w:hanging="202"/>
      </w:pPr>
      <w:rPr>
        <w:rFonts w:hint="default"/>
        <w:lang w:val="zh-CN" w:eastAsia="zh-CN" w:bidi="zh-CN"/>
      </w:rPr>
    </w:lvl>
    <w:lvl w:ilvl="5" w:tentative="0">
      <w:start w:val="0"/>
      <w:numFmt w:val="bullet"/>
      <w:lvlText w:val="•"/>
      <w:lvlJc w:val="left"/>
      <w:pPr>
        <w:ind w:left="5473" w:hanging="202"/>
      </w:pPr>
      <w:rPr>
        <w:rFonts w:hint="default"/>
        <w:lang w:val="zh-CN" w:eastAsia="zh-CN" w:bidi="zh-CN"/>
      </w:rPr>
    </w:lvl>
    <w:lvl w:ilvl="6" w:tentative="0">
      <w:start w:val="0"/>
      <w:numFmt w:val="bullet"/>
      <w:lvlText w:val="•"/>
      <w:lvlJc w:val="left"/>
      <w:pPr>
        <w:ind w:left="6467" w:hanging="202"/>
      </w:pPr>
      <w:rPr>
        <w:rFonts w:hint="default"/>
        <w:lang w:val="zh-CN" w:eastAsia="zh-CN" w:bidi="zh-CN"/>
      </w:rPr>
    </w:lvl>
    <w:lvl w:ilvl="7" w:tentative="0">
      <w:start w:val="0"/>
      <w:numFmt w:val="bullet"/>
      <w:lvlText w:val="•"/>
      <w:lvlJc w:val="left"/>
      <w:pPr>
        <w:ind w:left="7462" w:hanging="202"/>
      </w:pPr>
      <w:rPr>
        <w:rFonts w:hint="default"/>
        <w:lang w:val="zh-CN" w:eastAsia="zh-CN" w:bidi="zh-CN"/>
      </w:rPr>
    </w:lvl>
    <w:lvl w:ilvl="8" w:tentative="0">
      <w:start w:val="0"/>
      <w:numFmt w:val="bullet"/>
      <w:lvlText w:val="•"/>
      <w:lvlJc w:val="left"/>
      <w:pPr>
        <w:ind w:left="8457" w:hanging="202"/>
      </w:pPr>
      <w:rPr>
        <w:rFonts w:hint="default"/>
        <w:lang w:val="zh-CN" w:eastAsia="zh-CN" w:bidi="zh-CN"/>
      </w:rPr>
    </w:lvl>
  </w:abstractNum>
  <w:abstractNum w:abstractNumId="38">
    <w:nsid w:val="60382F6E"/>
    <w:multiLevelType w:val="multilevel"/>
    <w:tmpl w:val="60382F6E"/>
    <w:lvl w:ilvl="0" w:tentative="0">
      <w:start w:val="18"/>
      <w:numFmt w:val="decimal"/>
      <w:lvlText w:val="%1."/>
      <w:lvlJc w:val="left"/>
      <w:pPr>
        <w:ind w:left="844" w:hanging="337"/>
        <w:jc w:val="left"/>
      </w:pPr>
      <w:rPr>
        <w:rFonts w:hint="default" w:ascii="Arial" w:hAnsi="Arial" w:eastAsia="Arial" w:cs="Arial"/>
        <w:b/>
        <w:bCs/>
        <w:spacing w:val="-2"/>
        <w:w w:val="99"/>
        <w:sz w:val="22"/>
        <w:szCs w:val="22"/>
        <w:lang w:val="zh-CN" w:eastAsia="zh-CN" w:bidi="zh-CN"/>
      </w:rPr>
    </w:lvl>
    <w:lvl w:ilvl="1" w:tentative="0">
      <w:start w:val="1"/>
      <w:numFmt w:val="decimal"/>
      <w:lvlText w:val="%1.%2"/>
      <w:lvlJc w:val="left"/>
      <w:pPr>
        <w:ind w:left="508" w:hanging="591"/>
        <w:jc w:val="left"/>
      </w:pPr>
      <w:rPr>
        <w:rFonts w:hint="default" w:ascii="Arial" w:hAnsi="Arial" w:eastAsia="Arial" w:cs="Arial"/>
        <w:spacing w:val="-15"/>
        <w:w w:val="99"/>
        <w:sz w:val="24"/>
        <w:szCs w:val="24"/>
        <w:lang w:val="zh-CN" w:eastAsia="zh-CN" w:bidi="zh-CN"/>
      </w:rPr>
    </w:lvl>
    <w:lvl w:ilvl="2" w:tentative="0">
      <w:start w:val="1"/>
      <w:numFmt w:val="decimal"/>
      <w:lvlText w:val="%1.%2.%3"/>
      <w:lvlJc w:val="left"/>
      <w:pPr>
        <w:ind w:left="508" w:hanging="790"/>
        <w:jc w:val="left"/>
      </w:pPr>
      <w:rPr>
        <w:rFonts w:hint="default" w:ascii="Arial" w:hAnsi="Arial" w:eastAsia="Arial" w:cs="Arial"/>
        <w:spacing w:val="-15"/>
        <w:w w:val="99"/>
        <w:sz w:val="24"/>
        <w:szCs w:val="24"/>
        <w:lang w:val="zh-CN" w:eastAsia="zh-CN" w:bidi="zh-CN"/>
      </w:rPr>
    </w:lvl>
    <w:lvl w:ilvl="3" w:tentative="0">
      <w:start w:val="0"/>
      <w:numFmt w:val="bullet"/>
      <w:lvlText w:val="•"/>
      <w:lvlJc w:val="left"/>
      <w:pPr>
        <w:ind w:left="2583" w:hanging="790"/>
      </w:pPr>
      <w:rPr>
        <w:rFonts w:hint="default"/>
        <w:lang w:val="zh-CN" w:eastAsia="zh-CN" w:bidi="zh-CN"/>
      </w:rPr>
    </w:lvl>
    <w:lvl w:ilvl="4" w:tentative="0">
      <w:start w:val="0"/>
      <w:numFmt w:val="bullet"/>
      <w:lvlText w:val="•"/>
      <w:lvlJc w:val="left"/>
      <w:pPr>
        <w:ind w:left="3706" w:hanging="790"/>
      </w:pPr>
      <w:rPr>
        <w:rFonts w:hint="default"/>
        <w:lang w:val="zh-CN" w:eastAsia="zh-CN" w:bidi="zh-CN"/>
      </w:rPr>
    </w:lvl>
    <w:lvl w:ilvl="5" w:tentative="0">
      <w:start w:val="0"/>
      <w:numFmt w:val="bullet"/>
      <w:lvlText w:val="•"/>
      <w:lvlJc w:val="left"/>
      <w:pPr>
        <w:ind w:left="4829" w:hanging="790"/>
      </w:pPr>
      <w:rPr>
        <w:rFonts w:hint="default"/>
        <w:lang w:val="zh-CN" w:eastAsia="zh-CN" w:bidi="zh-CN"/>
      </w:rPr>
    </w:lvl>
    <w:lvl w:ilvl="6" w:tentative="0">
      <w:start w:val="0"/>
      <w:numFmt w:val="bullet"/>
      <w:lvlText w:val="•"/>
      <w:lvlJc w:val="left"/>
      <w:pPr>
        <w:ind w:left="5953" w:hanging="790"/>
      </w:pPr>
      <w:rPr>
        <w:rFonts w:hint="default"/>
        <w:lang w:val="zh-CN" w:eastAsia="zh-CN" w:bidi="zh-CN"/>
      </w:rPr>
    </w:lvl>
    <w:lvl w:ilvl="7" w:tentative="0">
      <w:start w:val="0"/>
      <w:numFmt w:val="bullet"/>
      <w:lvlText w:val="•"/>
      <w:lvlJc w:val="left"/>
      <w:pPr>
        <w:ind w:left="7076" w:hanging="790"/>
      </w:pPr>
      <w:rPr>
        <w:rFonts w:hint="default"/>
        <w:lang w:val="zh-CN" w:eastAsia="zh-CN" w:bidi="zh-CN"/>
      </w:rPr>
    </w:lvl>
    <w:lvl w:ilvl="8" w:tentative="0">
      <w:start w:val="0"/>
      <w:numFmt w:val="bullet"/>
      <w:lvlText w:val="•"/>
      <w:lvlJc w:val="left"/>
      <w:pPr>
        <w:ind w:left="8199" w:hanging="790"/>
      </w:pPr>
      <w:rPr>
        <w:rFonts w:hint="default"/>
        <w:lang w:val="zh-CN" w:eastAsia="zh-CN" w:bidi="zh-CN"/>
      </w:rPr>
    </w:lvl>
  </w:abstractNum>
  <w:abstractNum w:abstractNumId="39">
    <w:nsid w:val="629F7852"/>
    <w:multiLevelType w:val="multilevel"/>
    <w:tmpl w:val="629F7852"/>
    <w:lvl w:ilvl="0" w:tentative="0">
      <w:start w:val="1"/>
      <w:numFmt w:val="decimal"/>
      <w:lvlText w:val="（%1）"/>
      <w:lvlJc w:val="left"/>
      <w:pPr>
        <w:ind w:left="1603"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484" w:hanging="616"/>
      </w:pPr>
      <w:rPr>
        <w:rFonts w:hint="default"/>
        <w:lang w:val="zh-CN" w:eastAsia="zh-CN" w:bidi="zh-CN"/>
      </w:rPr>
    </w:lvl>
    <w:lvl w:ilvl="2" w:tentative="0">
      <w:start w:val="0"/>
      <w:numFmt w:val="bullet"/>
      <w:lvlText w:val="•"/>
      <w:lvlJc w:val="left"/>
      <w:pPr>
        <w:ind w:left="3369" w:hanging="616"/>
      </w:pPr>
      <w:rPr>
        <w:rFonts w:hint="default"/>
        <w:lang w:val="zh-CN" w:eastAsia="zh-CN" w:bidi="zh-CN"/>
      </w:rPr>
    </w:lvl>
    <w:lvl w:ilvl="3" w:tentative="0">
      <w:start w:val="0"/>
      <w:numFmt w:val="bullet"/>
      <w:lvlText w:val="•"/>
      <w:lvlJc w:val="left"/>
      <w:pPr>
        <w:ind w:left="4253" w:hanging="616"/>
      </w:pPr>
      <w:rPr>
        <w:rFonts w:hint="default"/>
        <w:lang w:val="zh-CN" w:eastAsia="zh-CN" w:bidi="zh-CN"/>
      </w:rPr>
    </w:lvl>
    <w:lvl w:ilvl="4" w:tentative="0">
      <w:start w:val="0"/>
      <w:numFmt w:val="bullet"/>
      <w:lvlText w:val="•"/>
      <w:lvlJc w:val="left"/>
      <w:pPr>
        <w:ind w:left="5138" w:hanging="616"/>
      </w:pPr>
      <w:rPr>
        <w:rFonts w:hint="default"/>
        <w:lang w:val="zh-CN" w:eastAsia="zh-CN" w:bidi="zh-CN"/>
      </w:rPr>
    </w:lvl>
    <w:lvl w:ilvl="5" w:tentative="0">
      <w:start w:val="0"/>
      <w:numFmt w:val="bullet"/>
      <w:lvlText w:val="•"/>
      <w:lvlJc w:val="left"/>
      <w:pPr>
        <w:ind w:left="6023" w:hanging="616"/>
      </w:pPr>
      <w:rPr>
        <w:rFonts w:hint="default"/>
        <w:lang w:val="zh-CN" w:eastAsia="zh-CN" w:bidi="zh-CN"/>
      </w:rPr>
    </w:lvl>
    <w:lvl w:ilvl="6" w:tentative="0">
      <w:start w:val="0"/>
      <w:numFmt w:val="bullet"/>
      <w:lvlText w:val="•"/>
      <w:lvlJc w:val="left"/>
      <w:pPr>
        <w:ind w:left="6907" w:hanging="616"/>
      </w:pPr>
      <w:rPr>
        <w:rFonts w:hint="default"/>
        <w:lang w:val="zh-CN" w:eastAsia="zh-CN" w:bidi="zh-CN"/>
      </w:rPr>
    </w:lvl>
    <w:lvl w:ilvl="7" w:tentative="0">
      <w:start w:val="0"/>
      <w:numFmt w:val="bullet"/>
      <w:lvlText w:val="•"/>
      <w:lvlJc w:val="left"/>
      <w:pPr>
        <w:ind w:left="7792" w:hanging="616"/>
      </w:pPr>
      <w:rPr>
        <w:rFonts w:hint="default"/>
        <w:lang w:val="zh-CN" w:eastAsia="zh-CN" w:bidi="zh-CN"/>
      </w:rPr>
    </w:lvl>
    <w:lvl w:ilvl="8" w:tentative="0">
      <w:start w:val="0"/>
      <w:numFmt w:val="bullet"/>
      <w:lvlText w:val="•"/>
      <w:lvlJc w:val="left"/>
      <w:pPr>
        <w:ind w:left="8677" w:hanging="616"/>
      </w:pPr>
      <w:rPr>
        <w:rFonts w:hint="default"/>
        <w:lang w:val="zh-CN" w:eastAsia="zh-CN" w:bidi="zh-CN"/>
      </w:rPr>
    </w:lvl>
  </w:abstractNum>
  <w:abstractNum w:abstractNumId="40">
    <w:nsid w:val="77ECEA79"/>
    <w:multiLevelType w:val="multilevel"/>
    <w:tmpl w:val="77ECEA79"/>
    <w:lvl w:ilvl="0" w:tentative="0">
      <w:start w:val="1"/>
      <w:numFmt w:val="decimal"/>
      <w:lvlText w:val="（%1）"/>
      <w:lvlJc w:val="left"/>
      <w:pPr>
        <w:ind w:left="1603"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484" w:hanging="616"/>
      </w:pPr>
      <w:rPr>
        <w:rFonts w:hint="default"/>
        <w:lang w:val="zh-CN" w:eastAsia="zh-CN" w:bidi="zh-CN"/>
      </w:rPr>
    </w:lvl>
    <w:lvl w:ilvl="2" w:tentative="0">
      <w:start w:val="0"/>
      <w:numFmt w:val="bullet"/>
      <w:lvlText w:val="•"/>
      <w:lvlJc w:val="left"/>
      <w:pPr>
        <w:ind w:left="3369" w:hanging="616"/>
      </w:pPr>
      <w:rPr>
        <w:rFonts w:hint="default"/>
        <w:lang w:val="zh-CN" w:eastAsia="zh-CN" w:bidi="zh-CN"/>
      </w:rPr>
    </w:lvl>
    <w:lvl w:ilvl="3" w:tentative="0">
      <w:start w:val="0"/>
      <w:numFmt w:val="bullet"/>
      <w:lvlText w:val="•"/>
      <w:lvlJc w:val="left"/>
      <w:pPr>
        <w:ind w:left="4253" w:hanging="616"/>
      </w:pPr>
      <w:rPr>
        <w:rFonts w:hint="default"/>
        <w:lang w:val="zh-CN" w:eastAsia="zh-CN" w:bidi="zh-CN"/>
      </w:rPr>
    </w:lvl>
    <w:lvl w:ilvl="4" w:tentative="0">
      <w:start w:val="0"/>
      <w:numFmt w:val="bullet"/>
      <w:lvlText w:val="•"/>
      <w:lvlJc w:val="left"/>
      <w:pPr>
        <w:ind w:left="5138" w:hanging="616"/>
      </w:pPr>
      <w:rPr>
        <w:rFonts w:hint="default"/>
        <w:lang w:val="zh-CN" w:eastAsia="zh-CN" w:bidi="zh-CN"/>
      </w:rPr>
    </w:lvl>
    <w:lvl w:ilvl="5" w:tentative="0">
      <w:start w:val="0"/>
      <w:numFmt w:val="bullet"/>
      <w:lvlText w:val="•"/>
      <w:lvlJc w:val="left"/>
      <w:pPr>
        <w:ind w:left="6023" w:hanging="616"/>
      </w:pPr>
      <w:rPr>
        <w:rFonts w:hint="default"/>
        <w:lang w:val="zh-CN" w:eastAsia="zh-CN" w:bidi="zh-CN"/>
      </w:rPr>
    </w:lvl>
    <w:lvl w:ilvl="6" w:tentative="0">
      <w:start w:val="0"/>
      <w:numFmt w:val="bullet"/>
      <w:lvlText w:val="•"/>
      <w:lvlJc w:val="left"/>
      <w:pPr>
        <w:ind w:left="6907" w:hanging="616"/>
      </w:pPr>
      <w:rPr>
        <w:rFonts w:hint="default"/>
        <w:lang w:val="zh-CN" w:eastAsia="zh-CN" w:bidi="zh-CN"/>
      </w:rPr>
    </w:lvl>
    <w:lvl w:ilvl="7" w:tentative="0">
      <w:start w:val="0"/>
      <w:numFmt w:val="bullet"/>
      <w:lvlText w:val="•"/>
      <w:lvlJc w:val="left"/>
      <w:pPr>
        <w:ind w:left="7792" w:hanging="616"/>
      </w:pPr>
      <w:rPr>
        <w:rFonts w:hint="default"/>
        <w:lang w:val="zh-CN" w:eastAsia="zh-CN" w:bidi="zh-CN"/>
      </w:rPr>
    </w:lvl>
    <w:lvl w:ilvl="8" w:tentative="0">
      <w:start w:val="0"/>
      <w:numFmt w:val="bullet"/>
      <w:lvlText w:val="•"/>
      <w:lvlJc w:val="left"/>
      <w:pPr>
        <w:ind w:left="8677" w:hanging="616"/>
      </w:pPr>
      <w:rPr>
        <w:rFonts w:hint="default"/>
        <w:lang w:val="zh-CN" w:eastAsia="zh-CN" w:bidi="zh-CN"/>
      </w:rPr>
    </w:lvl>
  </w:abstractNum>
  <w:abstractNum w:abstractNumId="41">
    <w:nsid w:val="79AA4FA4"/>
    <w:multiLevelType w:val="multilevel"/>
    <w:tmpl w:val="79AA4FA4"/>
    <w:lvl w:ilvl="0" w:tentative="0">
      <w:start w:val="1"/>
      <w:numFmt w:val="decimal"/>
      <w:lvlText w:val="%1."/>
      <w:lvlJc w:val="left"/>
      <w:pPr>
        <w:ind w:left="1190"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124" w:hanging="203"/>
      </w:pPr>
      <w:rPr>
        <w:rFonts w:hint="default"/>
        <w:lang w:val="zh-CN" w:eastAsia="zh-CN" w:bidi="zh-CN"/>
      </w:rPr>
    </w:lvl>
    <w:lvl w:ilvl="2" w:tentative="0">
      <w:start w:val="0"/>
      <w:numFmt w:val="bullet"/>
      <w:lvlText w:val="•"/>
      <w:lvlJc w:val="left"/>
      <w:pPr>
        <w:ind w:left="3049" w:hanging="203"/>
      </w:pPr>
      <w:rPr>
        <w:rFonts w:hint="default"/>
        <w:lang w:val="zh-CN" w:eastAsia="zh-CN" w:bidi="zh-CN"/>
      </w:rPr>
    </w:lvl>
    <w:lvl w:ilvl="3" w:tentative="0">
      <w:start w:val="0"/>
      <w:numFmt w:val="bullet"/>
      <w:lvlText w:val="•"/>
      <w:lvlJc w:val="left"/>
      <w:pPr>
        <w:ind w:left="3973" w:hanging="203"/>
      </w:pPr>
      <w:rPr>
        <w:rFonts w:hint="default"/>
        <w:lang w:val="zh-CN" w:eastAsia="zh-CN" w:bidi="zh-CN"/>
      </w:rPr>
    </w:lvl>
    <w:lvl w:ilvl="4" w:tentative="0">
      <w:start w:val="0"/>
      <w:numFmt w:val="bullet"/>
      <w:lvlText w:val="•"/>
      <w:lvlJc w:val="left"/>
      <w:pPr>
        <w:ind w:left="4898" w:hanging="203"/>
      </w:pPr>
      <w:rPr>
        <w:rFonts w:hint="default"/>
        <w:lang w:val="zh-CN" w:eastAsia="zh-CN" w:bidi="zh-CN"/>
      </w:rPr>
    </w:lvl>
    <w:lvl w:ilvl="5" w:tentative="0">
      <w:start w:val="0"/>
      <w:numFmt w:val="bullet"/>
      <w:lvlText w:val="•"/>
      <w:lvlJc w:val="left"/>
      <w:pPr>
        <w:ind w:left="5823" w:hanging="203"/>
      </w:pPr>
      <w:rPr>
        <w:rFonts w:hint="default"/>
        <w:lang w:val="zh-CN" w:eastAsia="zh-CN" w:bidi="zh-CN"/>
      </w:rPr>
    </w:lvl>
    <w:lvl w:ilvl="6" w:tentative="0">
      <w:start w:val="0"/>
      <w:numFmt w:val="bullet"/>
      <w:lvlText w:val="•"/>
      <w:lvlJc w:val="left"/>
      <w:pPr>
        <w:ind w:left="6747" w:hanging="203"/>
      </w:pPr>
      <w:rPr>
        <w:rFonts w:hint="default"/>
        <w:lang w:val="zh-CN" w:eastAsia="zh-CN" w:bidi="zh-CN"/>
      </w:rPr>
    </w:lvl>
    <w:lvl w:ilvl="7" w:tentative="0">
      <w:start w:val="0"/>
      <w:numFmt w:val="bullet"/>
      <w:lvlText w:val="•"/>
      <w:lvlJc w:val="left"/>
      <w:pPr>
        <w:ind w:left="7672" w:hanging="203"/>
      </w:pPr>
      <w:rPr>
        <w:rFonts w:hint="default"/>
        <w:lang w:val="zh-CN" w:eastAsia="zh-CN" w:bidi="zh-CN"/>
      </w:rPr>
    </w:lvl>
    <w:lvl w:ilvl="8" w:tentative="0">
      <w:start w:val="0"/>
      <w:numFmt w:val="bullet"/>
      <w:lvlText w:val="•"/>
      <w:lvlJc w:val="left"/>
      <w:pPr>
        <w:ind w:left="8597" w:hanging="203"/>
      </w:pPr>
      <w:rPr>
        <w:rFonts w:hint="default"/>
        <w:lang w:val="zh-CN" w:eastAsia="zh-CN" w:bidi="zh-CN"/>
      </w:rPr>
    </w:lvl>
  </w:abstractNum>
  <w:abstractNum w:abstractNumId="42">
    <w:nsid w:val="7DEC2089"/>
    <w:multiLevelType w:val="multilevel"/>
    <w:tmpl w:val="7DEC2089"/>
    <w:lvl w:ilvl="0" w:tentative="0">
      <w:start w:val="1"/>
      <w:numFmt w:val="decimal"/>
      <w:lvlText w:val="%1."/>
      <w:lvlJc w:val="left"/>
      <w:pPr>
        <w:ind w:left="508"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1494" w:hanging="203"/>
      </w:pPr>
      <w:rPr>
        <w:rFonts w:hint="default"/>
        <w:lang w:val="zh-CN" w:eastAsia="zh-CN" w:bidi="zh-CN"/>
      </w:rPr>
    </w:lvl>
    <w:lvl w:ilvl="2" w:tentative="0">
      <w:start w:val="0"/>
      <w:numFmt w:val="bullet"/>
      <w:lvlText w:val="•"/>
      <w:lvlJc w:val="left"/>
      <w:pPr>
        <w:ind w:left="2489" w:hanging="203"/>
      </w:pPr>
      <w:rPr>
        <w:rFonts w:hint="default"/>
        <w:lang w:val="zh-CN" w:eastAsia="zh-CN" w:bidi="zh-CN"/>
      </w:rPr>
    </w:lvl>
    <w:lvl w:ilvl="3" w:tentative="0">
      <w:start w:val="0"/>
      <w:numFmt w:val="bullet"/>
      <w:lvlText w:val="•"/>
      <w:lvlJc w:val="left"/>
      <w:pPr>
        <w:ind w:left="3483" w:hanging="203"/>
      </w:pPr>
      <w:rPr>
        <w:rFonts w:hint="default"/>
        <w:lang w:val="zh-CN" w:eastAsia="zh-CN" w:bidi="zh-CN"/>
      </w:rPr>
    </w:lvl>
    <w:lvl w:ilvl="4" w:tentative="0">
      <w:start w:val="0"/>
      <w:numFmt w:val="bullet"/>
      <w:lvlText w:val="•"/>
      <w:lvlJc w:val="left"/>
      <w:pPr>
        <w:ind w:left="4478" w:hanging="203"/>
      </w:pPr>
      <w:rPr>
        <w:rFonts w:hint="default"/>
        <w:lang w:val="zh-CN" w:eastAsia="zh-CN" w:bidi="zh-CN"/>
      </w:rPr>
    </w:lvl>
    <w:lvl w:ilvl="5" w:tentative="0">
      <w:start w:val="0"/>
      <w:numFmt w:val="bullet"/>
      <w:lvlText w:val="•"/>
      <w:lvlJc w:val="left"/>
      <w:pPr>
        <w:ind w:left="5473" w:hanging="203"/>
      </w:pPr>
      <w:rPr>
        <w:rFonts w:hint="default"/>
        <w:lang w:val="zh-CN" w:eastAsia="zh-CN" w:bidi="zh-CN"/>
      </w:rPr>
    </w:lvl>
    <w:lvl w:ilvl="6" w:tentative="0">
      <w:start w:val="0"/>
      <w:numFmt w:val="bullet"/>
      <w:lvlText w:val="•"/>
      <w:lvlJc w:val="left"/>
      <w:pPr>
        <w:ind w:left="6467" w:hanging="203"/>
      </w:pPr>
      <w:rPr>
        <w:rFonts w:hint="default"/>
        <w:lang w:val="zh-CN" w:eastAsia="zh-CN" w:bidi="zh-CN"/>
      </w:rPr>
    </w:lvl>
    <w:lvl w:ilvl="7" w:tentative="0">
      <w:start w:val="0"/>
      <w:numFmt w:val="bullet"/>
      <w:lvlText w:val="•"/>
      <w:lvlJc w:val="left"/>
      <w:pPr>
        <w:ind w:left="7462" w:hanging="203"/>
      </w:pPr>
      <w:rPr>
        <w:rFonts w:hint="default"/>
        <w:lang w:val="zh-CN" w:eastAsia="zh-CN" w:bidi="zh-CN"/>
      </w:rPr>
    </w:lvl>
    <w:lvl w:ilvl="8" w:tentative="0">
      <w:start w:val="0"/>
      <w:numFmt w:val="bullet"/>
      <w:lvlText w:val="•"/>
      <w:lvlJc w:val="left"/>
      <w:pPr>
        <w:ind w:left="8457" w:hanging="203"/>
      </w:pPr>
      <w:rPr>
        <w:rFonts w:hint="default"/>
        <w:lang w:val="zh-CN" w:eastAsia="zh-CN" w:bidi="zh-CN"/>
      </w:rPr>
    </w:lvl>
  </w:abstractNum>
  <w:num w:numId="1">
    <w:abstractNumId w:val="20"/>
  </w:num>
  <w:num w:numId="2">
    <w:abstractNumId w:val="14"/>
  </w:num>
  <w:num w:numId="3">
    <w:abstractNumId w:val="35"/>
  </w:num>
  <w:num w:numId="4">
    <w:abstractNumId w:val="12"/>
  </w:num>
  <w:num w:numId="5">
    <w:abstractNumId w:val="8"/>
  </w:num>
  <w:num w:numId="6">
    <w:abstractNumId w:val="26"/>
  </w:num>
  <w:num w:numId="7">
    <w:abstractNumId w:val="21"/>
  </w:num>
  <w:num w:numId="8">
    <w:abstractNumId w:val="5"/>
  </w:num>
  <w:num w:numId="9">
    <w:abstractNumId w:val="27"/>
  </w:num>
  <w:num w:numId="10">
    <w:abstractNumId w:val="36"/>
  </w:num>
  <w:num w:numId="11">
    <w:abstractNumId w:val="13"/>
  </w:num>
  <w:num w:numId="12">
    <w:abstractNumId w:val="32"/>
  </w:num>
  <w:num w:numId="13">
    <w:abstractNumId w:val="18"/>
  </w:num>
  <w:num w:numId="14">
    <w:abstractNumId w:val="25"/>
  </w:num>
  <w:num w:numId="15">
    <w:abstractNumId w:val="16"/>
  </w:num>
  <w:num w:numId="16">
    <w:abstractNumId w:val="15"/>
  </w:num>
  <w:num w:numId="17">
    <w:abstractNumId w:val="7"/>
  </w:num>
  <w:num w:numId="18">
    <w:abstractNumId w:val="31"/>
  </w:num>
  <w:num w:numId="19">
    <w:abstractNumId w:val="38"/>
  </w:num>
  <w:num w:numId="20">
    <w:abstractNumId w:val="22"/>
  </w:num>
  <w:num w:numId="21">
    <w:abstractNumId w:val="30"/>
  </w:num>
  <w:num w:numId="22">
    <w:abstractNumId w:val="40"/>
  </w:num>
  <w:num w:numId="23">
    <w:abstractNumId w:val="11"/>
  </w:num>
  <w:num w:numId="24">
    <w:abstractNumId w:val="39"/>
  </w:num>
  <w:num w:numId="25">
    <w:abstractNumId w:val="6"/>
  </w:num>
  <w:num w:numId="26">
    <w:abstractNumId w:val="29"/>
  </w:num>
  <w:num w:numId="27">
    <w:abstractNumId w:val="2"/>
  </w:num>
  <w:num w:numId="28">
    <w:abstractNumId w:val="34"/>
  </w:num>
  <w:num w:numId="29">
    <w:abstractNumId w:val="42"/>
  </w:num>
  <w:num w:numId="30">
    <w:abstractNumId w:val="0"/>
  </w:num>
  <w:num w:numId="31">
    <w:abstractNumId w:val="24"/>
  </w:num>
  <w:num w:numId="32">
    <w:abstractNumId w:val="33"/>
  </w:num>
  <w:num w:numId="33">
    <w:abstractNumId w:val="19"/>
  </w:num>
  <w:num w:numId="34">
    <w:abstractNumId w:val="17"/>
  </w:num>
  <w:num w:numId="35">
    <w:abstractNumId w:val="28"/>
  </w:num>
  <w:num w:numId="36">
    <w:abstractNumId w:val="41"/>
  </w:num>
  <w:num w:numId="37">
    <w:abstractNumId w:val="10"/>
  </w:num>
  <w:num w:numId="38">
    <w:abstractNumId w:val="4"/>
  </w:num>
  <w:num w:numId="39">
    <w:abstractNumId w:val="9"/>
  </w:num>
  <w:num w:numId="40">
    <w:abstractNumId w:val="37"/>
  </w:num>
  <w:num w:numId="41">
    <w:abstractNumId w:val="1"/>
  </w:num>
  <w:num w:numId="42">
    <w:abstractNumId w:val="2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E23BF"/>
    <w:rsid w:val="0F8A30CC"/>
    <w:rsid w:val="11054477"/>
    <w:rsid w:val="1257415B"/>
    <w:rsid w:val="14405497"/>
    <w:rsid w:val="147903CD"/>
    <w:rsid w:val="15EA00B3"/>
    <w:rsid w:val="23B84012"/>
    <w:rsid w:val="254849D7"/>
    <w:rsid w:val="27E71C7F"/>
    <w:rsid w:val="2A524D59"/>
    <w:rsid w:val="32AE2EBF"/>
    <w:rsid w:val="3AAF1FFD"/>
    <w:rsid w:val="3D0544D7"/>
    <w:rsid w:val="41D50821"/>
    <w:rsid w:val="44563C1F"/>
    <w:rsid w:val="46661B41"/>
    <w:rsid w:val="48486DED"/>
    <w:rsid w:val="51CF295F"/>
    <w:rsid w:val="51DE0F6C"/>
    <w:rsid w:val="524C4512"/>
    <w:rsid w:val="54335937"/>
    <w:rsid w:val="55084B4D"/>
    <w:rsid w:val="59F45514"/>
    <w:rsid w:val="5C776FE4"/>
    <w:rsid w:val="60147A09"/>
    <w:rsid w:val="632A2696"/>
    <w:rsid w:val="69E01895"/>
    <w:rsid w:val="6E444F87"/>
    <w:rsid w:val="712260C1"/>
    <w:rsid w:val="71446945"/>
    <w:rsid w:val="75446CFA"/>
    <w:rsid w:val="77A31DC2"/>
    <w:rsid w:val="78A77243"/>
    <w:rsid w:val="7ED56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397" w:right="411"/>
      <w:jc w:val="center"/>
      <w:outlineLvl w:val="1"/>
    </w:pPr>
    <w:rPr>
      <w:rFonts w:ascii="宋体" w:hAnsi="宋体" w:eastAsia="宋体" w:cs="宋体"/>
      <w:sz w:val="36"/>
      <w:szCs w:val="36"/>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158"/>
      <w:ind w:left="512"/>
    </w:pPr>
    <w:rPr>
      <w:rFonts w:ascii="宋体" w:hAnsi="宋体" w:eastAsia="宋体" w:cs="宋体"/>
      <w:sz w:val="24"/>
      <w:szCs w:val="24"/>
      <w:lang w:val="zh-CN" w:eastAsia="zh-CN" w:bidi="zh-CN"/>
    </w:rPr>
  </w:style>
  <w:style w:type="paragraph" w:styleId="7">
    <w:name w:val="Normal (Web)"/>
    <w:basedOn w:val="1"/>
    <w:qFormat/>
    <w:uiPriority w:val="99"/>
  </w:style>
  <w:style w:type="paragraph" w:styleId="8">
    <w:name w:val="Body Text First Indent"/>
    <w:basedOn w:val="2"/>
    <w:next w:val="1"/>
    <w:unhideWhenUsed/>
    <w:qFormat/>
    <w:uiPriority w:val="99"/>
    <w:pPr>
      <w:ind w:firstLine="420" w:firstLineChars="1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508" w:firstLine="480"/>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p0"/>
    <w:basedOn w:val="1"/>
    <w:qFormat/>
    <w:uiPriority w:val="0"/>
    <w:pPr>
      <w:widowControl/>
    </w:pPr>
    <w:rPr>
      <w:rFonts w:ascii="宋体" w:hAnsi="宋体" w:cs="宋体"/>
      <w:kern w:val="0"/>
    </w:rPr>
  </w:style>
  <w:style w:type="character" w:customStyle="1" w:styleId="16">
    <w:name w:val="font31"/>
    <w:basedOn w:val="11"/>
    <w:qFormat/>
    <w:uiPriority w:val="0"/>
    <w:rPr>
      <w:rFonts w:hint="eastAsia" w:ascii="宋体" w:hAnsi="宋体" w:eastAsia="宋体" w:cs="宋体"/>
      <w:color w:val="000000"/>
      <w:sz w:val="24"/>
      <w:szCs w:val="24"/>
      <w:u w:val="none"/>
    </w:rPr>
  </w:style>
  <w:style w:type="character" w:customStyle="1" w:styleId="17">
    <w:name w:val="font01"/>
    <w:basedOn w:val="11"/>
    <w:qFormat/>
    <w:uiPriority w:val="0"/>
    <w:rPr>
      <w:rFonts w:hint="eastAsia" w:ascii="宋体" w:hAnsi="宋体" w:eastAsia="宋体" w:cs="宋体"/>
      <w:b/>
      <w:color w:val="000000"/>
      <w:sz w:val="24"/>
      <w:szCs w:val="24"/>
      <w:u w:val="none"/>
    </w:rPr>
  </w:style>
  <w:style w:type="character" w:customStyle="1" w:styleId="18">
    <w:name w:val="font2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2020-08-03T02:57:00Z</dcterms:created>
  <dc:creator>南柯一梦</dc:creator>
  <cp:lastModifiedBy>小陀螺1376620885</cp:lastModifiedBy>
  <dcterms:modified xsi:type="dcterms:W3CDTF">2020-09-06T11:04:01Z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Office Word 2007</vt:lpwstr>
  </property>
  <property fmtid="{D5CDD505-2E9C-101B-9397-08002B2CF9AE}" pid="4" name="LastSaved">
    <vt:filetime>2020-08-03T00:00:00Z</vt:filetime>
  </property>
  <property fmtid="{D5CDD505-2E9C-101B-9397-08002B2CF9AE}" pid="5" name="KSOProductBuildVer">
    <vt:lpwstr>2052-11.1.0.9912</vt:lpwstr>
  </property>
</Properties>
</file>