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rPr>
          <w:rFonts w:hint="eastAsia"/>
        </w:rPr>
      </w:pPr>
    </w:p>
    <w:p>
      <w:pPr>
        <w:tabs>
          <w:tab w:val="left" w:pos="5142"/>
        </w:tabs>
        <w:adjustRightInd w:val="0"/>
        <w:snapToGrid w:val="0"/>
        <w:spacing w:line="360" w:lineRule="auto"/>
        <w:jc w:val="center"/>
        <w:rPr>
          <w:rFonts w:hint="eastAsia"/>
        </w:rPr>
      </w:pPr>
      <w:r>
        <w:rPr>
          <w:rFonts w:hint="eastAsia"/>
        </w:rPr>
        <w:drawing>
          <wp:inline distT="0" distB="0" distL="0" distR="0">
            <wp:extent cx="1084580" cy="1658620"/>
            <wp:effectExtent l="19050" t="0" r="1270" b="0"/>
            <wp:docPr id="68" name="图片 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9" descr="图片1"/>
                    <pic:cNvPicPr>
                      <a:picLocks noChangeAspect="1" noChangeArrowheads="1"/>
                    </pic:cNvPicPr>
                  </pic:nvPicPr>
                  <pic:blipFill>
                    <a:blip r:embed="rId12" cstate="print"/>
                    <a:srcRect/>
                    <a:stretch>
                      <a:fillRect/>
                    </a:stretch>
                  </pic:blipFill>
                  <pic:spPr>
                    <a:xfrm>
                      <a:off x="0" y="0"/>
                      <a:ext cx="1084580" cy="1658620"/>
                    </a:xfrm>
                    <a:prstGeom prst="rect">
                      <a:avLst/>
                    </a:prstGeom>
                    <a:noFill/>
                    <a:ln w="9525" cmpd="sng">
                      <a:noFill/>
                      <a:miter lim="800000"/>
                      <a:headEnd/>
                      <a:tailEnd/>
                    </a:ln>
                  </pic:spPr>
                </pic:pic>
              </a:graphicData>
            </a:graphic>
          </wp:inline>
        </w:drawing>
      </w:r>
    </w:p>
    <w:p>
      <w:pPr>
        <w:spacing w:line="360" w:lineRule="auto"/>
        <w:jc w:val="center"/>
        <w:rPr>
          <w:rFonts w:hint="eastAsia" w:ascii="宋体" w:hAnsi="宋体" w:eastAsia="宋体" w:cs="宋体"/>
          <w:b/>
          <w:sz w:val="30"/>
          <w:szCs w:val="30"/>
          <w:lang w:eastAsia="zh-CN"/>
        </w:rPr>
      </w:pPr>
      <w:r>
        <w:rPr>
          <w:rFonts w:hint="eastAsia" w:ascii="宋体" w:hAnsi="宋体" w:cs="宋体"/>
          <w:b/>
          <w:sz w:val="30"/>
          <w:szCs w:val="30"/>
        </w:rPr>
        <w:t>项目编号：</w:t>
      </w:r>
      <w:r>
        <w:rPr>
          <w:rFonts w:hint="eastAsia" w:ascii="宋体" w:hAnsi="宋体" w:cs="宋体"/>
          <w:b/>
          <w:color w:val="000000"/>
          <w:sz w:val="30"/>
          <w:szCs w:val="30"/>
          <w:lang w:eastAsia="zh-CN"/>
        </w:rPr>
        <w:t>510124202100161</w:t>
      </w:r>
    </w:p>
    <w:p>
      <w:pPr>
        <w:pStyle w:val="67"/>
        <w:rPr>
          <w:rFonts w:hint="eastAsia"/>
          <w:color w:val="auto"/>
        </w:rPr>
      </w:pPr>
    </w:p>
    <w:p>
      <w:pPr>
        <w:tabs>
          <w:tab w:val="left" w:pos="5142"/>
        </w:tabs>
        <w:adjustRightInd w:val="0"/>
        <w:snapToGrid w:val="0"/>
        <w:spacing w:line="360" w:lineRule="auto"/>
        <w:jc w:val="center"/>
        <w:rPr>
          <w:rFonts w:hint="eastAsia" w:ascii="宋体"/>
          <w:b/>
          <w:sz w:val="48"/>
          <w:szCs w:val="48"/>
        </w:rPr>
      </w:pPr>
      <w:r>
        <w:rPr>
          <w:rFonts w:hint="eastAsia" w:ascii="宋体" w:hAnsi="宋体" w:cs="宋体"/>
          <w:b/>
          <w:bCs/>
          <w:sz w:val="52"/>
          <w:szCs w:val="52"/>
        </w:rPr>
        <w:t>四川省成都市郫都区综合行政执法局成都现代工业港2021-2024年度环卫清扫保洁服务项目</w:t>
      </w:r>
    </w:p>
    <w:p>
      <w:pPr>
        <w:tabs>
          <w:tab w:val="left" w:pos="5142"/>
        </w:tabs>
        <w:ind w:firstLine="2560" w:firstLineChars="850"/>
        <w:rPr>
          <w:rFonts w:hint="eastAsia" w:ascii="宋体"/>
          <w:b/>
          <w:sz w:val="30"/>
          <w:szCs w:val="30"/>
        </w:rPr>
      </w:pPr>
    </w:p>
    <w:p>
      <w:pPr>
        <w:pStyle w:val="2"/>
        <w:rPr>
          <w:rFonts w:hint="eastAsia"/>
        </w:rPr>
      </w:pPr>
    </w:p>
    <w:p>
      <w:pPr>
        <w:jc w:val="center"/>
        <w:rPr>
          <w:rFonts w:hint="eastAsia"/>
          <w:b/>
          <w:sz w:val="84"/>
          <w:szCs w:val="84"/>
        </w:rPr>
      </w:pPr>
      <w:r>
        <w:rPr>
          <w:rFonts w:hint="eastAsia" w:ascii="宋体" w:hAnsi="宋体"/>
          <w:b/>
          <w:sz w:val="84"/>
          <w:szCs w:val="84"/>
        </w:rPr>
        <w:t>招</w:t>
      </w:r>
      <w:r>
        <w:rPr>
          <w:rFonts w:hint="eastAsia"/>
          <w:b/>
          <w:sz w:val="84"/>
          <w:szCs w:val="84"/>
        </w:rPr>
        <w:t>标文件</w:t>
      </w:r>
    </w:p>
    <w:p>
      <w:pPr>
        <w:spacing w:line="360" w:lineRule="auto"/>
        <w:rPr>
          <w:rFonts w:hint="eastAsia"/>
          <w:b/>
          <w:sz w:val="32"/>
          <w:szCs w:val="32"/>
        </w:rPr>
      </w:pPr>
    </w:p>
    <w:p>
      <w:pPr>
        <w:spacing w:line="360" w:lineRule="auto"/>
        <w:rPr>
          <w:rFonts w:hint="eastAsia"/>
          <w:b/>
          <w:sz w:val="32"/>
          <w:szCs w:val="32"/>
        </w:rPr>
      </w:pPr>
    </w:p>
    <w:p>
      <w:pPr>
        <w:pStyle w:val="2"/>
        <w:rPr>
          <w:rFonts w:hint="eastAsia"/>
        </w:rPr>
      </w:pPr>
    </w:p>
    <w:p>
      <w:pPr>
        <w:spacing w:line="360" w:lineRule="auto"/>
        <w:jc w:val="center"/>
        <w:rPr>
          <w:rFonts w:hint="eastAsia" w:ascii="宋体" w:hAnsi="宋体"/>
          <w:b/>
          <w:sz w:val="32"/>
          <w:szCs w:val="32"/>
        </w:rPr>
      </w:pPr>
      <w:r>
        <w:rPr>
          <w:rFonts w:hint="eastAsia" w:ascii="宋体" w:hAnsi="宋体"/>
          <w:b/>
          <w:sz w:val="32"/>
          <w:szCs w:val="32"/>
        </w:rPr>
        <w:t>中国·四川</w:t>
      </w:r>
    </w:p>
    <w:p>
      <w:pPr>
        <w:spacing w:line="360" w:lineRule="auto"/>
        <w:jc w:val="center"/>
        <w:rPr>
          <w:rFonts w:hint="eastAsia" w:ascii="宋体" w:hAnsi="宋体"/>
          <w:b/>
          <w:sz w:val="30"/>
          <w:szCs w:val="30"/>
        </w:rPr>
      </w:pPr>
      <w:r>
        <w:rPr>
          <w:rFonts w:hint="eastAsia" w:ascii="宋体" w:hAnsi="宋体"/>
          <w:b/>
          <w:sz w:val="30"/>
          <w:szCs w:val="30"/>
        </w:rPr>
        <w:t>成都市郫都区综合行政执法局</w:t>
      </w:r>
    </w:p>
    <w:p>
      <w:pPr>
        <w:spacing w:line="360" w:lineRule="auto"/>
        <w:jc w:val="center"/>
        <w:rPr>
          <w:rFonts w:hint="eastAsia" w:ascii="宋体" w:hAnsi="宋体"/>
          <w:b/>
          <w:sz w:val="30"/>
          <w:szCs w:val="30"/>
        </w:rPr>
      </w:pPr>
      <w:r>
        <w:rPr>
          <w:rFonts w:hint="eastAsia" w:ascii="宋体" w:hAnsi="宋体"/>
          <w:b/>
          <w:sz w:val="30"/>
          <w:szCs w:val="30"/>
        </w:rPr>
        <w:t>四川浩行招标代理有限公司</w:t>
      </w:r>
    </w:p>
    <w:p>
      <w:pPr>
        <w:spacing w:line="360" w:lineRule="auto"/>
        <w:jc w:val="center"/>
        <w:rPr>
          <w:rFonts w:hint="eastAsia" w:ascii="宋体" w:hAnsi="宋体"/>
          <w:b/>
          <w:sz w:val="32"/>
          <w:szCs w:val="32"/>
        </w:rPr>
      </w:pPr>
      <w:r>
        <w:rPr>
          <w:rFonts w:hint="eastAsia" w:ascii="宋体" w:hAnsi="宋体"/>
          <w:b/>
          <w:sz w:val="32"/>
          <w:szCs w:val="32"/>
        </w:rPr>
        <w:t>共同编制</w:t>
      </w:r>
    </w:p>
    <w:p>
      <w:pPr>
        <w:spacing w:line="360" w:lineRule="auto"/>
        <w:ind w:firstLine="3602" w:firstLineChars="1196"/>
        <w:rPr>
          <w:rFonts w:hint="eastAsia" w:ascii="宋体" w:hAnsi="宋体"/>
          <w:sz w:val="24"/>
        </w:rPr>
      </w:pPr>
      <w:r>
        <w:rPr>
          <w:rFonts w:hint="eastAsia" w:ascii="宋体" w:hAnsi="宋体"/>
          <w:b/>
          <w:sz w:val="30"/>
          <w:szCs w:val="30"/>
        </w:rPr>
        <w:t>202</w:t>
      </w:r>
      <w:r>
        <w:rPr>
          <w:rFonts w:ascii="宋体" w:hAnsi="宋体"/>
          <w:b/>
          <w:sz w:val="30"/>
          <w:szCs w:val="30"/>
        </w:rPr>
        <w:t>1</w:t>
      </w:r>
      <w:r>
        <w:rPr>
          <w:rFonts w:hint="eastAsia" w:ascii="宋体" w:hAnsi="宋体"/>
          <w:b/>
          <w:sz w:val="30"/>
          <w:szCs w:val="30"/>
        </w:rPr>
        <w:t>年8月</w:t>
      </w:r>
    </w:p>
    <w:p>
      <w:pPr>
        <w:pStyle w:val="2"/>
        <w:rPr>
          <w:rFonts w:hint="eastAsia"/>
        </w:rPr>
      </w:pPr>
    </w:p>
    <w:p>
      <w:pPr>
        <w:pStyle w:val="57"/>
        <w:ind w:firstLine="0" w:firstLineChars="0"/>
        <w:rPr>
          <w:rFonts w:ascii="宋体"/>
          <w:bCs/>
          <w:sz w:val="24"/>
        </w:rPr>
        <w:sectPr>
          <w:headerReference r:id="rId3" w:type="default"/>
          <w:headerReference r:id="rId4" w:type="even"/>
          <w:footerReference r:id="rId5" w:type="even"/>
          <w:pgSz w:w="11907" w:h="16840"/>
          <w:pgMar w:top="1440" w:right="1474" w:bottom="1440" w:left="1474" w:header="851" w:footer="992" w:gutter="0"/>
          <w:cols w:space="720" w:num="1"/>
          <w:docGrid w:linePitch="312" w:charSpace="0"/>
        </w:sectPr>
      </w:pPr>
    </w:p>
    <w:p>
      <w:pPr>
        <w:pStyle w:val="11"/>
        <w:rPr>
          <w:rFonts w:hint="eastAsia"/>
          <w:b/>
          <w:bCs/>
          <w:sz w:val="30"/>
          <w:szCs w:val="30"/>
        </w:rPr>
      </w:pPr>
    </w:p>
    <w:p>
      <w:pPr>
        <w:jc w:val="center"/>
        <w:rPr>
          <w:b/>
          <w:bCs/>
          <w:sz w:val="40"/>
          <w:szCs w:val="40"/>
        </w:rPr>
      </w:pPr>
      <w:r>
        <w:rPr>
          <w:rFonts w:ascii="宋体" w:hAnsi="宋体"/>
          <w:b/>
          <w:bCs/>
          <w:sz w:val="40"/>
          <w:szCs w:val="40"/>
        </w:rPr>
        <w:t>目</w:t>
      </w:r>
      <w:r>
        <w:rPr>
          <w:rFonts w:hint="eastAsia" w:ascii="宋体" w:hAnsi="宋体"/>
          <w:b/>
          <w:bCs/>
          <w:sz w:val="40"/>
          <w:szCs w:val="40"/>
        </w:rPr>
        <w:t xml:space="preserve">  </w:t>
      </w:r>
      <w:r>
        <w:rPr>
          <w:rFonts w:ascii="宋体" w:hAnsi="宋体"/>
          <w:b/>
          <w:bCs/>
          <w:sz w:val="40"/>
          <w:szCs w:val="40"/>
        </w:rPr>
        <w:t>录</w:t>
      </w:r>
    </w:p>
    <w:p>
      <w:pPr>
        <w:pStyle w:val="16"/>
        <w:tabs>
          <w:tab w:val="right" w:leader="dot" w:pos="8959"/>
        </w:tabs>
        <w:spacing w:line="360" w:lineRule="auto"/>
        <w:rPr>
          <w:rFonts w:hint="eastAsia" w:ascii="宋体" w:hAnsi="宋体" w:cs="宋体"/>
          <w:bCs/>
          <w:sz w:val="28"/>
          <w:szCs w:val="28"/>
        </w:rPr>
      </w:pPr>
    </w:p>
    <w:p>
      <w:pPr>
        <w:pStyle w:val="16"/>
        <w:tabs>
          <w:tab w:val="right" w:leader="dot" w:pos="8959"/>
        </w:tabs>
        <w:spacing w:line="360" w:lineRule="auto"/>
        <w:rPr>
          <w:rFonts w:hint="eastAsia" w:ascii="宋体" w:hAnsi="宋体" w:cs="宋体"/>
          <w:sz w:val="28"/>
          <w:szCs w:val="28"/>
        </w:rPr>
      </w:pPr>
      <w:r>
        <w:rPr>
          <w:rFonts w:hint="eastAsia" w:ascii="宋体" w:hAnsi="宋体" w:cs="宋体"/>
          <w:bCs/>
          <w:sz w:val="28"/>
          <w:szCs w:val="28"/>
        </w:rPr>
        <w:fldChar w:fldCharType="begin"/>
      </w:r>
      <w:r>
        <w:rPr>
          <w:rFonts w:hint="eastAsia" w:ascii="宋体" w:hAnsi="宋体" w:cs="宋体"/>
          <w:bCs/>
          <w:sz w:val="28"/>
          <w:szCs w:val="28"/>
        </w:rPr>
        <w:instrText xml:space="preserve">TOC \o "1-1" \h \u </w:instrText>
      </w:r>
      <w:r>
        <w:rPr>
          <w:rFonts w:hint="eastAsia" w:ascii="宋体" w:hAnsi="宋体" w:cs="宋体"/>
          <w:bCs/>
          <w:sz w:val="28"/>
          <w:szCs w:val="28"/>
        </w:rPr>
        <w:fldChar w:fldCharType="separate"/>
      </w:r>
      <w:r>
        <w:fldChar w:fldCharType="begin"/>
      </w:r>
      <w:r>
        <w:instrText xml:space="preserve"> HYPERLINK \l "_Toc10749" </w:instrText>
      </w:r>
      <w:r>
        <w:fldChar w:fldCharType="separate"/>
      </w:r>
      <w:r>
        <w:rPr>
          <w:rFonts w:hint="eastAsia" w:ascii="宋体" w:hAnsi="宋体" w:cs="宋体"/>
          <w:sz w:val="28"/>
          <w:szCs w:val="28"/>
        </w:rPr>
        <w:t>第一章  投标邀请</w:t>
      </w:r>
      <w:r>
        <w:rPr>
          <w:rFonts w:hint="eastAsia" w:ascii="宋体" w:hAnsi="宋体" w:cs="宋体"/>
          <w:sz w:val="28"/>
          <w:szCs w:val="28"/>
        </w:rPr>
        <w:tab/>
      </w:r>
      <w:r>
        <w:rPr>
          <w:rFonts w:hint="eastAsia" w:ascii="宋体" w:hAnsi="宋体" w:cs="宋体"/>
          <w:sz w:val="28"/>
          <w:szCs w:val="28"/>
        </w:rPr>
        <w:fldChar w:fldCharType="begin"/>
      </w:r>
      <w:r>
        <w:rPr>
          <w:rFonts w:hint="eastAsia" w:ascii="宋体" w:hAnsi="宋体" w:cs="宋体"/>
          <w:sz w:val="28"/>
          <w:szCs w:val="28"/>
        </w:rPr>
        <w:instrText xml:space="preserve"> PAGEREF _Toc10749 \h </w:instrText>
      </w:r>
      <w:r>
        <w:rPr>
          <w:rFonts w:hint="eastAsia" w:ascii="宋体" w:hAnsi="宋体" w:cs="宋体"/>
          <w:sz w:val="28"/>
          <w:szCs w:val="28"/>
        </w:rPr>
        <w:fldChar w:fldCharType="separate"/>
      </w:r>
      <w:r>
        <w:rPr>
          <w:rFonts w:hint="eastAsia" w:ascii="宋体" w:hAnsi="宋体" w:cs="宋体"/>
          <w:sz w:val="28"/>
          <w:szCs w:val="28"/>
        </w:rPr>
        <w:t>1</w:t>
      </w:r>
      <w:r>
        <w:rPr>
          <w:rFonts w:hint="eastAsia" w:ascii="宋体" w:hAnsi="宋体" w:cs="宋体"/>
          <w:sz w:val="28"/>
          <w:szCs w:val="28"/>
        </w:rPr>
        <w:fldChar w:fldCharType="end"/>
      </w:r>
      <w:r>
        <w:rPr>
          <w:rFonts w:hint="eastAsia" w:ascii="宋体" w:hAnsi="宋体" w:cs="宋体"/>
          <w:sz w:val="28"/>
          <w:szCs w:val="28"/>
        </w:rPr>
        <w:fldChar w:fldCharType="end"/>
      </w:r>
    </w:p>
    <w:p>
      <w:pPr>
        <w:pStyle w:val="16"/>
        <w:tabs>
          <w:tab w:val="right" w:leader="dot" w:pos="8959"/>
        </w:tabs>
        <w:spacing w:line="360" w:lineRule="auto"/>
        <w:rPr>
          <w:rFonts w:hint="eastAsia" w:ascii="宋体" w:hAnsi="宋体" w:cs="宋体"/>
          <w:sz w:val="28"/>
          <w:szCs w:val="28"/>
        </w:rPr>
      </w:pPr>
      <w:r>
        <w:fldChar w:fldCharType="begin"/>
      </w:r>
      <w:r>
        <w:instrText xml:space="preserve"> HYPERLINK \l "_Toc19758" </w:instrText>
      </w:r>
      <w:r>
        <w:fldChar w:fldCharType="separate"/>
      </w:r>
      <w:r>
        <w:rPr>
          <w:rFonts w:hint="eastAsia" w:ascii="宋体" w:hAnsi="宋体" w:cs="宋体"/>
          <w:sz w:val="28"/>
          <w:szCs w:val="28"/>
        </w:rPr>
        <w:t>第二章  投标人须知</w:t>
      </w:r>
      <w:r>
        <w:rPr>
          <w:rFonts w:hint="eastAsia" w:ascii="宋体" w:hAnsi="宋体" w:cs="宋体"/>
          <w:sz w:val="28"/>
          <w:szCs w:val="28"/>
        </w:rPr>
        <w:tab/>
      </w:r>
      <w:r>
        <w:rPr>
          <w:rFonts w:hint="eastAsia" w:ascii="宋体" w:hAnsi="宋体" w:cs="宋体"/>
          <w:sz w:val="28"/>
          <w:szCs w:val="28"/>
        </w:rPr>
        <w:fldChar w:fldCharType="begin"/>
      </w:r>
      <w:r>
        <w:rPr>
          <w:rFonts w:hint="eastAsia" w:ascii="宋体" w:hAnsi="宋体" w:cs="宋体"/>
          <w:sz w:val="28"/>
          <w:szCs w:val="28"/>
        </w:rPr>
        <w:instrText xml:space="preserve"> PAGEREF _Toc19758 \h </w:instrText>
      </w:r>
      <w:r>
        <w:rPr>
          <w:rFonts w:hint="eastAsia" w:ascii="宋体" w:hAnsi="宋体" w:cs="宋体"/>
          <w:sz w:val="28"/>
          <w:szCs w:val="28"/>
        </w:rPr>
        <w:fldChar w:fldCharType="separate"/>
      </w:r>
      <w:r>
        <w:rPr>
          <w:rFonts w:hint="eastAsia" w:ascii="宋体" w:hAnsi="宋体" w:cs="宋体"/>
          <w:sz w:val="28"/>
          <w:szCs w:val="28"/>
        </w:rPr>
        <w:t>4</w:t>
      </w:r>
      <w:r>
        <w:rPr>
          <w:rFonts w:hint="eastAsia" w:ascii="宋体" w:hAnsi="宋体" w:cs="宋体"/>
          <w:sz w:val="28"/>
          <w:szCs w:val="28"/>
        </w:rPr>
        <w:fldChar w:fldCharType="end"/>
      </w:r>
      <w:r>
        <w:rPr>
          <w:rFonts w:hint="eastAsia" w:ascii="宋体" w:hAnsi="宋体" w:cs="宋体"/>
          <w:sz w:val="28"/>
          <w:szCs w:val="28"/>
        </w:rPr>
        <w:fldChar w:fldCharType="end"/>
      </w:r>
    </w:p>
    <w:p>
      <w:pPr>
        <w:pStyle w:val="16"/>
        <w:tabs>
          <w:tab w:val="right" w:leader="dot" w:pos="8959"/>
        </w:tabs>
        <w:spacing w:line="360" w:lineRule="auto"/>
        <w:rPr>
          <w:rFonts w:hint="eastAsia" w:ascii="宋体" w:hAnsi="宋体" w:cs="宋体"/>
          <w:sz w:val="28"/>
          <w:szCs w:val="28"/>
        </w:rPr>
      </w:pPr>
      <w:r>
        <w:fldChar w:fldCharType="begin"/>
      </w:r>
      <w:r>
        <w:instrText xml:space="preserve"> HYPERLINK \l "_Toc21400" </w:instrText>
      </w:r>
      <w:r>
        <w:fldChar w:fldCharType="separate"/>
      </w:r>
      <w:r>
        <w:rPr>
          <w:rFonts w:hint="eastAsia" w:ascii="宋体" w:hAnsi="宋体" w:cs="宋体"/>
          <w:sz w:val="28"/>
          <w:szCs w:val="28"/>
        </w:rPr>
        <w:t>第三章  投标文件格式</w:t>
      </w:r>
      <w:r>
        <w:rPr>
          <w:rFonts w:hint="eastAsia" w:ascii="宋体" w:hAnsi="宋体" w:cs="宋体"/>
          <w:sz w:val="28"/>
          <w:szCs w:val="28"/>
        </w:rPr>
        <w:tab/>
      </w:r>
      <w:r>
        <w:rPr>
          <w:rFonts w:hint="eastAsia" w:ascii="宋体" w:hAnsi="宋体" w:cs="宋体"/>
          <w:sz w:val="28"/>
          <w:szCs w:val="28"/>
        </w:rPr>
        <w:fldChar w:fldCharType="begin"/>
      </w:r>
      <w:r>
        <w:rPr>
          <w:rFonts w:hint="eastAsia" w:ascii="宋体" w:hAnsi="宋体" w:cs="宋体"/>
          <w:sz w:val="28"/>
          <w:szCs w:val="28"/>
        </w:rPr>
        <w:instrText xml:space="preserve"> PAGEREF _Toc21400 \h </w:instrText>
      </w:r>
      <w:r>
        <w:rPr>
          <w:rFonts w:hint="eastAsia" w:ascii="宋体" w:hAnsi="宋体" w:cs="宋体"/>
          <w:sz w:val="28"/>
          <w:szCs w:val="28"/>
        </w:rPr>
        <w:fldChar w:fldCharType="separate"/>
      </w:r>
      <w:r>
        <w:rPr>
          <w:rFonts w:hint="eastAsia" w:ascii="宋体" w:hAnsi="宋体" w:cs="宋体"/>
          <w:sz w:val="28"/>
          <w:szCs w:val="28"/>
        </w:rPr>
        <w:t>22</w:t>
      </w:r>
      <w:r>
        <w:rPr>
          <w:rFonts w:hint="eastAsia" w:ascii="宋体" w:hAnsi="宋体" w:cs="宋体"/>
          <w:sz w:val="28"/>
          <w:szCs w:val="28"/>
        </w:rPr>
        <w:fldChar w:fldCharType="end"/>
      </w:r>
      <w:r>
        <w:rPr>
          <w:rFonts w:hint="eastAsia" w:ascii="宋体" w:hAnsi="宋体" w:cs="宋体"/>
          <w:sz w:val="28"/>
          <w:szCs w:val="28"/>
        </w:rPr>
        <w:fldChar w:fldCharType="end"/>
      </w:r>
    </w:p>
    <w:p>
      <w:pPr>
        <w:pStyle w:val="16"/>
        <w:tabs>
          <w:tab w:val="right" w:leader="dot" w:pos="8959"/>
        </w:tabs>
        <w:spacing w:line="360" w:lineRule="auto"/>
        <w:rPr>
          <w:rFonts w:hint="eastAsia" w:ascii="宋体" w:hAnsi="宋体" w:cs="宋体"/>
          <w:sz w:val="28"/>
          <w:szCs w:val="28"/>
        </w:rPr>
      </w:pPr>
      <w:r>
        <w:fldChar w:fldCharType="begin"/>
      </w:r>
      <w:r>
        <w:instrText xml:space="preserve"> HYPERLINK \l "_Toc9303" </w:instrText>
      </w:r>
      <w:r>
        <w:fldChar w:fldCharType="separate"/>
      </w:r>
      <w:r>
        <w:rPr>
          <w:rFonts w:hint="eastAsia" w:ascii="宋体" w:hAnsi="宋体" w:cs="宋体"/>
          <w:sz w:val="28"/>
          <w:szCs w:val="28"/>
        </w:rPr>
        <w:t>第四章  投标人和投标产品的资格、资质性及其他类似效力要求</w:t>
      </w:r>
      <w:r>
        <w:rPr>
          <w:rFonts w:hint="eastAsia" w:ascii="宋体" w:hAnsi="宋体" w:cs="宋体"/>
          <w:sz w:val="28"/>
          <w:szCs w:val="28"/>
        </w:rPr>
        <w:tab/>
      </w:r>
      <w:r>
        <w:rPr>
          <w:rFonts w:hint="eastAsia" w:ascii="宋体" w:hAnsi="宋体" w:cs="宋体"/>
          <w:sz w:val="28"/>
          <w:szCs w:val="28"/>
        </w:rPr>
        <w:fldChar w:fldCharType="begin"/>
      </w:r>
      <w:r>
        <w:rPr>
          <w:rFonts w:hint="eastAsia" w:ascii="宋体" w:hAnsi="宋体" w:cs="宋体"/>
          <w:sz w:val="28"/>
          <w:szCs w:val="28"/>
        </w:rPr>
        <w:instrText xml:space="preserve"> PAGEREF _Toc9303 \h </w:instrText>
      </w:r>
      <w:r>
        <w:rPr>
          <w:rFonts w:hint="eastAsia" w:ascii="宋体" w:hAnsi="宋体" w:cs="宋体"/>
          <w:sz w:val="28"/>
          <w:szCs w:val="28"/>
        </w:rPr>
        <w:fldChar w:fldCharType="separate"/>
      </w:r>
      <w:r>
        <w:rPr>
          <w:rFonts w:hint="eastAsia" w:ascii="宋体" w:hAnsi="宋体" w:cs="宋体"/>
          <w:sz w:val="28"/>
          <w:szCs w:val="28"/>
        </w:rPr>
        <w:t>48</w:t>
      </w:r>
      <w:r>
        <w:rPr>
          <w:rFonts w:hint="eastAsia" w:ascii="宋体" w:hAnsi="宋体" w:cs="宋体"/>
          <w:sz w:val="28"/>
          <w:szCs w:val="28"/>
        </w:rPr>
        <w:fldChar w:fldCharType="end"/>
      </w:r>
      <w:r>
        <w:rPr>
          <w:rFonts w:hint="eastAsia" w:ascii="宋体" w:hAnsi="宋体" w:cs="宋体"/>
          <w:sz w:val="28"/>
          <w:szCs w:val="28"/>
        </w:rPr>
        <w:fldChar w:fldCharType="end"/>
      </w:r>
    </w:p>
    <w:p>
      <w:pPr>
        <w:pStyle w:val="16"/>
        <w:tabs>
          <w:tab w:val="right" w:leader="dot" w:pos="8959"/>
        </w:tabs>
        <w:spacing w:line="360" w:lineRule="auto"/>
        <w:rPr>
          <w:rFonts w:hint="eastAsia" w:ascii="宋体" w:hAnsi="宋体" w:cs="宋体"/>
          <w:sz w:val="28"/>
          <w:szCs w:val="28"/>
        </w:rPr>
      </w:pPr>
      <w:r>
        <w:fldChar w:fldCharType="begin"/>
      </w:r>
      <w:r>
        <w:instrText xml:space="preserve"> HYPERLINK \l "_Toc10839" </w:instrText>
      </w:r>
      <w:r>
        <w:fldChar w:fldCharType="separate"/>
      </w:r>
      <w:r>
        <w:rPr>
          <w:rFonts w:hint="eastAsia" w:ascii="宋体" w:hAnsi="宋体" w:cs="宋体"/>
          <w:sz w:val="28"/>
          <w:szCs w:val="28"/>
        </w:rPr>
        <w:t>第五章  投标人应当提供的资格、资质性及其他类似效力要求的相关证明材料</w:t>
      </w:r>
      <w:r>
        <w:rPr>
          <w:rFonts w:hint="eastAsia" w:ascii="宋体" w:hAnsi="宋体" w:cs="宋体"/>
          <w:sz w:val="28"/>
          <w:szCs w:val="28"/>
        </w:rPr>
        <w:tab/>
      </w:r>
      <w:r>
        <w:rPr>
          <w:rFonts w:hint="eastAsia" w:ascii="宋体" w:hAnsi="宋体" w:cs="宋体"/>
          <w:sz w:val="28"/>
          <w:szCs w:val="28"/>
        </w:rPr>
        <w:fldChar w:fldCharType="begin"/>
      </w:r>
      <w:r>
        <w:rPr>
          <w:rFonts w:hint="eastAsia" w:ascii="宋体" w:hAnsi="宋体" w:cs="宋体"/>
          <w:sz w:val="28"/>
          <w:szCs w:val="28"/>
        </w:rPr>
        <w:instrText xml:space="preserve"> PAGEREF _Toc10839 \h </w:instrText>
      </w:r>
      <w:r>
        <w:rPr>
          <w:rFonts w:hint="eastAsia" w:ascii="宋体" w:hAnsi="宋体" w:cs="宋体"/>
          <w:sz w:val="28"/>
          <w:szCs w:val="28"/>
        </w:rPr>
        <w:fldChar w:fldCharType="separate"/>
      </w:r>
      <w:r>
        <w:rPr>
          <w:rFonts w:hint="eastAsia" w:ascii="宋体" w:hAnsi="宋体" w:cs="宋体"/>
          <w:sz w:val="28"/>
          <w:szCs w:val="28"/>
        </w:rPr>
        <w:t>49</w:t>
      </w:r>
      <w:r>
        <w:rPr>
          <w:rFonts w:hint="eastAsia" w:ascii="宋体" w:hAnsi="宋体" w:cs="宋体"/>
          <w:sz w:val="28"/>
          <w:szCs w:val="28"/>
        </w:rPr>
        <w:fldChar w:fldCharType="end"/>
      </w:r>
      <w:r>
        <w:rPr>
          <w:rFonts w:hint="eastAsia" w:ascii="宋体" w:hAnsi="宋体" w:cs="宋体"/>
          <w:sz w:val="28"/>
          <w:szCs w:val="28"/>
        </w:rPr>
        <w:fldChar w:fldCharType="end"/>
      </w:r>
    </w:p>
    <w:p>
      <w:pPr>
        <w:pStyle w:val="16"/>
        <w:tabs>
          <w:tab w:val="right" w:leader="dot" w:pos="8959"/>
        </w:tabs>
        <w:spacing w:line="360" w:lineRule="auto"/>
        <w:rPr>
          <w:rFonts w:hint="eastAsia" w:ascii="宋体" w:hAnsi="宋体" w:cs="宋体"/>
          <w:sz w:val="28"/>
          <w:szCs w:val="28"/>
        </w:rPr>
      </w:pPr>
      <w:r>
        <w:fldChar w:fldCharType="begin"/>
      </w:r>
      <w:r>
        <w:instrText xml:space="preserve"> HYPERLINK \l "_Toc781" </w:instrText>
      </w:r>
      <w:r>
        <w:fldChar w:fldCharType="separate"/>
      </w:r>
      <w:r>
        <w:rPr>
          <w:rFonts w:hint="eastAsia" w:ascii="宋体" w:hAnsi="宋体" w:cs="宋体"/>
          <w:sz w:val="28"/>
          <w:szCs w:val="28"/>
        </w:rPr>
        <w:t>第六章  招标项目技术、服务、政府采购合同内容条款及其他商务</w:t>
      </w:r>
      <w:r>
        <w:rPr>
          <w:rFonts w:hint="eastAsia" w:ascii="宋体" w:hAnsi="宋体" w:cs="宋体"/>
          <w:sz w:val="28"/>
          <w:szCs w:val="28"/>
        </w:rPr>
        <w:tab/>
      </w:r>
      <w:r>
        <w:rPr>
          <w:rFonts w:hint="eastAsia" w:ascii="宋体" w:hAnsi="宋体" w:cs="宋体"/>
          <w:sz w:val="28"/>
          <w:szCs w:val="28"/>
        </w:rPr>
        <w:fldChar w:fldCharType="begin"/>
      </w:r>
      <w:r>
        <w:rPr>
          <w:rFonts w:hint="eastAsia" w:ascii="宋体" w:hAnsi="宋体" w:cs="宋体"/>
          <w:sz w:val="28"/>
          <w:szCs w:val="28"/>
        </w:rPr>
        <w:instrText xml:space="preserve"> PAGEREF _Toc781 \h </w:instrText>
      </w:r>
      <w:r>
        <w:rPr>
          <w:rFonts w:hint="eastAsia" w:ascii="宋体" w:hAnsi="宋体" w:cs="宋体"/>
          <w:sz w:val="28"/>
          <w:szCs w:val="28"/>
        </w:rPr>
        <w:fldChar w:fldCharType="separate"/>
      </w:r>
      <w:r>
        <w:rPr>
          <w:rFonts w:hint="eastAsia" w:ascii="宋体" w:hAnsi="宋体" w:cs="宋体"/>
          <w:sz w:val="28"/>
          <w:szCs w:val="28"/>
        </w:rPr>
        <w:t>52</w:t>
      </w:r>
      <w:r>
        <w:rPr>
          <w:rFonts w:hint="eastAsia" w:ascii="宋体" w:hAnsi="宋体" w:cs="宋体"/>
          <w:sz w:val="28"/>
          <w:szCs w:val="28"/>
        </w:rPr>
        <w:fldChar w:fldCharType="end"/>
      </w:r>
      <w:r>
        <w:rPr>
          <w:rFonts w:hint="eastAsia" w:ascii="宋体" w:hAnsi="宋体" w:cs="宋体"/>
          <w:sz w:val="28"/>
          <w:szCs w:val="28"/>
        </w:rPr>
        <w:fldChar w:fldCharType="end"/>
      </w:r>
    </w:p>
    <w:p>
      <w:pPr>
        <w:pStyle w:val="16"/>
        <w:tabs>
          <w:tab w:val="right" w:leader="dot" w:pos="8959"/>
        </w:tabs>
        <w:spacing w:line="360" w:lineRule="auto"/>
        <w:rPr>
          <w:rFonts w:hint="eastAsia" w:ascii="宋体" w:hAnsi="宋体" w:cs="宋体"/>
          <w:sz w:val="28"/>
          <w:szCs w:val="28"/>
        </w:rPr>
      </w:pPr>
      <w:r>
        <w:fldChar w:fldCharType="begin"/>
      </w:r>
      <w:r>
        <w:instrText xml:space="preserve"> HYPERLINK \l "_Toc32379" </w:instrText>
      </w:r>
      <w:r>
        <w:fldChar w:fldCharType="separate"/>
      </w:r>
      <w:r>
        <w:rPr>
          <w:rFonts w:hint="eastAsia" w:ascii="宋体" w:hAnsi="宋体" w:cs="宋体"/>
          <w:sz w:val="28"/>
          <w:szCs w:val="28"/>
        </w:rPr>
        <w:t>第七章  评标办法</w:t>
      </w:r>
      <w:r>
        <w:rPr>
          <w:rFonts w:hint="eastAsia" w:ascii="宋体" w:hAnsi="宋体" w:cs="宋体"/>
          <w:sz w:val="28"/>
          <w:szCs w:val="28"/>
        </w:rPr>
        <w:tab/>
      </w:r>
      <w:r>
        <w:rPr>
          <w:rFonts w:hint="eastAsia" w:ascii="宋体" w:hAnsi="宋体" w:cs="宋体"/>
          <w:sz w:val="28"/>
          <w:szCs w:val="28"/>
        </w:rPr>
        <w:fldChar w:fldCharType="begin"/>
      </w:r>
      <w:r>
        <w:rPr>
          <w:rFonts w:hint="eastAsia" w:ascii="宋体" w:hAnsi="宋体" w:cs="宋体"/>
          <w:sz w:val="28"/>
          <w:szCs w:val="28"/>
        </w:rPr>
        <w:instrText xml:space="preserve"> PAGEREF _Toc32379 \h </w:instrText>
      </w:r>
      <w:r>
        <w:rPr>
          <w:rFonts w:hint="eastAsia" w:ascii="宋体" w:hAnsi="宋体" w:cs="宋体"/>
          <w:sz w:val="28"/>
          <w:szCs w:val="28"/>
        </w:rPr>
        <w:fldChar w:fldCharType="separate"/>
      </w:r>
      <w:r>
        <w:rPr>
          <w:rFonts w:hint="eastAsia" w:ascii="宋体" w:hAnsi="宋体" w:cs="宋体"/>
          <w:sz w:val="28"/>
          <w:szCs w:val="28"/>
        </w:rPr>
        <w:t>153</w:t>
      </w:r>
      <w:r>
        <w:rPr>
          <w:rFonts w:hint="eastAsia" w:ascii="宋体" w:hAnsi="宋体" w:cs="宋体"/>
          <w:sz w:val="28"/>
          <w:szCs w:val="28"/>
        </w:rPr>
        <w:fldChar w:fldCharType="end"/>
      </w:r>
      <w:r>
        <w:rPr>
          <w:rFonts w:hint="eastAsia" w:ascii="宋体" w:hAnsi="宋体" w:cs="宋体"/>
          <w:sz w:val="28"/>
          <w:szCs w:val="28"/>
        </w:rPr>
        <w:fldChar w:fldCharType="end"/>
      </w:r>
    </w:p>
    <w:p>
      <w:pPr>
        <w:pStyle w:val="16"/>
        <w:tabs>
          <w:tab w:val="right" w:leader="dot" w:pos="8959"/>
        </w:tabs>
        <w:spacing w:line="360" w:lineRule="auto"/>
        <w:rPr>
          <w:rFonts w:hint="eastAsia" w:ascii="宋体" w:hAnsi="宋体" w:cs="宋体"/>
          <w:sz w:val="28"/>
          <w:szCs w:val="28"/>
        </w:rPr>
      </w:pPr>
      <w:r>
        <w:fldChar w:fldCharType="begin"/>
      </w:r>
      <w:r>
        <w:instrText xml:space="preserve"> HYPERLINK \l "_Toc27252" </w:instrText>
      </w:r>
      <w:r>
        <w:fldChar w:fldCharType="separate"/>
      </w:r>
      <w:r>
        <w:rPr>
          <w:rFonts w:hint="eastAsia" w:ascii="宋体" w:hAnsi="宋体" w:cs="宋体"/>
          <w:sz w:val="28"/>
          <w:szCs w:val="28"/>
        </w:rPr>
        <w:t>第八章  政府采购合同（样例）</w:t>
      </w:r>
      <w:r>
        <w:rPr>
          <w:rFonts w:hint="eastAsia" w:ascii="宋体" w:hAnsi="宋体" w:cs="宋体"/>
          <w:sz w:val="28"/>
          <w:szCs w:val="28"/>
        </w:rPr>
        <w:tab/>
      </w:r>
      <w:r>
        <w:rPr>
          <w:rFonts w:hint="eastAsia" w:ascii="宋体" w:hAnsi="宋体" w:cs="宋体"/>
          <w:sz w:val="28"/>
          <w:szCs w:val="28"/>
        </w:rPr>
        <w:fldChar w:fldCharType="begin"/>
      </w:r>
      <w:r>
        <w:rPr>
          <w:rFonts w:hint="eastAsia" w:ascii="宋体" w:hAnsi="宋体" w:cs="宋体"/>
          <w:sz w:val="28"/>
          <w:szCs w:val="28"/>
        </w:rPr>
        <w:instrText xml:space="preserve"> PAGEREF _Toc27252 \h </w:instrText>
      </w:r>
      <w:r>
        <w:rPr>
          <w:rFonts w:hint="eastAsia" w:ascii="宋体" w:hAnsi="宋体" w:cs="宋体"/>
          <w:sz w:val="28"/>
          <w:szCs w:val="28"/>
        </w:rPr>
        <w:fldChar w:fldCharType="separate"/>
      </w:r>
      <w:r>
        <w:rPr>
          <w:rFonts w:hint="eastAsia" w:ascii="宋体" w:hAnsi="宋体" w:cs="宋体"/>
          <w:sz w:val="28"/>
          <w:szCs w:val="28"/>
        </w:rPr>
        <w:t>165</w:t>
      </w:r>
      <w:r>
        <w:rPr>
          <w:rFonts w:hint="eastAsia" w:ascii="宋体" w:hAnsi="宋体" w:cs="宋体"/>
          <w:sz w:val="28"/>
          <w:szCs w:val="28"/>
        </w:rPr>
        <w:fldChar w:fldCharType="end"/>
      </w:r>
      <w:r>
        <w:rPr>
          <w:rFonts w:hint="eastAsia" w:ascii="宋体" w:hAnsi="宋体" w:cs="宋体"/>
          <w:sz w:val="28"/>
          <w:szCs w:val="28"/>
        </w:rPr>
        <w:fldChar w:fldCharType="end"/>
      </w:r>
    </w:p>
    <w:p>
      <w:pPr>
        <w:pStyle w:val="16"/>
        <w:tabs>
          <w:tab w:val="right" w:leader="dot" w:pos="8959"/>
        </w:tabs>
        <w:spacing w:line="360" w:lineRule="auto"/>
        <w:rPr>
          <w:rFonts w:hint="eastAsia" w:ascii="宋体" w:hAnsi="宋体" w:cs="宋体"/>
          <w:sz w:val="28"/>
          <w:szCs w:val="28"/>
        </w:rPr>
      </w:pPr>
      <w:r>
        <w:fldChar w:fldCharType="begin"/>
      </w:r>
      <w:r>
        <w:instrText xml:space="preserve"> HYPERLINK \l "_Toc32494" </w:instrText>
      </w:r>
      <w:r>
        <w:fldChar w:fldCharType="separate"/>
      </w:r>
      <w:r>
        <w:rPr>
          <w:rFonts w:hint="eastAsia" w:ascii="宋体" w:hAnsi="宋体" w:cs="宋体"/>
          <w:bCs/>
          <w:sz w:val="28"/>
          <w:szCs w:val="28"/>
        </w:rPr>
        <w:t>第九章  附件：政府采购云平台使用介绍</w:t>
      </w:r>
      <w:r>
        <w:rPr>
          <w:rFonts w:hint="eastAsia" w:ascii="宋体" w:hAnsi="宋体" w:cs="宋体"/>
          <w:sz w:val="28"/>
          <w:szCs w:val="28"/>
        </w:rPr>
        <w:tab/>
      </w:r>
      <w:r>
        <w:rPr>
          <w:rFonts w:hint="eastAsia" w:ascii="宋体" w:hAnsi="宋体" w:cs="宋体"/>
          <w:sz w:val="28"/>
          <w:szCs w:val="28"/>
        </w:rPr>
        <w:fldChar w:fldCharType="begin"/>
      </w:r>
      <w:r>
        <w:rPr>
          <w:rFonts w:hint="eastAsia" w:ascii="宋体" w:hAnsi="宋体" w:cs="宋体"/>
          <w:sz w:val="28"/>
          <w:szCs w:val="28"/>
        </w:rPr>
        <w:instrText xml:space="preserve"> PAGEREF _Toc32494 \h </w:instrText>
      </w:r>
      <w:r>
        <w:rPr>
          <w:rFonts w:hint="eastAsia" w:ascii="宋体" w:hAnsi="宋体" w:cs="宋体"/>
          <w:sz w:val="28"/>
          <w:szCs w:val="28"/>
        </w:rPr>
        <w:fldChar w:fldCharType="separate"/>
      </w:r>
      <w:r>
        <w:rPr>
          <w:rFonts w:hint="eastAsia" w:ascii="宋体" w:hAnsi="宋体" w:cs="宋体"/>
          <w:sz w:val="28"/>
          <w:szCs w:val="28"/>
        </w:rPr>
        <w:t>176</w:t>
      </w:r>
      <w:r>
        <w:rPr>
          <w:rFonts w:hint="eastAsia" w:ascii="宋体" w:hAnsi="宋体" w:cs="宋体"/>
          <w:sz w:val="28"/>
          <w:szCs w:val="28"/>
        </w:rPr>
        <w:fldChar w:fldCharType="end"/>
      </w:r>
      <w:r>
        <w:rPr>
          <w:rFonts w:hint="eastAsia" w:ascii="宋体" w:hAnsi="宋体" w:cs="宋体"/>
          <w:sz w:val="28"/>
          <w:szCs w:val="28"/>
        </w:rPr>
        <w:fldChar w:fldCharType="end"/>
      </w:r>
    </w:p>
    <w:p>
      <w:pPr>
        <w:pStyle w:val="16"/>
        <w:tabs>
          <w:tab w:val="right" w:leader="dot" w:pos="8959"/>
        </w:tabs>
        <w:spacing w:line="360" w:lineRule="auto"/>
        <w:rPr>
          <w:rFonts w:hint="eastAsia" w:ascii="宋体" w:hAnsi="宋体" w:cs="宋体"/>
          <w:bCs/>
          <w:sz w:val="28"/>
          <w:szCs w:val="28"/>
        </w:rPr>
      </w:pPr>
      <w:r>
        <w:rPr>
          <w:rFonts w:hint="eastAsia" w:ascii="宋体" w:hAnsi="宋体" w:cs="宋体"/>
          <w:bCs/>
          <w:sz w:val="28"/>
          <w:szCs w:val="28"/>
        </w:rPr>
        <w:fldChar w:fldCharType="end"/>
      </w:r>
    </w:p>
    <w:p>
      <w:pPr>
        <w:pStyle w:val="11"/>
        <w:rPr>
          <w:rFonts w:hint="eastAsia"/>
          <w:bCs/>
          <w:sz w:val="24"/>
        </w:rPr>
      </w:pPr>
    </w:p>
    <w:p>
      <w:pPr>
        <w:pStyle w:val="11"/>
        <w:rPr>
          <w:rFonts w:hint="eastAsia"/>
          <w:bCs/>
          <w:sz w:val="24"/>
        </w:rPr>
      </w:pPr>
    </w:p>
    <w:p>
      <w:pPr>
        <w:pStyle w:val="11"/>
        <w:rPr>
          <w:rFonts w:hint="eastAsia"/>
          <w:bCs/>
          <w:sz w:val="24"/>
        </w:rPr>
      </w:pPr>
    </w:p>
    <w:p>
      <w:pPr>
        <w:pStyle w:val="3"/>
        <w:rPr>
          <w:rFonts w:hint="eastAsia"/>
        </w:rPr>
        <w:sectPr>
          <w:headerReference r:id="rId6" w:type="default"/>
          <w:footerReference r:id="rId7" w:type="default"/>
          <w:pgSz w:w="11907" w:h="16840"/>
          <w:pgMar w:top="1440" w:right="1474" w:bottom="1440" w:left="1474" w:header="851" w:footer="992" w:gutter="0"/>
          <w:pgNumType w:start="1"/>
          <w:cols w:space="720" w:num="1"/>
          <w:docGrid w:linePitch="312" w:charSpace="0"/>
        </w:sectPr>
      </w:pPr>
      <w:bookmarkStart w:id="0" w:name="_Toc503862752"/>
      <w:bookmarkStart w:id="1" w:name="_Toc696"/>
    </w:p>
    <w:p>
      <w:pPr>
        <w:pStyle w:val="3"/>
        <w:rPr>
          <w:rFonts w:hint="eastAsia"/>
        </w:rPr>
      </w:pPr>
      <w:bookmarkStart w:id="2" w:name="_Toc10749"/>
      <w:r>
        <w:rPr>
          <w:rFonts w:hint="eastAsia"/>
        </w:rPr>
        <w:t>第一章  投标邀请</w:t>
      </w:r>
      <w:bookmarkEnd w:id="0"/>
      <w:bookmarkEnd w:id="1"/>
      <w:bookmarkEnd w:id="2"/>
    </w:p>
    <w:p>
      <w:pPr>
        <w:pStyle w:val="7"/>
        <w:ind w:firstLine="420"/>
        <w:rPr>
          <w:rFonts w:hint="eastAsia"/>
        </w:rPr>
      </w:pPr>
    </w:p>
    <w:p>
      <w:pPr>
        <w:adjustRightInd w:val="0"/>
        <w:snapToGrid w:val="0"/>
        <w:spacing w:line="360" w:lineRule="auto"/>
        <w:ind w:firstLine="482" w:firstLineChars="200"/>
        <w:jc w:val="left"/>
        <w:rPr>
          <w:rFonts w:hint="eastAsia" w:ascii="宋体" w:hAnsi="宋体" w:cs="宋体"/>
          <w:sz w:val="24"/>
        </w:rPr>
      </w:pPr>
      <w:r>
        <w:rPr>
          <w:rFonts w:hint="eastAsia" w:ascii="宋体" w:hAnsi="宋体" w:cs="宋体"/>
          <w:b/>
          <w:bCs/>
          <w:sz w:val="24"/>
          <w:u w:val="single"/>
        </w:rPr>
        <w:t>四川浩行招标代理有限公司</w:t>
      </w:r>
      <w:r>
        <w:rPr>
          <w:rFonts w:hint="eastAsia" w:ascii="宋体" w:hAnsi="宋体" w:cs="宋体"/>
          <w:sz w:val="24"/>
        </w:rPr>
        <w:t>（采购代理机构）受</w:t>
      </w:r>
      <w:r>
        <w:rPr>
          <w:rFonts w:hint="eastAsia" w:ascii="宋体" w:hAnsi="宋体" w:cs="宋体"/>
          <w:b/>
          <w:bCs/>
          <w:sz w:val="24"/>
          <w:u w:val="single"/>
        </w:rPr>
        <w:t>成都市郫都区综合行政执法局</w:t>
      </w:r>
      <w:r>
        <w:rPr>
          <w:rFonts w:hint="eastAsia" w:ascii="宋体" w:hAnsi="宋体" w:cs="宋体"/>
          <w:bCs/>
          <w:sz w:val="24"/>
        </w:rPr>
        <w:t>（采购人）</w:t>
      </w:r>
      <w:r>
        <w:rPr>
          <w:rFonts w:hint="eastAsia" w:ascii="宋体" w:hAnsi="宋体" w:cs="宋体"/>
          <w:sz w:val="24"/>
        </w:rPr>
        <w:t>委托，拟对</w:t>
      </w:r>
      <w:r>
        <w:rPr>
          <w:rFonts w:hint="eastAsia" w:ascii="宋体" w:hAnsi="宋体" w:cs="宋体"/>
          <w:b/>
          <w:bCs/>
          <w:sz w:val="24"/>
          <w:u w:val="single"/>
        </w:rPr>
        <w:t>四川省成都市郫都区综合行政执法局成都现代工业港2021-2024年度环卫清扫保洁服务项目</w:t>
      </w:r>
      <w:r>
        <w:rPr>
          <w:rFonts w:hint="eastAsia" w:ascii="宋体" w:hAnsi="宋体" w:cs="宋体"/>
          <w:sz w:val="24"/>
        </w:rPr>
        <w:t>进行国内公开招标，兹邀请符合本次招标要求的投标人参加投标。</w:t>
      </w:r>
    </w:p>
    <w:p>
      <w:pPr>
        <w:numPr>
          <w:ilvl w:val="0"/>
          <w:numId w:val="1"/>
        </w:numPr>
        <w:adjustRightInd w:val="0"/>
        <w:snapToGrid w:val="0"/>
        <w:spacing w:line="360" w:lineRule="auto"/>
        <w:ind w:firstLine="482" w:firstLineChars="200"/>
        <w:rPr>
          <w:rFonts w:hint="eastAsia" w:ascii="宋体" w:hAnsi="宋体" w:cs="宋体"/>
          <w:bCs/>
          <w:sz w:val="24"/>
        </w:rPr>
      </w:pPr>
      <w:r>
        <w:rPr>
          <w:rFonts w:hint="eastAsia" w:ascii="宋体" w:hAnsi="宋体" w:cs="宋体"/>
          <w:b/>
          <w:sz w:val="24"/>
        </w:rPr>
        <w:t>招标编号：</w:t>
      </w:r>
      <w:r>
        <w:rPr>
          <w:rFonts w:hint="eastAsia" w:ascii="宋体" w:hAnsi="宋体" w:cs="宋体"/>
          <w:b/>
          <w:sz w:val="24"/>
          <w:lang w:eastAsia="zh-CN"/>
        </w:rPr>
        <w:t>510124202100161</w:t>
      </w:r>
    </w:p>
    <w:p>
      <w:pPr>
        <w:adjustRightInd w:val="0"/>
        <w:snapToGrid w:val="0"/>
        <w:spacing w:line="360" w:lineRule="auto"/>
        <w:ind w:firstLine="482" w:firstLineChars="200"/>
        <w:rPr>
          <w:rFonts w:hint="eastAsia" w:ascii="宋体" w:hAnsi="宋体" w:cs="宋体"/>
          <w:bCs/>
          <w:sz w:val="24"/>
        </w:rPr>
      </w:pPr>
      <w:r>
        <w:rPr>
          <w:rFonts w:hint="eastAsia" w:ascii="宋体" w:hAnsi="宋体" w:cs="宋体"/>
          <w:b/>
          <w:sz w:val="24"/>
        </w:rPr>
        <w:t>二、招标项目：</w:t>
      </w:r>
      <w:r>
        <w:rPr>
          <w:rFonts w:hint="eastAsia" w:ascii="宋体" w:hAnsi="宋体" w:cs="宋体"/>
          <w:bCs/>
          <w:sz w:val="24"/>
        </w:rPr>
        <w:t>四川省成都市郫都区综合行政执法局成都现代工业港2021-2024年度环卫清扫保洁服务项目</w:t>
      </w:r>
    </w:p>
    <w:p>
      <w:pPr>
        <w:tabs>
          <w:tab w:val="left" w:pos="7665"/>
        </w:tabs>
        <w:adjustRightInd w:val="0"/>
        <w:snapToGrid w:val="0"/>
        <w:spacing w:line="360" w:lineRule="auto"/>
        <w:ind w:firstLine="482" w:firstLineChars="200"/>
        <w:rPr>
          <w:rFonts w:hint="eastAsia" w:ascii="宋体" w:hAnsi="宋体" w:cs="宋体"/>
          <w:kern w:val="0"/>
          <w:sz w:val="24"/>
        </w:rPr>
      </w:pPr>
      <w:r>
        <w:rPr>
          <w:rFonts w:hint="eastAsia" w:ascii="宋体" w:hAnsi="宋体" w:cs="宋体"/>
          <w:b/>
          <w:sz w:val="24"/>
        </w:rPr>
        <w:t>三、采购预算及资金来源：</w:t>
      </w:r>
      <w:r>
        <w:rPr>
          <w:rFonts w:hint="eastAsia" w:ascii="宋体" w:hAnsi="宋体" w:cs="宋体"/>
          <w:kern w:val="0"/>
          <w:sz w:val="24"/>
        </w:rPr>
        <w:t>本项目采购预算</w:t>
      </w:r>
      <w:r>
        <w:rPr>
          <w:rFonts w:hint="eastAsia" w:ascii="宋体" w:hAnsi="宋体" w:cs="宋体"/>
          <w:sz w:val="24"/>
        </w:rPr>
        <w:t>：</w:t>
      </w:r>
      <w:r>
        <w:rPr>
          <w:rFonts w:hint="eastAsia" w:ascii="宋体" w:hAnsi="宋体" w:cs="宋体"/>
          <w:kern w:val="0"/>
          <w:sz w:val="24"/>
        </w:rPr>
        <w:t>21398897.16元/年，一招三年，合同一年一签。</w:t>
      </w:r>
    </w:p>
    <w:p>
      <w:pPr>
        <w:tabs>
          <w:tab w:val="left" w:pos="7665"/>
        </w:tabs>
        <w:adjustRightInd w:val="0"/>
        <w:snapToGrid w:val="0"/>
        <w:spacing w:line="360" w:lineRule="auto"/>
        <w:ind w:firstLine="480" w:firstLineChars="200"/>
        <w:rPr>
          <w:rFonts w:hint="eastAsia" w:ascii="宋体" w:hAnsi="宋体" w:cs="宋体"/>
          <w:bCs/>
          <w:sz w:val="24"/>
        </w:rPr>
      </w:pPr>
      <w:r>
        <w:rPr>
          <w:rFonts w:hint="eastAsia" w:ascii="宋体" w:hAnsi="宋体" w:cs="宋体"/>
          <w:bCs/>
          <w:sz w:val="24"/>
        </w:rPr>
        <w:t>财政性资金，已落实。</w:t>
      </w:r>
    </w:p>
    <w:p>
      <w:pPr>
        <w:tabs>
          <w:tab w:val="left" w:pos="7665"/>
        </w:tabs>
        <w:adjustRightInd w:val="0"/>
        <w:snapToGrid w:val="0"/>
        <w:spacing w:line="360" w:lineRule="auto"/>
        <w:ind w:firstLine="480" w:firstLineChars="200"/>
        <w:rPr>
          <w:rFonts w:hint="eastAsia" w:ascii="宋体" w:hAnsi="宋体" w:cs="宋体"/>
          <w:bCs/>
          <w:sz w:val="24"/>
        </w:rPr>
      </w:pPr>
      <w:r>
        <w:rPr>
          <w:rFonts w:hint="eastAsia" w:ascii="宋体" w:hAnsi="宋体" w:cs="宋体"/>
          <w:bCs/>
          <w:sz w:val="24"/>
        </w:rPr>
        <w:t>采购计划文号：（2021）0725号。</w:t>
      </w:r>
    </w:p>
    <w:p>
      <w:pPr>
        <w:adjustRightInd w:val="0"/>
        <w:snapToGrid w:val="0"/>
        <w:spacing w:line="360" w:lineRule="auto"/>
        <w:ind w:firstLine="482" w:firstLineChars="200"/>
        <w:rPr>
          <w:rFonts w:hint="eastAsia" w:ascii="宋体" w:hAnsi="宋体" w:cs="宋体"/>
          <w:b/>
          <w:sz w:val="24"/>
        </w:rPr>
      </w:pPr>
      <w:r>
        <w:rPr>
          <w:rFonts w:hint="eastAsia" w:ascii="宋体" w:hAnsi="宋体" w:cs="宋体"/>
          <w:b/>
          <w:sz w:val="24"/>
        </w:rPr>
        <w:t>四、招标项目简介：</w:t>
      </w:r>
    </w:p>
    <w:p>
      <w:pPr>
        <w:adjustRightInd w:val="0"/>
        <w:snapToGrid w:val="0"/>
        <w:spacing w:line="360" w:lineRule="auto"/>
        <w:ind w:firstLine="482" w:firstLineChars="200"/>
        <w:rPr>
          <w:rFonts w:ascii="宋体"/>
          <w:b/>
          <w:sz w:val="24"/>
        </w:rPr>
      </w:pPr>
      <w:r>
        <w:rPr>
          <w:rFonts w:hint="eastAsia" w:ascii="宋体"/>
          <w:b/>
          <w:bCs/>
          <w:sz w:val="24"/>
          <w:szCs w:val="28"/>
        </w:rPr>
        <w:t>本项目共5个包。</w:t>
      </w:r>
      <w:r>
        <w:rPr>
          <w:rFonts w:hint="eastAsia" w:ascii="宋体"/>
          <w:sz w:val="24"/>
          <w:szCs w:val="28"/>
        </w:rPr>
        <w:t>包件具体要求详见招标文件第六章。</w:t>
      </w:r>
      <w:r>
        <w:rPr>
          <w:rFonts w:hint="eastAsia" w:ascii="宋体"/>
          <w:sz w:val="24"/>
          <w:szCs w:val="28"/>
        </w:rPr>
        <w:tab/>
      </w:r>
    </w:p>
    <w:p>
      <w:pPr>
        <w:spacing w:beforeLines="50" w:line="360" w:lineRule="auto"/>
        <w:ind w:firstLine="480" w:firstLineChars="200"/>
        <w:rPr>
          <w:rFonts w:ascii="宋体" w:hAnsi="宋体"/>
          <w:sz w:val="24"/>
          <w:szCs w:val="28"/>
        </w:rPr>
      </w:pPr>
      <w:r>
        <w:rPr>
          <w:rFonts w:hAnsi="宋体"/>
          <w:sz w:val="24"/>
        </w:rPr>
        <w:t>凡购买招标文件的</w:t>
      </w:r>
      <w:r>
        <w:rPr>
          <w:rFonts w:hint="eastAsia" w:hAnsi="宋体"/>
          <w:sz w:val="24"/>
        </w:rPr>
        <w:t>投标人</w:t>
      </w:r>
      <w:r>
        <w:rPr>
          <w:rFonts w:hAnsi="宋体"/>
          <w:sz w:val="24"/>
        </w:rPr>
        <w:t>，对招标内容进行投标的，必须制作投标文件和开标一览表，并响应招标文件的要求。</w:t>
      </w:r>
      <w:r>
        <w:rPr>
          <w:rFonts w:hint="eastAsia" w:ascii="宋体" w:hAnsi="宋体"/>
          <w:sz w:val="24"/>
          <w:szCs w:val="28"/>
        </w:rPr>
        <w:t>（具体详见招标文件第六章）。</w:t>
      </w:r>
    </w:p>
    <w:p>
      <w:pPr>
        <w:adjustRightInd w:val="0"/>
        <w:snapToGrid w:val="0"/>
        <w:spacing w:line="360" w:lineRule="auto"/>
        <w:ind w:firstLine="482" w:firstLineChars="200"/>
        <w:rPr>
          <w:rFonts w:hint="eastAsia" w:ascii="宋体" w:hAnsi="宋体" w:cs="宋体"/>
          <w:b/>
          <w:bCs/>
          <w:sz w:val="24"/>
        </w:rPr>
      </w:pPr>
      <w:r>
        <w:rPr>
          <w:rFonts w:hint="eastAsia" w:ascii="宋体" w:hAnsi="宋体" w:cs="宋体"/>
          <w:b/>
          <w:sz w:val="24"/>
        </w:rPr>
        <w:t>五</w:t>
      </w:r>
      <w:r>
        <w:rPr>
          <w:rFonts w:hint="eastAsia" w:ascii="宋体" w:hAnsi="宋体" w:cs="宋体"/>
          <w:b/>
          <w:bCs/>
          <w:sz w:val="24"/>
        </w:rPr>
        <w:t>、投标人参加本次政府采购活动，应当具备下列条件：</w:t>
      </w:r>
    </w:p>
    <w:p>
      <w:pPr>
        <w:tabs>
          <w:tab w:val="left" w:pos="7665"/>
        </w:tabs>
        <w:adjustRightInd w:val="0"/>
        <w:snapToGrid w:val="0"/>
        <w:spacing w:line="360" w:lineRule="auto"/>
        <w:ind w:firstLine="480" w:firstLineChars="200"/>
        <w:rPr>
          <w:rFonts w:hint="eastAsia" w:ascii="宋体" w:hAnsi="宋体" w:cs="宋体"/>
          <w:sz w:val="24"/>
        </w:rPr>
      </w:pPr>
      <w:r>
        <w:rPr>
          <w:rFonts w:hint="eastAsia" w:ascii="宋体" w:hAnsi="宋体" w:cs="宋体"/>
          <w:sz w:val="24"/>
        </w:rPr>
        <w:t>1、符合《中华人民共和国政府采购法》第二十二条规定的条件：</w:t>
      </w:r>
    </w:p>
    <w:p>
      <w:pPr>
        <w:pStyle w:val="55"/>
        <w:ind w:firstLine="480"/>
        <w:rPr>
          <w:rFonts w:hint="eastAsia" w:ascii="宋体" w:hAnsi="宋体" w:cs="宋体"/>
          <w:sz w:val="24"/>
        </w:rPr>
      </w:pPr>
      <w:r>
        <w:rPr>
          <w:rFonts w:hint="eastAsia" w:ascii="宋体" w:hAnsi="宋体" w:cs="宋体"/>
          <w:sz w:val="24"/>
        </w:rPr>
        <w:t>1.具有独立承担民事责任的能力；</w:t>
      </w:r>
    </w:p>
    <w:p>
      <w:pPr>
        <w:tabs>
          <w:tab w:val="left" w:pos="7665"/>
        </w:tabs>
        <w:spacing w:line="360" w:lineRule="auto"/>
        <w:ind w:firstLine="480" w:firstLineChars="200"/>
        <w:rPr>
          <w:rFonts w:hint="eastAsia" w:ascii="宋体" w:hAnsi="宋体" w:cs="宋体"/>
          <w:sz w:val="24"/>
        </w:rPr>
      </w:pPr>
      <w:r>
        <w:rPr>
          <w:rFonts w:hint="eastAsia" w:ascii="宋体" w:hAnsi="宋体" w:cs="宋体"/>
          <w:sz w:val="24"/>
        </w:rPr>
        <w:t>2.具有良好的商业信誉和健全的财务会计制度；</w:t>
      </w:r>
    </w:p>
    <w:p>
      <w:pPr>
        <w:tabs>
          <w:tab w:val="left" w:pos="7665"/>
        </w:tabs>
        <w:spacing w:line="360" w:lineRule="auto"/>
        <w:ind w:firstLine="480" w:firstLineChars="200"/>
        <w:rPr>
          <w:rFonts w:hint="eastAsia" w:ascii="宋体" w:hAnsi="宋体" w:cs="宋体"/>
          <w:sz w:val="24"/>
        </w:rPr>
      </w:pPr>
      <w:r>
        <w:rPr>
          <w:rFonts w:hint="eastAsia" w:ascii="宋体" w:hAnsi="宋体" w:cs="宋体"/>
          <w:sz w:val="24"/>
        </w:rPr>
        <w:t>3.具有履行合同所必须的设备和专业技术能力；</w:t>
      </w:r>
    </w:p>
    <w:p>
      <w:pPr>
        <w:tabs>
          <w:tab w:val="left" w:pos="7665"/>
        </w:tabs>
        <w:spacing w:line="360" w:lineRule="auto"/>
        <w:ind w:firstLine="480" w:firstLineChars="200"/>
        <w:rPr>
          <w:rFonts w:hint="eastAsia" w:ascii="宋体" w:hAnsi="宋体" w:cs="宋体"/>
          <w:sz w:val="24"/>
        </w:rPr>
      </w:pPr>
      <w:r>
        <w:rPr>
          <w:rFonts w:hint="eastAsia" w:ascii="宋体" w:hAnsi="宋体" w:cs="宋体"/>
          <w:sz w:val="24"/>
        </w:rPr>
        <w:t>4.具有依法缴纳税收和社会保障资金的良好记录；</w:t>
      </w:r>
    </w:p>
    <w:p>
      <w:pPr>
        <w:tabs>
          <w:tab w:val="left" w:pos="7665"/>
        </w:tabs>
        <w:spacing w:line="360" w:lineRule="auto"/>
        <w:ind w:firstLine="480" w:firstLineChars="200"/>
        <w:rPr>
          <w:rFonts w:hint="eastAsia" w:ascii="宋体" w:hAnsi="宋体" w:cs="宋体"/>
          <w:sz w:val="24"/>
        </w:rPr>
      </w:pPr>
      <w:r>
        <w:rPr>
          <w:rFonts w:hint="eastAsia" w:ascii="宋体" w:hAnsi="宋体" w:cs="宋体"/>
          <w:sz w:val="24"/>
        </w:rPr>
        <w:t>5.参加本次政府采购活动前三年内，在经营活动中没有重大违法记录；</w:t>
      </w:r>
    </w:p>
    <w:p>
      <w:pPr>
        <w:pStyle w:val="55"/>
        <w:ind w:firstLine="480"/>
        <w:rPr>
          <w:rFonts w:hint="eastAsia" w:ascii="宋体" w:hAnsi="宋体" w:cs="宋体"/>
          <w:sz w:val="24"/>
        </w:rPr>
      </w:pPr>
      <w:r>
        <w:rPr>
          <w:rFonts w:hint="eastAsia" w:ascii="宋体" w:hAnsi="宋体" w:cs="宋体"/>
          <w:sz w:val="24"/>
        </w:rPr>
        <w:t>6.法律、行政法规规定的其他条件：</w:t>
      </w:r>
    </w:p>
    <w:p>
      <w:pPr>
        <w:pStyle w:val="55"/>
        <w:ind w:firstLine="480"/>
        <w:rPr>
          <w:rFonts w:hint="eastAsia" w:ascii="宋体" w:hAnsi="宋体" w:cs="宋体"/>
          <w:sz w:val="24"/>
        </w:rPr>
      </w:pPr>
      <w:r>
        <w:rPr>
          <w:rFonts w:hint="eastAsia" w:ascii="宋体" w:hAnsi="宋体" w:cs="宋体"/>
          <w:sz w:val="24"/>
        </w:rPr>
        <w:t>7.根据采购项目的特殊要求，规定投标人的特定条件：</w:t>
      </w:r>
    </w:p>
    <w:p>
      <w:pPr>
        <w:spacing w:line="360" w:lineRule="auto"/>
        <w:ind w:firstLine="480" w:firstLineChars="200"/>
        <w:rPr>
          <w:rFonts w:hint="eastAsia" w:ascii="宋体" w:hAnsi="宋体" w:cs="宋体"/>
          <w:sz w:val="24"/>
        </w:rPr>
      </w:pPr>
      <w:r>
        <w:rPr>
          <w:rFonts w:hint="eastAsia" w:ascii="宋体" w:hAnsi="宋体" w:cs="宋体"/>
          <w:bCs/>
          <w:sz w:val="24"/>
        </w:rPr>
        <w:t>7.1</w:t>
      </w:r>
      <w:r>
        <w:rPr>
          <w:rFonts w:hint="eastAsia" w:ascii="宋体" w:hAnsi="宋体" w:cs="宋体"/>
          <w:sz w:val="24"/>
        </w:rPr>
        <w:t>本项目参加政府采购活动的投标人、法定代表人/主要负责人近3年内不得具有行贿犯罪记录。</w:t>
      </w:r>
    </w:p>
    <w:p>
      <w:pPr>
        <w:pStyle w:val="55"/>
        <w:tabs>
          <w:tab w:val="left" w:pos="1260"/>
        </w:tabs>
        <w:ind w:firstLine="480"/>
        <w:rPr>
          <w:rFonts w:hint="eastAsia" w:ascii="宋体" w:hAnsi="宋体" w:cs="宋体"/>
          <w:sz w:val="24"/>
        </w:rPr>
      </w:pPr>
      <w:r>
        <w:rPr>
          <w:rFonts w:hint="eastAsia" w:ascii="宋体" w:hAnsi="宋体" w:cs="宋体"/>
          <w:sz w:val="24"/>
        </w:rPr>
        <w:t>7.2投标人在开标当天前不得是“信用中国”网站(www.creditchina.gov.cn)、“中国政府采购网”网站(www.ccgp.gov.cn)等渠道中列入失信被执行人、重大税收违法案件当事人名单、政府采购严重违法失信行为记录名单中的投标人。</w:t>
      </w:r>
    </w:p>
    <w:p>
      <w:pPr>
        <w:pStyle w:val="55"/>
        <w:tabs>
          <w:tab w:val="left" w:pos="1260"/>
        </w:tabs>
        <w:ind w:firstLine="480"/>
        <w:rPr>
          <w:rFonts w:hint="eastAsia" w:ascii="宋体" w:hAnsi="宋体" w:cs="宋体"/>
          <w:sz w:val="24"/>
        </w:rPr>
      </w:pPr>
      <w:r>
        <w:rPr>
          <w:rFonts w:hint="eastAsia" w:ascii="宋体" w:hAnsi="宋体" w:cs="宋体"/>
          <w:sz w:val="24"/>
        </w:rPr>
        <w:t>（注：采购人或采购代理机构将在开标当天在‘信用中国’网站、‘中国政府采购网’网站等渠道对供应商进行信用记录查询，并将查询记录存档。凡被列入失信被执行人、重大税收违法案件当事人名单、政府采购严重违法失信行为记录名单的，视为存在不良信用记录，参与本项目的将被拒绝。）</w:t>
      </w:r>
    </w:p>
    <w:p>
      <w:pPr>
        <w:tabs>
          <w:tab w:val="left" w:pos="7665"/>
        </w:tabs>
        <w:adjustRightInd w:val="0"/>
        <w:snapToGrid w:val="0"/>
        <w:spacing w:line="360" w:lineRule="auto"/>
        <w:ind w:firstLine="482" w:firstLineChars="200"/>
        <w:rPr>
          <w:rFonts w:hint="eastAsia" w:ascii="宋体" w:hAnsi="宋体" w:cs="宋体"/>
          <w:b/>
          <w:sz w:val="24"/>
        </w:rPr>
      </w:pPr>
      <w:r>
        <w:rPr>
          <w:rFonts w:hint="eastAsia" w:ascii="宋体" w:hAnsi="宋体" w:cs="宋体"/>
          <w:b/>
          <w:sz w:val="24"/>
        </w:rPr>
        <w:t>六、招标文件获取时间、地点：</w:t>
      </w:r>
    </w:p>
    <w:p>
      <w:pPr>
        <w:tabs>
          <w:tab w:val="left" w:pos="7665"/>
        </w:tabs>
        <w:adjustRightInd w:val="0"/>
        <w:snapToGrid w:val="0"/>
        <w:spacing w:line="360" w:lineRule="auto"/>
        <w:ind w:firstLine="600" w:firstLineChars="250"/>
        <w:rPr>
          <w:rFonts w:hint="eastAsia" w:ascii="宋体" w:hAnsi="宋体" w:cs="宋体"/>
          <w:sz w:val="24"/>
        </w:rPr>
      </w:pPr>
      <w:r>
        <w:rPr>
          <w:rFonts w:hint="eastAsia" w:ascii="宋体" w:hAnsi="宋体" w:cs="宋体"/>
          <w:sz w:val="24"/>
        </w:rPr>
        <w:t>1）获取招标文件的时间期限：招标文件的获取时间(即报名时间)：</w:t>
      </w:r>
      <w:r>
        <w:rPr>
          <w:rFonts w:hint="eastAsia" w:ascii="宋体" w:hAnsi="宋体" w:cs="宋体"/>
          <w:sz w:val="24"/>
          <w:highlight w:val="none"/>
        </w:rPr>
        <w:t>2021年8月2</w:t>
      </w:r>
      <w:r>
        <w:rPr>
          <w:rFonts w:hint="eastAsia" w:ascii="宋体" w:hAnsi="宋体" w:cs="宋体"/>
          <w:sz w:val="24"/>
          <w:highlight w:val="none"/>
          <w:lang w:val="en-US" w:eastAsia="zh-CN"/>
        </w:rPr>
        <w:t>5</w:t>
      </w:r>
      <w:r>
        <w:rPr>
          <w:rFonts w:hint="eastAsia" w:ascii="宋体" w:hAnsi="宋体" w:cs="宋体"/>
          <w:sz w:val="24"/>
          <w:highlight w:val="none"/>
        </w:rPr>
        <w:t>日至2021年8月</w:t>
      </w:r>
      <w:r>
        <w:rPr>
          <w:rFonts w:hint="eastAsia" w:ascii="宋体" w:hAnsi="宋体" w:cs="宋体"/>
          <w:sz w:val="24"/>
          <w:highlight w:val="none"/>
          <w:lang w:val="en-US" w:eastAsia="zh-CN"/>
        </w:rPr>
        <w:t>31</w:t>
      </w:r>
      <w:r>
        <w:rPr>
          <w:rFonts w:hint="eastAsia" w:ascii="宋体" w:hAnsi="宋体" w:cs="宋体"/>
          <w:sz w:val="24"/>
          <w:highlight w:val="none"/>
        </w:rPr>
        <w:t>日9时00分—12时00分,14:00-17:00（</w:t>
      </w:r>
      <w:r>
        <w:rPr>
          <w:rFonts w:hint="eastAsia" w:ascii="宋体" w:hAnsi="宋体" w:cs="宋体"/>
          <w:sz w:val="24"/>
        </w:rPr>
        <w:t>北京时间，节假日除外)。</w:t>
      </w:r>
    </w:p>
    <w:p>
      <w:pPr>
        <w:tabs>
          <w:tab w:val="left" w:pos="7665"/>
        </w:tabs>
        <w:adjustRightInd w:val="0"/>
        <w:snapToGrid w:val="0"/>
        <w:spacing w:line="360" w:lineRule="auto"/>
        <w:ind w:firstLine="600" w:firstLineChars="250"/>
        <w:rPr>
          <w:rFonts w:hint="eastAsia" w:ascii="宋体" w:hAnsi="宋体" w:cs="宋体"/>
          <w:sz w:val="24"/>
        </w:rPr>
      </w:pPr>
      <w:r>
        <w:rPr>
          <w:rFonts w:hint="eastAsia" w:ascii="宋体" w:hAnsi="宋体" w:cs="宋体"/>
          <w:sz w:val="24"/>
        </w:rPr>
        <w:t>2）获取招标文件的方式：现场报名或远程（邮件）报名。</w:t>
      </w:r>
    </w:p>
    <w:p>
      <w:pPr>
        <w:tabs>
          <w:tab w:val="left" w:pos="7665"/>
        </w:tabs>
        <w:adjustRightInd w:val="0"/>
        <w:snapToGrid w:val="0"/>
        <w:spacing w:line="360" w:lineRule="auto"/>
        <w:ind w:firstLine="600" w:firstLineChars="250"/>
        <w:rPr>
          <w:rFonts w:hint="eastAsia" w:ascii="宋体" w:hAnsi="宋体" w:cs="宋体"/>
          <w:sz w:val="24"/>
        </w:rPr>
      </w:pPr>
      <w:r>
        <w:rPr>
          <w:rFonts w:hint="eastAsia" w:ascii="宋体" w:hAnsi="宋体" w:cs="宋体"/>
          <w:sz w:val="24"/>
        </w:rPr>
        <w:t>（1）现场办理地点：四川浩行招标代理有限公司（成都市高新区九兴大道14号凯乐国际5幢-503号）</w:t>
      </w:r>
    </w:p>
    <w:p>
      <w:pPr>
        <w:tabs>
          <w:tab w:val="left" w:pos="7665"/>
        </w:tabs>
        <w:adjustRightInd w:val="0"/>
        <w:snapToGrid w:val="0"/>
        <w:spacing w:line="360" w:lineRule="auto"/>
        <w:ind w:firstLine="600" w:firstLineChars="250"/>
        <w:rPr>
          <w:rFonts w:hint="eastAsia" w:ascii="宋体" w:hAnsi="宋体" w:cs="宋体"/>
          <w:sz w:val="24"/>
        </w:rPr>
      </w:pPr>
      <w:r>
        <w:rPr>
          <w:rFonts w:hint="eastAsia" w:ascii="宋体" w:hAnsi="宋体" w:cs="宋体"/>
          <w:sz w:val="24"/>
        </w:rPr>
        <w:t>（2）远程（邮件）办理：将完整的报名资料扫描成图片发送至“schxzb@qq.com”(邮件备注公司与项目简称)。我公司经办人员将通过邮箱回复是否报名成功。</w:t>
      </w:r>
    </w:p>
    <w:p>
      <w:pPr>
        <w:tabs>
          <w:tab w:val="left" w:pos="7665"/>
        </w:tabs>
        <w:adjustRightInd w:val="0"/>
        <w:snapToGrid w:val="0"/>
        <w:spacing w:line="360" w:lineRule="auto"/>
        <w:ind w:firstLine="600" w:firstLineChars="250"/>
        <w:rPr>
          <w:rFonts w:hint="eastAsia" w:ascii="宋体" w:hAnsi="宋体" w:cs="宋体"/>
          <w:sz w:val="24"/>
        </w:rPr>
      </w:pPr>
      <w:r>
        <w:rPr>
          <w:rFonts w:hint="eastAsia" w:ascii="宋体" w:hAnsi="宋体" w:cs="宋体"/>
          <w:sz w:val="24"/>
        </w:rPr>
        <w:t>3）报名资料：（1）供应商为法人或者其他组织的，需提供加盖供应商公章的单位介绍信原件（需注明项目名称、项目编号及包号(如有）），加盖供应商公章的经办人身份证复印件；供应商为自然人的，只需提供本人身份证明复印件；（2）填写《</w:t>
      </w:r>
      <w:r>
        <w:rPr>
          <w:rFonts w:hint="eastAsia" w:hAnsi="宋体" w:cs="宋体"/>
          <w:sz w:val="24"/>
        </w:rPr>
        <w:t>报名登记表</w:t>
      </w:r>
      <w:r>
        <w:rPr>
          <w:rFonts w:hint="eastAsia" w:ascii="宋体" w:hAnsi="宋体" w:cs="宋体"/>
          <w:sz w:val="24"/>
        </w:rPr>
        <w:t>》（供应商应如实填写《</w:t>
      </w:r>
      <w:r>
        <w:rPr>
          <w:rFonts w:hint="eastAsia" w:hAnsi="宋体" w:cs="宋体"/>
          <w:sz w:val="24"/>
        </w:rPr>
        <w:t>报名登记表</w:t>
      </w:r>
      <w:r>
        <w:rPr>
          <w:rFonts w:hint="eastAsia" w:ascii="宋体" w:hAnsi="宋体" w:cs="宋体"/>
          <w:sz w:val="24"/>
        </w:rPr>
        <w:t>》，内容应清晰完整，因信息填写不完整或错误而造成的所有后果由供应商自行承担）。</w:t>
      </w:r>
    </w:p>
    <w:p>
      <w:pPr>
        <w:tabs>
          <w:tab w:val="left" w:pos="7665"/>
        </w:tabs>
        <w:adjustRightInd w:val="0"/>
        <w:snapToGrid w:val="0"/>
        <w:spacing w:line="360" w:lineRule="auto"/>
        <w:ind w:firstLine="600" w:firstLineChars="250"/>
        <w:rPr>
          <w:rFonts w:hint="eastAsia" w:ascii="宋体" w:hAnsi="宋体" w:cs="宋体"/>
          <w:sz w:val="24"/>
        </w:rPr>
      </w:pPr>
      <w:r>
        <w:rPr>
          <w:rFonts w:hint="eastAsia" w:ascii="宋体" w:hAnsi="宋体" w:cs="宋体"/>
          <w:sz w:val="24"/>
        </w:rPr>
        <w:t>4）招标文件售价：</w:t>
      </w:r>
      <w:r>
        <w:rPr>
          <w:rFonts w:hint="eastAsia" w:hAnsi="宋体" w:cs="宋体"/>
          <w:sz w:val="24"/>
        </w:rPr>
        <w:t>免费获取</w:t>
      </w:r>
      <w:r>
        <w:rPr>
          <w:rFonts w:hint="eastAsia" w:ascii="宋体" w:hAnsi="宋体" w:cs="宋体"/>
          <w:sz w:val="24"/>
        </w:rPr>
        <w:t>(招标文件售后不退，投标资格不得转让)。</w:t>
      </w:r>
    </w:p>
    <w:p>
      <w:pPr>
        <w:tabs>
          <w:tab w:val="left" w:pos="7665"/>
        </w:tabs>
        <w:adjustRightInd w:val="0"/>
        <w:snapToGrid w:val="0"/>
        <w:spacing w:line="360" w:lineRule="auto"/>
        <w:ind w:firstLine="600" w:firstLineChars="250"/>
        <w:rPr>
          <w:rFonts w:hint="eastAsia" w:ascii="宋体" w:hAnsi="宋体" w:cs="宋体"/>
          <w:sz w:val="24"/>
        </w:rPr>
      </w:pPr>
      <w:r>
        <w:rPr>
          <w:rFonts w:hint="eastAsia" w:ascii="宋体" w:hAnsi="宋体" w:cs="宋体"/>
          <w:sz w:val="24"/>
        </w:rPr>
        <w:t>5）供应商应在规定的时间内到指定地点获取本招标文件，并登记备案，如在规定时间内未领取招标文件并登记备案的供应商均无资格参加该项目的开标。</w:t>
      </w:r>
    </w:p>
    <w:p>
      <w:pPr>
        <w:tabs>
          <w:tab w:val="left" w:pos="7665"/>
        </w:tabs>
        <w:adjustRightInd w:val="0"/>
        <w:snapToGrid w:val="0"/>
        <w:spacing w:line="360" w:lineRule="auto"/>
        <w:ind w:firstLine="600" w:firstLineChars="250"/>
        <w:rPr>
          <w:rFonts w:hint="eastAsia" w:ascii="宋体" w:hAnsi="宋体" w:cs="宋体"/>
          <w:sz w:val="24"/>
        </w:rPr>
      </w:pPr>
      <w:r>
        <w:rPr>
          <w:rFonts w:hint="eastAsia" w:ascii="宋体" w:hAnsi="宋体" w:cs="宋体"/>
          <w:sz w:val="24"/>
        </w:rPr>
        <w:t>6）招标采购单位对已发出的招标文件若有澄清或者修改的，澄清或者修改的通知将按照供应商报名时提供的联系方式通知，并同时在四川省政府采购网上公布。若供应商联系方式发生变化，应及时通知招标采购单位，若因供应商预留的联系方式错误而导致通知无法收到，一切责任均由供应商自行承担。</w:t>
      </w:r>
    </w:p>
    <w:p>
      <w:pPr>
        <w:tabs>
          <w:tab w:val="left" w:pos="402"/>
        </w:tabs>
        <w:adjustRightInd w:val="0"/>
        <w:snapToGrid w:val="0"/>
        <w:spacing w:line="360" w:lineRule="auto"/>
        <w:ind w:firstLine="482" w:firstLineChars="200"/>
        <w:rPr>
          <w:rFonts w:hint="eastAsia" w:ascii="宋体" w:hAnsi="宋体" w:cs="宋体"/>
          <w:sz w:val="24"/>
        </w:rPr>
      </w:pPr>
      <w:r>
        <w:rPr>
          <w:rFonts w:hint="eastAsia" w:ascii="宋体" w:hAnsi="宋体" w:cs="宋体"/>
          <w:b/>
          <w:sz w:val="24"/>
        </w:rPr>
        <w:t>七、投标截止时间和开标时间：</w:t>
      </w:r>
      <w:r>
        <w:rPr>
          <w:rFonts w:hint="eastAsia" w:ascii="宋体" w:hAnsi="宋体" w:cs="宋体"/>
          <w:sz w:val="24"/>
          <w:highlight w:val="none"/>
        </w:rPr>
        <w:t>2021年9月</w:t>
      </w:r>
      <w:r>
        <w:rPr>
          <w:rFonts w:hint="eastAsia" w:ascii="宋体" w:hAnsi="宋体" w:cs="宋体"/>
          <w:sz w:val="24"/>
          <w:highlight w:val="none"/>
          <w:lang w:val="en-US" w:eastAsia="zh-CN"/>
        </w:rPr>
        <w:t>14</w:t>
      </w:r>
      <w:r>
        <w:rPr>
          <w:rFonts w:hint="eastAsia" w:ascii="宋体" w:hAnsi="宋体" w:cs="宋体"/>
          <w:sz w:val="24"/>
          <w:highlight w:val="none"/>
        </w:rPr>
        <w:t>日10:30</w:t>
      </w:r>
      <w:r>
        <w:rPr>
          <w:rFonts w:hint="eastAsia" w:ascii="宋体" w:hAnsi="宋体" w:cs="宋体"/>
          <w:sz w:val="24"/>
        </w:rPr>
        <w:t>（北京时间）</w:t>
      </w:r>
    </w:p>
    <w:p>
      <w:pPr>
        <w:adjustRightInd w:val="0"/>
        <w:snapToGrid w:val="0"/>
        <w:spacing w:line="360" w:lineRule="auto"/>
        <w:ind w:firstLine="482" w:firstLineChars="200"/>
        <w:rPr>
          <w:rFonts w:hint="eastAsia" w:ascii="宋体" w:hAnsi="宋体" w:cs="宋体"/>
          <w:b/>
          <w:sz w:val="24"/>
        </w:rPr>
      </w:pPr>
      <w:r>
        <w:rPr>
          <w:rFonts w:hint="eastAsia" w:ascii="宋体" w:hAnsi="宋体" w:cs="宋体"/>
          <w:b/>
          <w:sz w:val="24"/>
        </w:rPr>
        <w:t>投标文件必须在投标截止时间前送达开标地点。逾期送达或者未按照招标文件要求密封的投标文件恕不接受。本次招标不接受邮寄的投标文件。</w:t>
      </w:r>
    </w:p>
    <w:p>
      <w:pPr>
        <w:adjustRightInd w:val="0"/>
        <w:snapToGrid w:val="0"/>
        <w:spacing w:line="360" w:lineRule="auto"/>
        <w:ind w:firstLine="482" w:firstLineChars="200"/>
        <w:rPr>
          <w:rFonts w:hint="eastAsia" w:ascii="宋体" w:hAnsi="宋体" w:cs="宋体"/>
          <w:sz w:val="24"/>
        </w:rPr>
      </w:pPr>
      <w:r>
        <w:rPr>
          <w:rFonts w:hint="eastAsia" w:ascii="宋体" w:hAnsi="宋体" w:cs="宋体"/>
          <w:b/>
          <w:sz w:val="24"/>
        </w:rPr>
        <w:t>八、开标地点：</w:t>
      </w:r>
    </w:p>
    <w:p>
      <w:pPr>
        <w:pStyle w:val="55"/>
        <w:adjustRightInd w:val="0"/>
        <w:snapToGrid w:val="0"/>
        <w:ind w:firstLine="482"/>
        <w:rPr>
          <w:rFonts w:hint="eastAsia" w:hAnsi="宋体" w:cs="宋体"/>
          <w:b/>
          <w:sz w:val="24"/>
        </w:rPr>
      </w:pPr>
      <w:r>
        <w:rPr>
          <w:rFonts w:hint="eastAsia" w:hAnsi="宋体" w:cs="宋体"/>
          <w:b/>
          <w:sz w:val="24"/>
        </w:rPr>
        <w:t>成都市高新区九兴大道14号凯乐国际5幢-503号。</w:t>
      </w:r>
    </w:p>
    <w:p>
      <w:pPr>
        <w:pStyle w:val="55"/>
        <w:adjustRightInd w:val="0"/>
        <w:snapToGrid w:val="0"/>
        <w:ind w:firstLine="482"/>
        <w:rPr>
          <w:rFonts w:hint="eastAsia" w:ascii="宋体" w:hAnsi="宋体" w:cs="宋体"/>
          <w:b/>
          <w:bCs/>
          <w:sz w:val="24"/>
        </w:rPr>
      </w:pPr>
      <w:r>
        <w:rPr>
          <w:rFonts w:hint="eastAsia" w:ascii="宋体" w:hAnsi="宋体" w:cs="宋体"/>
          <w:b/>
          <w:sz w:val="24"/>
        </w:rPr>
        <w:t>九、本投标邀请在“四川政府采购网（http://www.ccgp-sichuan.gov.cn）”上以公告形式发布。</w:t>
      </w:r>
    </w:p>
    <w:p>
      <w:pPr>
        <w:pStyle w:val="55"/>
        <w:adjustRightInd w:val="0"/>
        <w:snapToGrid w:val="0"/>
        <w:ind w:firstLine="482"/>
        <w:rPr>
          <w:rFonts w:hint="eastAsia" w:ascii="宋体" w:hAnsi="宋体" w:cs="宋体"/>
          <w:b/>
          <w:sz w:val="24"/>
        </w:rPr>
      </w:pPr>
      <w:r>
        <w:rPr>
          <w:rFonts w:hint="eastAsia" w:ascii="宋体" w:hAnsi="宋体" w:cs="宋体"/>
          <w:b/>
          <w:sz w:val="24"/>
        </w:rPr>
        <w:t>十、联系方式</w:t>
      </w:r>
      <w:r>
        <w:rPr>
          <w:rFonts w:hint="eastAsia" w:ascii="宋体" w:hAnsi="宋体"/>
          <w:b/>
          <w:sz w:val="24"/>
        </w:rPr>
        <w:t>：</w:t>
      </w:r>
    </w:p>
    <w:p>
      <w:pPr>
        <w:pStyle w:val="55"/>
        <w:ind w:firstLine="482"/>
        <w:rPr>
          <w:rFonts w:hint="eastAsia" w:ascii="宋体" w:hAnsi="宋体"/>
          <w:b/>
          <w:bCs/>
          <w:sz w:val="24"/>
          <w:u w:val="single"/>
        </w:rPr>
      </w:pPr>
      <w:r>
        <w:rPr>
          <w:rFonts w:hint="eastAsia" w:ascii="宋体" w:hAnsi="宋体"/>
          <w:b/>
          <w:sz w:val="24"/>
        </w:rPr>
        <w:t>采   购  人：成都市郫都区综合行政执法局</w:t>
      </w:r>
    </w:p>
    <w:p>
      <w:pPr>
        <w:pStyle w:val="55"/>
        <w:ind w:firstLine="480"/>
        <w:rPr>
          <w:rFonts w:hint="eastAsia" w:ascii="宋体" w:hAnsi="宋体"/>
          <w:sz w:val="24"/>
        </w:rPr>
      </w:pPr>
      <w:r>
        <w:rPr>
          <w:rFonts w:hint="eastAsia" w:ascii="宋体" w:hAnsi="宋体"/>
          <w:bCs/>
          <w:sz w:val="24"/>
        </w:rPr>
        <w:t>地       址：</w:t>
      </w:r>
      <w:r>
        <w:rPr>
          <w:rFonts w:hint="eastAsia" w:ascii="宋体"/>
          <w:sz w:val="24"/>
          <w:szCs w:val="28"/>
        </w:rPr>
        <w:t>成都市郫都区望丛中路275号；</w:t>
      </w:r>
    </w:p>
    <w:p>
      <w:pPr>
        <w:pStyle w:val="55"/>
        <w:ind w:firstLine="480"/>
        <w:rPr>
          <w:rFonts w:hint="eastAsia" w:ascii="宋体" w:hAnsi="宋体"/>
          <w:sz w:val="24"/>
        </w:rPr>
      </w:pPr>
      <w:r>
        <w:rPr>
          <w:rFonts w:hint="eastAsia" w:ascii="宋体" w:hAnsi="宋体"/>
          <w:sz w:val="24"/>
        </w:rPr>
        <w:t>联   系  人：</w:t>
      </w:r>
      <w:r>
        <w:rPr>
          <w:rFonts w:hint="eastAsia" w:ascii="宋体"/>
          <w:sz w:val="24"/>
          <w:szCs w:val="28"/>
        </w:rPr>
        <w:t>曾老师；</w:t>
      </w:r>
    </w:p>
    <w:p>
      <w:pPr>
        <w:pStyle w:val="55"/>
        <w:adjustRightInd w:val="0"/>
        <w:snapToGrid w:val="0"/>
        <w:ind w:firstLine="480"/>
        <w:rPr>
          <w:rFonts w:hint="eastAsia" w:ascii="宋体"/>
          <w:sz w:val="24"/>
          <w:szCs w:val="28"/>
        </w:rPr>
      </w:pPr>
      <w:r>
        <w:rPr>
          <w:rFonts w:hint="eastAsia" w:ascii="宋体" w:hAnsi="宋体"/>
          <w:sz w:val="24"/>
        </w:rPr>
        <w:t>联 系 电 话：</w:t>
      </w:r>
      <w:r>
        <w:rPr>
          <w:rFonts w:hint="eastAsia" w:ascii="宋体"/>
          <w:sz w:val="24"/>
          <w:szCs w:val="28"/>
        </w:rPr>
        <w:t>028-87883831</w:t>
      </w:r>
    </w:p>
    <w:p>
      <w:pPr>
        <w:pStyle w:val="55"/>
        <w:adjustRightInd w:val="0"/>
        <w:snapToGrid w:val="0"/>
        <w:ind w:firstLine="482"/>
        <w:rPr>
          <w:rFonts w:hint="eastAsia" w:ascii="宋体" w:hAnsi="宋体" w:cs="宋体"/>
          <w:bCs/>
          <w:sz w:val="24"/>
        </w:rPr>
      </w:pPr>
      <w:r>
        <w:rPr>
          <w:rFonts w:hint="eastAsia" w:ascii="宋体" w:hAnsi="宋体" w:cs="宋体"/>
          <w:b/>
          <w:sz w:val="24"/>
        </w:rPr>
        <w:t>采购代理机构：四川浩行招标代理有限公司</w:t>
      </w:r>
    </w:p>
    <w:p>
      <w:pPr>
        <w:pStyle w:val="55"/>
        <w:adjustRightInd w:val="0"/>
        <w:snapToGrid w:val="0"/>
        <w:ind w:firstLine="480"/>
        <w:rPr>
          <w:rFonts w:hint="eastAsia" w:ascii="宋体" w:hAnsi="宋体" w:cs="宋体"/>
          <w:bCs/>
          <w:sz w:val="24"/>
        </w:rPr>
      </w:pPr>
      <w:r>
        <w:rPr>
          <w:rFonts w:hint="eastAsia" w:ascii="宋体" w:hAnsi="宋体" w:cs="宋体"/>
          <w:bCs/>
          <w:sz w:val="24"/>
        </w:rPr>
        <w:t>地       址：成都市高新区九兴大道14号凯乐国际5幢-503号</w:t>
      </w:r>
    </w:p>
    <w:p>
      <w:pPr>
        <w:pStyle w:val="55"/>
        <w:adjustRightInd w:val="0"/>
        <w:snapToGrid w:val="0"/>
        <w:ind w:firstLine="480"/>
        <w:rPr>
          <w:rFonts w:hint="eastAsia" w:ascii="宋体" w:hAnsi="宋体" w:cs="宋体"/>
          <w:bCs/>
          <w:sz w:val="24"/>
        </w:rPr>
      </w:pPr>
      <w:r>
        <w:rPr>
          <w:rFonts w:hint="eastAsia" w:ascii="宋体" w:hAnsi="宋体" w:cs="宋体"/>
          <w:bCs/>
          <w:sz w:val="24"/>
        </w:rPr>
        <w:t>联   系  人：曾女士</w:t>
      </w:r>
    </w:p>
    <w:p>
      <w:pPr>
        <w:pStyle w:val="55"/>
        <w:adjustRightInd w:val="0"/>
        <w:snapToGrid w:val="0"/>
        <w:ind w:firstLine="480"/>
        <w:rPr>
          <w:rFonts w:hint="eastAsia" w:ascii="宋体" w:hAnsi="宋体" w:cs="宋体"/>
          <w:bCs/>
          <w:sz w:val="24"/>
        </w:rPr>
      </w:pPr>
      <w:r>
        <w:rPr>
          <w:rFonts w:hint="eastAsia" w:ascii="宋体" w:hAnsi="宋体" w:cs="宋体"/>
          <w:bCs/>
          <w:sz w:val="24"/>
        </w:rPr>
        <w:t>联 系 电 话：028-85588661</w:t>
      </w:r>
    </w:p>
    <w:p>
      <w:pPr>
        <w:rPr>
          <w:rFonts w:hint="eastAsia"/>
        </w:rPr>
      </w:pPr>
      <w:bookmarkStart w:id="3" w:name="_Toc21261"/>
      <w:bookmarkStart w:id="4" w:name="_Toc503862753"/>
      <w:bookmarkStart w:id="5" w:name="_Toc213397009"/>
      <w:bookmarkStart w:id="6" w:name="_Toc213396945"/>
      <w:bookmarkStart w:id="7" w:name="_Toc213396759"/>
      <w:bookmarkStart w:id="8" w:name="_Toc217446031"/>
      <w:bookmarkStart w:id="9" w:name="_Toc213496267"/>
      <w:r>
        <w:rPr>
          <w:rFonts w:hint="eastAsia"/>
        </w:rPr>
        <w:br w:type="page"/>
      </w:r>
    </w:p>
    <w:p>
      <w:pPr>
        <w:pStyle w:val="3"/>
        <w:spacing w:line="240" w:lineRule="auto"/>
        <w:rPr>
          <w:rFonts w:hint="eastAsia"/>
        </w:rPr>
      </w:pPr>
      <w:bookmarkStart w:id="10" w:name="_Toc19758"/>
      <w:r>
        <w:rPr>
          <w:rFonts w:hint="eastAsia"/>
        </w:rPr>
        <w:t>第二章  投标人须知</w:t>
      </w:r>
      <w:bookmarkEnd w:id="3"/>
      <w:bookmarkEnd w:id="4"/>
      <w:bookmarkEnd w:id="10"/>
    </w:p>
    <w:p>
      <w:pPr>
        <w:pStyle w:val="4"/>
        <w:spacing w:line="240" w:lineRule="auto"/>
        <w:jc w:val="center"/>
        <w:rPr>
          <w:rFonts w:hint="eastAsia"/>
        </w:rPr>
      </w:pPr>
      <w:bookmarkStart w:id="11" w:name="_Toc503862754"/>
      <w:r>
        <w:rPr>
          <w:rFonts w:hint="eastAsia"/>
        </w:rPr>
        <w:t>一、投标人须知附表</w:t>
      </w:r>
      <w:bookmarkEnd w:id="11"/>
    </w:p>
    <w:bookmarkEnd w:id="5"/>
    <w:bookmarkEnd w:id="6"/>
    <w:bookmarkEnd w:id="7"/>
    <w:bookmarkEnd w:id="8"/>
    <w:bookmarkEnd w:id="9"/>
    <w:tbl>
      <w:tblPr>
        <w:tblStyle w:val="23"/>
        <w:tblW w:w="5103" w:type="pct"/>
        <w:jc w:val="center"/>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autofit"/>
        <w:tblCellMar>
          <w:top w:w="0" w:type="dxa"/>
          <w:left w:w="0" w:type="dxa"/>
          <w:bottom w:w="0" w:type="dxa"/>
          <w:right w:w="0" w:type="dxa"/>
        </w:tblCellMar>
      </w:tblPr>
      <w:tblGrid>
        <w:gridCol w:w="605"/>
        <w:gridCol w:w="1925"/>
        <w:gridCol w:w="6661"/>
      </w:tblGrid>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tblHeader/>
          <w:jc w:val="center"/>
        </w:trPr>
        <w:tc>
          <w:tcPr>
            <w:tcW w:w="329" w:type="pct"/>
            <w:vAlign w:val="center"/>
          </w:tcPr>
          <w:p>
            <w:pPr>
              <w:adjustRightInd w:val="0"/>
              <w:snapToGrid w:val="0"/>
              <w:spacing w:line="312" w:lineRule="auto"/>
              <w:jc w:val="center"/>
              <w:outlineLvl w:val="5"/>
              <w:rPr>
                <w:rFonts w:hint="eastAsia" w:ascii="宋体" w:hAnsi="宋体" w:cs="宋体"/>
                <w:b/>
                <w:sz w:val="24"/>
                <w:lang w:val="zh-CN"/>
              </w:rPr>
            </w:pPr>
            <w:bookmarkStart w:id="12" w:name="_Toc503862755"/>
            <w:r>
              <w:rPr>
                <w:rFonts w:hint="eastAsia" w:ascii="宋体" w:hAnsi="宋体" w:cs="宋体"/>
                <w:b/>
                <w:sz w:val="24"/>
                <w:lang w:val="zh-CN"/>
              </w:rPr>
              <w:t xml:space="preserve">序号 </w:t>
            </w:r>
          </w:p>
        </w:tc>
        <w:tc>
          <w:tcPr>
            <w:tcW w:w="1047" w:type="pct"/>
            <w:vAlign w:val="center"/>
          </w:tcPr>
          <w:p>
            <w:pPr>
              <w:adjustRightInd w:val="0"/>
              <w:snapToGrid w:val="0"/>
              <w:spacing w:line="312" w:lineRule="auto"/>
              <w:jc w:val="center"/>
              <w:outlineLvl w:val="5"/>
              <w:rPr>
                <w:rFonts w:hint="eastAsia" w:ascii="宋体" w:hAnsi="宋体" w:cs="宋体"/>
                <w:b/>
                <w:sz w:val="24"/>
                <w:lang w:val="zh-CN"/>
              </w:rPr>
            </w:pPr>
            <w:r>
              <w:rPr>
                <w:rFonts w:hint="eastAsia" w:ascii="宋体" w:hAnsi="宋体" w:cs="宋体"/>
                <w:b/>
                <w:sz w:val="24"/>
                <w:lang w:val="zh-CN"/>
              </w:rPr>
              <w:t>条款名称</w:t>
            </w:r>
          </w:p>
        </w:tc>
        <w:tc>
          <w:tcPr>
            <w:tcW w:w="3623" w:type="pct"/>
            <w:vAlign w:val="center"/>
          </w:tcPr>
          <w:p>
            <w:pPr>
              <w:adjustRightInd w:val="0"/>
              <w:snapToGrid w:val="0"/>
              <w:spacing w:line="312" w:lineRule="auto"/>
              <w:jc w:val="center"/>
              <w:outlineLvl w:val="5"/>
              <w:rPr>
                <w:rFonts w:hint="eastAsia" w:ascii="宋体" w:hAnsi="宋体" w:cs="宋体"/>
                <w:b/>
                <w:sz w:val="24"/>
                <w:lang w:val="zh-CN"/>
              </w:rPr>
            </w:pPr>
            <w:r>
              <w:rPr>
                <w:rFonts w:hint="eastAsia" w:ascii="宋体" w:hAnsi="宋体" w:cs="宋体"/>
                <w:b/>
                <w:sz w:val="24"/>
                <w:lang w:val="zh-CN"/>
              </w:rPr>
              <w:t>说明和要求</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jc w:val="center"/>
        </w:trPr>
        <w:tc>
          <w:tcPr>
            <w:tcW w:w="329" w:type="pct"/>
            <w:vAlign w:val="center"/>
          </w:tcPr>
          <w:p>
            <w:pPr>
              <w:adjustRightInd w:val="0"/>
              <w:snapToGrid w:val="0"/>
              <w:spacing w:line="312" w:lineRule="auto"/>
              <w:jc w:val="center"/>
              <w:outlineLvl w:val="5"/>
              <w:rPr>
                <w:rFonts w:hint="eastAsia" w:ascii="宋体" w:hAnsi="宋体" w:cs="宋体"/>
                <w:sz w:val="24"/>
                <w:lang w:val="zh-CN"/>
              </w:rPr>
            </w:pPr>
            <w:r>
              <w:rPr>
                <w:rFonts w:hint="eastAsia" w:ascii="宋体" w:hAnsi="宋体" w:cs="宋体"/>
                <w:sz w:val="24"/>
                <w:lang w:val="zh-CN"/>
              </w:rPr>
              <w:t>1</w:t>
            </w:r>
          </w:p>
        </w:tc>
        <w:tc>
          <w:tcPr>
            <w:tcW w:w="1047" w:type="pct"/>
            <w:vAlign w:val="center"/>
          </w:tcPr>
          <w:p>
            <w:pPr>
              <w:adjustRightInd w:val="0"/>
              <w:snapToGrid w:val="0"/>
              <w:spacing w:line="312" w:lineRule="auto"/>
              <w:jc w:val="center"/>
              <w:outlineLvl w:val="5"/>
              <w:rPr>
                <w:rFonts w:hint="eastAsia" w:ascii="宋体" w:hAnsi="宋体" w:cs="宋体"/>
                <w:sz w:val="24"/>
                <w:lang w:val="zh-CN"/>
              </w:rPr>
            </w:pPr>
            <w:r>
              <w:rPr>
                <w:rFonts w:hint="eastAsia" w:ascii="宋体" w:hAnsi="宋体" w:cs="宋体"/>
                <w:sz w:val="24"/>
                <w:lang w:val="zh-CN"/>
              </w:rPr>
              <w:t>采购人</w:t>
            </w:r>
          </w:p>
        </w:tc>
        <w:tc>
          <w:tcPr>
            <w:tcW w:w="3623" w:type="pct"/>
            <w:vAlign w:val="center"/>
          </w:tcPr>
          <w:p>
            <w:pPr>
              <w:adjustRightInd w:val="0"/>
              <w:snapToGrid w:val="0"/>
              <w:spacing w:line="312" w:lineRule="auto"/>
              <w:jc w:val="left"/>
              <w:outlineLvl w:val="5"/>
              <w:rPr>
                <w:rFonts w:hint="eastAsia" w:ascii="宋体" w:hAnsi="宋体" w:cs="宋体"/>
                <w:sz w:val="24"/>
              </w:rPr>
            </w:pPr>
            <w:r>
              <w:rPr>
                <w:rFonts w:hint="eastAsia" w:hAnsi="宋体" w:cs="宋体"/>
                <w:sz w:val="24"/>
              </w:rPr>
              <w:t>成都市郫都区综合行政执法局</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jc w:val="center"/>
        </w:trPr>
        <w:tc>
          <w:tcPr>
            <w:tcW w:w="329" w:type="pct"/>
            <w:vAlign w:val="center"/>
          </w:tcPr>
          <w:p>
            <w:pPr>
              <w:adjustRightInd w:val="0"/>
              <w:snapToGrid w:val="0"/>
              <w:spacing w:line="312" w:lineRule="auto"/>
              <w:jc w:val="center"/>
              <w:outlineLvl w:val="5"/>
              <w:rPr>
                <w:rFonts w:hint="eastAsia" w:ascii="宋体" w:hAnsi="宋体" w:cs="宋体"/>
                <w:sz w:val="24"/>
                <w:lang w:val="zh-CN"/>
              </w:rPr>
            </w:pPr>
            <w:r>
              <w:rPr>
                <w:rFonts w:hint="eastAsia" w:ascii="宋体" w:hAnsi="宋体" w:cs="宋体"/>
                <w:sz w:val="24"/>
                <w:lang w:val="zh-CN"/>
              </w:rPr>
              <w:t>2</w:t>
            </w:r>
          </w:p>
        </w:tc>
        <w:tc>
          <w:tcPr>
            <w:tcW w:w="1047" w:type="pct"/>
            <w:vAlign w:val="center"/>
          </w:tcPr>
          <w:p>
            <w:pPr>
              <w:adjustRightInd w:val="0"/>
              <w:snapToGrid w:val="0"/>
              <w:spacing w:line="312" w:lineRule="auto"/>
              <w:jc w:val="center"/>
              <w:outlineLvl w:val="5"/>
              <w:rPr>
                <w:rFonts w:hint="eastAsia" w:ascii="宋体" w:hAnsi="宋体" w:cs="宋体"/>
                <w:sz w:val="24"/>
                <w:lang w:val="zh-CN"/>
              </w:rPr>
            </w:pPr>
            <w:r>
              <w:rPr>
                <w:rFonts w:hint="eastAsia" w:ascii="宋体" w:hAnsi="宋体" w:cs="宋体"/>
                <w:sz w:val="24"/>
                <w:lang w:val="zh-CN"/>
              </w:rPr>
              <w:t>招标代理机构</w:t>
            </w:r>
          </w:p>
        </w:tc>
        <w:tc>
          <w:tcPr>
            <w:tcW w:w="3623" w:type="pct"/>
            <w:vAlign w:val="center"/>
          </w:tcPr>
          <w:p>
            <w:pPr>
              <w:adjustRightInd w:val="0"/>
              <w:snapToGrid w:val="0"/>
              <w:spacing w:line="312" w:lineRule="auto"/>
              <w:outlineLvl w:val="5"/>
              <w:rPr>
                <w:rFonts w:hint="eastAsia" w:ascii="宋体" w:hAnsi="宋体" w:cs="宋体"/>
                <w:sz w:val="24"/>
              </w:rPr>
            </w:pPr>
            <w:r>
              <w:rPr>
                <w:rFonts w:hint="eastAsia" w:ascii="宋体" w:hAnsi="宋体" w:cs="宋体"/>
                <w:sz w:val="24"/>
              </w:rPr>
              <w:t>四川浩行招标代理有限公司</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jc w:val="center"/>
        </w:trPr>
        <w:tc>
          <w:tcPr>
            <w:tcW w:w="329" w:type="pct"/>
            <w:vAlign w:val="center"/>
          </w:tcPr>
          <w:p>
            <w:pPr>
              <w:adjustRightInd w:val="0"/>
              <w:snapToGrid w:val="0"/>
              <w:spacing w:line="312" w:lineRule="auto"/>
              <w:jc w:val="center"/>
              <w:outlineLvl w:val="5"/>
              <w:rPr>
                <w:rFonts w:hint="eastAsia" w:ascii="宋体" w:hAnsi="宋体" w:cs="宋体"/>
                <w:sz w:val="24"/>
                <w:lang w:val="zh-CN"/>
              </w:rPr>
            </w:pPr>
            <w:r>
              <w:rPr>
                <w:rFonts w:hint="eastAsia" w:ascii="宋体" w:hAnsi="宋体" w:cs="宋体"/>
                <w:sz w:val="24"/>
                <w:lang w:val="zh-CN"/>
              </w:rPr>
              <w:t>3</w:t>
            </w:r>
          </w:p>
        </w:tc>
        <w:tc>
          <w:tcPr>
            <w:tcW w:w="1047" w:type="pct"/>
            <w:vAlign w:val="center"/>
          </w:tcPr>
          <w:p>
            <w:pPr>
              <w:adjustRightInd w:val="0"/>
              <w:snapToGrid w:val="0"/>
              <w:spacing w:line="312" w:lineRule="auto"/>
              <w:jc w:val="center"/>
              <w:outlineLvl w:val="5"/>
              <w:rPr>
                <w:rFonts w:hint="eastAsia" w:ascii="宋体" w:hAnsi="宋体" w:cs="宋体"/>
                <w:sz w:val="24"/>
                <w:lang w:val="zh-CN"/>
              </w:rPr>
            </w:pPr>
            <w:r>
              <w:rPr>
                <w:rFonts w:hint="eastAsia" w:ascii="宋体" w:hAnsi="宋体" w:cs="宋体"/>
                <w:sz w:val="24"/>
                <w:lang w:val="zh-CN"/>
              </w:rPr>
              <w:t>采购项目名称</w:t>
            </w:r>
          </w:p>
        </w:tc>
        <w:tc>
          <w:tcPr>
            <w:tcW w:w="3623" w:type="pct"/>
            <w:vAlign w:val="center"/>
          </w:tcPr>
          <w:p>
            <w:pPr>
              <w:adjustRightInd w:val="0"/>
              <w:snapToGrid w:val="0"/>
              <w:spacing w:line="312" w:lineRule="auto"/>
              <w:jc w:val="left"/>
              <w:outlineLvl w:val="5"/>
              <w:rPr>
                <w:rFonts w:hint="eastAsia" w:ascii="宋体" w:hAnsi="宋体" w:cs="宋体"/>
                <w:sz w:val="24"/>
              </w:rPr>
            </w:pPr>
            <w:r>
              <w:rPr>
                <w:rFonts w:hint="eastAsia" w:hAnsi="宋体" w:cs="宋体"/>
                <w:sz w:val="24"/>
              </w:rPr>
              <w:t>四川省成都市郫都区综合行政执法局成都现代工业港2021-2024年度环卫清扫保洁服务项目</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jc w:val="center"/>
        </w:trPr>
        <w:tc>
          <w:tcPr>
            <w:tcW w:w="329" w:type="pct"/>
            <w:vAlign w:val="center"/>
          </w:tcPr>
          <w:p>
            <w:pPr>
              <w:adjustRightInd w:val="0"/>
              <w:snapToGrid w:val="0"/>
              <w:spacing w:line="312" w:lineRule="auto"/>
              <w:jc w:val="center"/>
              <w:outlineLvl w:val="5"/>
              <w:rPr>
                <w:rFonts w:hint="eastAsia" w:ascii="宋体" w:hAnsi="宋体" w:cs="宋体"/>
                <w:sz w:val="24"/>
                <w:lang w:val="zh-CN"/>
              </w:rPr>
            </w:pPr>
            <w:r>
              <w:rPr>
                <w:rFonts w:hint="eastAsia" w:ascii="宋体" w:hAnsi="宋体" w:cs="宋体"/>
                <w:sz w:val="24"/>
                <w:lang w:val="zh-CN"/>
              </w:rPr>
              <w:t>4</w:t>
            </w:r>
          </w:p>
        </w:tc>
        <w:tc>
          <w:tcPr>
            <w:tcW w:w="1047" w:type="pct"/>
            <w:vAlign w:val="center"/>
          </w:tcPr>
          <w:p>
            <w:pPr>
              <w:adjustRightInd w:val="0"/>
              <w:snapToGrid w:val="0"/>
              <w:spacing w:line="312" w:lineRule="auto"/>
              <w:jc w:val="center"/>
              <w:outlineLvl w:val="5"/>
              <w:rPr>
                <w:rFonts w:hint="eastAsia" w:ascii="宋体" w:hAnsi="宋体" w:cs="宋体"/>
                <w:sz w:val="24"/>
                <w:lang w:val="zh-CN"/>
              </w:rPr>
            </w:pPr>
            <w:r>
              <w:rPr>
                <w:rFonts w:hint="eastAsia" w:ascii="宋体" w:hAnsi="宋体" w:cs="宋体"/>
                <w:sz w:val="24"/>
                <w:lang w:val="zh-CN"/>
              </w:rPr>
              <w:t>采购文件编号</w:t>
            </w:r>
          </w:p>
        </w:tc>
        <w:tc>
          <w:tcPr>
            <w:tcW w:w="3623" w:type="pct"/>
            <w:vAlign w:val="center"/>
          </w:tcPr>
          <w:p>
            <w:pPr>
              <w:adjustRightInd w:val="0"/>
              <w:snapToGrid w:val="0"/>
              <w:spacing w:line="312" w:lineRule="auto"/>
              <w:outlineLvl w:val="5"/>
              <w:rPr>
                <w:rFonts w:hint="eastAsia" w:ascii="宋体" w:hAnsi="宋体" w:eastAsia="宋体" w:cs="宋体"/>
                <w:sz w:val="24"/>
                <w:lang w:eastAsia="zh-CN"/>
              </w:rPr>
            </w:pPr>
            <w:r>
              <w:rPr>
                <w:rFonts w:hint="eastAsia" w:ascii="宋体" w:hAnsi="宋体" w:cs="宋体"/>
                <w:sz w:val="24"/>
                <w:lang w:eastAsia="zh-CN"/>
              </w:rPr>
              <w:t>510124202100161</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jc w:val="center"/>
        </w:trPr>
        <w:tc>
          <w:tcPr>
            <w:tcW w:w="329" w:type="pct"/>
            <w:vAlign w:val="center"/>
          </w:tcPr>
          <w:p>
            <w:pPr>
              <w:adjustRightInd w:val="0"/>
              <w:snapToGrid w:val="0"/>
              <w:spacing w:line="312" w:lineRule="auto"/>
              <w:jc w:val="center"/>
              <w:outlineLvl w:val="5"/>
              <w:rPr>
                <w:rFonts w:hint="eastAsia" w:ascii="宋体" w:hAnsi="宋体" w:cs="宋体"/>
                <w:sz w:val="24"/>
                <w:lang w:val="zh-CN"/>
              </w:rPr>
            </w:pPr>
            <w:r>
              <w:rPr>
                <w:rFonts w:hint="eastAsia" w:ascii="宋体" w:hAnsi="宋体" w:cs="宋体"/>
                <w:sz w:val="24"/>
                <w:lang w:val="zh-CN"/>
              </w:rPr>
              <w:t>5</w:t>
            </w:r>
          </w:p>
        </w:tc>
        <w:tc>
          <w:tcPr>
            <w:tcW w:w="1047" w:type="pct"/>
            <w:vAlign w:val="center"/>
          </w:tcPr>
          <w:p>
            <w:pPr>
              <w:adjustRightInd w:val="0"/>
              <w:snapToGrid w:val="0"/>
              <w:spacing w:line="312" w:lineRule="auto"/>
              <w:jc w:val="center"/>
              <w:outlineLvl w:val="5"/>
              <w:rPr>
                <w:rFonts w:hint="eastAsia" w:ascii="宋体" w:hAnsi="宋体" w:cs="宋体"/>
                <w:sz w:val="24"/>
                <w:lang w:val="zh-CN"/>
              </w:rPr>
            </w:pPr>
            <w:r>
              <w:rPr>
                <w:rFonts w:hint="eastAsia" w:ascii="宋体" w:hAnsi="宋体" w:cs="宋体"/>
                <w:sz w:val="24"/>
                <w:lang w:val="zh-CN"/>
              </w:rPr>
              <w:t>招标文件编制</w:t>
            </w:r>
          </w:p>
        </w:tc>
        <w:tc>
          <w:tcPr>
            <w:tcW w:w="3623" w:type="pct"/>
            <w:vAlign w:val="center"/>
          </w:tcPr>
          <w:p>
            <w:pPr>
              <w:adjustRightInd w:val="0"/>
              <w:snapToGrid w:val="0"/>
              <w:spacing w:line="312" w:lineRule="auto"/>
              <w:outlineLvl w:val="5"/>
              <w:rPr>
                <w:rFonts w:hint="eastAsia" w:ascii="宋体" w:hAnsi="宋体" w:cs="宋体"/>
                <w:sz w:val="24"/>
              </w:rPr>
            </w:pPr>
            <w:r>
              <w:rPr>
                <w:rFonts w:hint="eastAsia" w:ascii="宋体" w:hAnsi="宋体" w:cs="宋体"/>
                <w:sz w:val="24"/>
              </w:rPr>
              <w:t>由</w:t>
            </w:r>
            <w:r>
              <w:rPr>
                <w:rFonts w:hint="eastAsia" w:hAnsi="宋体" w:cs="宋体"/>
                <w:sz w:val="24"/>
              </w:rPr>
              <w:t>成都市郫都区综合行政执法局</w:t>
            </w:r>
            <w:r>
              <w:rPr>
                <w:rFonts w:hint="eastAsia" w:ascii="宋体" w:hAnsi="宋体" w:cs="宋体"/>
                <w:sz w:val="24"/>
              </w:rPr>
              <w:t>及四川浩行招标代理有限公司共同编制</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jc w:val="center"/>
        </w:trPr>
        <w:tc>
          <w:tcPr>
            <w:tcW w:w="329" w:type="pct"/>
            <w:vAlign w:val="center"/>
          </w:tcPr>
          <w:p>
            <w:pPr>
              <w:adjustRightInd w:val="0"/>
              <w:snapToGrid w:val="0"/>
              <w:spacing w:line="312" w:lineRule="auto"/>
              <w:jc w:val="center"/>
              <w:outlineLvl w:val="5"/>
              <w:rPr>
                <w:rFonts w:hint="eastAsia" w:ascii="宋体" w:hAnsi="宋体" w:cs="宋体"/>
                <w:sz w:val="24"/>
                <w:lang w:val="zh-CN"/>
              </w:rPr>
            </w:pPr>
            <w:r>
              <w:rPr>
                <w:rFonts w:hint="eastAsia" w:ascii="宋体" w:hAnsi="宋体" w:cs="宋体"/>
                <w:sz w:val="24"/>
                <w:lang w:val="zh-CN"/>
              </w:rPr>
              <w:t>6</w:t>
            </w:r>
          </w:p>
        </w:tc>
        <w:tc>
          <w:tcPr>
            <w:tcW w:w="1047" w:type="pct"/>
            <w:vAlign w:val="center"/>
          </w:tcPr>
          <w:p>
            <w:pPr>
              <w:adjustRightInd w:val="0"/>
              <w:snapToGrid w:val="0"/>
              <w:spacing w:line="312" w:lineRule="auto"/>
              <w:jc w:val="center"/>
              <w:outlineLvl w:val="5"/>
              <w:rPr>
                <w:rFonts w:hint="eastAsia" w:ascii="宋体" w:hAnsi="宋体" w:cs="宋体"/>
                <w:sz w:val="24"/>
                <w:lang w:val="zh-CN"/>
              </w:rPr>
            </w:pPr>
            <w:r>
              <w:rPr>
                <w:rFonts w:hint="eastAsia" w:ascii="宋体" w:hAnsi="宋体" w:cs="宋体"/>
                <w:sz w:val="24"/>
                <w:lang w:val="zh-CN"/>
              </w:rPr>
              <w:t>资金来源</w:t>
            </w:r>
          </w:p>
        </w:tc>
        <w:tc>
          <w:tcPr>
            <w:tcW w:w="3623" w:type="pct"/>
            <w:vAlign w:val="center"/>
          </w:tcPr>
          <w:p>
            <w:pPr>
              <w:adjustRightInd w:val="0"/>
              <w:snapToGrid w:val="0"/>
              <w:spacing w:line="312" w:lineRule="auto"/>
              <w:outlineLvl w:val="5"/>
              <w:rPr>
                <w:rFonts w:hint="eastAsia" w:ascii="宋体" w:hAnsi="宋体" w:cs="宋体"/>
                <w:sz w:val="24"/>
                <w:lang w:val="zh-CN"/>
              </w:rPr>
            </w:pPr>
            <w:r>
              <w:rPr>
                <w:rFonts w:hint="eastAsia" w:ascii="宋体" w:hAnsi="宋体" w:cs="宋体"/>
                <w:sz w:val="24"/>
              </w:rPr>
              <w:t>财政性资金，已落实。</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jc w:val="center"/>
        </w:trPr>
        <w:tc>
          <w:tcPr>
            <w:tcW w:w="329" w:type="pct"/>
            <w:vMerge w:val="restart"/>
            <w:vAlign w:val="center"/>
          </w:tcPr>
          <w:p>
            <w:pPr>
              <w:adjustRightInd w:val="0"/>
              <w:snapToGrid w:val="0"/>
              <w:spacing w:line="312" w:lineRule="auto"/>
              <w:jc w:val="center"/>
              <w:outlineLvl w:val="5"/>
              <w:rPr>
                <w:rFonts w:hint="eastAsia" w:ascii="宋体" w:hAnsi="宋体" w:cs="宋体"/>
                <w:sz w:val="24"/>
                <w:lang w:val="zh-CN"/>
              </w:rPr>
            </w:pPr>
            <w:r>
              <w:rPr>
                <w:rFonts w:hint="eastAsia" w:ascii="宋体" w:hAnsi="宋体" w:cs="宋体"/>
                <w:sz w:val="24"/>
                <w:lang w:val="zh-CN"/>
              </w:rPr>
              <w:t>7</w:t>
            </w:r>
          </w:p>
        </w:tc>
        <w:tc>
          <w:tcPr>
            <w:tcW w:w="1047" w:type="pct"/>
            <w:tcBorders>
              <w:bottom w:val="single" w:color="auto" w:sz="4" w:space="0"/>
            </w:tcBorders>
            <w:vAlign w:val="center"/>
          </w:tcPr>
          <w:p>
            <w:pPr>
              <w:adjustRightInd w:val="0"/>
              <w:snapToGrid w:val="0"/>
              <w:spacing w:line="312" w:lineRule="auto"/>
              <w:jc w:val="center"/>
              <w:outlineLvl w:val="5"/>
              <w:rPr>
                <w:rFonts w:hint="eastAsia" w:ascii="宋体" w:hAnsi="宋体" w:cs="宋体"/>
                <w:sz w:val="24"/>
                <w:lang w:val="zh-CN"/>
              </w:rPr>
            </w:pPr>
            <w:r>
              <w:rPr>
                <w:rFonts w:hint="eastAsia" w:ascii="宋体" w:hAnsi="宋体" w:cs="宋体"/>
                <w:sz w:val="24"/>
                <w:lang w:val="zh-CN"/>
              </w:rPr>
              <w:t>采购预算</w:t>
            </w:r>
          </w:p>
          <w:p>
            <w:pPr>
              <w:adjustRightInd w:val="0"/>
              <w:snapToGrid w:val="0"/>
              <w:spacing w:line="312" w:lineRule="auto"/>
              <w:jc w:val="center"/>
              <w:outlineLvl w:val="5"/>
              <w:rPr>
                <w:rFonts w:hint="eastAsia" w:ascii="宋体" w:hAnsi="宋体" w:cs="宋体"/>
                <w:b/>
                <w:sz w:val="24"/>
                <w:lang w:val="zh-CN"/>
              </w:rPr>
            </w:pPr>
            <w:r>
              <w:rPr>
                <w:rFonts w:hint="eastAsia" w:ascii="宋体" w:hAnsi="宋体" w:cs="宋体"/>
                <w:b/>
                <w:sz w:val="24"/>
                <w:lang w:val="zh-CN"/>
              </w:rPr>
              <w:t>（实质性要求）</w:t>
            </w:r>
          </w:p>
        </w:tc>
        <w:tc>
          <w:tcPr>
            <w:tcW w:w="3623" w:type="pct"/>
            <w:tcBorders>
              <w:bottom w:val="single" w:color="auto" w:sz="4" w:space="0"/>
            </w:tcBorders>
            <w:vAlign w:val="center"/>
          </w:tcPr>
          <w:p>
            <w:pPr>
              <w:adjustRightInd w:val="0"/>
              <w:snapToGrid w:val="0"/>
              <w:spacing w:line="360" w:lineRule="auto"/>
              <w:rPr>
                <w:rFonts w:hint="eastAsia" w:ascii="宋体" w:hAnsi="宋体" w:cs="宋体"/>
                <w:kern w:val="0"/>
                <w:sz w:val="24"/>
              </w:rPr>
            </w:pPr>
            <w:r>
              <w:rPr>
                <w:rFonts w:hint="eastAsia" w:ascii="宋体" w:hAnsi="宋体" w:cs="宋体"/>
                <w:kern w:val="0"/>
                <w:sz w:val="24"/>
              </w:rPr>
              <w:t>本项目采购预算：21398897.16元/年，一招三年，合同一年一签。</w:t>
            </w:r>
          </w:p>
          <w:p>
            <w:pPr>
              <w:adjustRightInd w:val="0"/>
              <w:snapToGrid w:val="0"/>
              <w:spacing w:line="312" w:lineRule="auto"/>
              <w:jc w:val="left"/>
              <w:outlineLvl w:val="5"/>
              <w:rPr>
                <w:rFonts w:hint="eastAsia" w:ascii="宋体" w:hAnsi="宋体" w:cs="宋体"/>
                <w:sz w:val="24"/>
                <w:lang w:val="zh-CN"/>
              </w:rPr>
            </w:pPr>
            <w:r>
              <w:rPr>
                <w:rFonts w:hint="eastAsia" w:ascii="宋体" w:hAnsi="宋体" w:cs="宋体"/>
                <w:kern w:val="0"/>
                <w:sz w:val="24"/>
              </w:rPr>
              <w:t xml:space="preserve"> </w:t>
            </w:r>
            <w:r>
              <w:rPr>
                <w:rFonts w:hint="eastAsia" w:ascii="宋体" w:hAnsi="宋体" w:cs="宋体"/>
                <w:b/>
                <w:bCs/>
                <w:kern w:val="0"/>
                <w:sz w:val="24"/>
              </w:rPr>
              <w:t>注：超过采购预算的报价为无效投标。</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683" w:hRule="atLeast"/>
          <w:jc w:val="center"/>
        </w:trPr>
        <w:tc>
          <w:tcPr>
            <w:tcW w:w="329" w:type="pct"/>
            <w:vMerge w:val="continue"/>
            <w:vAlign w:val="center"/>
          </w:tcPr>
          <w:p>
            <w:pPr>
              <w:adjustRightInd w:val="0"/>
              <w:snapToGrid w:val="0"/>
              <w:spacing w:line="312" w:lineRule="auto"/>
              <w:jc w:val="center"/>
              <w:outlineLvl w:val="5"/>
              <w:rPr>
                <w:rFonts w:hint="eastAsia" w:ascii="宋体" w:hAnsi="宋体" w:cs="宋体"/>
                <w:sz w:val="24"/>
                <w:lang w:val="zh-CN"/>
              </w:rPr>
            </w:pPr>
          </w:p>
        </w:tc>
        <w:tc>
          <w:tcPr>
            <w:tcW w:w="1047" w:type="pct"/>
            <w:tcBorders>
              <w:top w:val="single" w:color="auto" w:sz="4" w:space="0"/>
            </w:tcBorders>
            <w:vAlign w:val="center"/>
          </w:tcPr>
          <w:p>
            <w:pPr>
              <w:adjustRightInd w:val="0"/>
              <w:snapToGrid w:val="0"/>
              <w:spacing w:line="312" w:lineRule="auto"/>
              <w:jc w:val="center"/>
              <w:outlineLvl w:val="5"/>
              <w:rPr>
                <w:rFonts w:hint="eastAsia" w:ascii="宋体" w:hAnsi="宋体" w:cs="宋体"/>
                <w:sz w:val="24"/>
                <w:lang w:val="zh-CN"/>
              </w:rPr>
            </w:pPr>
            <w:r>
              <w:rPr>
                <w:rFonts w:hint="eastAsia" w:ascii="宋体" w:hAnsi="宋体" w:cs="宋体"/>
                <w:sz w:val="24"/>
                <w:lang w:val="zh-CN"/>
              </w:rPr>
              <w:t>最高限价</w:t>
            </w:r>
          </w:p>
          <w:p>
            <w:pPr>
              <w:adjustRightInd w:val="0"/>
              <w:snapToGrid w:val="0"/>
              <w:spacing w:line="312" w:lineRule="auto"/>
              <w:jc w:val="center"/>
              <w:outlineLvl w:val="5"/>
              <w:rPr>
                <w:rFonts w:hint="eastAsia" w:ascii="宋体" w:hAnsi="宋体" w:cs="宋体"/>
                <w:b/>
                <w:sz w:val="24"/>
                <w:lang w:val="zh-CN"/>
              </w:rPr>
            </w:pPr>
            <w:r>
              <w:rPr>
                <w:rFonts w:hint="eastAsia" w:ascii="宋体" w:hAnsi="宋体" w:cs="宋体"/>
                <w:b/>
                <w:sz w:val="24"/>
                <w:lang w:val="zh-CN"/>
              </w:rPr>
              <w:t>（实质性要求）</w:t>
            </w:r>
          </w:p>
        </w:tc>
        <w:tc>
          <w:tcPr>
            <w:tcW w:w="3623" w:type="pct"/>
            <w:tcBorders>
              <w:top w:val="single" w:color="auto" w:sz="4" w:space="0"/>
            </w:tcBorders>
          </w:tcPr>
          <w:p>
            <w:pPr>
              <w:adjustRightInd w:val="0"/>
              <w:snapToGrid w:val="0"/>
              <w:spacing w:line="360" w:lineRule="auto"/>
              <w:rPr>
                <w:rFonts w:hint="eastAsia" w:ascii="宋体" w:hAnsi="宋体" w:cs="宋体"/>
                <w:sz w:val="24"/>
              </w:rPr>
            </w:pPr>
            <w:r>
              <w:rPr>
                <w:rFonts w:hint="eastAsia" w:ascii="宋体" w:hAnsi="宋体" w:cs="宋体"/>
                <w:sz w:val="24"/>
              </w:rPr>
              <w:t>本项目最高限价：</w:t>
            </w:r>
            <w:r>
              <w:rPr>
                <w:rFonts w:hint="eastAsia" w:ascii="宋体" w:hAnsi="宋体" w:cs="宋体"/>
                <w:kern w:val="0"/>
                <w:sz w:val="24"/>
              </w:rPr>
              <w:t>包件一限价2,860,107.48元/年，包件二限价4,020,006.24元/年，包件三限价4,250,000.76元/年，包件四限价4,431,612.84元/年，包件五限价5,837,169.84元/年。</w:t>
            </w:r>
          </w:p>
          <w:p>
            <w:pPr>
              <w:adjustRightInd w:val="0"/>
              <w:snapToGrid w:val="0"/>
              <w:spacing w:line="312" w:lineRule="auto"/>
              <w:jc w:val="left"/>
              <w:outlineLvl w:val="5"/>
              <w:rPr>
                <w:rFonts w:hint="eastAsia" w:ascii="宋体" w:hAnsi="宋体" w:cs="宋体"/>
                <w:sz w:val="24"/>
                <w:lang w:val="zh-CN"/>
              </w:rPr>
            </w:pPr>
            <w:r>
              <w:rPr>
                <w:rFonts w:hint="eastAsia" w:ascii="宋体" w:hAnsi="宋体" w:cs="宋体"/>
                <w:sz w:val="24"/>
              </w:rPr>
              <w:t>注：</w:t>
            </w:r>
            <w:r>
              <w:rPr>
                <w:rFonts w:hint="eastAsia" w:ascii="宋体" w:hAnsi="宋体" w:cs="宋体"/>
                <w:b/>
                <w:bCs/>
                <w:kern w:val="0"/>
                <w:sz w:val="24"/>
              </w:rPr>
              <w:t>超过最高限价的报价为无效投标。</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jc w:val="center"/>
        </w:trPr>
        <w:tc>
          <w:tcPr>
            <w:tcW w:w="329" w:type="pct"/>
            <w:vAlign w:val="center"/>
          </w:tcPr>
          <w:p>
            <w:pPr>
              <w:adjustRightInd w:val="0"/>
              <w:snapToGrid w:val="0"/>
              <w:spacing w:line="312" w:lineRule="auto"/>
              <w:jc w:val="center"/>
              <w:outlineLvl w:val="5"/>
              <w:rPr>
                <w:rFonts w:hint="eastAsia" w:ascii="宋体" w:hAnsi="宋体" w:cs="宋体"/>
                <w:sz w:val="24"/>
                <w:lang w:val="zh-CN"/>
              </w:rPr>
            </w:pPr>
            <w:r>
              <w:rPr>
                <w:rFonts w:hint="eastAsia" w:ascii="宋体" w:hAnsi="宋体" w:cs="宋体"/>
                <w:sz w:val="24"/>
                <w:lang w:val="zh-CN"/>
              </w:rPr>
              <w:t>8</w:t>
            </w:r>
          </w:p>
        </w:tc>
        <w:tc>
          <w:tcPr>
            <w:tcW w:w="1047" w:type="pct"/>
            <w:vAlign w:val="center"/>
          </w:tcPr>
          <w:p>
            <w:pPr>
              <w:adjustRightInd w:val="0"/>
              <w:snapToGrid w:val="0"/>
              <w:spacing w:line="312" w:lineRule="auto"/>
              <w:jc w:val="center"/>
              <w:outlineLvl w:val="5"/>
              <w:rPr>
                <w:rFonts w:hint="eastAsia" w:ascii="宋体" w:hAnsi="宋体" w:cs="宋体"/>
                <w:sz w:val="24"/>
                <w:lang w:val="zh-CN"/>
              </w:rPr>
            </w:pPr>
            <w:r>
              <w:rPr>
                <w:rFonts w:hint="eastAsia" w:ascii="宋体" w:hAnsi="宋体" w:cs="宋体"/>
                <w:sz w:val="24"/>
                <w:lang w:val="zh-CN"/>
              </w:rPr>
              <w:t>低于成本价不正当</w:t>
            </w:r>
          </w:p>
          <w:p>
            <w:pPr>
              <w:adjustRightInd w:val="0"/>
              <w:snapToGrid w:val="0"/>
              <w:spacing w:line="312" w:lineRule="auto"/>
              <w:jc w:val="center"/>
              <w:outlineLvl w:val="5"/>
              <w:rPr>
                <w:rFonts w:hint="eastAsia" w:ascii="宋体" w:hAnsi="宋体" w:cs="宋体"/>
                <w:sz w:val="24"/>
                <w:lang w:val="zh-CN"/>
              </w:rPr>
            </w:pPr>
            <w:r>
              <w:rPr>
                <w:rFonts w:hint="eastAsia" w:ascii="宋体" w:hAnsi="宋体" w:cs="宋体"/>
                <w:sz w:val="24"/>
                <w:lang w:val="zh-CN"/>
              </w:rPr>
              <w:t>竞争预防措施</w:t>
            </w:r>
          </w:p>
          <w:p>
            <w:pPr>
              <w:adjustRightInd w:val="0"/>
              <w:snapToGrid w:val="0"/>
              <w:spacing w:line="312" w:lineRule="auto"/>
              <w:jc w:val="center"/>
              <w:outlineLvl w:val="5"/>
              <w:rPr>
                <w:rFonts w:hint="eastAsia" w:ascii="宋体" w:hAnsi="宋体" w:cs="宋体"/>
                <w:b/>
                <w:sz w:val="24"/>
                <w:lang w:val="zh-CN"/>
              </w:rPr>
            </w:pPr>
            <w:r>
              <w:rPr>
                <w:rFonts w:hint="eastAsia" w:ascii="宋体" w:hAnsi="宋体" w:cs="宋体"/>
                <w:b/>
                <w:sz w:val="24"/>
                <w:lang w:val="zh-CN"/>
              </w:rPr>
              <w:t>（实质性要求）</w:t>
            </w:r>
          </w:p>
        </w:tc>
        <w:tc>
          <w:tcPr>
            <w:tcW w:w="3623" w:type="pct"/>
            <w:vAlign w:val="center"/>
          </w:tcPr>
          <w:p>
            <w:pPr>
              <w:adjustRightInd w:val="0"/>
              <w:snapToGrid w:val="0"/>
              <w:spacing w:line="312" w:lineRule="auto"/>
              <w:jc w:val="left"/>
              <w:outlineLvl w:val="5"/>
              <w:rPr>
                <w:rFonts w:hint="eastAsia" w:ascii="宋体" w:hAnsi="宋体" w:cs="宋体"/>
                <w:sz w:val="24"/>
                <w:lang w:val="zh-CN"/>
              </w:rPr>
            </w:pPr>
            <w:r>
              <w:rPr>
                <w:rFonts w:hint="eastAsia" w:ascii="宋体" w:hAnsi="宋体" w:cs="宋体"/>
                <w:sz w:val="24"/>
                <w:lang w:val="zh-CN"/>
              </w:rPr>
              <w:t>在评标过程中，评标委员会认为供应商的报价明显低于其他通过符合性审查供应商的报价，有可能影响产品质量或者不能诚信履约的，应当要求其在评标现场合理的时间内提供书面说明，必要时提交相关证明材料。供应商书面说明应当按照国家财务会计制度的规定要求，逐项就供应商提供的货物、工程和服务的主营业务成本（应根据供应商企业类型予以区别）、税金及附加、销售费用、管理费用、财务费用等成本构成事项详细陈述。</w:t>
            </w:r>
          </w:p>
          <w:p>
            <w:pPr>
              <w:adjustRightInd w:val="0"/>
              <w:snapToGrid w:val="0"/>
              <w:spacing w:line="312" w:lineRule="auto"/>
              <w:jc w:val="left"/>
              <w:outlineLvl w:val="5"/>
              <w:rPr>
                <w:rFonts w:hint="eastAsia" w:ascii="宋体" w:hAnsi="宋体" w:cs="宋体"/>
                <w:sz w:val="24"/>
                <w:lang w:val="zh-CN"/>
              </w:rPr>
            </w:pPr>
            <w:r>
              <w:rPr>
                <w:rFonts w:hint="eastAsia" w:ascii="宋体" w:hAnsi="宋体" w:cs="宋体"/>
                <w:sz w:val="24"/>
                <w:lang w:val="zh-CN"/>
              </w:rPr>
              <w:t>供应商书面说明应当签字确认或者加盖公章，否则无效。书面说明的签字确认，由其法定代表人/主要负责人/本人或者其授权代表签字确认。</w:t>
            </w:r>
          </w:p>
          <w:p>
            <w:pPr>
              <w:adjustRightInd w:val="0"/>
              <w:snapToGrid w:val="0"/>
              <w:spacing w:line="312" w:lineRule="auto"/>
              <w:jc w:val="left"/>
              <w:outlineLvl w:val="5"/>
              <w:rPr>
                <w:rFonts w:hint="eastAsia" w:ascii="宋体" w:hAnsi="宋体" w:cs="宋体"/>
                <w:sz w:val="24"/>
                <w:lang w:val="zh-CN"/>
              </w:rPr>
            </w:pPr>
            <w:r>
              <w:rPr>
                <w:rFonts w:hint="eastAsia" w:ascii="宋体" w:hAnsi="宋体" w:cs="宋体"/>
                <w:sz w:val="24"/>
                <w:lang w:val="zh-CN"/>
              </w:rPr>
              <w:t>供应商提供书面说明后，评标委员会应当结合采购项目采购需求、专业实际情况、供应商财务状况报告、与其他供应商比较情况等就投标人书面说明进行审查评价。供应商拒绝或者变相拒绝提供有效书面说明或者书面说明不能证明其报价合理性的，评标委员会应当将其投标文件作为无效处理。</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jc w:val="center"/>
        </w:trPr>
        <w:tc>
          <w:tcPr>
            <w:tcW w:w="329" w:type="pct"/>
            <w:vAlign w:val="center"/>
          </w:tcPr>
          <w:p>
            <w:pPr>
              <w:adjustRightInd w:val="0"/>
              <w:snapToGrid w:val="0"/>
              <w:spacing w:line="312" w:lineRule="auto"/>
              <w:jc w:val="center"/>
              <w:outlineLvl w:val="5"/>
              <w:rPr>
                <w:rFonts w:hint="eastAsia" w:ascii="宋体" w:hAnsi="宋体" w:cs="宋体"/>
                <w:sz w:val="24"/>
                <w:lang w:val="zh-CN"/>
              </w:rPr>
            </w:pPr>
            <w:r>
              <w:rPr>
                <w:rFonts w:hint="eastAsia" w:ascii="宋体" w:hAnsi="宋体" w:cs="宋体"/>
                <w:sz w:val="24"/>
                <w:lang w:val="zh-CN"/>
              </w:rPr>
              <w:t>9</w:t>
            </w:r>
          </w:p>
        </w:tc>
        <w:tc>
          <w:tcPr>
            <w:tcW w:w="1047" w:type="pct"/>
            <w:vAlign w:val="center"/>
          </w:tcPr>
          <w:p>
            <w:pPr>
              <w:adjustRightInd w:val="0"/>
              <w:snapToGrid w:val="0"/>
              <w:spacing w:line="312" w:lineRule="auto"/>
              <w:jc w:val="center"/>
              <w:outlineLvl w:val="5"/>
              <w:rPr>
                <w:rFonts w:hint="eastAsia" w:ascii="宋体" w:hAnsi="宋体" w:cs="宋体"/>
                <w:sz w:val="24"/>
                <w:lang w:val="zh-CN"/>
              </w:rPr>
            </w:pPr>
            <w:r>
              <w:rPr>
                <w:rFonts w:hint="eastAsia" w:ascii="宋体" w:hAnsi="宋体" w:cs="宋体"/>
                <w:sz w:val="24"/>
                <w:lang w:val="zh-CN"/>
              </w:rPr>
              <w:t>采购方式</w:t>
            </w:r>
          </w:p>
        </w:tc>
        <w:tc>
          <w:tcPr>
            <w:tcW w:w="3623" w:type="pct"/>
            <w:vAlign w:val="center"/>
          </w:tcPr>
          <w:p>
            <w:pPr>
              <w:adjustRightInd w:val="0"/>
              <w:snapToGrid w:val="0"/>
              <w:spacing w:line="312" w:lineRule="auto"/>
              <w:outlineLvl w:val="5"/>
              <w:rPr>
                <w:rFonts w:hint="eastAsia" w:ascii="宋体" w:hAnsi="宋体" w:cs="宋体"/>
                <w:sz w:val="24"/>
                <w:lang w:val="zh-CN"/>
              </w:rPr>
            </w:pPr>
            <w:r>
              <w:rPr>
                <w:rFonts w:hint="eastAsia" w:ascii="宋体" w:hAnsi="宋体" w:cs="宋体"/>
                <w:sz w:val="24"/>
                <w:lang w:val="zh-CN"/>
              </w:rPr>
              <w:t>公开招标</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jc w:val="center"/>
        </w:trPr>
        <w:tc>
          <w:tcPr>
            <w:tcW w:w="329" w:type="pct"/>
            <w:tcBorders>
              <w:bottom w:val="single" w:color="auto" w:sz="4" w:space="0"/>
            </w:tcBorders>
            <w:vAlign w:val="center"/>
          </w:tcPr>
          <w:p>
            <w:pPr>
              <w:adjustRightInd w:val="0"/>
              <w:snapToGrid w:val="0"/>
              <w:spacing w:line="312" w:lineRule="auto"/>
              <w:jc w:val="center"/>
              <w:outlineLvl w:val="5"/>
              <w:rPr>
                <w:rFonts w:hint="eastAsia" w:ascii="宋体" w:hAnsi="宋体" w:cs="宋体"/>
                <w:sz w:val="24"/>
                <w:lang w:val="zh-CN"/>
              </w:rPr>
            </w:pPr>
            <w:r>
              <w:rPr>
                <w:rFonts w:hint="eastAsia" w:ascii="宋体" w:hAnsi="宋体" w:cs="宋体"/>
                <w:sz w:val="24"/>
                <w:lang w:val="zh-CN"/>
              </w:rPr>
              <w:t>10</w:t>
            </w:r>
          </w:p>
        </w:tc>
        <w:tc>
          <w:tcPr>
            <w:tcW w:w="1047" w:type="pct"/>
            <w:tcBorders>
              <w:bottom w:val="single" w:color="auto" w:sz="4" w:space="0"/>
            </w:tcBorders>
            <w:vAlign w:val="center"/>
          </w:tcPr>
          <w:p>
            <w:pPr>
              <w:adjustRightInd w:val="0"/>
              <w:snapToGrid w:val="0"/>
              <w:spacing w:line="312" w:lineRule="auto"/>
              <w:jc w:val="center"/>
              <w:outlineLvl w:val="5"/>
              <w:rPr>
                <w:rFonts w:hint="eastAsia" w:ascii="宋体" w:hAnsi="宋体" w:cs="宋体"/>
                <w:sz w:val="24"/>
                <w:lang w:val="zh-CN"/>
              </w:rPr>
            </w:pPr>
            <w:r>
              <w:rPr>
                <w:rFonts w:hint="eastAsia" w:ascii="宋体" w:hAnsi="宋体" w:cs="宋体"/>
                <w:sz w:val="24"/>
                <w:lang w:val="zh-CN"/>
              </w:rPr>
              <w:t>评标方法</w:t>
            </w:r>
          </w:p>
        </w:tc>
        <w:tc>
          <w:tcPr>
            <w:tcW w:w="3623" w:type="pct"/>
            <w:tcBorders>
              <w:bottom w:val="single" w:color="auto" w:sz="4" w:space="0"/>
            </w:tcBorders>
            <w:vAlign w:val="center"/>
          </w:tcPr>
          <w:p>
            <w:pPr>
              <w:adjustRightInd w:val="0"/>
              <w:snapToGrid w:val="0"/>
              <w:spacing w:line="312" w:lineRule="auto"/>
              <w:outlineLvl w:val="5"/>
              <w:rPr>
                <w:rFonts w:hint="eastAsia" w:ascii="宋体" w:hAnsi="宋体" w:cs="宋体"/>
                <w:sz w:val="24"/>
                <w:lang w:val="zh-CN"/>
              </w:rPr>
            </w:pPr>
            <w:r>
              <w:rPr>
                <w:rFonts w:hint="eastAsia" w:ascii="宋体" w:hAnsi="宋体" w:cs="宋体"/>
                <w:sz w:val="24"/>
                <w:lang w:val="zh-CN"/>
              </w:rPr>
              <w:t>综合评分法</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jc w:val="center"/>
        </w:trPr>
        <w:tc>
          <w:tcPr>
            <w:tcW w:w="329" w:type="pct"/>
            <w:tcBorders>
              <w:top w:val="single" w:color="auto" w:sz="4" w:space="0"/>
              <w:bottom w:val="single" w:color="auto" w:sz="4" w:space="0"/>
            </w:tcBorders>
            <w:vAlign w:val="center"/>
          </w:tcPr>
          <w:p>
            <w:pPr>
              <w:adjustRightInd w:val="0"/>
              <w:snapToGrid w:val="0"/>
              <w:spacing w:line="312" w:lineRule="auto"/>
              <w:jc w:val="center"/>
              <w:outlineLvl w:val="5"/>
              <w:rPr>
                <w:rFonts w:hint="eastAsia" w:ascii="宋体" w:hAnsi="宋体" w:cs="宋体"/>
                <w:sz w:val="24"/>
                <w:lang w:val="zh-CN"/>
              </w:rPr>
            </w:pPr>
            <w:r>
              <w:rPr>
                <w:rFonts w:hint="eastAsia" w:ascii="宋体" w:hAnsi="宋体" w:cs="宋体"/>
                <w:sz w:val="24"/>
                <w:lang w:val="zh-CN"/>
              </w:rPr>
              <w:t>11</w:t>
            </w:r>
          </w:p>
        </w:tc>
        <w:tc>
          <w:tcPr>
            <w:tcW w:w="1047" w:type="pct"/>
            <w:tcBorders>
              <w:top w:val="single" w:color="auto" w:sz="4" w:space="0"/>
              <w:bottom w:val="single" w:color="auto" w:sz="4" w:space="0"/>
            </w:tcBorders>
            <w:vAlign w:val="center"/>
          </w:tcPr>
          <w:p>
            <w:pPr>
              <w:pStyle w:val="56"/>
              <w:snapToGrid w:val="0"/>
              <w:spacing w:line="312" w:lineRule="auto"/>
              <w:jc w:val="center"/>
              <w:rPr>
                <w:rFonts w:hint="eastAsia"/>
                <w:lang w:val="zh-CN"/>
              </w:rPr>
            </w:pPr>
            <w:r>
              <w:rPr>
                <w:rFonts w:hint="eastAsia"/>
                <w:lang w:val="zh-CN"/>
              </w:rPr>
              <w:t>小微企业（监狱企业、残疾人福利性单位视同小微企业）加分和失信企业扣分</w:t>
            </w:r>
          </w:p>
          <w:p>
            <w:pPr>
              <w:pStyle w:val="56"/>
              <w:snapToGrid w:val="0"/>
              <w:spacing w:line="312" w:lineRule="auto"/>
              <w:jc w:val="center"/>
              <w:rPr>
                <w:rFonts w:hint="eastAsia"/>
                <w:lang w:val="zh-CN"/>
              </w:rPr>
            </w:pPr>
            <w:r>
              <w:rPr>
                <w:rFonts w:hint="eastAsia"/>
                <w:lang w:val="zh-CN"/>
              </w:rPr>
              <w:t>（实质性要求）</w:t>
            </w:r>
          </w:p>
        </w:tc>
        <w:tc>
          <w:tcPr>
            <w:tcW w:w="3623" w:type="pct"/>
            <w:tcBorders>
              <w:top w:val="single" w:color="auto" w:sz="4" w:space="0"/>
              <w:bottom w:val="single" w:color="auto" w:sz="4" w:space="0"/>
            </w:tcBorders>
            <w:vAlign w:val="center"/>
          </w:tcPr>
          <w:p>
            <w:pPr>
              <w:widowControl/>
              <w:adjustRightInd w:val="0"/>
              <w:snapToGrid w:val="0"/>
              <w:spacing w:line="312" w:lineRule="auto"/>
              <w:jc w:val="left"/>
              <w:rPr>
                <w:rFonts w:hint="eastAsia" w:ascii="宋体" w:hAnsi="宋体" w:cs="宋体"/>
                <w:sz w:val="24"/>
                <w:lang w:val="zh-CN"/>
              </w:rPr>
            </w:pPr>
            <w:r>
              <w:rPr>
                <w:rFonts w:hint="eastAsia" w:ascii="宋体" w:hAnsi="宋体" w:cs="宋体"/>
                <w:sz w:val="24"/>
                <w:lang w:val="zh-CN"/>
              </w:rPr>
              <w:t>一、小微企业（监狱企业、残疾人福利性单位视同小微企业）</w:t>
            </w:r>
          </w:p>
          <w:p>
            <w:pPr>
              <w:widowControl/>
              <w:numPr>
                <w:ilvl w:val="0"/>
                <w:numId w:val="2"/>
              </w:numPr>
              <w:adjustRightInd w:val="0"/>
              <w:snapToGrid w:val="0"/>
              <w:spacing w:line="312" w:lineRule="auto"/>
              <w:ind w:left="0" w:firstLine="0"/>
              <w:jc w:val="left"/>
              <w:rPr>
                <w:rFonts w:hint="eastAsia" w:ascii="宋体" w:hAnsi="宋体" w:cs="宋体"/>
                <w:sz w:val="24"/>
                <w:lang w:val="zh-CN"/>
              </w:rPr>
            </w:pPr>
            <w:r>
              <w:rPr>
                <w:rFonts w:hint="eastAsia" w:ascii="宋体" w:hAnsi="宋体" w:cs="宋体"/>
                <w:sz w:val="24"/>
                <w:lang w:val="zh-CN"/>
              </w:rPr>
              <w:t>根据《政府采购促进中小企业发展管理办法》（财库〔2020〕46号）的规定，对小型和微型企业产品的价格给予10%的价格扣除，用扣除后的价格参与评标。</w:t>
            </w:r>
          </w:p>
          <w:p>
            <w:pPr>
              <w:widowControl/>
              <w:numPr>
                <w:ilvl w:val="0"/>
                <w:numId w:val="2"/>
              </w:numPr>
              <w:adjustRightInd w:val="0"/>
              <w:snapToGrid w:val="0"/>
              <w:spacing w:line="312" w:lineRule="auto"/>
              <w:ind w:left="0" w:firstLine="0"/>
              <w:jc w:val="left"/>
              <w:rPr>
                <w:rFonts w:hint="eastAsia" w:ascii="宋体" w:hAnsi="宋体" w:cs="宋体"/>
                <w:sz w:val="24"/>
                <w:lang w:val="zh-CN"/>
              </w:rPr>
            </w:pPr>
            <w:r>
              <w:rPr>
                <w:rFonts w:hint="eastAsia" w:ascii="宋体" w:hAnsi="宋体" w:cs="宋体"/>
                <w:sz w:val="24"/>
                <w:lang w:val="zh-CN"/>
              </w:rPr>
              <w:t>参加政府采购活动的中小微企业应当提供《中小企业声明函》原件。若为监狱企业应当提供《监狱企业证明》。若为残疾人福利性单位应当提供《残疾人福利性单位声明函》。</w:t>
            </w:r>
          </w:p>
          <w:p>
            <w:pPr>
              <w:widowControl/>
              <w:numPr>
                <w:ilvl w:val="0"/>
                <w:numId w:val="2"/>
              </w:numPr>
              <w:adjustRightInd w:val="0"/>
              <w:snapToGrid w:val="0"/>
              <w:spacing w:line="312" w:lineRule="auto"/>
              <w:ind w:left="0" w:firstLine="0"/>
              <w:jc w:val="left"/>
              <w:rPr>
                <w:rFonts w:hint="eastAsia" w:ascii="宋体" w:hAnsi="宋体" w:cs="宋体"/>
                <w:sz w:val="24"/>
                <w:lang w:val="zh-CN"/>
              </w:rPr>
            </w:pPr>
            <w:r>
              <w:rPr>
                <w:rFonts w:hint="eastAsia" w:ascii="宋体" w:hAnsi="宋体" w:cs="宋体"/>
                <w:sz w:val="24"/>
                <w:lang w:val="zh-CN"/>
              </w:rPr>
              <w:t>本项目采购内容对应的中小企业划分标准所属行业为：</w:t>
            </w:r>
            <w:r>
              <w:rPr>
                <w:rFonts w:hint="eastAsia" w:ascii="宋体" w:hAnsi="宋体" w:cs="宋体"/>
                <w:sz w:val="24"/>
                <w:u w:val="single"/>
                <w:shd w:val="clear" w:color="auto" w:fill="FFFFFF"/>
              </w:rPr>
              <w:t>其他未列明行业（</w:t>
            </w:r>
            <w:r>
              <w:rPr>
                <w:rFonts w:hint="eastAsia" w:ascii="宋体" w:hAnsi="宋体" w:cs="宋体"/>
                <w:sz w:val="24"/>
                <w:u w:val="single"/>
              </w:rPr>
              <w:t>其他服务</w:t>
            </w:r>
            <w:r>
              <w:rPr>
                <w:rFonts w:hint="eastAsia" w:hAnsi="宋体" w:cs="宋体"/>
                <w:sz w:val="24"/>
                <w:u w:val="single"/>
              </w:rPr>
              <w:t>）</w:t>
            </w:r>
            <w:r>
              <w:rPr>
                <w:rFonts w:hint="eastAsia" w:ascii="宋体" w:hAnsi="宋体" w:cs="宋体"/>
                <w:sz w:val="24"/>
                <w:lang w:val="zh-CN"/>
              </w:rPr>
              <w:t>。</w:t>
            </w:r>
          </w:p>
          <w:p>
            <w:pPr>
              <w:widowControl/>
              <w:adjustRightInd w:val="0"/>
              <w:snapToGrid w:val="0"/>
              <w:spacing w:line="312" w:lineRule="auto"/>
              <w:jc w:val="left"/>
              <w:rPr>
                <w:rFonts w:hint="eastAsia" w:ascii="宋体" w:hAnsi="宋体" w:cs="宋体"/>
                <w:sz w:val="24"/>
                <w:lang w:val="zh-CN"/>
              </w:rPr>
            </w:pPr>
            <w:r>
              <w:rPr>
                <w:rFonts w:hint="eastAsia" w:ascii="宋体" w:hAnsi="宋体" w:cs="宋体"/>
                <w:sz w:val="24"/>
                <w:lang w:val="zh-CN"/>
              </w:rPr>
              <w:t>二、失信企业</w:t>
            </w:r>
          </w:p>
          <w:p>
            <w:pPr>
              <w:widowControl/>
              <w:adjustRightInd w:val="0"/>
              <w:snapToGrid w:val="0"/>
              <w:spacing w:line="312" w:lineRule="auto"/>
              <w:jc w:val="left"/>
              <w:rPr>
                <w:rFonts w:hint="eastAsia" w:ascii="宋体" w:hAnsi="宋体" w:cs="宋体"/>
                <w:sz w:val="24"/>
                <w:lang w:val="zh-CN"/>
              </w:rPr>
            </w:pPr>
            <w:r>
              <w:rPr>
                <w:rFonts w:hint="eastAsia" w:hAnsi="宋体" w:cs="宋体"/>
                <w:sz w:val="24"/>
                <w:lang w:val="zh-CN"/>
              </w:rPr>
              <w:t>投标人</w:t>
            </w:r>
            <w:r>
              <w:rPr>
                <w:rFonts w:hint="eastAsia" w:ascii="宋体" w:hAnsi="宋体" w:cs="宋体"/>
                <w:sz w:val="24"/>
                <w:lang w:val="zh-CN"/>
              </w:rPr>
              <w:t>参加政府采购活动时，应当就自己的诚信情况在投标文件中进行承诺。</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jc w:val="center"/>
        </w:trPr>
        <w:tc>
          <w:tcPr>
            <w:tcW w:w="329" w:type="pct"/>
            <w:tcBorders>
              <w:top w:val="single" w:color="auto" w:sz="4" w:space="0"/>
            </w:tcBorders>
            <w:vAlign w:val="center"/>
          </w:tcPr>
          <w:p>
            <w:pPr>
              <w:adjustRightInd w:val="0"/>
              <w:snapToGrid w:val="0"/>
              <w:spacing w:line="312" w:lineRule="auto"/>
              <w:jc w:val="center"/>
              <w:outlineLvl w:val="5"/>
              <w:rPr>
                <w:rFonts w:hint="eastAsia" w:ascii="宋体" w:hAnsi="宋体" w:cs="宋体"/>
                <w:sz w:val="24"/>
                <w:lang w:val="zh-CN"/>
              </w:rPr>
            </w:pPr>
            <w:r>
              <w:rPr>
                <w:rFonts w:hint="eastAsia" w:ascii="宋体" w:hAnsi="宋体" w:cs="宋体"/>
                <w:sz w:val="24"/>
                <w:lang w:val="zh-CN"/>
              </w:rPr>
              <w:t>12</w:t>
            </w:r>
          </w:p>
        </w:tc>
        <w:tc>
          <w:tcPr>
            <w:tcW w:w="1047" w:type="pct"/>
            <w:tcBorders>
              <w:top w:val="single" w:color="auto" w:sz="4" w:space="0"/>
            </w:tcBorders>
            <w:vAlign w:val="center"/>
          </w:tcPr>
          <w:p>
            <w:pPr>
              <w:adjustRightInd w:val="0"/>
              <w:snapToGrid w:val="0"/>
              <w:spacing w:line="312" w:lineRule="auto"/>
              <w:jc w:val="center"/>
              <w:rPr>
                <w:rFonts w:hint="eastAsia" w:ascii="宋体" w:hAnsi="宋体" w:cs="宋体"/>
                <w:sz w:val="24"/>
              </w:rPr>
            </w:pPr>
            <w:r>
              <w:rPr>
                <w:rFonts w:hint="eastAsia" w:ascii="宋体" w:hAnsi="宋体" w:cs="宋体"/>
                <w:sz w:val="24"/>
              </w:rPr>
              <w:t>评标情况公告</w:t>
            </w:r>
          </w:p>
        </w:tc>
        <w:tc>
          <w:tcPr>
            <w:tcW w:w="3623" w:type="pct"/>
            <w:tcBorders>
              <w:top w:val="single" w:color="auto" w:sz="4" w:space="0"/>
            </w:tcBorders>
            <w:vAlign w:val="center"/>
          </w:tcPr>
          <w:p>
            <w:pPr>
              <w:widowControl/>
              <w:adjustRightInd w:val="0"/>
              <w:snapToGrid w:val="0"/>
              <w:spacing w:line="312" w:lineRule="auto"/>
              <w:jc w:val="left"/>
              <w:rPr>
                <w:rFonts w:hint="eastAsia" w:ascii="宋体" w:hAnsi="宋体" w:cs="宋体"/>
                <w:sz w:val="24"/>
              </w:rPr>
            </w:pPr>
            <w:r>
              <w:rPr>
                <w:rFonts w:hint="eastAsia" w:ascii="宋体" w:hAnsi="宋体" w:cs="宋体"/>
                <w:sz w:val="24"/>
              </w:rPr>
              <w:t>所有投标人投标文件资格性、符合性检查情况、采用综合评分法时的总得分和分项汇总得分情况、评标结果等将在“四川政府采购网”上采购结果公告栏中予以公告。</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jc w:val="center"/>
        </w:trPr>
        <w:tc>
          <w:tcPr>
            <w:tcW w:w="329" w:type="pct"/>
            <w:vAlign w:val="center"/>
          </w:tcPr>
          <w:p>
            <w:pPr>
              <w:adjustRightInd w:val="0"/>
              <w:snapToGrid w:val="0"/>
              <w:spacing w:line="312" w:lineRule="auto"/>
              <w:jc w:val="center"/>
              <w:outlineLvl w:val="5"/>
              <w:rPr>
                <w:rFonts w:hint="eastAsia" w:ascii="宋体" w:hAnsi="宋体" w:cs="宋体"/>
                <w:sz w:val="24"/>
                <w:lang w:val="zh-CN"/>
              </w:rPr>
            </w:pPr>
            <w:r>
              <w:rPr>
                <w:rFonts w:hint="eastAsia" w:ascii="宋体" w:hAnsi="宋体" w:cs="宋体"/>
                <w:sz w:val="24"/>
                <w:lang w:val="zh-CN"/>
              </w:rPr>
              <w:t>13</w:t>
            </w:r>
          </w:p>
        </w:tc>
        <w:tc>
          <w:tcPr>
            <w:tcW w:w="1047" w:type="pct"/>
            <w:vAlign w:val="center"/>
          </w:tcPr>
          <w:p>
            <w:pPr>
              <w:adjustRightInd w:val="0"/>
              <w:snapToGrid w:val="0"/>
              <w:spacing w:line="312" w:lineRule="auto"/>
              <w:jc w:val="center"/>
              <w:outlineLvl w:val="5"/>
              <w:rPr>
                <w:rFonts w:hint="eastAsia" w:ascii="宋体" w:hAnsi="宋体" w:cs="宋体"/>
                <w:sz w:val="24"/>
                <w:lang w:val="zh-CN"/>
              </w:rPr>
            </w:pPr>
            <w:r>
              <w:rPr>
                <w:rFonts w:hint="eastAsia" w:ascii="宋体" w:hAnsi="宋体" w:cs="宋体"/>
                <w:sz w:val="24"/>
                <w:lang w:val="zh-CN"/>
              </w:rPr>
              <w:t>考察现场、标前答疑会</w:t>
            </w:r>
          </w:p>
        </w:tc>
        <w:tc>
          <w:tcPr>
            <w:tcW w:w="3623" w:type="pct"/>
            <w:vAlign w:val="center"/>
          </w:tcPr>
          <w:p>
            <w:pPr>
              <w:adjustRightInd w:val="0"/>
              <w:snapToGrid w:val="0"/>
              <w:spacing w:line="312" w:lineRule="auto"/>
              <w:outlineLvl w:val="5"/>
              <w:rPr>
                <w:rFonts w:hint="eastAsia" w:ascii="宋体" w:hAnsi="宋体" w:cs="宋体"/>
                <w:sz w:val="24"/>
                <w:lang w:val="zh-CN"/>
              </w:rPr>
            </w:pPr>
            <w:r>
              <w:rPr>
                <w:rFonts w:hint="eastAsia" w:ascii="宋体" w:hAnsi="宋体" w:cs="宋体"/>
                <w:sz w:val="24"/>
                <w:lang w:val="zh-CN"/>
              </w:rPr>
              <w:t>招标采购单位</w:t>
            </w:r>
            <w:r>
              <w:rPr>
                <w:rFonts w:hint="eastAsia" w:ascii="宋体" w:hAnsi="宋体" w:cs="宋体"/>
                <w:sz w:val="24"/>
              </w:rPr>
              <w:t>如</w:t>
            </w:r>
            <w:r>
              <w:rPr>
                <w:rFonts w:hint="eastAsia" w:ascii="宋体" w:hAnsi="宋体" w:cs="宋体"/>
                <w:sz w:val="24"/>
                <w:lang w:val="zh-CN"/>
              </w:rPr>
              <w:t>认为有必要，另行书面通知。</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jc w:val="center"/>
        </w:trPr>
        <w:tc>
          <w:tcPr>
            <w:tcW w:w="329" w:type="pct"/>
            <w:vAlign w:val="center"/>
          </w:tcPr>
          <w:p>
            <w:pPr>
              <w:adjustRightInd w:val="0"/>
              <w:snapToGrid w:val="0"/>
              <w:spacing w:line="312" w:lineRule="auto"/>
              <w:jc w:val="center"/>
              <w:outlineLvl w:val="5"/>
              <w:rPr>
                <w:rFonts w:hint="eastAsia" w:ascii="宋体" w:hAnsi="宋体" w:cs="宋体"/>
                <w:sz w:val="24"/>
                <w:lang w:val="zh-CN"/>
              </w:rPr>
            </w:pPr>
            <w:r>
              <w:rPr>
                <w:rFonts w:hint="eastAsia" w:ascii="宋体" w:hAnsi="宋体" w:cs="宋体"/>
                <w:sz w:val="24"/>
                <w:lang w:val="zh-CN"/>
              </w:rPr>
              <w:t>14</w:t>
            </w:r>
          </w:p>
        </w:tc>
        <w:tc>
          <w:tcPr>
            <w:tcW w:w="1047" w:type="pct"/>
            <w:vAlign w:val="bottom"/>
          </w:tcPr>
          <w:p>
            <w:pPr>
              <w:adjustRightInd w:val="0"/>
              <w:snapToGrid w:val="0"/>
              <w:spacing w:line="312" w:lineRule="auto"/>
              <w:jc w:val="center"/>
              <w:outlineLvl w:val="5"/>
              <w:rPr>
                <w:rFonts w:hint="eastAsia" w:ascii="宋体" w:hAnsi="宋体" w:cs="宋体"/>
                <w:sz w:val="24"/>
                <w:lang w:val="zh-CN"/>
              </w:rPr>
            </w:pPr>
            <w:r>
              <w:rPr>
                <w:rFonts w:hint="eastAsia" w:ascii="宋体" w:hAnsi="宋体" w:cs="宋体"/>
                <w:sz w:val="24"/>
                <w:lang w:val="zh-CN"/>
              </w:rPr>
              <w:t>投标人对招标文件提出质疑的时间</w:t>
            </w:r>
          </w:p>
        </w:tc>
        <w:tc>
          <w:tcPr>
            <w:tcW w:w="3623" w:type="pct"/>
            <w:vAlign w:val="center"/>
          </w:tcPr>
          <w:p>
            <w:pPr>
              <w:adjustRightInd w:val="0"/>
              <w:snapToGrid w:val="0"/>
              <w:spacing w:line="312" w:lineRule="auto"/>
              <w:outlineLvl w:val="5"/>
              <w:rPr>
                <w:rFonts w:hint="eastAsia" w:ascii="宋体" w:hAnsi="宋体" w:cs="宋体"/>
                <w:sz w:val="24"/>
                <w:lang w:val="zh-CN"/>
              </w:rPr>
            </w:pPr>
            <w:r>
              <w:rPr>
                <w:rFonts w:hint="eastAsia" w:ascii="宋体" w:hAnsi="宋体" w:cs="宋体"/>
                <w:bCs/>
                <w:sz w:val="24"/>
              </w:rPr>
              <w:t>严格按中华人民共和国财政部令第94号《政府采购质疑和投诉办法》规定执行。</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jc w:val="center"/>
        </w:trPr>
        <w:tc>
          <w:tcPr>
            <w:tcW w:w="329" w:type="pct"/>
            <w:vAlign w:val="center"/>
          </w:tcPr>
          <w:p>
            <w:pPr>
              <w:adjustRightInd w:val="0"/>
              <w:snapToGrid w:val="0"/>
              <w:spacing w:line="312" w:lineRule="auto"/>
              <w:jc w:val="center"/>
              <w:outlineLvl w:val="5"/>
              <w:rPr>
                <w:rFonts w:hint="eastAsia" w:ascii="宋体" w:hAnsi="宋体" w:cs="宋体"/>
                <w:sz w:val="24"/>
                <w:lang w:val="zh-CN"/>
              </w:rPr>
            </w:pPr>
            <w:r>
              <w:rPr>
                <w:rFonts w:hint="eastAsia" w:ascii="宋体" w:hAnsi="宋体" w:cs="宋体"/>
                <w:sz w:val="24"/>
                <w:lang w:val="zh-CN"/>
              </w:rPr>
              <w:t>15</w:t>
            </w:r>
          </w:p>
        </w:tc>
        <w:tc>
          <w:tcPr>
            <w:tcW w:w="1047" w:type="pct"/>
            <w:vAlign w:val="center"/>
          </w:tcPr>
          <w:p>
            <w:pPr>
              <w:adjustRightInd w:val="0"/>
              <w:snapToGrid w:val="0"/>
              <w:spacing w:line="312" w:lineRule="auto"/>
              <w:jc w:val="center"/>
              <w:outlineLvl w:val="5"/>
              <w:rPr>
                <w:rFonts w:hint="eastAsia" w:ascii="宋体" w:hAnsi="宋体" w:cs="宋体"/>
                <w:sz w:val="24"/>
                <w:lang w:val="zh-CN"/>
              </w:rPr>
            </w:pPr>
            <w:r>
              <w:rPr>
                <w:rFonts w:hint="eastAsia" w:ascii="宋体" w:hAnsi="宋体" w:cs="宋体"/>
                <w:sz w:val="24"/>
                <w:lang w:val="zh-CN"/>
              </w:rPr>
              <w:t>构成招标文件的其他文件</w:t>
            </w:r>
          </w:p>
        </w:tc>
        <w:tc>
          <w:tcPr>
            <w:tcW w:w="3623" w:type="pct"/>
            <w:vAlign w:val="center"/>
          </w:tcPr>
          <w:p>
            <w:pPr>
              <w:adjustRightInd w:val="0"/>
              <w:snapToGrid w:val="0"/>
              <w:spacing w:line="312" w:lineRule="auto"/>
              <w:outlineLvl w:val="5"/>
              <w:rPr>
                <w:rFonts w:hint="eastAsia" w:ascii="宋体" w:hAnsi="宋体" w:cs="宋体"/>
                <w:sz w:val="24"/>
              </w:rPr>
            </w:pPr>
            <w:r>
              <w:rPr>
                <w:rFonts w:hint="eastAsia" w:ascii="宋体" w:hAnsi="宋体" w:cs="宋体"/>
                <w:sz w:val="24"/>
                <w:lang w:val="zh-CN"/>
              </w:rPr>
              <w:t>招标文件的澄清</w:t>
            </w:r>
            <w:r>
              <w:rPr>
                <w:rFonts w:hint="eastAsia" w:ascii="宋体" w:hAnsi="宋体" w:cs="宋体"/>
                <w:sz w:val="24"/>
              </w:rPr>
              <w:t>、修改书及有关补充通知为招标文件的有效组成部分。</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jc w:val="center"/>
        </w:trPr>
        <w:tc>
          <w:tcPr>
            <w:tcW w:w="329" w:type="pct"/>
            <w:vAlign w:val="center"/>
          </w:tcPr>
          <w:p>
            <w:pPr>
              <w:adjustRightInd w:val="0"/>
              <w:snapToGrid w:val="0"/>
              <w:spacing w:line="312" w:lineRule="auto"/>
              <w:jc w:val="center"/>
              <w:outlineLvl w:val="5"/>
              <w:rPr>
                <w:rFonts w:hint="eastAsia" w:ascii="宋体" w:hAnsi="宋体" w:cs="宋体"/>
                <w:sz w:val="24"/>
                <w:lang w:val="zh-CN"/>
              </w:rPr>
            </w:pPr>
            <w:r>
              <w:rPr>
                <w:rFonts w:hint="eastAsia" w:ascii="宋体" w:hAnsi="宋体" w:cs="宋体"/>
                <w:sz w:val="24"/>
                <w:lang w:val="zh-CN"/>
              </w:rPr>
              <w:t>16</w:t>
            </w:r>
          </w:p>
        </w:tc>
        <w:tc>
          <w:tcPr>
            <w:tcW w:w="1047" w:type="pct"/>
            <w:vAlign w:val="center"/>
          </w:tcPr>
          <w:p>
            <w:pPr>
              <w:adjustRightInd w:val="0"/>
              <w:snapToGrid w:val="0"/>
              <w:spacing w:line="312" w:lineRule="auto"/>
              <w:jc w:val="center"/>
              <w:outlineLvl w:val="5"/>
              <w:rPr>
                <w:rFonts w:hint="eastAsia" w:ascii="宋体" w:hAnsi="宋体" w:cs="宋体"/>
                <w:sz w:val="24"/>
                <w:lang w:val="zh-CN"/>
              </w:rPr>
            </w:pPr>
            <w:r>
              <w:rPr>
                <w:rFonts w:hint="eastAsia" w:ascii="宋体" w:hAnsi="宋体" w:cs="宋体"/>
                <w:sz w:val="24"/>
                <w:lang w:val="zh-CN"/>
              </w:rPr>
              <w:t>投标有效期</w:t>
            </w:r>
          </w:p>
        </w:tc>
        <w:tc>
          <w:tcPr>
            <w:tcW w:w="3623" w:type="pct"/>
            <w:vAlign w:val="center"/>
          </w:tcPr>
          <w:p>
            <w:pPr>
              <w:adjustRightInd w:val="0"/>
              <w:snapToGrid w:val="0"/>
              <w:spacing w:line="312" w:lineRule="auto"/>
              <w:jc w:val="left"/>
              <w:outlineLvl w:val="5"/>
              <w:rPr>
                <w:rFonts w:hint="eastAsia" w:ascii="宋体" w:hAnsi="宋体" w:cs="宋体"/>
                <w:sz w:val="24"/>
              </w:rPr>
            </w:pPr>
            <w:r>
              <w:rPr>
                <w:rFonts w:hint="eastAsia" w:ascii="宋体" w:hAnsi="宋体" w:cs="宋体"/>
                <w:sz w:val="24"/>
              </w:rPr>
              <w:t>递交投标文件截止之日起90天。</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jc w:val="center"/>
        </w:trPr>
        <w:tc>
          <w:tcPr>
            <w:tcW w:w="329" w:type="pct"/>
            <w:vAlign w:val="center"/>
          </w:tcPr>
          <w:p>
            <w:pPr>
              <w:adjustRightInd w:val="0"/>
              <w:snapToGrid w:val="0"/>
              <w:spacing w:line="312" w:lineRule="auto"/>
              <w:jc w:val="center"/>
              <w:outlineLvl w:val="5"/>
              <w:rPr>
                <w:rFonts w:hint="eastAsia" w:ascii="宋体" w:hAnsi="宋体" w:cs="宋体"/>
                <w:sz w:val="24"/>
                <w:lang w:val="zh-CN"/>
              </w:rPr>
            </w:pPr>
            <w:r>
              <w:rPr>
                <w:rFonts w:hint="eastAsia" w:ascii="宋体" w:hAnsi="宋体" w:cs="宋体"/>
                <w:sz w:val="24"/>
                <w:lang w:val="zh-CN"/>
              </w:rPr>
              <w:t>17</w:t>
            </w:r>
          </w:p>
        </w:tc>
        <w:tc>
          <w:tcPr>
            <w:tcW w:w="1047" w:type="pct"/>
            <w:vAlign w:val="center"/>
          </w:tcPr>
          <w:p>
            <w:pPr>
              <w:adjustRightInd w:val="0"/>
              <w:snapToGrid w:val="0"/>
              <w:spacing w:line="312" w:lineRule="auto"/>
              <w:jc w:val="center"/>
              <w:outlineLvl w:val="5"/>
              <w:rPr>
                <w:rFonts w:hint="eastAsia" w:ascii="宋体" w:hAnsi="宋体" w:cs="宋体"/>
                <w:sz w:val="24"/>
                <w:lang w:val="zh-CN"/>
              </w:rPr>
            </w:pPr>
            <w:r>
              <w:rPr>
                <w:rFonts w:hint="eastAsia" w:ascii="宋体" w:hAnsi="宋体" w:cs="宋体"/>
                <w:sz w:val="24"/>
                <w:lang w:val="zh-CN"/>
              </w:rPr>
              <w:t>投标保证金</w:t>
            </w:r>
          </w:p>
        </w:tc>
        <w:tc>
          <w:tcPr>
            <w:tcW w:w="3623" w:type="pct"/>
            <w:vAlign w:val="center"/>
          </w:tcPr>
          <w:p>
            <w:pPr>
              <w:adjustRightInd w:val="0"/>
              <w:snapToGrid w:val="0"/>
              <w:spacing w:line="312" w:lineRule="auto"/>
              <w:jc w:val="left"/>
              <w:outlineLvl w:val="5"/>
              <w:rPr>
                <w:rFonts w:hint="eastAsia" w:ascii="宋体" w:hAnsi="宋体" w:cs="宋体"/>
                <w:sz w:val="24"/>
              </w:rPr>
            </w:pPr>
            <w:r>
              <w:rPr>
                <w:rFonts w:hint="eastAsia" w:ascii="宋体" w:hAnsi="宋体" w:cs="宋体"/>
                <w:sz w:val="24"/>
              </w:rPr>
              <w:t>本项目不收取投标保证金。</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321" w:hRule="atLeast"/>
          <w:jc w:val="center"/>
        </w:trPr>
        <w:tc>
          <w:tcPr>
            <w:tcW w:w="329" w:type="pct"/>
            <w:vAlign w:val="center"/>
          </w:tcPr>
          <w:p>
            <w:pPr>
              <w:adjustRightInd w:val="0"/>
              <w:snapToGrid w:val="0"/>
              <w:spacing w:line="312" w:lineRule="auto"/>
              <w:jc w:val="center"/>
              <w:outlineLvl w:val="5"/>
              <w:rPr>
                <w:rFonts w:hint="eastAsia" w:ascii="宋体" w:hAnsi="宋体" w:cs="宋体"/>
                <w:sz w:val="24"/>
              </w:rPr>
            </w:pPr>
            <w:r>
              <w:rPr>
                <w:rFonts w:hint="eastAsia" w:ascii="宋体" w:hAnsi="宋体" w:cs="宋体"/>
                <w:sz w:val="24"/>
              </w:rPr>
              <w:t>18</w:t>
            </w:r>
          </w:p>
        </w:tc>
        <w:tc>
          <w:tcPr>
            <w:tcW w:w="1047" w:type="pct"/>
            <w:vAlign w:val="center"/>
          </w:tcPr>
          <w:p>
            <w:pPr>
              <w:pStyle w:val="56"/>
              <w:snapToGrid w:val="0"/>
              <w:spacing w:line="312" w:lineRule="auto"/>
              <w:jc w:val="center"/>
              <w:rPr>
                <w:rFonts w:hint="eastAsia"/>
                <w:lang w:val="zh-CN"/>
              </w:rPr>
            </w:pPr>
            <w:r>
              <w:rPr>
                <w:rFonts w:hint="eastAsia"/>
                <w:lang w:val="zh-CN"/>
              </w:rPr>
              <w:t>履约保证金</w:t>
            </w:r>
          </w:p>
        </w:tc>
        <w:tc>
          <w:tcPr>
            <w:tcW w:w="3623" w:type="pct"/>
            <w:vAlign w:val="center"/>
          </w:tcPr>
          <w:p>
            <w:pPr>
              <w:adjustRightInd w:val="0"/>
              <w:snapToGrid w:val="0"/>
              <w:spacing w:line="360" w:lineRule="auto"/>
              <w:rPr>
                <w:rFonts w:hint="eastAsia" w:ascii="宋体" w:hAnsi="宋体" w:cs="宋体"/>
                <w:sz w:val="24"/>
              </w:rPr>
            </w:pPr>
            <w:r>
              <w:rPr>
                <w:rFonts w:hint="eastAsia" w:ascii="宋体" w:hAnsi="宋体" w:cs="宋体"/>
                <w:sz w:val="24"/>
              </w:rPr>
              <w:t>（1）金额：成交金额的2%；</w:t>
            </w:r>
          </w:p>
          <w:p>
            <w:pPr>
              <w:adjustRightInd w:val="0"/>
              <w:snapToGrid w:val="0"/>
              <w:spacing w:line="360" w:lineRule="auto"/>
              <w:rPr>
                <w:rFonts w:hint="eastAsia" w:ascii="宋体" w:hAnsi="宋体" w:cs="宋体"/>
                <w:sz w:val="24"/>
              </w:rPr>
            </w:pPr>
            <w:r>
              <w:rPr>
                <w:rFonts w:hint="eastAsia" w:ascii="宋体" w:hAnsi="宋体" w:cs="宋体"/>
                <w:sz w:val="24"/>
              </w:rPr>
              <w:t>（2）交款方式：投标人应当以转账、支票、汇票、本票或者金融机构、担保机构出具的保函等形式提交履约保证金；</w:t>
            </w:r>
          </w:p>
          <w:p>
            <w:pPr>
              <w:adjustRightInd w:val="0"/>
              <w:snapToGrid w:val="0"/>
              <w:spacing w:line="360" w:lineRule="auto"/>
              <w:rPr>
                <w:rFonts w:hint="eastAsia" w:ascii="宋体" w:hAnsi="宋体" w:cs="宋体"/>
                <w:sz w:val="24"/>
              </w:rPr>
            </w:pPr>
            <w:r>
              <w:rPr>
                <w:rFonts w:hint="eastAsia" w:ascii="宋体" w:hAnsi="宋体" w:cs="宋体"/>
                <w:sz w:val="24"/>
              </w:rPr>
              <w:t>（3）收款单位：由采购人指定；</w:t>
            </w:r>
          </w:p>
          <w:p>
            <w:pPr>
              <w:pStyle w:val="56"/>
              <w:snapToGrid w:val="0"/>
              <w:spacing w:line="312" w:lineRule="auto"/>
              <w:rPr>
                <w:rFonts w:hint="eastAsia"/>
              </w:rPr>
            </w:pPr>
            <w:r>
              <w:rPr>
                <w:rFonts w:hint="eastAsia"/>
              </w:rPr>
              <w:t>（4）交款时间：中标通知书发放后，政府采购合同签订前。</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jc w:val="center"/>
        </w:trPr>
        <w:tc>
          <w:tcPr>
            <w:tcW w:w="329" w:type="pct"/>
            <w:tcBorders>
              <w:top w:val="single" w:color="auto" w:sz="4" w:space="0"/>
              <w:bottom w:val="single" w:color="auto" w:sz="4" w:space="0"/>
            </w:tcBorders>
            <w:vAlign w:val="center"/>
          </w:tcPr>
          <w:p>
            <w:pPr>
              <w:adjustRightInd w:val="0"/>
              <w:snapToGrid w:val="0"/>
              <w:spacing w:line="312" w:lineRule="auto"/>
              <w:jc w:val="center"/>
              <w:outlineLvl w:val="5"/>
              <w:rPr>
                <w:rFonts w:hint="eastAsia" w:ascii="宋体" w:hAnsi="宋体" w:cs="宋体"/>
                <w:sz w:val="24"/>
              </w:rPr>
            </w:pPr>
            <w:r>
              <w:rPr>
                <w:rFonts w:hint="eastAsia" w:ascii="宋体" w:hAnsi="宋体" w:cs="宋体"/>
                <w:sz w:val="24"/>
                <w:lang w:val="zh-CN"/>
              </w:rPr>
              <w:t>1</w:t>
            </w:r>
            <w:r>
              <w:rPr>
                <w:rFonts w:hint="eastAsia" w:ascii="宋体" w:hAnsi="宋体" w:cs="宋体"/>
                <w:sz w:val="24"/>
              </w:rPr>
              <w:t>9</w:t>
            </w:r>
          </w:p>
        </w:tc>
        <w:tc>
          <w:tcPr>
            <w:tcW w:w="1047" w:type="pct"/>
            <w:tcBorders>
              <w:top w:val="single" w:color="auto" w:sz="4" w:space="0"/>
              <w:bottom w:val="single" w:color="auto" w:sz="4" w:space="0"/>
            </w:tcBorders>
            <w:vAlign w:val="center"/>
          </w:tcPr>
          <w:p>
            <w:pPr>
              <w:pStyle w:val="56"/>
              <w:snapToGrid w:val="0"/>
              <w:spacing w:line="312" w:lineRule="auto"/>
              <w:jc w:val="center"/>
              <w:rPr>
                <w:rFonts w:hint="eastAsia"/>
                <w:lang w:val="zh-CN"/>
              </w:rPr>
            </w:pPr>
            <w:r>
              <w:rPr>
                <w:rFonts w:hint="eastAsia"/>
                <w:kern w:val="2"/>
              </w:rPr>
              <w:t>招标文件、开评标工作咨询咨询</w:t>
            </w:r>
          </w:p>
        </w:tc>
        <w:tc>
          <w:tcPr>
            <w:tcW w:w="3623" w:type="pct"/>
            <w:tcBorders>
              <w:top w:val="single" w:color="auto" w:sz="4" w:space="0"/>
              <w:bottom w:val="single" w:color="auto" w:sz="4" w:space="0"/>
            </w:tcBorders>
          </w:tcPr>
          <w:p>
            <w:pPr>
              <w:adjustRightInd w:val="0"/>
              <w:snapToGrid w:val="0"/>
              <w:spacing w:line="312" w:lineRule="auto"/>
              <w:jc w:val="left"/>
              <w:rPr>
                <w:rFonts w:hint="eastAsia" w:ascii="宋体" w:hAnsi="宋体" w:cs="宋体"/>
                <w:sz w:val="24"/>
              </w:rPr>
            </w:pPr>
            <w:r>
              <w:rPr>
                <w:rFonts w:hint="eastAsia" w:ascii="宋体" w:hAnsi="宋体" w:cs="宋体"/>
                <w:sz w:val="24"/>
              </w:rPr>
              <w:t>联 系 人：曾女士</w:t>
            </w:r>
          </w:p>
          <w:p>
            <w:pPr>
              <w:adjustRightInd w:val="0"/>
              <w:snapToGrid w:val="0"/>
              <w:spacing w:line="312" w:lineRule="auto"/>
              <w:rPr>
                <w:rFonts w:hint="eastAsia" w:ascii="宋体" w:hAnsi="宋体" w:cs="宋体"/>
                <w:sz w:val="24"/>
                <w:lang w:val="zh-CN"/>
              </w:rPr>
            </w:pPr>
            <w:r>
              <w:rPr>
                <w:rFonts w:hint="eastAsia" w:ascii="宋体" w:hAnsi="宋体" w:cs="宋体"/>
                <w:sz w:val="24"/>
              </w:rPr>
              <w:t>联系电话：028-85588661</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jc w:val="center"/>
        </w:trPr>
        <w:tc>
          <w:tcPr>
            <w:tcW w:w="329" w:type="pct"/>
            <w:tcBorders>
              <w:top w:val="single" w:color="auto" w:sz="4" w:space="0"/>
              <w:bottom w:val="single" w:color="auto" w:sz="4" w:space="0"/>
            </w:tcBorders>
            <w:vAlign w:val="center"/>
          </w:tcPr>
          <w:p>
            <w:pPr>
              <w:adjustRightInd w:val="0"/>
              <w:snapToGrid w:val="0"/>
              <w:spacing w:line="312" w:lineRule="auto"/>
              <w:jc w:val="center"/>
              <w:outlineLvl w:val="5"/>
              <w:rPr>
                <w:rFonts w:hint="eastAsia" w:ascii="宋体" w:hAnsi="宋体" w:cs="宋体"/>
                <w:sz w:val="24"/>
              </w:rPr>
            </w:pPr>
            <w:r>
              <w:rPr>
                <w:rFonts w:hint="eastAsia" w:ascii="宋体" w:hAnsi="宋体" w:cs="宋体"/>
                <w:sz w:val="24"/>
              </w:rPr>
              <w:t>20</w:t>
            </w:r>
          </w:p>
        </w:tc>
        <w:tc>
          <w:tcPr>
            <w:tcW w:w="1047" w:type="pct"/>
            <w:tcBorders>
              <w:top w:val="single" w:color="auto" w:sz="4" w:space="0"/>
              <w:bottom w:val="single" w:color="auto" w:sz="4" w:space="0"/>
            </w:tcBorders>
            <w:vAlign w:val="center"/>
          </w:tcPr>
          <w:p>
            <w:pPr>
              <w:adjustRightInd w:val="0"/>
              <w:snapToGrid w:val="0"/>
              <w:spacing w:line="312" w:lineRule="auto"/>
              <w:jc w:val="center"/>
              <w:rPr>
                <w:rFonts w:hint="eastAsia" w:ascii="宋体" w:hAnsi="宋体" w:cs="宋体"/>
                <w:sz w:val="24"/>
              </w:rPr>
            </w:pPr>
            <w:r>
              <w:rPr>
                <w:rFonts w:hint="eastAsia" w:ascii="宋体" w:hAnsi="宋体" w:cs="宋体"/>
                <w:sz w:val="24"/>
              </w:rPr>
              <w:t>中标通知书领取</w:t>
            </w:r>
          </w:p>
        </w:tc>
        <w:tc>
          <w:tcPr>
            <w:tcW w:w="3623" w:type="pct"/>
            <w:tcBorders>
              <w:top w:val="single" w:color="auto" w:sz="4" w:space="0"/>
              <w:bottom w:val="single" w:color="auto" w:sz="4" w:space="0"/>
            </w:tcBorders>
            <w:vAlign w:val="center"/>
          </w:tcPr>
          <w:p>
            <w:pPr>
              <w:adjustRightInd w:val="0"/>
              <w:snapToGrid w:val="0"/>
              <w:spacing w:line="312" w:lineRule="auto"/>
              <w:jc w:val="left"/>
              <w:rPr>
                <w:rFonts w:hint="eastAsia" w:ascii="宋体" w:hAnsi="宋体" w:cs="宋体"/>
                <w:sz w:val="24"/>
              </w:rPr>
            </w:pPr>
            <w:r>
              <w:rPr>
                <w:rFonts w:hint="eastAsia" w:ascii="宋体" w:hAnsi="宋体" w:cs="宋体"/>
                <w:sz w:val="24"/>
              </w:rPr>
              <w:t>中标公告在“四川政府采购网”上公告后，中标人凭有效身份证明证件（单位介绍信和个人身份证）到采购代理机构处领取中标通知书。</w:t>
            </w:r>
          </w:p>
          <w:p>
            <w:pPr>
              <w:adjustRightInd w:val="0"/>
              <w:snapToGrid w:val="0"/>
              <w:spacing w:line="312" w:lineRule="auto"/>
              <w:rPr>
                <w:rFonts w:hint="eastAsia" w:ascii="宋体" w:hAnsi="宋体" w:cs="宋体"/>
                <w:sz w:val="24"/>
                <w:lang w:val="zh-CN"/>
              </w:rPr>
            </w:pPr>
            <w:r>
              <w:rPr>
                <w:rFonts w:hint="eastAsia" w:ascii="宋体" w:hAnsi="宋体" w:cs="宋体"/>
                <w:sz w:val="24"/>
                <w:lang w:val="zh-CN"/>
              </w:rPr>
              <w:t>联系人：</w:t>
            </w:r>
            <w:r>
              <w:rPr>
                <w:rFonts w:hint="eastAsia" w:ascii="宋体" w:hAnsi="宋体" w:cs="宋体"/>
                <w:sz w:val="24"/>
              </w:rPr>
              <w:t>曾女士</w:t>
            </w:r>
            <w:r>
              <w:rPr>
                <w:rFonts w:hint="eastAsia" w:ascii="宋体" w:hAnsi="宋体" w:cs="宋体"/>
                <w:sz w:val="24"/>
                <w:lang w:val="zh-CN"/>
              </w:rPr>
              <w:t>。</w:t>
            </w:r>
          </w:p>
          <w:p>
            <w:pPr>
              <w:adjustRightInd w:val="0"/>
              <w:snapToGrid w:val="0"/>
              <w:spacing w:line="312" w:lineRule="auto"/>
              <w:rPr>
                <w:rFonts w:hint="eastAsia" w:ascii="宋体" w:hAnsi="宋体" w:cs="宋体"/>
                <w:sz w:val="24"/>
                <w:lang w:val="zh-CN"/>
              </w:rPr>
            </w:pPr>
            <w:r>
              <w:rPr>
                <w:rFonts w:hint="eastAsia" w:ascii="宋体" w:hAnsi="宋体" w:cs="宋体"/>
                <w:sz w:val="24"/>
                <w:lang w:val="zh-CN"/>
              </w:rPr>
              <w:t>联系电话：028-85588661</w:t>
            </w:r>
          </w:p>
          <w:p>
            <w:pPr>
              <w:adjustRightInd w:val="0"/>
              <w:snapToGrid w:val="0"/>
              <w:spacing w:line="312" w:lineRule="auto"/>
              <w:rPr>
                <w:rFonts w:hint="eastAsia" w:ascii="宋体" w:hAnsi="宋体" w:cs="宋体"/>
                <w:sz w:val="24"/>
              </w:rPr>
            </w:pPr>
            <w:r>
              <w:rPr>
                <w:rFonts w:hint="eastAsia" w:ascii="宋体" w:hAnsi="宋体" w:cs="宋体"/>
                <w:sz w:val="24"/>
                <w:lang w:val="zh-CN"/>
              </w:rPr>
              <w:t>地址：成都市高新区九兴大道14号凯乐国际5幢-503号。</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jc w:val="center"/>
        </w:trPr>
        <w:tc>
          <w:tcPr>
            <w:tcW w:w="329" w:type="pct"/>
            <w:tcBorders>
              <w:top w:val="single" w:color="auto" w:sz="4" w:space="0"/>
              <w:bottom w:val="single" w:color="auto" w:sz="4" w:space="0"/>
            </w:tcBorders>
            <w:vAlign w:val="center"/>
          </w:tcPr>
          <w:p>
            <w:pPr>
              <w:adjustRightInd w:val="0"/>
              <w:snapToGrid w:val="0"/>
              <w:spacing w:line="312" w:lineRule="auto"/>
              <w:jc w:val="center"/>
              <w:outlineLvl w:val="5"/>
              <w:rPr>
                <w:rFonts w:hint="eastAsia" w:ascii="宋体" w:hAnsi="宋体" w:cs="宋体"/>
                <w:sz w:val="24"/>
              </w:rPr>
            </w:pPr>
            <w:r>
              <w:rPr>
                <w:rFonts w:hint="eastAsia" w:ascii="宋体" w:hAnsi="宋体" w:cs="宋体"/>
                <w:sz w:val="24"/>
                <w:lang w:val="zh-CN"/>
              </w:rPr>
              <w:t>2</w:t>
            </w:r>
            <w:r>
              <w:rPr>
                <w:rFonts w:hint="eastAsia" w:ascii="宋体" w:hAnsi="宋体" w:cs="宋体"/>
                <w:sz w:val="24"/>
              </w:rPr>
              <w:t>1</w:t>
            </w:r>
          </w:p>
        </w:tc>
        <w:tc>
          <w:tcPr>
            <w:tcW w:w="1047" w:type="pct"/>
            <w:tcBorders>
              <w:top w:val="single" w:color="auto" w:sz="4" w:space="0"/>
              <w:bottom w:val="single" w:color="auto" w:sz="4" w:space="0"/>
            </w:tcBorders>
            <w:vAlign w:val="center"/>
          </w:tcPr>
          <w:p>
            <w:pPr>
              <w:pStyle w:val="56"/>
              <w:snapToGrid w:val="0"/>
              <w:spacing w:line="312" w:lineRule="auto"/>
              <w:jc w:val="center"/>
              <w:rPr>
                <w:rFonts w:hint="eastAsia"/>
              </w:rPr>
            </w:pPr>
            <w:r>
              <w:rPr>
                <w:rFonts w:hint="eastAsia"/>
                <w:lang w:val="zh-CN"/>
              </w:rPr>
              <w:t>供应商</w:t>
            </w:r>
            <w:r>
              <w:rPr>
                <w:rFonts w:hint="eastAsia"/>
                <w:kern w:val="2"/>
              </w:rPr>
              <w:t>询问、质疑</w:t>
            </w:r>
          </w:p>
        </w:tc>
        <w:tc>
          <w:tcPr>
            <w:tcW w:w="3623" w:type="pct"/>
            <w:tcBorders>
              <w:top w:val="single" w:color="auto" w:sz="4" w:space="0"/>
              <w:bottom w:val="single" w:color="auto" w:sz="4" w:space="0"/>
            </w:tcBorders>
          </w:tcPr>
          <w:p>
            <w:pPr>
              <w:adjustRightInd w:val="0"/>
              <w:snapToGrid w:val="0"/>
              <w:spacing w:line="312" w:lineRule="auto"/>
              <w:jc w:val="left"/>
              <w:rPr>
                <w:rFonts w:hint="eastAsia" w:ascii="宋体" w:hAnsi="宋体" w:cs="宋体"/>
                <w:sz w:val="24"/>
                <w:lang w:val="zh-CN"/>
              </w:rPr>
            </w:pPr>
            <w:r>
              <w:rPr>
                <w:rFonts w:hint="eastAsia" w:ascii="宋体" w:hAnsi="宋体" w:cs="宋体"/>
                <w:sz w:val="24"/>
              </w:rPr>
              <w:t>投标人询问、质疑由四川浩行招标代理有限公司</w:t>
            </w:r>
            <w:r>
              <w:rPr>
                <w:rFonts w:hint="eastAsia" w:ascii="宋体" w:hAnsi="宋体" w:cs="宋体"/>
                <w:sz w:val="24"/>
                <w:lang w:val="zh-CN"/>
              </w:rPr>
              <w:t>负责答复。</w:t>
            </w:r>
          </w:p>
          <w:p>
            <w:pPr>
              <w:adjustRightInd w:val="0"/>
              <w:snapToGrid w:val="0"/>
              <w:spacing w:line="312" w:lineRule="auto"/>
              <w:rPr>
                <w:rFonts w:hint="eastAsia" w:ascii="宋体" w:hAnsi="宋体" w:cs="宋体"/>
                <w:sz w:val="24"/>
              </w:rPr>
            </w:pPr>
            <w:r>
              <w:rPr>
                <w:rFonts w:hint="eastAsia" w:ascii="宋体" w:hAnsi="宋体" w:cs="宋体"/>
                <w:sz w:val="24"/>
                <w:lang w:val="zh-CN"/>
              </w:rPr>
              <w:t>联 系 人：</w:t>
            </w:r>
            <w:r>
              <w:rPr>
                <w:rFonts w:hint="eastAsia" w:ascii="宋体" w:hAnsi="宋体" w:cs="宋体"/>
                <w:sz w:val="24"/>
              </w:rPr>
              <w:t>曾女士</w:t>
            </w:r>
          </w:p>
          <w:p>
            <w:pPr>
              <w:adjustRightInd w:val="0"/>
              <w:snapToGrid w:val="0"/>
              <w:spacing w:line="312" w:lineRule="auto"/>
              <w:rPr>
                <w:rFonts w:hint="eastAsia" w:ascii="宋体" w:hAnsi="宋体" w:cs="宋体"/>
                <w:sz w:val="24"/>
                <w:lang w:val="zh-CN"/>
              </w:rPr>
            </w:pPr>
            <w:r>
              <w:rPr>
                <w:rFonts w:hint="eastAsia" w:ascii="宋体" w:hAnsi="宋体" w:cs="宋体"/>
                <w:sz w:val="24"/>
                <w:lang w:val="zh-CN"/>
              </w:rPr>
              <w:t>联系电话：</w:t>
            </w:r>
            <w:r>
              <w:rPr>
                <w:rFonts w:hint="eastAsia" w:ascii="宋体" w:hAnsi="宋体" w:cs="宋体"/>
                <w:sz w:val="24"/>
              </w:rPr>
              <w:t>028-85588661</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jc w:val="center"/>
        </w:trPr>
        <w:tc>
          <w:tcPr>
            <w:tcW w:w="329" w:type="pct"/>
            <w:tcBorders>
              <w:top w:val="single" w:color="auto" w:sz="4" w:space="0"/>
              <w:bottom w:val="single" w:color="auto" w:sz="4" w:space="0"/>
            </w:tcBorders>
            <w:vAlign w:val="center"/>
          </w:tcPr>
          <w:p>
            <w:pPr>
              <w:adjustRightInd w:val="0"/>
              <w:snapToGrid w:val="0"/>
              <w:spacing w:line="312" w:lineRule="auto"/>
              <w:jc w:val="center"/>
              <w:outlineLvl w:val="5"/>
              <w:rPr>
                <w:rFonts w:hint="eastAsia" w:ascii="宋体" w:hAnsi="宋体" w:cs="宋体"/>
                <w:sz w:val="24"/>
              </w:rPr>
            </w:pPr>
            <w:r>
              <w:rPr>
                <w:rFonts w:hint="eastAsia" w:ascii="宋体" w:hAnsi="宋体" w:cs="宋体"/>
                <w:sz w:val="24"/>
                <w:lang w:val="zh-CN"/>
              </w:rPr>
              <w:t>2</w:t>
            </w:r>
            <w:r>
              <w:rPr>
                <w:rFonts w:hint="eastAsia" w:ascii="宋体" w:hAnsi="宋体" w:cs="宋体"/>
                <w:sz w:val="24"/>
              </w:rPr>
              <w:t>2</w:t>
            </w:r>
          </w:p>
        </w:tc>
        <w:tc>
          <w:tcPr>
            <w:tcW w:w="1047" w:type="pct"/>
            <w:tcBorders>
              <w:top w:val="single" w:color="auto" w:sz="4" w:space="0"/>
              <w:bottom w:val="single" w:color="auto" w:sz="4" w:space="0"/>
            </w:tcBorders>
            <w:vAlign w:val="center"/>
          </w:tcPr>
          <w:p>
            <w:pPr>
              <w:pStyle w:val="56"/>
              <w:snapToGrid w:val="0"/>
              <w:spacing w:line="312" w:lineRule="auto"/>
              <w:jc w:val="center"/>
              <w:rPr>
                <w:rFonts w:hint="eastAsia"/>
                <w:kern w:val="2"/>
              </w:rPr>
            </w:pPr>
            <w:r>
              <w:rPr>
                <w:rFonts w:hint="eastAsia"/>
                <w:lang w:val="zh-CN"/>
              </w:rPr>
              <w:t>供应商</w:t>
            </w:r>
            <w:r>
              <w:rPr>
                <w:rFonts w:hint="eastAsia"/>
                <w:kern w:val="2"/>
              </w:rPr>
              <w:t>投诉</w:t>
            </w:r>
          </w:p>
        </w:tc>
        <w:tc>
          <w:tcPr>
            <w:tcW w:w="3623" w:type="pct"/>
            <w:tcBorders>
              <w:top w:val="single" w:color="auto" w:sz="4" w:space="0"/>
              <w:bottom w:val="single" w:color="auto" w:sz="4" w:space="0"/>
            </w:tcBorders>
            <w:vAlign w:val="center"/>
          </w:tcPr>
          <w:p>
            <w:pPr>
              <w:adjustRightInd w:val="0"/>
              <w:snapToGrid w:val="0"/>
              <w:spacing w:line="312" w:lineRule="auto"/>
              <w:jc w:val="left"/>
              <w:rPr>
                <w:rFonts w:hint="eastAsia" w:ascii="宋体" w:hAnsi="宋体" w:cs="宋体"/>
                <w:sz w:val="24"/>
                <w:lang w:val="zh-CN"/>
              </w:rPr>
            </w:pPr>
            <w:r>
              <w:rPr>
                <w:rFonts w:hint="eastAsia" w:ascii="宋体" w:hAnsi="宋体" w:cs="宋体"/>
                <w:sz w:val="24"/>
                <w:lang w:val="zh-CN"/>
              </w:rPr>
              <w:t>投诉受理单位：本采购项目同级财政部门即郫都区财政局。</w:t>
            </w:r>
          </w:p>
          <w:p>
            <w:pPr>
              <w:adjustRightInd w:val="0"/>
              <w:snapToGrid w:val="0"/>
              <w:spacing w:line="312" w:lineRule="auto"/>
              <w:jc w:val="left"/>
              <w:rPr>
                <w:rFonts w:hint="eastAsia" w:ascii="宋体" w:hAnsi="宋体" w:cs="宋体"/>
                <w:sz w:val="24"/>
                <w:lang w:val="zh-CN"/>
              </w:rPr>
            </w:pPr>
            <w:r>
              <w:rPr>
                <w:rFonts w:hint="eastAsia" w:ascii="宋体" w:hAnsi="宋体" w:cs="宋体"/>
                <w:sz w:val="24"/>
                <w:lang w:val="zh-CN"/>
              </w:rPr>
              <w:t>地址：成都市郫都区望丛中路998号。</w:t>
            </w:r>
          </w:p>
          <w:p>
            <w:pPr>
              <w:adjustRightInd w:val="0"/>
              <w:snapToGrid w:val="0"/>
              <w:spacing w:line="312" w:lineRule="auto"/>
              <w:jc w:val="left"/>
              <w:rPr>
                <w:rFonts w:hint="eastAsia" w:ascii="宋体" w:hAnsi="宋体" w:cs="宋体"/>
                <w:sz w:val="24"/>
                <w:lang w:val="zh-CN"/>
              </w:rPr>
            </w:pPr>
            <w:r>
              <w:rPr>
                <w:rFonts w:hint="eastAsia" w:ascii="宋体" w:hAnsi="宋体" w:cs="宋体"/>
                <w:sz w:val="24"/>
                <w:lang w:val="zh-CN"/>
              </w:rPr>
              <w:t>联系电话：028-87882979</w:t>
            </w:r>
          </w:p>
          <w:p>
            <w:pPr>
              <w:adjustRightInd w:val="0"/>
              <w:snapToGrid w:val="0"/>
              <w:spacing w:line="312" w:lineRule="auto"/>
              <w:jc w:val="left"/>
              <w:rPr>
                <w:rFonts w:hint="eastAsia" w:ascii="宋体" w:hAnsi="宋体" w:cs="宋体"/>
                <w:sz w:val="24"/>
              </w:rPr>
            </w:pPr>
            <w:r>
              <w:rPr>
                <w:rFonts w:hint="eastAsia" w:ascii="宋体" w:hAnsi="宋体" w:cs="宋体"/>
                <w:sz w:val="24"/>
                <w:lang w:val="zh-CN"/>
              </w:rPr>
              <w:t>注：根据《中华人民共和国政府采购法实施条例》及中华人民共和国财政部令第94号《政府采购质疑和投诉办法》等的规定，供应商投诉事项不得超出已质疑事项的范围。</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jc w:val="center"/>
        </w:trPr>
        <w:tc>
          <w:tcPr>
            <w:tcW w:w="329" w:type="pct"/>
            <w:tcBorders>
              <w:top w:val="single" w:color="auto" w:sz="4" w:space="0"/>
              <w:bottom w:val="single" w:color="auto" w:sz="4" w:space="0"/>
            </w:tcBorders>
            <w:vAlign w:val="center"/>
          </w:tcPr>
          <w:p>
            <w:pPr>
              <w:adjustRightInd w:val="0"/>
              <w:snapToGrid w:val="0"/>
              <w:spacing w:line="312" w:lineRule="auto"/>
              <w:jc w:val="center"/>
              <w:outlineLvl w:val="5"/>
              <w:rPr>
                <w:rFonts w:hint="eastAsia" w:ascii="宋体" w:hAnsi="宋体" w:cs="宋体"/>
                <w:sz w:val="24"/>
              </w:rPr>
            </w:pPr>
            <w:r>
              <w:rPr>
                <w:rFonts w:hint="eastAsia" w:ascii="宋体" w:hAnsi="宋体" w:cs="宋体"/>
                <w:sz w:val="24"/>
                <w:lang w:val="zh-CN"/>
              </w:rPr>
              <w:t>2</w:t>
            </w:r>
            <w:r>
              <w:rPr>
                <w:rFonts w:hint="eastAsia" w:ascii="宋体" w:hAnsi="宋体" w:cs="宋体"/>
                <w:sz w:val="24"/>
              </w:rPr>
              <w:t>3</w:t>
            </w:r>
          </w:p>
        </w:tc>
        <w:tc>
          <w:tcPr>
            <w:tcW w:w="1047" w:type="pct"/>
            <w:tcBorders>
              <w:top w:val="single" w:color="auto" w:sz="4" w:space="0"/>
              <w:bottom w:val="single" w:color="auto" w:sz="4" w:space="0"/>
            </w:tcBorders>
            <w:vAlign w:val="center"/>
          </w:tcPr>
          <w:p>
            <w:pPr>
              <w:pStyle w:val="56"/>
              <w:snapToGrid w:val="0"/>
              <w:spacing w:line="312" w:lineRule="auto"/>
              <w:jc w:val="center"/>
              <w:rPr>
                <w:rFonts w:hint="eastAsia"/>
                <w:kern w:val="2"/>
              </w:rPr>
            </w:pPr>
            <w:r>
              <w:rPr>
                <w:rFonts w:hint="eastAsia"/>
                <w:kern w:val="2"/>
              </w:rPr>
              <w:t>政府采购合同公告备案</w:t>
            </w:r>
          </w:p>
        </w:tc>
        <w:tc>
          <w:tcPr>
            <w:tcW w:w="3623" w:type="pct"/>
            <w:tcBorders>
              <w:top w:val="single" w:color="auto" w:sz="4" w:space="0"/>
              <w:bottom w:val="single" w:color="auto" w:sz="4" w:space="0"/>
            </w:tcBorders>
          </w:tcPr>
          <w:p>
            <w:pPr>
              <w:pStyle w:val="56"/>
              <w:snapToGrid w:val="0"/>
              <w:spacing w:line="312" w:lineRule="auto"/>
              <w:rPr>
                <w:rFonts w:hint="eastAsia"/>
              </w:rPr>
            </w:pPr>
            <w:r>
              <w:rPr>
                <w:rFonts w:hint="eastAsia"/>
                <w:kern w:val="2"/>
              </w:rPr>
              <w:t>政府采购合同签订之日起2个工作日内，政府采购合同将在“四川政府采购网”公告；政府采购合同签订之日起七个工作日内，政府采购合同副本将向本采购项目同级财政部门备案。</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jc w:val="center"/>
        </w:trPr>
        <w:tc>
          <w:tcPr>
            <w:tcW w:w="329" w:type="pct"/>
            <w:tcBorders>
              <w:top w:val="single" w:color="auto" w:sz="4" w:space="0"/>
            </w:tcBorders>
            <w:vAlign w:val="center"/>
          </w:tcPr>
          <w:p>
            <w:pPr>
              <w:adjustRightInd w:val="0"/>
              <w:snapToGrid w:val="0"/>
              <w:spacing w:line="312" w:lineRule="auto"/>
              <w:jc w:val="center"/>
              <w:outlineLvl w:val="5"/>
              <w:rPr>
                <w:rFonts w:hint="eastAsia" w:ascii="宋体" w:hAnsi="宋体" w:cs="宋体"/>
                <w:sz w:val="24"/>
              </w:rPr>
            </w:pPr>
            <w:r>
              <w:rPr>
                <w:rFonts w:hint="eastAsia" w:ascii="宋体" w:hAnsi="宋体" w:cs="宋体"/>
                <w:sz w:val="24"/>
                <w:lang w:val="zh-CN"/>
              </w:rPr>
              <w:t>2</w:t>
            </w:r>
            <w:r>
              <w:rPr>
                <w:rFonts w:hint="eastAsia" w:ascii="宋体" w:hAnsi="宋体" w:cs="宋体"/>
                <w:sz w:val="24"/>
              </w:rPr>
              <w:t>4</w:t>
            </w:r>
          </w:p>
        </w:tc>
        <w:tc>
          <w:tcPr>
            <w:tcW w:w="1047" w:type="pct"/>
            <w:tcBorders>
              <w:top w:val="single" w:color="auto" w:sz="4" w:space="0"/>
            </w:tcBorders>
            <w:vAlign w:val="center"/>
          </w:tcPr>
          <w:p>
            <w:pPr>
              <w:adjustRightInd w:val="0"/>
              <w:snapToGrid w:val="0"/>
              <w:spacing w:line="312" w:lineRule="auto"/>
              <w:jc w:val="center"/>
              <w:outlineLvl w:val="5"/>
              <w:rPr>
                <w:rFonts w:hint="eastAsia" w:ascii="宋体" w:hAnsi="宋体" w:cs="宋体"/>
                <w:sz w:val="24"/>
              </w:rPr>
            </w:pPr>
            <w:r>
              <w:rPr>
                <w:rFonts w:hint="eastAsia" w:ascii="宋体" w:hAnsi="宋体" w:cs="宋体"/>
                <w:sz w:val="24"/>
                <w:lang w:val="zh-CN"/>
              </w:rPr>
              <w:t>备选投标方案和报价</w:t>
            </w:r>
          </w:p>
        </w:tc>
        <w:tc>
          <w:tcPr>
            <w:tcW w:w="3623" w:type="pct"/>
            <w:tcBorders>
              <w:top w:val="single" w:color="auto" w:sz="4" w:space="0"/>
            </w:tcBorders>
            <w:vAlign w:val="center"/>
          </w:tcPr>
          <w:p>
            <w:pPr>
              <w:adjustRightInd w:val="0"/>
              <w:snapToGrid w:val="0"/>
              <w:spacing w:line="312" w:lineRule="auto"/>
              <w:jc w:val="left"/>
              <w:outlineLvl w:val="5"/>
              <w:rPr>
                <w:rFonts w:hint="eastAsia" w:ascii="宋体" w:hAnsi="宋体" w:cs="宋体"/>
                <w:sz w:val="24"/>
              </w:rPr>
            </w:pPr>
            <w:r>
              <w:rPr>
                <w:rFonts w:hint="eastAsia" w:ascii="宋体" w:hAnsi="宋体" w:cs="宋体"/>
                <w:sz w:val="24"/>
                <w:lang w:val="zh-CN"/>
              </w:rPr>
              <w:t>本次采购不接受备选投标方案和多个报价。</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jc w:val="center"/>
        </w:trPr>
        <w:tc>
          <w:tcPr>
            <w:tcW w:w="329" w:type="pct"/>
            <w:tcBorders>
              <w:bottom w:val="single" w:color="auto" w:sz="4" w:space="0"/>
            </w:tcBorders>
            <w:vAlign w:val="center"/>
          </w:tcPr>
          <w:p>
            <w:pPr>
              <w:adjustRightInd w:val="0"/>
              <w:snapToGrid w:val="0"/>
              <w:spacing w:line="312" w:lineRule="auto"/>
              <w:jc w:val="center"/>
              <w:outlineLvl w:val="5"/>
              <w:rPr>
                <w:rFonts w:hint="eastAsia" w:ascii="宋体" w:hAnsi="宋体" w:cs="宋体"/>
                <w:sz w:val="24"/>
              </w:rPr>
            </w:pPr>
            <w:r>
              <w:rPr>
                <w:rFonts w:hint="eastAsia" w:ascii="宋体" w:hAnsi="宋体" w:cs="宋体"/>
                <w:sz w:val="24"/>
                <w:lang w:val="zh-CN"/>
              </w:rPr>
              <w:t>2</w:t>
            </w:r>
            <w:r>
              <w:rPr>
                <w:rFonts w:hint="eastAsia" w:ascii="宋体" w:hAnsi="宋体" w:cs="宋体"/>
                <w:sz w:val="24"/>
              </w:rPr>
              <w:t>5</w:t>
            </w:r>
          </w:p>
        </w:tc>
        <w:tc>
          <w:tcPr>
            <w:tcW w:w="1047" w:type="pct"/>
            <w:tcBorders>
              <w:bottom w:val="single" w:color="auto" w:sz="4" w:space="0"/>
            </w:tcBorders>
            <w:vAlign w:val="center"/>
          </w:tcPr>
          <w:p>
            <w:pPr>
              <w:adjustRightInd w:val="0"/>
              <w:snapToGrid w:val="0"/>
              <w:spacing w:line="312" w:lineRule="auto"/>
              <w:jc w:val="center"/>
              <w:rPr>
                <w:rFonts w:hint="eastAsia" w:ascii="宋体" w:hAnsi="宋体" w:cs="宋体"/>
                <w:sz w:val="24"/>
                <w:lang w:val="zh-CN"/>
              </w:rPr>
            </w:pPr>
            <w:r>
              <w:rPr>
                <w:rFonts w:hint="eastAsia" w:ascii="宋体" w:hAnsi="宋体" w:cs="宋体"/>
                <w:sz w:val="24"/>
              </w:rPr>
              <w:t>节能、环保及无线局域网产品政府采购政策</w:t>
            </w:r>
          </w:p>
        </w:tc>
        <w:tc>
          <w:tcPr>
            <w:tcW w:w="3623" w:type="pct"/>
            <w:tcBorders>
              <w:bottom w:val="single" w:color="auto" w:sz="4" w:space="0"/>
            </w:tcBorders>
            <w:vAlign w:val="center"/>
          </w:tcPr>
          <w:p>
            <w:pPr>
              <w:adjustRightInd w:val="0"/>
              <w:snapToGrid w:val="0"/>
              <w:spacing w:line="312" w:lineRule="auto"/>
              <w:rPr>
                <w:rFonts w:hint="eastAsia" w:ascii="宋体" w:hAnsi="宋体" w:cs="宋体"/>
                <w:sz w:val="24"/>
              </w:rPr>
            </w:pPr>
            <w:r>
              <w:rPr>
                <w:rFonts w:hint="eastAsia" w:ascii="宋体" w:hAnsi="宋体" w:cs="宋体"/>
                <w:sz w:val="24"/>
              </w:rPr>
              <w:t>一、节能、环保产品政府采购政策：</w:t>
            </w:r>
          </w:p>
          <w:p>
            <w:pPr>
              <w:adjustRightInd w:val="0"/>
              <w:snapToGrid w:val="0"/>
              <w:spacing w:line="312" w:lineRule="auto"/>
              <w:rPr>
                <w:rFonts w:hint="eastAsia" w:ascii="宋体" w:hAnsi="宋体" w:cs="宋体"/>
                <w:sz w:val="24"/>
              </w:rPr>
            </w:pPr>
            <w:r>
              <w:rPr>
                <w:rFonts w:hint="eastAsia" w:ascii="宋体" w:hAnsi="宋体" w:cs="宋体"/>
                <w:sz w:val="24"/>
              </w:rPr>
              <w:t>1、根据《财政部 发展改革委 生态环境部 市场监管总局关于调整优化节能产品、环境标志产品政府采购执行机制的通知》（财库〔2019〕9号）相关要求，依据品目清单和认证证书实施政府优先采购和强制采购。本项目采购的产品属于品目清单范围的，依据国家确定的认证机构出具的、处于有效期之内的节能产品、环境标志产品认证证书，对获得证书的产品实施政府优先采购或强制采购。</w:t>
            </w:r>
          </w:p>
          <w:p>
            <w:pPr>
              <w:adjustRightInd w:val="0"/>
              <w:snapToGrid w:val="0"/>
              <w:spacing w:line="312" w:lineRule="auto"/>
              <w:rPr>
                <w:rFonts w:hint="eastAsia" w:ascii="宋体" w:hAnsi="宋体" w:cs="宋体"/>
                <w:sz w:val="24"/>
              </w:rPr>
            </w:pPr>
            <w:r>
              <w:rPr>
                <w:rFonts w:hint="eastAsia" w:ascii="宋体" w:hAnsi="宋体" w:cs="宋体"/>
                <w:sz w:val="24"/>
              </w:rPr>
              <w:t>2、本项目采购的产品属于品目清单强制采购范围的，供应商应按上述要求提供产品认证证书复印件并加盖供应商单位公章（鲜章），否则投标无效。（实质性要求）</w:t>
            </w:r>
          </w:p>
          <w:p>
            <w:pPr>
              <w:adjustRightInd w:val="0"/>
              <w:snapToGrid w:val="0"/>
              <w:spacing w:line="312" w:lineRule="auto"/>
              <w:rPr>
                <w:rFonts w:hint="eastAsia" w:ascii="宋体" w:hAnsi="宋体" w:cs="宋体"/>
                <w:sz w:val="24"/>
              </w:rPr>
            </w:pPr>
            <w:r>
              <w:rPr>
                <w:rFonts w:hint="eastAsia" w:ascii="宋体" w:hAnsi="宋体" w:cs="宋体"/>
                <w:sz w:val="24"/>
              </w:rPr>
              <w:t>3、本项目采购的产品属于品目清单优先采购范围的，按照第七章《综合评分明细表》的规则进行加分。</w:t>
            </w:r>
          </w:p>
          <w:p>
            <w:pPr>
              <w:adjustRightInd w:val="0"/>
              <w:snapToGrid w:val="0"/>
              <w:spacing w:line="312" w:lineRule="auto"/>
              <w:rPr>
                <w:rFonts w:hint="eastAsia" w:ascii="宋体" w:hAnsi="宋体" w:cs="宋体"/>
                <w:sz w:val="24"/>
              </w:rPr>
            </w:pPr>
            <w:r>
              <w:rPr>
                <w:rFonts w:hint="eastAsia" w:ascii="宋体" w:hAnsi="宋体" w:cs="宋体"/>
                <w:sz w:val="24"/>
              </w:rPr>
              <w:t>注：对政府采购节能产品、环境标志产品实施品目清单管理。财政部、发展改革委、生态环境部等部门根据产品节能环保性能、技术水平和市场成熟程度等因素，确定实施政府优先采购和强制采购的产品类别及所依据的相关标准规范，以品目清单的形式发布并适时调整。</w:t>
            </w:r>
          </w:p>
          <w:p>
            <w:pPr>
              <w:adjustRightInd w:val="0"/>
              <w:snapToGrid w:val="0"/>
              <w:spacing w:line="312" w:lineRule="auto"/>
              <w:rPr>
                <w:rFonts w:hint="eastAsia" w:ascii="宋体" w:hAnsi="宋体" w:cs="宋体"/>
                <w:sz w:val="24"/>
              </w:rPr>
            </w:pPr>
            <w:r>
              <w:rPr>
                <w:rFonts w:hint="eastAsia" w:ascii="宋体" w:hAnsi="宋体" w:cs="宋体"/>
                <w:sz w:val="24"/>
              </w:rPr>
              <w:t>二、无线局域网产品政府采购政策</w:t>
            </w:r>
          </w:p>
          <w:p>
            <w:pPr>
              <w:adjustRightInd w:val="0"/>
              <w:snapToGrid w:val="0"/>
              <w:spacing w:line="312" w:lineRule="auto"/>
              <w:rPr>
                <w:rFonts w:hint="eastAsia" w:ascii="宋体" w:hAnsi="宋体" w:cs="宋体"/>
                <w:sz w:val="30"/>
                <w:szCs w:val="30"/>
                <w:lang w:val="zh-CN"/>
              </w:rPr>
            </w:pPr>
            <w:r>
              <w:rPr>
                <w:rFonts w:hint="eastAsia" w:ascii="宋体" w:hAnsi="宋体" w:cs="宋体"/>
                <w:sz w:val="24"/>
              </w:rPr>
              <w:t>本项目采购的产品属于中国政府采购网公布的《无线局域网认证产品政府采购清单》的，将按照第七章《综合评分明细表》的规则进行加分。</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jc w:val="center"/>
        </w:trPr>
        <w:tc>
          <w:tcPr>
            <w:tcW w:w="329" w:type="pct"/>
            <w:tcBorders>
              <w:top w:val="single" w:color="auto" w:sz="4" w:space="0"/>
            </w:tcBorders>
            <w:vAlign w:val="center"/>
          </w:tcPr>
          <w:p>
            <w:pPr>
              <w:adjustRightInd w:val="0"/>
              <w:snapToGrid w:val="0"/>
              <w:spacing w:line="312" w:lineRule="auto"/>
              <w:jc w:val="center"/>
              <w:outlineLvl w:val="5"/>
              <w:rPr>
                <w:rFonts w:hint="eastAsia" w:ascii="宋体" w:hAnsi="宋体" w:cs="宋体"/>
                <w:sz w:val="24"/>
              </w:rPr>
            </w:pPr>
            <w:r>
              <w:rPr>
                <w:rFonts w:hint="eastAsia" w:ascii="宋体" w:hAnsi="宋体" w:cs="宋体"/>
                <w:sz w:val="24"/>
                <w:lang w:val="zh-CN"/>
              </w:rPr>
              <w:t>2</w:t>
            </w:r>
            <w:r>
              <w:rPr>
                <w:rFonts w:hint="eastAsia" w:ascii="宋体" w:hAnsi="宋体" w:cs="宋体"/>
                <w:sz w:val="24"/>
              </w:rPr>
              <w:t>6</w:t>
            </w:r>
          </w:p>
        </w:tc>
        <w:tc>
          <w:tcPr>
            <w:tcW w:w="1047" w:type="pct"/>
            <w:tcBorders>
              <w:top w:val="single" w:color="auto" w:sz="4" w:space="0"/>
            </w:tcBorders>
            <w:vAlign w:val="center"/>
          </w:tcPr>
          <w:p>
            <w:pPr>
              <w:adjustRightInd w:val="0"/>
              <w:snapToGrid w:val="0"/>
              <w:spacing w:line="312" w:lineRule="auto"/>
              <w:jc w:val="center"/>
              <w:outlineLvl w:val="5"/>
              <w:rPr>
                <w:rFonts w:hint="eastAsia" w:ascii="宋体" w:hAnsi="宋体" w:cs="宋体"/>
                <w:b/>
                <w:sz w:val="24"/>
                <w:lang w:val="zh-CN"/>
              </w:rPr>
            </w:pPr>
            <w:r>
              <w:rPr>
                <w:rFonts w:hint="eastAsia" w:ascii="宋体" w:hAnsi="宋体" w:cs="宋体"/>
                <w:sz w:val="24"/>
              </w:rPr>
              <w:t>政府采购信用融资</w:t>
            </w:r>
          </w:p>
        </w:tc>
        <w:tc>
          <w:tcPr>
            <w:tcW w:w="3623" w:type="pct"/>
            <w:tcBorders>
              <w:top w:val="single" w:color="auto" w:sz="4" w:space="0"/>
            </w:tcBorders>
            <w:vAlign w:val="center"/>
          </w:tcPr>
          <w:p>
            <w:pPr>
              <w:shd w:val="clear" w:color="auto" w:fill="FFFFFF"/>
              <w:tabs>
                <w:tab w:val="left" w:pos="900"/>
                <w:tab w:val="left" w:pos="5366"/>
              </w:tabs>
              <w:adjustRightInd w:val="0"/>
              <w:snapToGrid w:val="0"/>
              <w:spacing w:line="312" w:lineRule="auto"/>
              <w:jc w:val="left"/>
              <w:outlineLvl w:val="5"/>
              <w:rPr>
                <w:rFonts w:hint="eastAsia" w:ascii="宋体" w:hAnsi="宋体" w:cs="宋体"/>
                <w:sz w:val="24"/>
              </w:rPr>
            </w:pPr>
            <w:r>
              <w:rPr>
                <w:rFonts w:hint="eastAsia" w:ascii="宋体" w:hAnsi="宋体" w:cs="宋体"/>
                <w:sz w:val="24"/>
              </w:rPr>
              <w:t>本项目可开展政府采购信用融资。</w:t>
            </w:r>
          </w:p>
          <w:p>
            <w:pPr>
              <w:shd w:val="clear" w:color="auto" w:fill="FFFFFF"/>
              <w:tabs>
                <w:tab w:val="left" w:pos="900"/>
                <w:tab w:val="left" w:pos="5366"/>
              </w:tabs>
              <w:adjustRightInd w:val="0"/>
              <w:snapToGrid w:val="0"/>
              <w:spacing w:line="312" w:lineRule="auto"/>
              <w:jc w:val="left"/>
              <w:outlineLvl w:val="5"/>
              <w:rPr>
                <w:rFonts w:hint="eastAsia" w:ascii="宋体" w:hAnsi="宋体" w:cs="宋体"/>
                <w:sz w:val="24"/>
              </w:rPr>
            </w:pPr>
            <w:r>
              <w:rPr>
                <w:rFonts w:hint="eastAsia" w:ascii="宋体" w:hAnsi="宋体" w:cs="宋体"/>
                <w:sz w:val="24"/>
              </w:rPr>
              <w:t>1、根据《四川省财政厅关于推进四川省政府采购投标人信用融资工作的通知》（川财采〔2018〕123 号）文件要求，为助力解决政府采购中标、成交投标人资金不足、融资难、融资贵的困难，促进投标人依法诚信参加政府采购活动，有融资需求的投标人可根据四川政府采购网公示的银行及其“政采贷”产品，自行选择符合自身情况的“政采贷”银行及其产品，凭中标（成交）通知书向银行提出贷款意向申请。</w:t>
            </w:r>
          </w:p>
          <w:p>
            <w:pPr>
              <w:shd w:val="clear" w:color="auto" w:fill="FFFFFF"/>
              <w:tabs>
                <w:tab w:val="left" w:pos="900"/>
                <w:tab w:val="left" w:pos="5366"/>
              </w:tabs>
              <w:adjustRightInd w:val="0"/>
              <w:snapToGrid w:val="0"/>
              <w:spacing w:line="312" w:lineRule="auto"/>
              <w:jc w:val="left"/>
              <w:outlineLvl w:val="5"/>
              <w:rPr>
                <w:rFonts w:hint="eastAsia" w:ascii="宋体" w:hAnsi="宋体" w:cs="宋体"/>
                <w:sz w:val="24"/>
              </w:rPr>
            </w:pPr>
            <w:r>
              <w:rPr>
                <w:rFonts w:hint="eastAsia" w:ascii="宋体" w:hAnsi="宋体" w:cs="宋体"/>
                <w:sz w:val="24"/>
              </w:rPr>
              <w:t>申请政采贷具体相关流程请查看 http://202.61.88.41:9009/static/login/login.html。</w:t>
            </w:r>
          </w:p>
          <w:p>
            <w:pPr>
              <w:shd w:val="clear" w:color="auto" w:fill="FFFFFF"/>
              <w:tabs>
                <w:tab w:val="left" w:pos="900"/>
                <w:tab w:val="left" w:pos="5366"/>
              </w:tabs>
              <w:adjustRightInd w:val="0"/>
              <w:snapToGrid w:val="0"/>
              <w:spacing w:line="312" w:lineRule="auto"/>
              <w:jc w:val="left"/>
              <w:outlineLvl w:val="5"/>
              <w:rPr>
                <w:rFonts w:hint="eastAsia" w:ascii="宋体" w:hAnsi="宋体" w:cs="宋体"/>
                <w:sz w:val="24"/>
              </w:rPr>
            </w:pPr>
            <w:r>
              <w:rPr>
                <w:rFonts w:hint="eastAsia" w:ascii="宋体" w:hAnsi="宋体" w:cs="宋体"/>
                <w:sz w:val="24"/>
              </w:rPr>
              <w:t>2、为有效缓解中小企业融资难、融资贵问题，根据成都市财政局中国人民银行成都分行营业管理部 关于印发《成都市中小企业政府采购信用融资暂行办法》和《成都市级支持中小企业政府采购信用融资实施方案》的通知（成财采〔2019〕17号），成都市范围内政府采购项目中标（成交）投标人为中小微企业的，可依据政府采购合同申请政府采购信用融资。</w:t>
            </w:r>
          </w:p>
          <w:p>
            <w:pPr>
              <w:shd w:val="clear" w:color="auto" w:fill="FFFFFF"/>
              <w:tabs>
                <w:tab w:val="left" w:pos="900"/>
                <w:tab w:val="left" w:pos="5366"/>
              </w:tabs>
              <w:adjustRightInd w:val="0"/>
              <w:snapToGrid w:val="0"/>
              <w:spacing w:line="312" w:lineRule="auto"/>
              <w:jc w:val="left"/>
              <w:outlineLvl w:val="5"/>
              <w:rPr>
                <w:rFonts w:hint="eastAsia" w:ascii="宋体" w:hAnsi="宋体" w:cs="宋体"/>
                <w:sz w:val="24"/>
              </w:rPr>
            </w:pPr>
            <w:r>
              <w:rPr>
                <w:rFonts w:hint="eastAsia" w:ascii="宋体" w:hAnsi="宋体" w:cs="宋体"/>
                <w:sz w:val="24"/>
              </w:rPr>
              <w:t>申请蓉采贷具体相关流程请查看 http://cdcz.chengdu.gov.cn/zfcg/gpLoan。</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3" w:hRule="atLeast"/>
          <w:jc w:val="center"/>
        </w:trPr>
        <w:tc>
          <w:tcPr>
            <w:tcW w:w="329" w:type="pct"/>
            <w:tcBorders>
              <w:top w:val="single" w:color="auto" w:sz="4" w:space="0"/>
            </w:tcBorders>
            <w:vAlign w:val="center"/>
          </w:tcPr>
          <w:p>
            <w:pPr>
              <w:adjustRightInd w:val="0"/>
              <w:snapToGrid w:val="0"/>
              <w:spacing w:line="312" w:lineRule="auto"/>
              <w:jc w:val="center"/>
              <w:outlineLvl w:val="5"/>
              <w:rPr>
                <w:rFonts w:hint="eastAsia" w:ascii="宋体" w:hAnsi="宋体" w:cs="宋体"/>
                <w:sz w:val="24"/>
              </w:rPr>
            </w:pPr>
            <w:r>
              <w:rPr>
                <w:rFonts w:hint="eastAsia" w:ascii="宋体" w:hAnsi="宋体" w:cs="宋体"/>
                <w:sz w:val="24"/>
                <w:lang w:val="zh-CN"/>
              </w:rPr>
              <w:t>2</w:t>
            </w:r>
            <w:r>
              <w:rPr>
                <w:rFonts w:hint="eastAsia" w:ascii="宋体" w:hAnsi="宋体" w:cs="宋体"/>
                <w:sz w:val="24"/>
              </w:rPr>
              <w:t>7</w:t>
            </w:r>
          </w:p>
        </w:tc>
        <w:tc>
          <w:tcPr>
            <w:tcW w:w="1047" w:type="pct"/>
            <w:tcBorders>
              <w:top w:val="single" w:color="auto" w:sz="4" w:space="0"/>
            </w:tcBorders>
            <w:vAlign w:val="center"/>
          </w:tcPr>
          <w:p>
            <w:pPr>
              <w:adjustRightInd w:val="0"/>
              <w:snapToGrid w:val="0"/>
              <w:spacing w:line="312" w:lineRule="auto"/>
              <w:jc w:val="center"/>
              <w:outlineLvl w:val="5"/>
              <w:rPr>
                <w:rFonts w:hint="eastAsia" w:ascii="宋体" w:hAnsi="宋体" w:cs="宋体"/>
                <w:sz w:val="24"/>
                <w:lang w:val="zh-CN"/>
              </w:rPr>
            </w:pPr>
            <w:r>
              <w:rPr>
                <w:rFonts w:hint="eastAsia" w:ascii="宋体" w:hAnsi="宋体" w:cs="宋体"/>
                <w:sz w:val="24"/>
                <w:lang w:val="zh-CN"/>
              </w:rPr>
              <w:t>招标代理服务费</w:t>
            </w:r>
          </w:p>
        </w:tc>
        <w:tc>
          <w:tcPr>
            <w:tcW w:w="3623" w:type="pct"/>
            <w:tcBorders>
              <w:top w:val="single" w:color="auto" w:sz="4" w:space="0"/>
            </w:tcBorders>
            <w:vAlign w:val="center"/>
          </w:tcPr>
          <w:p>
            <w:pPr>
              <w:adjustRightInd w:val="0"/>
              <w:snapToGrid w:val="0"/>
              <w:spacing w:line="312" w:lineRule="auto"/>
              <w:outlineLvl w:val="5"/>
              <w:rPr>
                <w:rFonts w:hint="eastAsia" w:ascii="宋体" w:hAnsi="宋体" w:cs="宋体"/>
                <w:sz w:val="24"/>
                <w:lang w:val="zh-CN"/>
              </w:rPr>
            </w:pPr>
            <w:r>
              <w:rPr>
                <w:rFonts w:hint="eastAsia" w:ascii="宋体" w:hAnsi="宋体" w:cs="宋体"/>
                <w:sz w:val="24"/>
                <w:lang w:val="zh-CN"/>
              </w:rPr>
              <w:t>参照国家计委原文件《招标代理服务收费管理暂行办法》（计价格[2002]1980号）和国家发展改革委办公厅原文件《关于招标代理服务收费有关问题的通知》（发改办价格[2003]857号），收费标准按照文件规定的收费标准下浮60%乘以服务期限按包件收取代理服务费。</w:t>
            </w:r>
          </w:p>
          <w:p>
            <w:pPr>
              <w:adjustRightInd w:val="0"/>
              <w:snapToGrid w:val="0"/>
              <w:spacing w:line="312" w:lineRule="auto"/>
              <w:outlineLvl w:val="5"/>
              <w:rPr>
                <w:rFonts w:hint="eastAsia" w:ascii="宋体" w:hAnsi="宋体" w:cs="宋体"/>
                <w:sz w:val="24"/>
                <w:lang w:val="zh-CN"/>
              </w:rPr>
            </w:pPr>
            <w:r>
              <w:rPr>
                <w:rFonts w:hint="eastAsia" w:ascii="宋体" w:hAnsi="宋体" w:cs="宋体"/>
                <w:sz w:val="24"/>
                <w:lang w:val="zh-CN"/>
              </w:rPr>
              <w:t>由中标人在领取</w:t>
            </w:r>
            <w:r>
              <w:rPr>
                <w:rFonts w:hint="eastAsia" w:ascii="宋体" w:hAnsi="宋体" w:cs="宋体"/>
                <w:sz w:val="24"/>
              </w:rPr>
              <w:t>中</w:t>
            </w:r>
            <w:r>
              <w:rPr>
                <w:rFonts w:hint="eastAsia" w:ascii="宋体" w:hAnsi="宋体" w:cs="宋体"/>
                <w:sz w:val="24"/>
                <w:lang w:val="zh-CN"/>
              </w:rPr>
              <w:t>标通知书前缴纳。</w:t>
            </w:r>
          </w:p>
          <w:p>
            <w:pPr>
              <w:adjustRightInd w:val="0"/>
              <w:snapToGrid w:val="0"/>
              <w:spacing w:line="312" w:lineRule="auto"/>
              <w:outlineLvl w:val="5"/>
              <w:rPr>
                <w:rFonts w:hint="eastAsia" w:ascii="宋体" w:hAnsi="宋体" w:cs="宋体"/>
                <w:sz w:val="24"/>
                <w:lang w:val="zh-CN"/>
              </w:rPr>
            </w:pPr>
            <w:r>
              <w:rPr>
                <w:rFonts w:hint="eastAsia" w:ascii="宋体" w:hAnsi="宋体" w:cs="宋体"/>
                <w:sz w:val="24"/>
                <w:lang w:val="zh-CN"/>
              </w:rPr>
              <w:t>收款单位：四川浩行招标代理有限公司</w:t>
            </w:r>
          </w:p>
          <w:p>
            <w:pPr>
              <w:adjustRightInd w:val="0"/>
              <w:snapToGrid w:val="0"/>
              <w:spacing w:line="312" w:lineRule="auto"/>
              <w:outlineLvl w:val="5"/>
              <w:rPr>
                <w:rFonts w:hint="eastAsia" w:ascii="宋体" w:hAnsi="宋体" w:cs="宋体"/>
                <w:sz w:val="24"/>
                <w:lang w:val="zh-CN"/>
              </w:rPr>
            </w:pPr>
            <w:r>
              <w:rPr>
                <w:rFonts w:hint="eastAsia" w:ascii="宋体" w:hAnsi="宋体" w:cs="宋体"/>
                <w:sz w:val="24"/>
                <w:lang w:val="zh-CN"/>
              </w:rPr>
              <w:t>开 户 行：中国民生银行神仙树支行</w:t>
            </w:r>
          </w:p>
          <w:p>
            <w:pPr>
              <w:adjustRightInd w:val="0"/>
              <w:snapToGrid w:val="0"/>
              <w:spacing w:line="312" w:lineRule="auto"/>
              <w:outlineLvl w:val="5"/>
              <w:rPr>
                <w:rFonts w:hint="eastAsia" w:ascii="宋体" w:hAnsi="宋体" w:cs="宋体"/>
                <w:sz w:val="24"/>
                <w:lang w:val="zh-CN"/>
              </w:rPr>
            </w:pPr>
            <w:r>
              <w:rPr>
                <w:rFonts w:hint="eastAsia" w:ascii="宋体" w:hAnsi="宋体" w:cs="宋体"/>
                <w:sz w:val="24"/>
                <w:lang w:val="zh-CN"/>
              </w:rPr>
              <w:t>银行账号：160 743 916</w:t>
            </w:r>
          </w:p>
        </w:tc>
      </w:tr>
    </w:tbl>
    <w:p>
      <w:pPr>
        <w:spacing w:line="360" w:lineRule="auto"/>
        <w:jc w:val="center"/>
        <w:rPr>
          <w:rFonts w:hint="eastAsia"/>
        </w:rPr>
      </w:pPr>
    </w:p>
    <w:p>
      <w:pPr>
        <w:pStyle w:val="4"/>
        <w:spacing w:line="360" w:lineRule="auto"/>
        <w:jc w:val="center"/>
        <w:rPr>
          <w:rFonts w:hint="eastAsia"/>
        </w:rPr>
      </w:pPr>
      <w:r>
        <w:rPr>
          <w:rFonts w:hint="eastAsia"/>
        </w:rPr>
        <w:t>二、总  则</w:t>
      </w:r>
      <w:bookmarkEnd w:id="12"/>
    </w:p>
    <w:p>
      <w:pPr>
        <w:pStyle w:val="5"/>
        <w:spacing w:line="360" w:lineRule="auto"/>
        <w:ind w:firstLine="482"/>
        <w:rPr>
          <w:rFonts w:hint="eastAsia"/>
        </w:rPr>
      </w:pPr>
      <w:bookmarkStart w:id="13" w:name="_Toc183682342"/>
      <w:bookmarkStart w:id="14" w:name="_Toc183582205"/>
      <w:bookmarkStart w:id="15" w:name="_Toc217446034"/>
      <w:bookmarkStart w:id="16" w:name="_Toc503862756"/>
      <w:r>
        <w:rPr>
          <w:rFonts w:hint="eastAsia"/>
        </w:rPr>
        <w:t>1</w:t>
      </w:r>
      <w:bookmarkEnd w:id="13"/>
      <w:bookmarkEnd w:id="14"/>
      <w:r>
        <w:rPr>
          <w:rFonts w:hint="eastAsia"/>
        </w:rPr>
        <w:t>．适用范围</w:t>
      </w:r>
      <w:bookmarkEnd w:id="15"/>
      <w:bookmarkEnd w:id="16"/>
    </w:p>
    <w:p>
      <w:pPr>
        <w:tabs>
          <w:tab w:val="left" w:pos="7665"/>
        </w:tabs>
        <w:spacing w:line="360" w:lineRule="auto"/>
        <w:ind w:firstLine="480" w:firstLineChars="200"/>
        <w:rPr>
          <w:rFonts w:hint="eastAsia" w:ascii="宋体"/>
          <w:sz w:val="24"/>
        </w:rPr>
      </w:pPr>
      <w:r>
        <w:rPr>
          <w:rFonts w:hint="eastAsia" w:ascii="宋体"/>
          <w:sz w:val="24"/>
        </w:rPr>
        <w:t>1.1 本招标文件仅适用于本次招标采购项目。</w:t>
      </w:r>
    </w:p>
    <w:p>
      <w:pPr>
        <w:pStyle w:val="5"/>
        <w:spacing w:line="360" w:lineRule="auto"/>
        <w:ind w:firstLine="482"/>
        <w:rPr>
          <w:rFonts w:hint="eastAsia"/>
        </w:rPr>
      </w:pPr>
      <w:bookmarkStart w:id="17" w:name="_Toc183582206"/>
      <w:bookmarkStart w:id="18" w:name="_Toc183682343"/>
      <w:bookmarkStart w:id="19" w:name="_Toc217446035"/>
      <w:bookmarkStart w:id="20" w:name="_Toc503862757"/>
      <w:r>
        <w:rPr>
          <w:rFonts w:hint="eastAsia"/>
        </w:rPr>
        <w:t>2</w:t>
      </w:r>
      <w:bookmarkEnd w:id="17"/>
      <w:bookmarkEnd w:id="18"/>
      <w:r>
        <w:rPr>
          <w:rFonts w:hint="eastAsia"/>
        </w:rPr>
        <w:t>．有关定义</w:t>
      </w:r>
      <w:bookmarkEnd w:id="19"/>
      <w:bookmarkEnd w:id="20"/>
    </w:p>
    <w:p>
      <w:pPr>
        <w:tabs>
          <w:tab w:val="left" w:pos="7665"/>
        </w:tabs>
        <w:spacing w:line="360" w:lineRule="auto"/>
        <w:ind w:firstLine="480" w:firstLineChars="200"/>
        <w:rPr>
          <w:rFonts w:hint="eastAsia" w:ascii="宋体"/>
          <w:sz w:val="24"/>
        </w:rPr>
      </w:pPr>
      <w:r>
        <w:rPr>
          <w:rFonts w:hint="eastAsia" w:ascii="宋体"/>
          <w:sz w:val="24"/>
        </w:rPr>
        <w:t>2.1 “采购人”系指依法进行政府采购的国家机关、事业单位、团体组织。本次招标的采购人是</w:t>
      </w:r>
      <w:r>
        <w:rPr>
          <w:rFonts w:hint="eastAsia" w:ascii="宋体"/>
          <w:sz w:val="24"/>
          <w:u w:val="single"/>
        </w:rPr>
        <w:t>成都市郫都区综合行政执法局</w:t>
      </w:r>
      <w:r>
        <w:rPr>
          <w:rFonts w:hint="eastAsia" w:ascii="宋体"/>
          <w:sz w:val="24"/>
        </w:rPr>
        <w:t>。</w:t>
      </w:r>
    </w:p>
    <w:p>
      <w:pPr>
        <w:tabs>
          <w:tab w:val="left" w:pos="7665"/>
        </w:tabs>
        <w:spacing w:line="360" w:lineRule="auto"/>
        <w:ind w:firstLine="480" w:firstLineChars="200"/>
        <w:rPr>
          <w:rFonts w:hint="eastAsia" w:ascii="宋体"/>
          <w:sz w:val="24"/>
        </w:rPr>
      </w:pPr>
      <w:r>
        <w:rPr>
          <w:rFonts w:hint="eastAsia" w:ascii="宋体"/>
          <w:sz w:val="24"/>
        </w:rPr>
        <w:t>2.2 “采购代理机构” 系指根据采购人的委托依法办理招标事宜的采购机构。本次招标的采购代理机构是</w:t>
      </w:r>
      <w:r>
        <w:rPr>
          <w:rFonts w:hint="eastAsia" w:ascii="宋体"/>
          <w:sz w:val="24"/>
          <w:u w:val="single"/>
        </w:rPr>
        <w:t>四川浩行招标代理有限公司</w:t>
      </w:r>
      <w:r>
        <w:rPr>
          <w:rFonts w:hint="eastAsia" w:ascii="宋体"/>
          <w:sz w:val="24"/>
        </w:rPr>
        <w:t>。</w:t>
      </w:r>
    </w:p>
    <w:p>
      <w:pPr>
        <w:tabs>
          <w:tab w:val="left" w:pos="7665"/>
        </w:tabs>
        <w:spacing w:line="360" w:lineRule="auto"/>
        <w:ind w:firstLine="480" w:firstLineChars="200"/>
        <w:rPr>
          <w:rFonts w:hint="eastAsia" w:ascii="宋体"/>
          <w:sz w:val="24"/>
        </w:rPr>
      </w:pPr>
      <w:r>
        <w:rPr>
          <w:rFonts w:hint="eastAsia" w:ascii="宋体"/>
          <w:sz w:val="24"/>
        </w:rPr>
        <w:t>2.3 “招标采购单位”系指“采购人”和“采购代理机构”的统称。</w:t>
      </w:r>
    </w:p>
    <w:p>
      <w:pPr>
        <w:tabs>
          <w:tab w:val="left" w:pos="7665"/>
        </w:tabs>
        <w:spacing w:line="360" w:lineRule="auto"/>
        <w:ind w:firstLine="480" w:firstLineChars="200"/>
        <w:rPr>
          <w:rFonts w:hint="eastAsia" w:ascii="宋体"/>
          <w:sz w:val="24"/>
        </w:rPr>
      </w:pPr>
      <w:r>
        <w:rPr>
          <w:rFonts w:hint="eastAsia" w:ascii="宋体"/>
          <w:sz w:val="24"/>
        </w:rPr>
        <w:t>2.4 “投标人”系指购买了招标文件拟参加投标和向采购人提供货物及相应服务的投标人。</w:t>
      </w:r>
    </w:p>
    <w:p>
      <w:pPr>
        <w:pStyle w:val="5"/>
        <w:spacing w:line="360" w:lineRule="auto"/>
        <w:ind w:firstLine="482"/>
        <w:rPr>
          <w:rFonts w:hint="eastAsia"/>
        </w:rPr>
      </w:pPr>
      <w:bookmarkStart w:id="21" w:name="_Toc183682344"/>
      <w:bookmarkStart w:id="22" w:name="_Toc183582207"/>
      <w:bookmarkStart w:id="23" w:name="_Toc217390843"/>
      <w:bookmarkStart w:id="24" w:name="_Toc217446036"/>
      <w:bookmarkStart w:id="25" w:name="_Toc503862758"/>
      <w:r>
        <w:rPr>
          <w:rFonts w:hint="eastAsia"/>
        </w:rPr>
        <w:t>3．合格的</w:t>
      </w:r>
      <w:bookmarkEnd w:id="21"/>
      <w:bookmarkEnd w:id="22"/>
      <w:bookmarkEnd w:id="23"/>
      <w:bookmarkEnd w:id="24"/>
      <w:r>
        <w:rPr>
          <w:rFonts w:hint="eastAsia"/>
        </w:rPr>
        <w:t>投标人（实质性要求）</w:t>
      </w:r>
      <w:bookmarkEnd w:id="25"/>
    </w:p>
    <w:p>
      <w:pPr>
        <w:tabs>
          <w:tab w:val="left" w:pos="7665"/>
        </w:tabs>
        <w:spacing w:line="360" w:lineRule="auto"/>
        <w:rPr>
          <w:rFonts w:hint="eastAsia" w:ascii="宋体"/>
          <w:sz w:val="24"/>
        </w:rPr>
      </w:pPr>
      <w:r>
        <w:rPr>
          <w:rFonts w:hint="eastAsia" w:ascii="宋体"/>
          <w:b/>
          <w:sz w:val="24"/>
        </w:rPr>
        <w:t xml:space="preserve">    </w:t>
      </w:r>
      <w:r>
        <w:rPr>
          <w:rFonts w:hint="eastAsia" w:ascii="宋体"/>
          <w:sz w:val="24"/>
        </w:rPr>
        <w:t>合格的投标人应具备以下条件：</w:t>
      </w:r>
    </w:p>
    <w:p>
      <w:pPr>
        <w:tabs>
          <w:tab w:val="left" w:pos="7665"/>
        </w:tabs>
        <w:spacing w:line="360" w:lineRule="auto"/>
        <w:ind w:firstLine="480" w:firstLineChars="200"/>
        <w:rPr>
          <w:rFonts w:hint="eastAsia" w:ascii="宋体"/>
          <w:sz w:val="24"/>
        </w:rPr>
      </w:pPr>
      <w:r>
        <w:rPr>
          <w:rFonts w:hint="eastAsia" w:ascii="宋体"/>
          <w:sz w:val="24"/>
        </w:rPr>
        <w:t>（1）本招标文件规定的投标人资格条件；</w:t>
      </w:r>
    </w:p>
    <w:p>
      <w:pPr>
        <w:tabs>
          <w:tab w:val="left" w:pos="7665"/>
        </w:tabs>
        <w:spacing w:line="360" w:lineRule="auto"/>
        <w:ind w:firstLine="480" w:firstLineChars="200"/>
        <w:rPr>
          <w:rFonts w:hint="eastAsia" w:ascii="宋体"/>
          <w:sz w:val="24"/>
        </w:rPr>
      </w:pPr>
      <w:r>
        <w:rPr>
          <w:rFonts w:hint="eastAsia" w:ascii="宋体"/>
          <w:sz w:val="24"/>
        </w:rPr>
        <w:t>（2）遵守国家有关的法律、法规、规章和其他政策制度；</w:t>
      </w:r>
    </w:p>
    <w:p>
      <w:pPr>
        <w:tabs>
          <w:tab w:val="left" w:pos="7665"/>
        </w:tabs>
        <w:spacing w:line="360" w:lineRule="auto"/>
        <w:ind w:firstLine="480" w:firstLineChars="200"/>
        <w:rPr>
          <w:rFonts w:hint="eastAsia" w:ascii="宋体"/>
          <w:sz w:val="24"/>
        </w:rPr>
      </w:pPr>
      <w:r>
        <w:rPr>
          <w:rFonts w:hint="eastAsia" w:ascii="宋体"/>
          <w:sz w:val="24"/>
        </w:rPr>
        <w:t>（3）向采购代理机构购买了招标文件。</w:t>
      </w:r>
    </w:p>
    <w:p>
      <w:pPr>
        <w:tabs>
          <w:tab w:val="left" w:pos="7665"/>
        </w:tabs>
        <w:spacing w:line="360" w:lineRule="auto"/>
        <w:ind w:firstLine="480" w:firstLineChars="200"/>
        <w:rPr>
          <w:rFonts w:hint="eastAsia" w:ascii="宋体"/>
          <w:sz w:val="24"/>
        </w:rPr>
      </w:pPr>
      <w:r>
        <w:rPr>
          <w:rFonts w:hint="eastAsia" w:ascii="宋体"/>
          <w:sz w:val="24"/>
        </w:rPr>
        <w:t>（4）招标文件和法律、行政法规规定的其他条件。</w:t>
      </w:r>
    </w:p>
    <w:p>
      <w:pPr>
        <w:pStyle w:val="5"/>
        <w:spacing w:line="360" w:lineRule="auto"/>
        <w:ind w:firstLine="482"/>
        <w:rPr>
          <w:rFonts w:hint="eastAsia"/>
        </w:rPr>
      </w:pPr>
      <w:bookmarkStart w:id="26" w:name="_Toc183682345"/>
      <w:bookmarkStart w:id="27" w:name="_Toc183582208"/>
      <w:bookmarkStart w:id="28" w:name="_Toc217446037"/>
      <w:bookmarkStart w:id="29" w:name="_Toc503862759"/>
      <w:r>
        <w:rPr>
          <w:rFonts w:hint="eastAsia"/>
        </w:rPr>
        <w:t>4．投标费用</w:t>
      </w:r>
      <w:bookmarkEnd w:id="26"/>
      <w:bookmarkEnd w:id="27"/>
      <w:bookmarkEnd w:id="28"/>
      <w:r>
        <w:rPr>
          <w:rFonts w:hint="eastAsia"/>
        </w:rPr>
        <w:t>（实质性要求）</w:t>
      </w:r>
      <w:bookmarkEnd w:id="29"/>
    </w:p>
    <w:p>
      <w:pPr>
        <w:tabs>
          <w:tab w:val="left" w:pos="7665"/>
        </w:tabs>
        <w:spacing w:line="360" w:lineRule="auto"/>
        <w:ind w:firstLine="480" w:firstLineChars="200"/>
        <w:rPr>
          <w:rFonts w:hint="eastAsia" w:ascii="宋体"/>
          <w:sz w:val="24"/>
        </w:rPr>
      </w:pPr>
      <w:r>
        <w:rPr>
          <w:rFonts w:hint="eastAsia" w:ascii="宋体"/>
          <w:sz w:val="24"/>
        </w:rPr>
        <w:t>投标人参加投标的有关费用由投标人自行承担。</w:t>
      </w:r>
    </w:p>
    <w:p>
      <w:pPr>
        <w:pStyle w:val="5"/>
        <w:spacing w:line="360" w:lineRule="auto"/>
        <w:ind w:firstLine="482"/>
        <w:rPr>
          <w:rFonts w:hint="eastAsia"/>
        </w:rPr>
      </w:pPr>
      <w:bookmarkStart w:id="30" w:name="_Toc503862760"/>
      <w:r>
        <w:rPr>
          <w:rFonts w:hint="eastAsia"/>
        </w:rPr>
        <w:t>5．充分、公平竞争保障措施（实质性要求）</w:t>
      </w:r>
      <w:bookmarkEnd w:id="30"/>
    </w:p>
    <w:p>
      <w:pPr>
        <w:pStyle w:val="62"/>
        <w:spacing w:line="360" w:lineRule="auto"/>
        <w:ind w:firstLine="482" w:firstLineChars="200"/>
        <w:rPr>
          <w:rFonts w:hint="eastAsia"/>
          <w:sz w:val="24"/>
          <w:szCs w:val="24"/>
        </w:rPr>
      </w:pPr>
      <w:r>
        <w:rPr>
          <w:rFonts w:hint="eastAsia"/>
          <w:b/>
          <w:sz w:val="24"/>
          <w:szCs w:val="24"/>
        </w:rPr>
        <w:t>5.1利害关系投标人处理。</w:t>
      </w:r>
      <w:r>
        <w:rPr>
          <w:rFonts w:hint="eastAsia"/>
          <w:sz w:val="24"/>
          <w:szCs w:val="24"/>
        </w:rPr>
        <w:t>单位负责人为同一人或者存在直接控股、管理关系的不同投标人不得参加同一合同项下的政府采购活动。采购项目实行资格预审的，单位负责人为同一人或者存在直接控股、管理关系的不同投标人可以参加资格预审，但只能由投标人确定其中一家符合条件的投标人参加后续的政府采购活动，否则，其投标文件作为无效处理。</w:t>
      </w:r>
    </w:p>
    <w:p>
      <w:pPr>
        <w:pStyle w:val="62"/>
        <w:spacing w:line="360" w:lineRule="auto"/>
        <w:ind w:firstLine="482" w:firstLineChars="200"/>
        <w:rPr>
          <w:rFonts w:hint="eastAsia"/>
          <w:sz w:val="24"/>
          <w:szCs w:val="24"/>
        </w:rPr>
      </w:pPr>
      <w:r>
        <w:rPr>
          <w:rFonts w:hint="eastAsia"/>
          <w:b/>
          <w:sz w:val="24"/>
          <w:szCs w:val="24"/>
        </w:rPr>
        <w:t>5.2前期参与投标人处理。</w:t>
      </w:r>
      <w:r>
        <w:rPr>
          <w:rFonts w:hint="eastAsia"/>
          <w:sz w:val="24"/>
          <w:szCs w:val="24"/>
        </w:rPr>
        <w:t>为采购项目提供整体设计、规范编制或者项目管理、监理、检测等服务的投标人，不得再参加该采购项目的其他采购活动。投标人为采购人、采购代理机构在确定采购需求、编制采购文件过程中提供咨询论证，其提供的咨询论证意见成为采购文件中规定的投标人资格条件、技术服务商务要求、评标因素和标准、政府采购合同等实质性内容条款的，视同为采购项目提供规范编制。</w:t>
      </w:r>
    </w:p>
    <w:p>
      <w:pPr>
        <w:pStyle w:val="62"/>
        <w:spacing w:line="360" w:lineRule="auto"/>
        <w:ind w:firstLine="482" w:firstLineChars="200"/>
        <w:rPr>
          <w:rFonts w:hint="eastAsia"/>
          <w:sz w:val="24"/>
          <w:szCs w:val="24"/>
        </w:rPr>
      </w:pPr>
      <w:r>
        <w:rPr>
          <w:rFonts w:hint="eastAsia"/>
          <w:b/>
          <w:sz w:val="24"/>
          <w:szCs w:val="24"/>
        </w:rPr>
        <w:t>5.3 利害关系代理人处理。</w:t>
      </w:r>
      <w:r>
        <w:rPr>
          <w:rFonts w:hint="eastAsia"/>
          <w:sz w:val="24"/>
          <w:szCs w:val="24"/>
        </w:rPr>
        <w:t>2家以上的投标人不得在同一合同项下的采购项目中，同时委托同一个自然人、同一家庭的人员、同一单位的人员作为其代理人，否则，其投标文件作为无效处理。</w:t>
      </w:r>
    </w:p>
    <w:p>
      <w:pPr>
        <w:pStyle w:val="4"/>
        <w:spacing w:line="360" w:lineRule="auto"/>
        <w:jc w:val="center"/>
        <w:rPr>
          <w:rFonts w:hint="eastAsia"/>
        </w:rPr>
      </w:pPr>
      <w:bookmarkStart w:id="31" w:name="_Toc217446038"/>
      <w:bookmarkStart w:id="32" w:name="_Toc77400779"/>
      <w:bookmarkStart w:id="33" w:name="_Toc183682346"/>
      <w:bookmarkStart w:id="34" w:name="_Toc89075875"/>
      <w:bookmarkStart w:id="35" w:name="_Toc503862761"/>
      <w:bookmarkStart w:id="36" w:name="_Toc183582209"/>
      <w:r>
        <w:rPr>
          <w:rFonts w:hint="eastAsia"/>
        </w:rPr>
        <w:t>三、招标文件</w:t>
      </w:r>
      <w:bookmarkEnd w:id="31"/>
      <w:bookmarkEnd w:id="32"/>
      <w:bookmarkEnd w:id="33"/>
      <w:bookmarkEnd w:id="34"/>
      <w:bookmarkEnd w:id="35"/>
      <w:bookmarkEnd w:id="36"/>
    </w:p>
    <w:p>
      <w:pPr>
        <w:pStyle w:val="5"/>
        <w:spacing w:line="360" w:lineRule="auto"/>
        <w:ind w:firstLine="482"/>
        <w:rPr>
          <w:rFonts w:hint="eastAsia"/>
        </w:rPr>
      </w:pPr>
      <w:bookmarkStart w:id="37" w:name="_Toc183582210"/>
      <w:bookmarkStart w:id="38" w:name="_Toc217446039"/>
      <w:bookmarkStart w:id="39" w:name="_Toc183682347"/>
      <w:bookmarkStart w:id="40" w:name="_Toc503862762"/>
      <w:r>
        <w:rPr>
          <w:rFonts w:hint="eastAsia"/>
        </w:rPr>
        <w:t>6．招标文件的构成</w:t>
      </w:r>
      <w:bookmarkEnd w:id="37"/>
      <w:bookmarkEnd w:id="38"/>
      <w:bookmarkEnd w:id="39"/>
      <w:bookmarkEnd w:id="40"/>
    </w:p>
    <w:p>
      <w:pPr>
        <w:tabs>
          <w:tab w:val="left" w:pos="7665"/>
        </w:tabs>
        <w:spacing w:line="360" w:lineRule="auto"/>
        <w:ind w:firstLine="480" w:firstLineChars="200"/>
        <w:rPr>
          <w:rFonts w:hint="eastAsia" w:ascii="宋体"/>
          <w:sz w:val="24"/>
        </w:rPr>
      </w:pPr>
      <w:r>
        <w:rPr>
          <w:rFonts w:hint="eastAsia" w:ascii="宋体"/>
          <w:sz w:val="24"/>
        </w:rPr>
        <w:t>招标文件是投标人准备投标文件和参加投标的依据，同时也是评标的重要依据，具有准法律文件性质。招标文件用以阐明招标项目所需的资质、技术、服务及报价等要求、招标投标程序、有关规定和注意事项以及合同主要条款等。本招标文件包括以下内容：</w:t>
      </w:r>
    </w:p>
    <w:p>
      <w:pPr>
        <w:tabs>
          <w:tab w:val="left" w:pos="7665"/>
        </w:tabs>
        <w:spacing w:line="360" w:lineRule="auto"/>
        <w:ind w:firstLine="480" w:firstLineChars="200"/>
        <w:rPr>
          <w:rFonts w:hint="eastAsia" w:ascii="宋体"/>
          <w:sz w:val="24"/>
        </w:rPr>
      </w:pPr>
      <w:r>
        <w:rPr>
          <w:rFonts w:hint="eastAsia" w:ascii="宋体"/>
          <w:sz w:val="24"/>
        </w:rPr>
        <w:t>（一）投标邀请；</w:t>
      </w:r>
    </w:p>
    <w:p>
      <w:pPr>
        <w:tabs>
          <w:tab w:val="left" w:pos="7665"/>
        </w:tabs>
        <w:spacing w:line="360" w:lineRule="auto"/>
        <w:ind w:firstLine="480" w:firstLineChars="200"/>
        <w:rPr>
          <w:rFonts w:hint="eastAsia" w:ascii="宋体"/>
          <w:sz w:val="24"/>
        </w:rPr>
      </w:pPr>
      <w:r>
        <w:rPr>
          <w:rFonts w:hint="eastAsia" w:ascii="宋体"/>
          <w:sz w:val="24"/>
        </w:rPr>
        <w:t>（二）投标人须知；</w:t>
      </w:r>
    </w:p>
    <w:p>
      <w:pPr>
        <w:tabs>
          <w:tab w:val="left" w:pos="7665"/>
        </w:tabs>
        <w:spacing w:line="360" w:lineRule="auto"/>
        <w:ind w:firstLine="480" w:firstLineChars="200"/>
        <w:rPr>
          <w:rFonts w:hint="eastAsia" w:ascii="宋体"/>
          <w:sz w:val="24"/>
        </w:rPr>
      </w:pPr>
      <w:r>
        <w:rPr>
          <w:rFonts w:hint="eastAsia" w:ascii="宋体"/>
          <w:sz w:val="24"/>
        </w:rPr>
        <w:t>（三）投标文件格式；</w:t>
      </w:r>
    </w:p>
    <w:p>
      <w:pPr>
        <w:tabs>
          <w:tab w:val="left" w:pos="7665"/>
        </w:tabs>
        <w:spacing w:line="360" w:lineRule="auto"/>
        <w:ind w:firstLine="480" w:firstLineChars="200"/>
        <w:rPr>
          <w:rFonts w:hint="eastAsia" w:ascii="宋体"/>
          <w:sz w:val="24"/>
        </w:rPr>
      </w:pPr>
      <w:r>
        <w:rPr>
          <w:rFonts w:hint="eastAsia" w:ascii="宋体"/>
          <w:sz w:val="24"/>
        </w:rPr>
        <w:t>（四）投标人和投标产品的资格、资质性及其他类似效力要求；</w:t>
      </w:r>
    </w:p>
    <w:p>
      <w:pPr>
        <w:tabs>
          <w:tab w:val="left" w:pos="7665"/>
        </w:tabs>
        <w:spacing w:line="360" w:lineRule="auto"/>
        <w:ind w:firstLine="480" w:firstLineChars="200"/>
        <w:rPr>
          <w:rFonts w:hint="eastAsia" w:ascii="宋体"/>
          <w:sz w:val="24"/>
        </w:rPr>
      </w:pPr>
      <w:r>
        <w:rPr>
          <w:rFonts w:hint="eastAsia" w:ascii="宋体"/>
          <w:sz w:val="24"/>
        </w:rPr>
        <w:t>（五）投标人应当提供的资格、资质性及其他类似效力要求的相关证明材料；</w:t>
      </w:r>
    </w:p>
    <w:p>
      <w:pPr>
        <w:tabs>
          <w:tab w:val="left" w:pos="7665"/>
        </w:tabs>
        <w:spacing w:line="360" w:lineRule="auto"/>
        <w:ind w:firstLine="480" w:firstLineChars="200"/>
        <w:rPr>
          <w:rFonts w:hint="eastAsia" w:ascii="宋体"/>
          <w:sz w:val="24"/>
        </w:rPr>
      </w:pPr>
      <w:r>
        <w:rPr>
          <w:rFonts w:hint="eastAsia" w:ascii="宋体"/>
          <w:sz w:val="24"/>
        </w:rPr>
        <w:t>（六）招标项目技术、商务及其他要求；</w:t>
      </w:r>
    </w:p>
    <w:p>
      <w:pPr>
        <w:tabs>
          <w:tab w:val="left" w:pos="7665"/>
        </w:tabs>
        <w:spacing w:line="360" w:lineRule="auto"/>
        <w:ind w:firstLine="480" w:firstLineChars="200"/>
        <w:rPr>
          <w:rFonts w:hint="eastAsia" w:ascii="宋体"/>
          <w:sz w:val="24"/>
        </w:rPr>
      </w:pPr>
      <w:r>
        <w:rPr>
          <w:rFonts w:hint="eastAsia" w:ascii="宋体"/>
          <w:sz w:val="24"/>
        </w:rPr>
        <w:t>（七）评标办法；</w:t>
      </w:r>
    </w:p>
    <w:p>
      <w:pPr>
        <w:tabs>
          <w:tab w:val="left" w:pos="7665"/>
        </w:tabs>
        <w:spacing w:line="360" w:lineRule="auto"/>
        <w:ind w:firstLine="480" w:firstLineChars="200"/>
        <w:rPr>
          <w:rFonts w:hint="eastAsia" w:ascii="宋体"/>
          <w:sz w:val="24"/>
        </w:rPr>
      </w:pPr>
      <w:r>
        <w:rPr>
          <w:rFonts w:hint="eastAsia" w:ascii="宋体"/>
          <w:sz w:val="24"/>
        </w:rPr>
        <w:t>（八）政府采购合同（样例）；</w:t>
      </w:r>
    </w:p>
    <w:p>
      <w:pPr>
        <w:pStyle w:val="67"/>
        <w:ind w:firstLine="420"/>
        <w:rPr>
          <w:rFonts w:hint="eastAsia"/>
          <w:color w:val="auto"/>
        </w:rPr>
      </w:pPr>
      <w:r>
        <w:rPr>
          <w:rFonts w:hint="eastAsia"/>
          <w:color w:val="auto"/>
        </w:rPr>
        <w:t>投标人应认真阅读和充分理解招标文件中所有的事项、格式条款和规范要求。投标人没有对招标文件全面做出实质性响应是投标人的风险。没有按照招标文件要求作出实质性响应的投标文件将被拒绝。</w:t>
      </w:r>
    </w:p>
    <w:p>
      <w:pPr>
        <w:pStyle w:val="5"/>
        <w:spacing w:line="360" w:lineRule="auto"/>
        <w:ind w:firstLine="482"/>
        <w:rPr>
          <w:rFonts w:hint="eastAsia"/>
        </w:rPr>
      </w:pPr>
      <w:bookmarkStart w:id="41" w:name="_Toc183682348"/>
      <w:bookmarkStart w:id="42" w:name="_Toc183582211"/>
      <w:bookmarkStart w:id="43" w:name="_Toc503862763"/>
      <w:bookmarkStart w:id="44" w:name="_Toc217446040"/>
      <w:r>
        <w:rPr>
          <w:rFonts w:hint="eastAsia"/>
        </w:rPr>
        <w:t>7．招标文件的澄清</w:t>
      </w:r>
      <w:bookmarkEnd w:id="41"/>
      <w:bookmarkEnd w:id="42"/>
      <w:r>
        <w:rPr>
          <w:rFonts w:hint="eastAsia"/>
        </w:rPr>
        <w:t>和修改</w:t>
      </w:r>
      <w:bookmarkEnd w:id="43"/>
      <w:bookmarkEnd w:id="44"/>
    </w:p>
    <w:p>
      <w:pPr>
        <w:tabs>
          <w:tab w:val="left" w:pos="7665"/>
        </w:tabs>
        <w:spacing w:line="360" w:lineRule="auto"/>
        <w:ind w:firstLine="480" w:firstLineChars="200"/>
        <w:rPr>
          <w:rFonts w:hint="eastAsia" w:ascii="宋体"/>
          <w:sz w:val="24"/>
        </w:rPr>
      </w:pPr>
      <w:r>
        <w:rPr>
          <w:rFonts w:hint="eastAsia" w:ascii="宋体"/>
          <w:sz w:val="24"/>
        </w:rPr>
        <w:t>7.1招标采购单位可以依法对招标文件进行澄清或者修改。</w:t>
      </w:r>
    </w:p>
    <w:p>
      <w:pPr>
        <w:tabs>
          <w:tab w:val="left" w:pos="7665"/>
        </w:tabs>
        <w:spacing w:line="360" w:lineRule="auto"/>
        <w:ind w:firstLine="480" w:firstLineChars="200"/>
        <w:rPr>
          <w:rFonts w:hint="eastAsia" w:ascii="宋体"/>
          <w:sz w:val="24"/>
        </w:rPr>
      </w:pPr>
      <w:r>
        <w:rPr>
          <w:rFonts w:hint="eastAsia" w:ascii="宋体"/>
          <w:sz w:val="24"/>
        </w:rPr>
        <w:t>7.2 招标采购单位对已发出的招标文件进行澄清或者修改，应当以书面形式将澄清或者修改的内容通知所有购买了招标文件的投标人，同时在四川政府采购网上发布更正公告。该澄清或者修改的内容为招标文件的组成部分，澄清或者修改的内容可能影响投标文件、资格预审申请文件编制的，采购人或者采购代理机构发布公告并书面通知投标人的时间，应当在投标截止时间至少１５日前、提交资格预审申请文件截止时间至少３日前；不足上述时间的，应当顺延提交投标文件、资格预审申请文件的截止时间。</w:t>
      </w:r>
    </w:p>
    <w:p>
      <w:pPr>
        <w:tabs>
          <w:tab w:val="left" w:pos="7665"/>
        </w:tabs>
        <w:spacing w:line="360" w:lineRule="auto"/>
        <w:ind w:firstLine="480" w:firstLineChars="200"/>
        <w:rPr>
          <w:rFonts w:hint="eastAsia" w:ascii="宋体"/>
          <w:sz w:val="24"/>
        </w:rPr>
      </w:pPr>
      <w:r>
        <w:rPr>
          <w:rFonts w:hint="eastAsia" w:ascii="宋体"/>
          <w:sz w:val="24"/>
        </w:rPr>
        <w:t>7.3 投标人认为需要对招标文件进行澄清或者修改的，可以以书面形式向招标采购单位构提出申请，但招标采购单位可以决定是否采纳投标人的申请事项。</w:t>
      </w:r>
    </w:p>
    <w:p>
      <w:pPr>
        <w:tabs>
          <w:tab w:val="left" w:pos="7665"/>
        </w:tabs>
        <w:spacing w:line="360" w:lineRule="auto"/>
        <w:ind w:firstLine="480" w:firstLineChars="200"/>
        <w:rPr>
          <w:rFonts w:hint="eastAsia" w:ascii="宋体"/>
          <w:sz w:val="24"/>
        </w:rPr>
      </w:pPr>
      <w:r>
        <w:rPr>
          <w:rFonts w:hint="eastAsia" w:ascii="宋体"/>
          <w:sz w:val="24"/>
        </w:rPr>
        <w:t>7.4 投标人应于投标文件递交截止时间之前在《四川政府采购网》查询本项目的更正公告，以保证其对招标文件做出正确的响应。投标人未按要求下载相关文件，或由于未及时关注更正公告的信息造成的后果，其责任由投标人自行负责。</w:t>
      </w:r>
    </w:p>
    <w:p>
      <w:pPr>
        <w:tabs>
          <w:tab w:val="left" w:pos="7665"/>
        </w:tabs>
        <w:spacing w:line="360" w:lineRule="auto"/>
        <w:ind w:firstLine="480" w:firstLineChars="200"/>
        <w:rPr>
          <w:rFonts w:hint="eastAsia" w:ascii="宋体"/>
          <w:sz w:val="24"/>
        </w:rPr>
      </w:pPr>
      <w:r>
        <w:rPr>
          <w:rFonts w:hint="eastAsia" w:ascii="宋体"/>
          <w:sz w:val="24"/>
        </w:rPr>
        <w:t>更正公告通过投标人报名时备注的电子邮箱发送至所有购买招标文件的投标人，投标人在收到相应更正公告后给予确认，该更正公告作为招标文件的组成部分，具有约束作用。如投标人未给予书面回复，则视为收到并认可该更正公告的内容。</w:t>
      </w:r>
    </w:p>
    <w:p>
      <w:pPr>
        <w:pStyle w:val="5"/>
        <w:spacing w:line="360" w:lineRule="auto"/>
        <w:ind w:firstLine="482"/>
        <w:rPr>
          <w:rFonts w:hint="eastAsia"/>
        </w:rPr>
      </w:pPr>
      <w:bookmarkStart w:id="45" w:name="_Toc208848971"/>
      <w:bookmarkStart w:id="46" w:name="_Toc217446041"/>
      <w:bookmarkStart w:id="47" w:name="_Toc503862764"/>
      <w:r>
        <w:rPr>
          <w:rFonts w:hint="eastAsia"/>
        </w:rPr>
        <w:t>8．答疑会和现场考察</w:t>
      </w:r>
      <w:bookmarkEnd w:id="45"/>
      <w:bookmarkEnd w:id="46"/>
      <w:bookmarkEnd w:id="47"/>
    </w:p>
    <w:p>
      <w:pPr>
        <w:tabs>
          <w:tab w:val="left" w:pos="7665"/>
        </w:tabs>
        <w:spacing w:line="360" w:lineRule="auto"/>
        <w:ind w:firstLine="480" w:firstLineChars="200"/>
        <w:rPr>
          <w:rFonts w:hint="eastAsia" w:ascii="宋体"/>
          <w:sz w:val="24"/>
        </w:rPr>
      </w:pPr>
      <w:r>
        <w:rPr>
          <w:rFonts w:hint="eastAsia" w:ascii="宋体"/>
          <w:sz w:val="24"/>
        </w:rPr>
        <w:t>8.1本项目不组织答疑会和现场考察，若供应商需要现场考察，可自行前往现场考察。</w:t>
      </w:r>
    </w:p>
    <w:p>
      <w:pPr>
        <w:tabs>
          <w:tab w:val="left" w:pos="7665"/>
        </w:tabs>
        <w:spacing w:line="360" w:lineRule="auto"/>
        <w:ind w:firstLine="480" w:firstLineChars="200"/>
        <w:rPr>
          <w:rFonts w:hint="eastAsia" w:ascii="宋体"/>
          <w:sz w:val="24"/>
        </w:rPr>
      </w:pPr>
      <w:r>
        <w:rPr>
          <w:rFonts w:hint="eastAsia" w:ascii="宋体"/>
          <w:sz w:val="24"/>
        </w:rPr>
        <w:t>8.2 投标人考察现场所发生的一切费用由投标人自己承担。</w:t>
      </w:r>
    </w:p>
    <w:p>
      <w:pPr>
        <w:pStyle w:val="4"/>
        <w:spacing w:line="360" w:lineRule="auto"/>
        <w:jc w:val="center"/>
        <w:rPr>
          <w:rFonts w:hint="eastAsia"/>
        </w:rPr>
      </w:pPr>
      <w:bookmarkStart w:id="48" w:name="_Toc77400780"/>
      <w:bookmarkStart w:id="49" w:name="_Toc183682351"/>
      <w:bookmarkStart w:id="50" w:name="_Toc183582214"/>
      <w:bookmarkStart w:id="51" w:name="_Toc503862765"/>
      <w:bookmarkStart w:id="52" w:name="_Toc89075876"/>
      <w:bookmarkStart w:id="53" w:name="_Toc217446042"/>
      <w:r>
        <w:rPr>
          <w:rFonts w:hint="eastAsia"/>
        </w:rPr>
        <w:t>四、投标文件</w:t>
      </w:r>
      <w:bookmarkEnd w:id="48"/>
      <w:bookmarkEnd w:id="49"/>
      <w:bookmarkEnd w:id="50"/>
      <w:bookmarkEnd w:id="51"/>
      <w:bookmarkEnd w:id="52"/>
      <w:bookmarkEnd w:id="53"/>
    </w:p>
    <w:p>
      <w:pPr>
        <w:pStyle w:val="5"/>
        <w:spacing w:line="360" w:lineRule="auto"/>
        <w:ind w:firstLine="482"/>
        <w:rPr>
          <w:rFonts w:hint="eastAsia"/>
        </w:rPr>
      </w:pPr>
      <w:bookmarkStart w:id="54" w:name="_Toc183582215"/>
      <w:bookmarkStart w:id="55" w:name="_Toc183682352"/>
      <w:bookmarkStart w:id="56" w:name="_Toc217446043"/>
      <w:bookmarkStart w:id="57" w:name="_Toc503862766"/>
      <w:r>
        <w:rPr>
          <w:rFonts w:hint="eastAsia"/>
        </w:rPr>
        <w:t>9．投标文件的语言</w:t>
      </w:r>
      <w:bookmarkEnd w:id="54"/>
      <w:bookmarkEnd w:id="55"/>
      <w:bookmarkEnd w:id="56"/>
      <w:r>
        <w:rPr>
          <w:rFonts w:hint="eastAsia"/>
        </w:rPr>
        <w:t>（实质性要求）</w:t>
      </w:r>
      <w:bookmarkEnd w:id="57"/>
    </w:p>
    <w:p>
      <w:pPr>
        <w:tabs>
          <w:tab w:val="left" w:pos="7665"/>
        </w:tabs>
        <w:spacing w:line="360" w:lineRule="auto"/>
        <w:ind w:firstLine="480" w:firstLineChars="200"/>
        <w:rPr>
          <w:rFonts w:hint="eastAsia" w:ascii="宋体"/>
          <w:sz w:val="24"/>
        </w:rPr>
      </w:pPr>
      <w:bookmarkStart w:id="58" w:name="_Toc183582216"/>
      <w:bookmarkStart w:id="59" w:name="_Toc183682353"/>
      <w:bookmarkStart w:id="60" w:name="_Toc217446044"/>
      <w:r>
        <w:rPr>
          <w:rFonts w:hint="eastAsia" w:ascii="宋体"/>
          <w:sz w:val="24"/>
        </w:rPr>
        <w:t>9.1 投标人提交的投标文件以及投标人与招标采购单位就有关投标的所有来往书面文件均须使用中文。投标文件中如附有外文资料，必须逐一对应翻译成中文并加盖投标人公章后附在相关外文资料后面，否则，所提供的外文资料将可能被视为无效材料。（说明：投标人的法定代表人为外籍人士的，法定代表人的签字和护照除外。）</w:t>
      </w:r>
    </w:p>
    <w:p>
      <w:pPr>
        <w:tabs>
          <w:tab w:val="left" w:pos="7665"/>
        </w:tabs>
        <w:spacing w:line="360" w:lineRule="auto"/>
        <w:ind w:firstLine="480" w:firstLineChars="200"/>
        <w:rPr>
          <w:rFonts w:hint="eastAsia" w:ascii="宋体"/>
          <w:sz w:val="24"/>
        </w:rPr>
      </w:pPr>
      <w:r>
        <w:rPr>
          <w:rFonts w:hint="eastAsia" w:ascii="宋体"/>
          <w:sz w:val="24"/>
        </w:rPr>
        <w:t>9.2 翻译的中文资料与外文资料如果出现差异和矛盾时，以中文为准。涉嫌虚假响应的按照相关法律法规处理。</w:t>
      </w:r>
    </w:p>
    <w:p>
      <w:pPr>
        <w:pStyle w:val="5"/>
        <w:spacing w:line="360" w:lineRule="auto"/>
        <w:ind w:firstLine="482"/>
        <w:rPr>
          <w:rFonts w:hint="eastAsia"/>
        </w:rPr>
      </w:pPr>
      <w:bookmarkStart w:id="61" w:name="_Toc503862767"/>
      <w:r>
        <w:rPr>
          <w:rFonts w:hint="eastAsia"/>
        </w:rPr>
        <w:t>10．计量单位</w:t>
      </w:r>
      <w:bookmarkEnd w:id="58"/>
      <w:bookmarkEnd w:id="59"/>
      <w:bookmarkEnd w:id="60"/>
      <w:r>
        <w:rPr>
          <w:rFonts w:hint="eastAsia"/>
        </w:rPr>
        <w:t>（实质性要求）</w:t>
      </w:r>
      <w:bookmarkEnd w:id="61"/>
    </w:p>
    <w:p>
      <w:pPr>
        <w:tabs>
          <w:tab w:val="left" w:pos="7665"/>
        </w:tabs>
        <w:spacing w:line="360" w:lineRule="auto"/>
        <w:ind w:firstLine="480" w:firstLineChars="200"/>
        <w:rPr>
          <w:rFonts w:hint="eastAsia" w:ascii="宋体"/>
          <w:sz w:val="24"/>
        </w:rPr>
      </w:pPr>
      <w:r>
        <w:rPr>
          <w:rFonts w:hint="eastAsia" w:ascii="宋体"/>
          <w:sz w:val="24"/>
        </w:rPr>
        <w:t>除招标文件中另有规定外，本次采购项目所有合同项下的投标均采用国家法定的计量单位。</w:t>
      </w:r>
    </w:p>
    <w:p>
      <w:pPr>
        <w:pStyle w:val="5"/>
        <w:spacing w:line="360" w:lineRule="auto"/>
        <w:ind w:firstLine="482"/>
        <w:rPr>
          <w:rFonts w:hint="eastAsia"/>
        </w:rPr>
      </w:pPr>
      <w:bookmarkStart w:id="62" w:name="_Toc217446045"/>
      <w:bookmarkStart w:id="63" w:name="_Toc503862768"/>
      <w:r>
        <w:rPr>
          <w:rFonts w:hint="eastAsia"/>
        </w:rPr>
        <w:t>11．投标货币</w:t>
      </w:r>
      <w:bookmarkEnd w:id="62"/>
      <w:r>
        <w:rPr>
          <w:rFonts w:hint="eastAsia"/>
        </w:rPr>
        <w:t>（实质性要求）</w:t>
      </w:r>
      <w:bookmarkEnd w:id="63"/>
    </w:p>
    <w:p>
      <w:pPr>
        <w:tabs>
          <w:tab w:val="left" w:pos="7665"/>
        </w:tabs>
        <w:spacing w:line="360" w:lineRule="auto"/>
        <w:ind w:firstLine="480" w:firstLineChars="200"/>
        <w:rPr>
          <w:rFonts w:hint="eastAsia" w:ascii="宋体"/>
          <w:sz w:val="24"/>
        </w:rPr>
      </w:pPr>
      <w:r>
        <w:rPr>
          <w:rFonts w:hint="eastAsia" w:ascii="宋体"/>
          <w:sz w:val="24"/>
        </w:rPr>
        <w:t>本次招标项目的投标均以人民币报价。</w:t>
      </w:r>
    </w:p>
    <w:p>
      <w:pPr>
        <w:pStyle w:val="5"/>
        <w:spacing w:line="360" w:lineRule="auto"/>
        <w:ind w:firstLine="482"/>
        <w:rPr>
          <w:rFonts w:hint="eastAsia"/>
        </w:rPr>
      </w:pPr>
      <w:bookmarkStart w:id="64" w:name="_Toc503862769"/>
      <w:bookmarkStart w:id="65" w:name="_Toc217446046"/>
      <w:r>
        <w:rPr>
          <w:rFonts w:hint="eastAsia"/>
        </w:rPr>
        <w:t>12．联合体投标</w:t>
      </w:r>
      <w:bookmarkEnd w:id="64"/>
      <w:bookmarkEnd w:id="65"/>
    </w:p>
    <w:p>
      <w:pPr>
        <w:tabs>
          <w:tab w:val="left" w:pos="7665"/>
        </w:tabs>
        <w:spacing w:line="360" w:lineRule="auto"/>
        <w:ind w:firstLine="480" w:firstLineChars="200"/>
        <w:rPr>
          <w:rFonts w:hint="eastAsia" w:ascii="宋体"/>
          <w:sz w:val="24"/>
        </w:rPr>
      </w:pPr>
      <w:r>
        <w:rPr>
          <w:rFonts w:hint="eastAsia" w:ascii="宋体"/>
          <w:sz w:val="24"/>
        </w:rPr>
        <w:t>本项目不接受联合体</w:t>
      </w:r>
      <w:r>
        <w:rPr>
          <w:rFonts w:ascii="宋体"/>
          <w:sz w:val="24"/>
        </w:rPr>
        <w:t>投</w:t>
      </w:r>
      <w:r>
        <w:rPr>
          <w:rFonts w:hint="eastAsia" w:ascii="宋体"/>
          <w:sz w:val="24"/>
        </w:rPr>
        <w:t>标。</w:t>
      </w:r>
    </w:p>
    <w:p>
      <w:pPr>
        <w:pStyle w:val="5"/>
        <w:spacing w:line="360" w:lineRule="auto"/>
        <w:ind w:firstLine="482"/>
        <w:rPr>
          <w:rFonts w:hint="eastAsia"/>
        </w:rPr>
      </w:pPr>
      <w:bookmarkStart w:id="66" w:name="_Toc217446047"/>
      <w:bookmarkStart w:id="67" w:name="_Toc308164797"/>
      <w:bookmarkStart w:id="68" w:name="_Toc503862770"/>
      <w:r>
        <w:rPr>
          <w:rFonts w:hint="eastAsia"/>
        </w:rPr>
        <w:t>13．知识产权</w:t>
      </w:r>
      <w:bookmarkEnd w:id="66"/>
      <w:bookmarkEnd w:id="67"/>
      <w:r>
        <w:rPr>
          <w:rFonts w:hint="eastAsia"/>
        </w:rPr>
        <w:t>（实质性要求）</w:t>
      </w:r>
      <w:bookmarkEnd w:id="68"/>
    </w:p>
    <w:p>
      <w:pPr>
        <w:tabs>
          <w:tab w:val="left" w:pos="7665"/>
        </w:tabs>
        <w:spacing w:line="360" w:lineRule="auto"/>
        <w:ind w:firstLine="480" w:firstLineChars="200"/>
        <w:rPr>
          <w:rFonts w:hint="eastAsia" w:ascii="宋体"/>
          <w:sz w:val="24"/>
        </w:rPr>
      </w:pPr>
      <w:r>
        <w:rPr>
          <w:rFonts w:hint="eastAsia" w:ascii="宋体"/>
          <w:sz w:val="24"/>
        </w:rPr>
        <w:t>13.1 投标人应保证在本项目使用的任何产品和服务（包括部分使用）时，不会产生因第三方提出侵犯其专利权、商标权或其它知识产权而引起的法律和经济纠纷，如因专利权、商标权或其它知识产权而引起法律和经济纠纷，由投标人承担所有相关责任。</w:t>
      </w:r>
    </w:p>
    <w:p>
      <w:pPr>
        <w:tabs>
          <w:tab w:val="left" w:pos="7665"/>
        </w:tabs>
        <w:spacing w:line="360" w:lineRule="auto"/>
        <w:ind w:firstLine="480" w:firstLineChars="200"/>
        <w:rPr>
          <w:rFonts w:hint="eastAsia" w:ascii="宋体"/>
          <w:sz w:val="24"/>
        </w:rPr>
      </w:pPr>
      <w:r>
        <w:rPr>
          <w:rFonts w:hint="eastAsia" w:ascii="宋体"/>
          <w:sz w:val="24"/>
        </w:rPr>
        <w:t>13.2 采购人享有本项目实施过程中产生的知识成果及知识产权。</w:t>
      </w:r>
    </w:p>
    <w:p>
      <w:pPr>
        <w:tabs>
          <w:tab w:val="left" w:pos="7665"/>
        </w:tabs>
        <w:spacing w:line="360" w:lineRule="auto"/>
        <w:ind w:firstLine="480" w:firstLineChars="200"/>
        <w:rPr>
          <w:rFonts w:hint="eastAsia" w:ascii="宋体"/>
          <w:sz w:val="24"/>
        </w:rPr>
      </w:pPr>
      <w:r>
        <w:rPr>
          <w:rFonts w:hint="eastAsia" w:ascii="宋体"/>
          <w:sz w:val="24"/>
        </w:rPr>
        <w:t>13.3 投标人如欲在项目实施过程中采用自有知识成果，需在投标文件中声明，并提供相关知识产权证明文件。使用该知识成果后，投标人需提供开发接口和开发手册等技术文档，并承诺提供无限期技术支持，采购人享有永久使用权（含采购人委托第三方在该项目后续开发的使用权）。</w:t>
      </w:r>
    </w:p>
    <w:p>
      <w:pPr>
        <w:tabs>
          <w:tab w:val="left" w:pos="7665"/>
        </w:tabs>
        <w:spacing w:line="360" w:lineRule="auto"/>
        <w:ind w:firstLine="480" w:firstLineChars="200"/>
        <w:rPr>
          <w:rFonts w:hint="eastAsia" w:ascii="宋体"/>
          <w:sz w:val="24"/>
        </w:rPr>
      </w:pPr>
      <w:r>
        <w:rPr>
          <w:rFonts w:hint="eastAsia" w:ascii="宋体"/>
          <w:sz w:val="24"/>
        </w:rPr>
        <w:t xml:space="preserve">13.4 如采用投标人所不拥有的知识产权，则在投标报价中必须包括合法获取该知识产权的相关费用。 </w:t>
      </w:r>
    </w:p>
    <w:p>
      <w:pPr>
        <w:pStyle w:val="5"/>
        <w:spacing w:line="360" w:lineRule="auto"/>
        <w:ind w:firstLine="482"/>
        <w:rPr>
          <w:rFonts w:hint="eastAsia"/>
        </w:rPr>
      </w:pPr>
      <w:bookmarkStart w:id="69" w:name="_Toc217446048"/>
      <w:bookmarkStart w:id="70" w:name="_Toc503862771"/>
      <w:bookmarkStart w:id="71" w:name="_Toc183682354"/>
      <w:bookmarkStart w:id="72" w:name="_Toc308164798"/>
      <w:bookmarkStart w:id="73" w:name="_Toc183582217"/>
      <w:r>
        <w:rPr>
          <w:rFonts w:hint="eastAsia"/>
        </w:rPr>
        <w:t>14．投标文件的组成</w:t>
      </w:r>
      <w:bookmarkEnd w:id="69"/>
      <w:bookmarkEnd w:id="70"/>
      <w:bookmarkEnd w:id="71"/>
      <w:bookmarkEnd w:id="72"/>
      <w:bookmarkEnd w:id="73"/>
    </w:p>
    <w:p>
      <w:pPr>
        <w:adjustRightInd w:val="0"/>
        <w:snapToGrid w:val="0"/>
        <w:spacing w:line="360" w:lineRule="auto"/>
        <w:ind w:firstLine="480" w:firstLineChars="200"/>
        <w:rPr>
          <w:rFonts w:hint="eastAsia" w:ascii="宋体" w:hAnsi="宋体" w:cs="宋体"/>
          <w:sz w:val="24"/>
        </w:rPr>
      </w:pPr>
      <w:r>
        <w:rPr>
          <w:rFonts w:hint="eastAsia" w:ascii="宋体" w:hAnsi="宋体" w:cs="宋体"/>
          <w:sz w:val="24"/>
        </w:rPr>
        <w:t>投标人应按照招标文件的规定和要求编制投标文件。投标人编写的投标文件应至少包括下列三部分文件：</w:t>
      </w:r>
    </w:p>
    <w:p>
      <w:pPr>
        <w:adjustRightInd w:val="0"/>
        <w:snapToGrid w:val="0"/>
        <w:spacing w:line="360" w:lineRule="auto"/>
        <w:ind w:firstLine="482" w:firstLineChars="200"/>
        <w:rPr>
          <w:rFonts w:hint="eastAsia" w:ascii="宋体" w:hAnsi="宋体" w:cs="宋体"/>
          <w:b/>
          <w:sz w:val="24"/>
        </w:rPr>
      </w:pPr>
      <w:r>
        <w:rPr>
          <w:rFonts w:hint="eastAsia" w:ascii="宋体" w:hAnsi="宋体" w:cs="宋体"/>
          <w:b/>
          <w:sz w:val="24"/>
        </w:rPr>
        <w:t>文件一：资格性投标文件（用于资格审查）</w:t>
      </w:r>
    </w:p>
    <w:p>
      <w:pPr>
        <w:adjustRightInd w:val="0"/>
        <w:snapToGrid w:val="0"/>
        <w:spacing w:line="360" w:lineRule="auto"/>
        <w:ind w:firstLine="480" w:firstLineChars="200"/>
        <w:rPr>
          <w:rFonts w:hint="eastAsia" w:ascii="宋体" w:hAnsi="宋体" w:cs="宋体"/>
          <w:sz w:val="24"/>
        </w:rPr>
      </w:pPr>
      <w:r>
        <w:rPr>
          <w:rFonts w:hint="eastAsia" w:ascii="宋体" w:hAnsi="宋体" w:cs="宋体"/>
          <w:sz w:val="24"/>
        </w:rPr>
        <w:t>严格按照第四、五章要求提供相关资格、资质性及其他类似效力要求的相关证明材料。</w:t>
      </w:r>
    </w:p>
    <w:p>
      <w:pPr>
        <w:adjustRightInd w:val="0"/>
        <w:snapToGrid w:val="0"/>
        <w:spacing w:line="360" w:lineRule="auto"/>
        <w:ind w:firstLine="482" w:firstLineChars="200"/>
        <w:rPr>
          <w:rFonts w:hint="eastAsia" w:ascii="宋体" w:hAnsi="宋体" w:cs="宋体"/>
          <w:b/>
          <w:sz w:val="24"/>
        </w:rPr>
      </w:pPr>
      <w:r>
        <w:rPr>
          <w:rFonts w:hint="eastAsia" w:ascii="宋体" w:hAnsi="宋体" w:cs="宋体"/>
          <w:b/>
          <w:sz w:val="24"/>
        </w:rPr>
        <w:t>文件二：</w:t>
      </w:r>
      <w:r>
        <w:rPr>
          <w:rFonts w:hint="eastAsia" w:hAnsi="宋体"/>
          <w:b/>
          <w:bCs/>
          <w:sz w:val="24"/>
        </w:rPr>
        <w:t>报价要求响应文件</w:t>
      </w:r>
      <w:r>
        <w:rPr>
          <w:rFonts w:hint="eastAsia"/>
          <w:b/>
          <w:bCs/>
          <w:sz w:val="24"/>
        </w:rPr>
        <w:t>包括但不限于下列内容</w:t>
      </w:r>
    </w:p>
    <w:p>
      <w:pPr>
        <w:adjustRightInd w:val="0"/>
        <w:snapToGrid w:val="0"/>
        <w:spacing w:line="360" w:lineRule="auto"/>
        <w:ind w:firstLine="472" w:firstLineChars="196"/>
        <w:rPr>
          <w:rFonts w:hint="eastAsia" w:ascii="宋体" w:hAnsi="宋体" w:cs="宋体"/>
          <w:sz w:val="24"/>
        </w:rPr>
      </w:pPr>
      <w:r>
        <w:rPr>
          <w:rFonts w:hint="eastAsia" w:ascii="宋体" w:hAnsi="宋体" w:cs="宋体"/>
          <w:b/>
          <w:sz w:val="24"/>
        </w:rPr>
        <w:t>报价部分。</w:t>
      </w:r>
      <w:r>
        <w:rPr>
          <w:rFonts w:hint="eastAsia" w:ascii="宋体" w:hAnsi="宋体" w:cs="宋体"/>
          <w:bCs/>
          <w:sz w:val="24"/>
        </w:rPr>
        <w:t>投标人</w:t>
      </w:r>
      <w:r>
        <w:rPr>
          <w:rFonts w:hint="eastAsia" w:ascii="宋体" w:hAnsi="宋体" w:cs="宋体"/>
          <w:sz w:val="24"/>
        </w:rPr>
        <w:t>按照招标文件要求填写的“开标一览表”。</w:t>
      </w:r>
    </w:p>
    <w:p>
      <w:pPr>
        <w:adjustRightInd w:val="0"/>
        <w:snapToGrid w:val="0"/>
        <w:spacing w:line="360" w:lineRule="auto"/>
        <w:ind w:firstLine="470" w:firstLineChars="196"/>
        <w:rPr>
          <w:rFonts w:hint="eastAsia" w:ascii="宋体" w:hAnsi="宋体" w:cs="宋体"/>
          <w:sz w:val="24"/>
        </w:rPr>
      </w:pPr>
      <w:r>
        <w:rPr>
          <w:rFonts w:hint="eastAsia" w:ascii="宋体" w:hAnsi="宋体" w:cs="宋体"/>
          <w:sz w:val="24"/>
        </w:rPr>
        <w:t>本次招标报价要求：</w:t>
      </w:r>
    </w:p>
    <w:p>
      <w:pPr>
        <w:adjustRightInd w:val="0"/>
        <w:snapToGrid w:val="0"/>
        <w:spacing w:line="360" w:lineRule="auto"/>
        <w:ind w:firstLine="480" w:firstLineChars="200"/>
        <w:rPr>
          <w:rFonts w:hint="eastAsia" w:ascii="宋体" w:hAnsi="宋体" w:cs="宋体"/>
          <w:sz w:val="24"/>
        </w:rPr>
      </w:pPr>
      <w:r>
        <w:rPr>
          <w:rFonts w:hint="eastAsia" w:ascii="宋体" w:hAnsi="宋体" w:cs="宋体"/>
          <w:sz w:val="24"/>
        </w:rPr>
        <w:t>投标人的报价是投标人响应招标项目要求的全部工作内容的价格体现，包括投标人完成本项目所需的一切费用（实质性要求）。</w:t>
      </w:r>
    </w:p>
    <w:p>
      <w:pPr>
        <w:adjustRightInd w:val="0"/>
        <w:snapToGrid w:val="0"/>
        <w:spacing w:line="360" w:lineRule="auto"/>
        <w:ind w:firstLine="482" w:firstLineChars="200"/>
        <w:rPr>
          <w:rFonts w:hint="eastAsia" w:ascii="宋体" w:hAnsi="宋体" w:cs="宋体"/>
          <w:b/>
          <w:sz w:val="24"/>
        </w:rPr>
      </w:pPr>
      <w:r>
        <w:rPr>
          <w:rFonts w:hint="eastAsia" w:ascii="宋体" w:hAnsi="宋体" w:cs="宋体"/>
          <w:b/>
          <w:sz w:val="24"/>
        </w:rPr>
        <w:t>文件三：其他响应性投标文件（用于资格审查以外的评标）</w:t>
      </w:r>
    </w:p>
    <w:p>
      <w:pPr>
        <w:adjustRightInd w:val="0"/>
        <w:snapToGrid w:val="0"/>
        <w:spacing w:line="360" w:lineRule="auto"/>
        <w:ind w:firstLine="470" w:firstLineChars="196"/>
        <w:rPr>
          <w:rFonts w:hint="eastAsia" w:ascii="宋体" w:hAnsi="宋体" w:cs="宋体"/>
          <w:sz w:val="24"/>
        </w:rPr>
      </w:pPr>
      <w:r>
        <w:rPr>
          <w:rFonts w:hint="eastAsia" w:ascii="宋体" w:hAnsi="宋体" w:cs="宋体"/>
          <w:sz w:val="24"/>
        </w:rPr>
        <w:t>严格按照招标文件要求提供以下三个方面的相关材料：</w:t>
      </w:r>
    </w:p>
    <w:p>
      <w:pPr>
        <w:spacing w:line="360" w:lineRule="auto"/>
        <w:ind w:firstLine="482" w:firstLineChars="200"/>
        <w:rPr>
          <w:rFonts w:hint="eastAsia" w:ascii="宋体" w:hAnsi="宋体"/>
          <w:sz w:val="24"/>
        </w:rPr>
      </w:pPr>
      <w:bookmarkStart w:id="74" w:name="_Toc503862773"/>
      <w:r>
        <w:rPr>
          <w:rFonts w:hint="eastAsia" w:ascii="宋体" w:hAnsi="宋体" w:cs="宋体"/>
          <w:b/>
          <w:bCs/>
          <w:sz w:val="24"/>
        </w:rPr>
        <w:t xml:space="preserve">14.1 </w:t>
      </w:r>
      <w:bookmarkEnd w:id="74"/>
      <w:r>
        <w:rPr>
          <w:rFonts w:hint="eastAsia" w:ascii="宋体" w:hAnsi="宋体" w:cs="宋体"/>
          <w:b/>
          <w:bCs/>
          <w:sz w:val="24"/>
        </w:rPr>
        <w:t>商务部分</w:t>
      </w:r>
      <w:r>
        <w:rPr>
          <w:rFonts w:hint="eastAsia" w:ascii="宋体" w:hAnsi="宋体"/>
          <w:b/>
          <w:sz w:val="24"/>
        </w:rPr>
        <w:t>。（根据具体项目情况确定）</w:t>
      </w:r>
      <w:r>
        <w:rPr>
          <w:rFonts w:hint="eastAsia" w:ascii="宋体" w:hAnsi="宋体"/>
          <w:sz w:val="24"/>
        </w:rPr>
        <w:t>投标人按照招标文件要求提供的有关文件及优惠承诺，包括</w:t>
      </w:r>
      <w:r>
        <w:rPr>
          <w:rFonts w:ascii="宋体" w:hAnsi="宋体"/>
          <w:sz w:val="24"/>
        </w:rPr>
        <w:t>但不限于</w:t>
      </w:r>
      <w:r>
        <w:rPr>
          <w:rFonts w:hint="eastAsia" w:ascii="宋体" w:hAnsi="宋体"/>
          <w:sz w:val="24"/>
        </w:rPr>
        <w:t>以下内容：</w:t>
      </w:r>
    </w:p>
    <w:p>
      <w:pPr>
        <w:spacing w:line="360" w:lineRule="auto"/>
        <w:ind w:firstLine="480" w:firstLineChars="200"/>
        <w:rPr>
          <w:rFonts w:hint="eastAsia" w:ascii="宋体" w:hAnsi="宋体"/>
          <w:sz w:val="24"/>
        </w:rPr>
      </w:pPr>
      <w:r>
        <w:rPr>
          <w:rFonts w:hint="eastAsia" w:ascii="宋体" w:hAnsi="宋体"/>
          <w:sz w:val="24"/>
        </w:rPr>
        <w:t>（1）投标函</w:t>
      </w:r>
    </w:p>
    <w:p>
      <w:pPr>
        <w:spacing w:line="360" w:lineRule="auto"/>
        <w:ind w:firstLine="480" w:firstLineChars="200"/>
        <w:rPr>
          <w:rFonts w:hint="eastAsia" w:ascii="宋体" w:hAnsi="宋体"/>
          <w:sz w:val="24"/>
        </w:rPr>
      </w:pPr>
      <w:r>
        <w:rPr>
          <w:rFonts w:hint="eastAsia" w:ascii="宋体" w:hAnsi="宋体"/>
          <w:sz w:val="24"/>
        </w:rPr>
        <w:t>（2）承诺函</w:t>
      </w:r>
    </w:p>
    <w:p>
      <w:pPr>
        <w:spacing w:line="360" w:lineRule="auto"/>
        <w:ind w:firstLine="480" w:firstLineChars="200"/>
        <w:rPr>
          <w:rFonts w:hint="eastAsia" w:ascii="宋体" w:hAnsi="宋体"/>
          <w:sz w:val="24"/>
        </w:rPr>
      </w:pPr>
      <w:r>
        <w:rPr>
          <w:rFonts w:ascii="宋体" w:hAnsi="宋体"/>
          <w:sz w:val="24"/>
        </w:rPr>
        <w:t>（</w:t>
      </w:r>
      <w:r>
        <w:rPr>
          <w:rFonts w:hint="eastAsia" w:ascii="宋体" w:hAnsi="宋体"/>
          <w:sz w:val="24"/>
        </w:rPr>
        <w:t>3</w:t>
      </w:r>
      <w:r>
        <w:rPr>
          <w:rFonts w:ascii="宋体" w:hAnsi="宋体"/>
          <w:sz w:val="24"/>
        </w:rPr>
        <w:t>）</w:t>
      </w:r>
      <w:r>
        <w:rPr>
          <w:rFonts w:hint="eastAsia" w:ascii="宋体" w:hAnsi="宋体"/>
          <w:sz w:val="24"/>
        </w:rPr>
        <w:t>商务应答表</w:t>
      </w:r>
    </w:p>
    <w:p>
      <w:pPr>
        <w:spacing w:line="360" w:lineRule="auto"/>
        <w:ind w:firstLine="480" w:firstLineChars="200"/>
        <w:rPr>
          <w:rFonts w:hint="eastAsia" w:ascii="宋体" w:hAnsi="宋体"/>
          <w:sz w:val="24"/>
        </w:rPr>
      </w:pPr>
      <w:r>
        <w:rPr>
          <w:rFonts w:hint="eastAsia" w:ascii="宋体" w:hAnsi="宋体"/>
          <w:sz w:val="24"/>
        </w:rPr>
        <w:t>（4）投标人基本情况表</w:t>
      </w:r>
    </w:p>
    <w:p>
      <w:pPr>
        <w:spacing w:line="360" w:lineRule="auto"/>
        <w:ind w:firstLine="480" w:firstLineChars="200"/>
        <w:rPr>
          <w:rFonts w:hint="eastAsia"/>
        </w:rPr>
      </w:pPr>
      <w:r>
        <w:rPr>
          <w:rFonts w:hint="eastAsia" w:ascii="宋体" w:hAnsi="宋体"/>
          <w:sz w:val="24"/>
        </w:rPr>
        <w:t>（5）类似项目业绩一览表</w:t>
      </w:r>
    </w:p>
    <w:p>
      <w:pPr>
        <w:spacing w:line="360" w:lineRule="auto"/>
        <w:ind w:firstLine="480" w:firstLineChars="200"/>
        <w:rPr>
          <w:rFonts w:hint="eastAsia" w:ascii="宋体" w:hAnsi="宋体"/>
          <w:sz w:val="24"/>
        </w:rPr>
      </w:pPr>
      <w:r>
        <w:rPr>
          <w:rFonts w:hint="eastAsia" w:ascii="宋体" w:hAnsi="宋体"/>
          <w:sz w:val="24"/>
        </w:rPr>
        <w:t>（6）投标人本项目管理、服务人员情况表</w:t>
      </w:r>
    </w:p>
    <w:p>
      <w:pPr>
        <w:spacing w:line="360" w:lineRule="auto"/>
        <w:ind w:firstLine="480" w:firstLineChars="200"/>
        <w:rPr>
          <w:rFonts w:hint="eastAsia" w:ascii="宋体" w:hAnsi="宋体"/>
          <w:sz w:val="24"/>
        </w:rPr>
      </w:pPr>
      <w:r>
        <w:rPr>
          <w:rFonts w:hint="eastAsia" w:ascii="宋体" w:hAnsi="宋体"/>
          <w:sz w:val="24"/>
        </w:rPr>
        <w:t>（7）</w:t>
      </w:r>
      <w:r>
        <w:rPr>
          <w:rFonts w:ascii="宋体" w:hAnsi="宋体"/>
          <w:sz w:val="24"/>
        </w:rPr>
        <w:t>服务需求偏离表</w:t>
      </w:r>
    </w:p>
    <w:p>
      <w:pPr>
        <w:spacing w:line="360" w:lineRule="auto"/>
        <w:ind w:firstLine="480" w:firstLineChars="200"/>
        <w:rPr>
          <w:rFonts w:hint="eastAsia" w:ascii="宋体" w:hAnsi="宋体"/>
          <w:sz w:val="24"/>
        </w:rPr>
      </w:pPr>
      <w:r>
        <w:rPr>
          <w:rFonts w:hint="eastAsia" w:ascii="宋体" w:hAnsi="宋体"/>
          <w:sz w:val="24"/>
        </w:rPr>
        <w:t>（8）投标人诚信情况承诺函</w:t>
      </w:r>
    </w:p>
    <w:p>
      <w:pPr>
        <w:spacing w:line="360" w:lineRule="auto"/>
        <w:ind w:firstLine="480" w:firstLineChars="200"/>
        <w:rPr>
          <w:rFonts w:hint="eastAsia" w:ascii="宋体" w:hAnsi="宋体"/>
          <w:sz w:val="24"/>
        </w:rPr>
      </w:pPr>
      <w:r>
        <w:rPr>
          <w:rFonts w:hint="eastAsia" w:ascii="宋体" w:hAnsi="宋体"/>
          <w:sz w:val="24"/>
        </w:rPr>
        <w:t>（9）中小企业（监狱企业）声明函</w:t>
      </w:r>
    </w:p>
    <w:p>
      <w:pPr>
        <w:spacing w:line="360" w:lineRule="auto"/>
        <w:ind w:firstLine="480" w:firstLineChars="200"/>
        <w:rPr>
          <w:rFonts w:hint="eastAsia" w:ascii="宋体" w:hAnsi="宋体"/>
          <w:sz w:val="24"/>
        </w:rPr>
      </w:pPr>
      <w:r>
        <w:rPr>
          <w:rFonts w:hint="eastAsia" w:ascii="宋体" w:hAnsi="宋体"/>
          <w:sz w:val="24"/>
        </w:rPr>
        <w:t>（10）残疾人福利性单位声明函</w:t>
      </w:r>
    </w:p>
    <w:p>
      <w:pPr>
        <w:adjustRightInd w:val="0"/>
        <w:snapToGrid w:val="0"/>
        <w:spacing w:line="360" w:lineRule="auto"/>
        <w:ind w:firstLine="480" w:firstLineChars="200"/>
        <w:rPr>
          <w:rFonts w:hint="eastAsia"/>
        </w:rPr>
      </w:pPr>
      <w:r>
        <w:rPr>
          <w:rFonts w:hint="eastAsia" w:ascii="宋体" w:hAnsi="宋体"/>
          <w:sz w:val="24"/>
        </w:rPr>
        <w:t>（11）知识产权声明函</w:t>
      </w:r>
    </w:p>
    <w:p>
      <w:pPr>
        <w:adjustRightInd w:val="0"/>
        <w:snapToGrid w:val="0"/>
        <w:spacing w:line="360" w:lineRule="auto"/>
        <w:ind w:firstLine="480" w:firstLineChars="200"/>
        <w:rPr>
          <w:rFonts w:hint="eastAsia" w:ascii="宋体" w:hAnsi="宋体" w:cs="宋体"/>
          <w:sz w:val="24"/>
        </w:rPr>
      </w:pPr>
      <w:r>
        <w:rPr>
          <w:rFonts w:hint="eastAsia" w:ascii="宋体" w:hAnsi="宋体"/>
          <w:sz w:val="24"/>
        </w:rPr>
        <w:t>（12）其他投标人认为需要提供的文件和资料。</w:t>
      </w:r>
    </w:p>
    <w:p>
      <w:pPr>
        <w:spacing w:line="360" w:lineRule="auto"/>
        <w:ind w:firstLine="482" w:firstLineChars="200"/>
        <w:rPr>
          <w:rFonts w:hint="eastAsia" w:ascii="宋体" w:hAnsi="宋体"/>
          <w:b/>
          <w:bCs/>
          <w:sz w:val="24"/>
        </w:rPr>
      </w:pPr>
      <w:bookmarkStart w:id="75" w:name="_Toc503862774"/>
      <w:r>
        <w:rPr>
          <w:rFonts w:hint="eastAsia" w:ascii="宋体" w:hAnsi="宋体" w:cs="宋体"/>
          <w:b/>
          <w:bCs/>
          <w:sz w:val="24"/>
        </w:rPr>
        <w:t>14.</w:t>
      </w:r>
      <w:bookmarkEnd w:id="75"/>
      <w:r>
        <w:rPr>
          <w:rFonts w:hint="eastAsia" w:ascii="宋体" w:hAnsi="宋体" w:cs="宋体"/>
          <w:b/>
          <w:bCs/>
          <w:sz w:val="24"/>
        </w:rPr>
        <w:t>2服务部分</w:t>
      </w:r>
      <w:r>
        <w:rPr>
          <w:rFonts w:hint="eastAsia" w:ascii="宋体" w:hAnsi="宋体" w:cs="宋体"/>
          <w:b/>
          <w:sz w:val="24"/>
        </w:rPr>
        <w:t>。</w:t>
      </w:r>
      <w:r>
        <w:rPr>
          <w:rFonts w:hint="eastAsia" w:ascii="宋体" w:hAnsi="宋体"/>
          <w:b/>
          <w:sz w:val="24"/>
        </w:rPr>
        <w:t>（根据具体项目情况确定）</w:t>
      </w:r>
      <w:r>
        <w:rPr>
          <w:rFonts w:hint="eastAsia" w:ascii="宋体" w:hAnsi="宋体"/>
          <w:sz w:val="24"/>
        </w:rPr>
        <w:t>投标人按照招标文件要求做出的服务应答，主要是针对招标项目的服务要求等做出的实质性响应和满足，投标人的服务应答包括下列内容：</w:t>
      </w:r>
    </w:p>
    <w:p>
      <w:pPr>
        <w:spacing w:line="360" w:lineRule="auto"/>
        <w:ind w:firstLine="480" w:firstLineChars="200"/>
        <w:rPr>
          <w:rFonts w:hint="eastAsia" w:ascii="宋体" w:hAnsi="宋体"/>
          <w:sz w:val="24"/>
        </w:rPr>
      </w:pPr>
      <w:r>
        <w:rPr>
          <w:rFonts w:hint="eastAsia" w:ascii="宋体" w:hAnsi="宋体"/>
          <w:sz w:val="24"/>
        </w:rPr>
        <w:t>（1）实施（服务）方案；</w:t>
      </w:r>
    </w:p>
    <w:p>
      <w:pPr>
        <w:spacing w:line="360" w:lineRule="auto"/>
        <w:ind w:firstLine="480" w:firstLineChars="200"/>
        <w:rPr>
          <w:rFonts w:hint="eastAsia" w:ascii="宋体" w:hAnsi="宋体" w:cs="宋体"/>
          <w:sz w:val="24"/>
        </w:rPr>
      </w:pPr>
      <w:r>
        <w:rPr>
          <w:rFonts w:hint="eastAsia" w:ascii="宋体" w:hAnsi="宋体"/>
          <w:sz w:val="24"/>
        </w:rPr>
        <w:t>（2）投标人认为需要提供的文件和资料。</w:t>
      </w:r>
    </w:p>
    <w:p>
      <w:pPr>
        <w:adjustRightInd w:val="0"/>
        <w:snapToGrid w:val="0"/>
        <w:spacing w:line="360" w:lineRule="auto"/>
        <w:ind w:firstLine="480" w:firstLineChars="200"/>
        <w:rPr>
          <w:rFonts w:hint="eastAsia" w:ascii="宋体" w:hAnsi="宋体" w:cs="宋体"/>
          <w:sz w:val="24"/>
        </w:rPr>
      </w:pPr>
      <w:r>
        <w:rPr>
          <w:rFonts w:hint="eastAsia" w:ascii="宋体" w:hAnsi="宋体" w:cs="宋体"/>
          <w:sz w:val="24"/>
        </w:rPr>
        <w:t>（3）其他有利于用户的服务承诺。</w:t>
      </w:r>
    </w:p>
    <w:p>
      <w:pPr>
        <w:adjustRightInd w:val="0"/>
        <w:snapToGrid w:val="0"/>
        <w:spacing w:line="360" w:lineRule="auto"/>
        <w:ind w:firstLine="482" w:firstLineChars="200"/>
        <w:rPr>
          <w:rFonts w:hint="eastAsia" w:ascii="宋体" w:hAnsi="宋体" w:cs="宋体"/>
          <w:b/>
          <w:bCs/>
          <w:sz w:val="24"/>
        </w:rPr>
      </w:pPr>
      <w:r>
        <w:rPr>
          <w:rFonts w:hint="eastAsia" w:ascii="宋体" w:hAnsi="宋体" w:cs="宋体"/>
          <w:b/>
          <w:bCs/>
          <w:sz w:val="24"/>
        </w:rPr>
        <w:t>14.3其他部分。</w:t>
      </w:r>
    </w:p>
    <w:p>
      <w:pPr>
        <w:adjustRightInd w:val="0"/>
        <w:snapToGrid w:val="0"/>
        <w:spacing w:line="360" w:lineRule="auto"/>
        <w:ind w:firstLine="480" w:firstLineChars="200"/>
        <w:rPr>
          <w:rFonts w:hint="eastAsia" w:ascii="宋体" w:hAnsi="宋体" w:cs="宋体"/>
          <w:bCs/>
          <w:sz w:val="24"/>
        </w:rPr>
      </w:pPr>
      <w:r>
        <w:rPr>
          <w:rFonts w:hint="eastAsia" w:ascii="宋体" w:hAnsi="宋体" w:cs="宋体"/>
          <w:bCs/>
          <w:sz w:val="24"/>
        </w:rPr>
        <w:t>投标人按照招标文件要求作出的其他应答和承诺。</w:t>
      </w:r>
    </w:p>
    <w:p>
      <w:pPr>
        <w:pStyle w:val="5"/>
        <w:spacing w:line="360" w:lineRule="auto"/>
        <w:ind w:firstLine="482"/>
        <w:rPr>
          <w:rFonts w:hint="eastAsia"/>
        </w:rPr>
      </w:pPr>
      <w:bookmarkStart w:id="76" w:name="_Toc308164799"/>
      <w:bookmarkStart w:id="77" w:name="_Toc503862775"/>
      <w:bookmarkStart w:id="78" w:name="_Toc183682355"/>
      <w:bookmarkStart w:id="79" w:name="_Toc217446049"/>
      <w:bookmarkStart w:id="80" w:name="_Toc183582218"/>
      <w:r>
        <w:rPr>
          <w:rFonts w:hint="eastAsia"/>
        </w:rPr>
        <w:t>15．投标文件格式</w:t>
      </w:r>
      <w:bookmarkEnd w:id="76"/>
      <w:bookmarkEnd w:id="77"/>
      <w:bookmarkEnd w:id="78"/>
      <w:bookmarkEnd w:id="79"/>
      <w:bookmarkEnd w:id="80"/>
    </w:p>
    <w:p>
      <w:pPr>
        <w:tabs>
          <w:tab w:val="left" w:pos="7665"/>
        </w:tabs>
        <w:spacing w:line="360" w:lineRule="auto"/>
        <w:ind w:left="13" w:leftChars="6" w:firstLine="480" w:firstLineChars="200"/>
        <w:rPr>
          <w:rFonts w:hAnsi="宋体"/>
          <w:sz w:val="24"/>
        </w:rPr>
      </w:pPr>
      <w:r>
        <w:rPr>
          <w:rFonts w:hint="eastAsia" w:ascii="宋体" w:hAnsi="宋体" w:cs="宋体"/>
          <w:sz w:val="24"/>
        </w:rPr>
        <w:t>15.1 投标人应执行招标文件第三章的规定要求。</w:t>
      </w:r>
    </w:p>
    <w:p>
      <w:pPr>
        <w:tabs>
          <w:tab w:val="left" w:pos="7665"/>
        </w:tabs>
        <w:adjustRightInd w:val="0"/>
        <w:snapToGrid w:val="0"/>
        <w:spacing w:line="360" w:lineRule="auto"/>
        <w:ind w:firstLine="480" w:firstLineChars="200"/>
        <w:rPr>
          <w:rFonts w:hint="eastAsia" w:ascii="宋体" w:hAnsi="宋体" w:cs="宋体"/>
          <w:sz w:val="24"/>
        </w:rPr>
      </w:pPr>
      <w:r>
        <w:rPr>
          <w:rFonts w:hint="eastAsia" w:ascii="宋体" w:hAnsi="宋体" w:cs="宋体"/>
          <w:sz w:val="24"/>
        </w:rPr>
        <w:t>15.2 对于没有格式要求的投标文件由投标人自行编写。</w:t>
      </w:r>
    </w:p>
    <w:p>
      <w:pPr>
        <w:pStyle w:val="5"/>
        <w:spacing w:line="360" w:lineRule="auto"/>
        <w:ind w:firstLine="482"/>
        <w:rPr>
          <w:rFonts w:hint="eastAsia"/>
        </w:rPr>
      </w:pPr>
      <w:bookmarkStart w:id="81" w:name="_Toc503862776"/>
      <w:bookmarkStart w:id="82" w:name="_Toc183682360"/>
      <w:bookmarkStart w:id="83" w:name="_Toc308164800"/>
      <w:bookmarkStart w:id="84" w:name="_Toc217446050"/>
      <w:bookmarkStart w:id="85" w:name="_Toc183582223"/>
      <w:r>
        <w:rPr>
          <w:rFonts w:hint="eastAsia"/>
        </w:rPr>
        <w:t>16．投标保证金</w:t>
      </w:r>
      <w:bookmarkEnd w:id="81"/>
      <w:bookmarkEnd w:id="82"/>
      <w:bookmarkEnd w:id="83"/>
      <w:bookmarkEnd w:id="84"/>
      <w:bookmarkEnd w:id="85"/>
    </w:p>
    <w:p>
      <w:pPr>
        <w:adjustRightInd w:val="0"/>
        <w:snapToGrid w:val="0"/>
        <w:spacing w:line="360" w:lineRule="auto"/>
        <w:ind w:firstLine="470" w:firstLineChars="196"/>
        <w:rPr>
          <w:rFonts w:hint="eastAsia" w:ascii="宋体" w:hAnsi="宋体" w:cs="宋体"/>
          <w:sz w:val="24"/>
        </w:rPr>
      </w:pPr>
      <w:r>
        <w:rPr>
          <w:rFonts w:hint="eastAsia" w:ascii="宋体" w:hAnsi="宋体" w:cs="宋体"/>
          <w:sz w:val="24"/>
        </w:rPr>
        <w:t>本项目不收取。</w:t>
      </w:r>
    </w:p>
    <w:p>
      <w:pPr>
        <w:pStyle w:val="5"/>
        <w:spacing w:line="360" w:lineRule="auto"/>
        <w:ind w:firstLine="482"/>
        <w:rPr>
          <w:rFonts w:hint="eastAsia"/>
        </w:rPr>
      </w:pPr>
      <w:bookmarkStart w:id="86" w:name="_Toc183682361"/>
      <w:bookmarkStart w:id="87" w:name="_Toc308164801"/>
      <w:bookmarkStart w:id="88" w:name="_Toc183582224"/>
      <w:bookmarkStart w:id="89" w:name="_Toc217446051"/>
      <w:bookmarkStart w:id="90" w:name="_Toc503862777"/>
      <w:r>
        <w:rPr>
          <w:rFonts w:hint="eastAsia"/>
        </w:rPr>
        <w:t>17．投标有效期</w:t>
      </w:r>
      <w:bookmarkEnd w:id="86"/>
      <w:bookmarkEnd w:id="87"/>
      <w:bookmarkEnd w:id="88"/>
      <w:bookmarkEnd w:id="89"/>
      <w:r>
        <w:rPr>
          <w:rFonts w:hint="eastAsia"/>
        </w:rPr>
        <w:t>（实质性要求）</w:t>
      </w:r>
      <w:bookmarkEnd w:id="90"/>
    </w:p>
    <w:p>
      <w:pPr>
        <w:tabs>
          <w:tab w:val="left" w:pos="7665"/>
        </w:tabs>
        <w:adjustRightInd w:val="0"/>
        <w:snapToGrid w:val="0"/>
        <w:spacing w:line="360" w:lineRule="auto"/>
        <w:ind w:firstLine="480" w:firstLineChars="200"/>
        <w:rPr>
          <w:rFonts w:hint="eastAsia" w:ascii="宋体" w:hAnsi="宋体" w:cs="宋体"/>
          <w:sz w:val="24"/>
        </w:rPr>
      </w:pPr>
      <w:r>
        <w:rPr>
          <w:rFonts w:hint="eastAsia" w:ascii="宋体" w:hAnsi="宋体" w:cs="宋体"/>
          <w:sz w:val="24"/>
        </w:rPr>
        <w:t>17.1 本项目投标有效期为投标截止时间届满后90天（投标有效期从提交投标文件的截至之日起算）。投标人投标文件中必须载明投标有效期，投标文件中载明的投标有效期可以长于招标文件规定的期限，但不得短于招标文件规定的期限。否则，其投标文件将作为无效投标处理。</w:t>
      </w:r>
    </w:p>
    <w:p>
      <w:pPr>
        <w:tabs>
          <w:tab w:val="left" w:pos="7665"/>
        </w:tabs>
        <w:adjustRightInd w:val="0"/>
        <w:snapToGrid w:val="0"/>
        <w:spacing w:line="360" w:lineRule="auto"/>
        <w:ind w:firstLine="360" w:firstLineChars="150"/>
        <w:rPr>
          <w:rFonts w:hint="eastAsia" w:ascii="宋体" w:hAnsi="宋体" w:cs="宋体"/>
          <w:sz w:val="24"/>
        </w:rPr>
      </w:pPr>
      <w:r>
        <w:rPr>
          <w:rFonts w:hint="eastAsia" w:ascii="宋体" w:hAnsi="宋体" w:cs="宋体"/>
          <w:sz w:val="24"/>
        </w:rPr>
        <w:t xml:space="preserve"> 17.2 因不可抗力事件，采购人可于投标有效期届满之前与投标人协商延长投标有效期。投标人拒绝延长投标有效期的，不得再参与该项目后续采购活动，但由此给投标人造成的损失，采购人可以自主决定是否可以给予适当补偿。投标人同意延长投标有效期的，不能修改投标文件。 </w:t>
      </w:r>
    </w:p>
    <w:p>
      <w:pPr>
        <w:tabs>
          <w:tab w:val="left" w:pos="7665"/>
        </w:tabs>
        <w:adjustRightInd w:val="0"/>
        <w:snapToGrid w:val="0"/>
        <w:spacing w:line="360" w:lineRule="auto"/>
        <w:ind w:firstLine="360" w:firstLineChars="150"/>
        <w:rPr>
          <w:rFonts w:hint="eastAsia" w:ascii="宋体" w:hAnsi="宋体" w:cs="宋体"/>
          <w:sz w:val="24"/>
        </w:rPr>
      </w:pPr>
      <w:r>
        <w:rPr>
          <w:rFonts w:hint="eastAsia" w:ascii="宋体" w:hAnsi="宋体" w:cs="宋体"/>
          <w:sz w:val="24"/>
        </w:rPr>
        <w:t>17.3 因采购人采购需求作出必要调整，采购人可于投标有效期届满之前与投标人协商延长投标有效期。投标人拒绝延长投标有效期的，不得再参与该项目后续采购活动，但由此给投标人造成的损失，采购人应当予以赔偿或者合理补偿。投标人同意延长投标有效期的，不能修改投标文件。</w:t>
      </w:r>
    </w:p>
    <w:p>
      <w:pPr>
        <w:pStyle w:val="5"/>
        <w:spacing w:line="360" w:lineRule="auto"/>
        <w:ind w:firstLine="482"/>
        <w:rPr>
          <w:rFonts w:hint="eastAsia" w:ascii="宋体" w:hAnsi="宋体" w:cs="宋体"/>
        </w:rPr>
      </w:pPr>
      <w:bookmarkStart w:id="91" w:name="_Toc183582225"/>
      <w:bookmarkStart w:id="92" w:name="_Toc503862778"/>
      <w:bookmarkStart w:id="93" w:name="_Toc217446052"/>
      <w:bookmarkStart w:id="94" w:name="_Toc183682362"/>
      <w:bookmarkStart w:id="95" w:name="_Toc308164802"/>
      <w:r>
        <w:rPr>
          <w:rFonts w:hint="eastAsia" w:ascii="宋体" w:hAnsi="宋体" w:cs="宋体"/>
        </w:rPr>
        <w:t>18．</w:t>
      </w:r>
      <w:bookmarkEnd w:id="91"/>
      <w:bookmarkEnd w:id="92"/>
      <w:bookmarkEnd w:id="93"/>
      <w:bookmarkEnd w:id="94"/>
      <w:bookmarkEnd w:id="95"/>
      <w:r>
        <w:rPr>
          <w:rFonts w:hint="eastAsia" w:ascii="宋体" w:hAnsi="宋体" w:cs="宋体"/>
        </w:rPr>
        <w:t>投标文件的制作和签章、加密</w:t>
      </w:r>
    </w:p>
    <w:p>
      <w:pPr>
        <w:tabs>
          <w:tab w:val="left" w:pos="1080"/>
        </w:tabs>
        <w:spacing w:line="360" w:lineRule="auto"/>
        <w:ind w:firstLine="480" w:firstLineChars="200"/>
        <w:jc w:val="left"/>
        <w:outlineLvl w:val="5"/>
        <w:rPr>
          <w:rFonts w:hint="eastAsia" w:ascii="宋体" w:hAnsi="宋体" w:cs="宋体"/>
          <w:sz w:val="24"/>
        </w:rPr>
      </w:pPr>
      <w:bookmarkStart w:id="96" w:name="_Toc183582228"/>
      <w:bookmarkStart w:id="97" w:name="_Toc183682365"/>
      <w:bookmarkStart w:id="98" w:name="_Toc217446055"/>
      <w:bookmarkStart w:id="99" w:name="_Toc217446054"/>
      <w:bookmarkStart w:id="100" w:name="_Toc308164804"/>
      <w:bookmarkStart w:id="101" w:name="_Toc183582227"/>
      <w:bookmarkStart w:id="102" w:name="_Toc183682364"/>
      <w:bookmarkStart w:id="103" w:name="_Toc503862781"/>
      <w:r>
        <w:rPr>
          <w:rFonts w:hint="eastAsia" w:ascii="宋体" w:hAnsi="宋体" w:cs="宋体"/>
          <w:sz w:val="24"/>
        </w:rPr>
        <w:t>18.1 投标人应当准备投标文件正本1份、副本2份和电子文档（U盘或光盘）1份，以及用于开标唱标单独提交的“开标一览表”（1份）。投标文件电子档制作参考：将已按照招标文件要求完成制作、盖章、签署、逐页编码后的投标文件正本，从封面开始逐页扫描后形成的PDF完整版本。投标文件的正本和副本应在其封面右上角清楚地标明“正本”或“副本”字样。若正本和副本有不一致的内容，以正本书面投标文件为准。</w:t>
      </w:r>
    </w:p>
    <w:p>
      <w:pPr>
        <w:tabs>
          <w:tab w:val="left" w:pos="1095"/>
        </w:tabs>
        <w:spacing w:line="360" w:lineRule="auto"/>
        <w:ind w:firstLine="480" w:firstLineChars="200"/>
        <w:jc w:val="left"/>
        <w:outlineLvl w:val="5"/>
        <w:rPr>
          <w:rFonts w:hint="eastAsia" w:ascii="宋体" w:hAnsi="宋体" w:cs="宋体"/>
          <w:sz w:val="24"/>
        </w:rPr>
      </w:pPr>
      <w:r>
        <w:rPr>
          <w:rFonts w:hint="eastAsia" w:ascii="宋体" w:hAnsi="宋体" w:cs="宋体"/>
          <w:sz w:val="24"/>
        </w:rPr>
        <w:t>18.2 投标文件的正本和副本均需打印或用不褪色、不变质的墨水书写，并由投标人的法定代表人或其授权代表在规定签章处签字或盖章。投标文件副本可采用正本的复印件。用于开标唱标单独提交的“开标一览表”应为原件。</w:t>
      </w:r>
    </w:p>
    <w:p>
      <w:pPr>
        <w:tabs>
          <w:tab w:val="left" w:pos="1095"/>
        </w:tabs>
        <w:spacing w:line="360" w:lineRule="auto"/>
        <w:ind w:firstLine="480" w:firstLineChars="200"/>
        <w:jc w:val="left"/>
        <w:outlineLvl w:val="5"/>
        <w:rPr>
          <w:rFonts w:hint="eastAsia" w:ascii="宋体" w:hAnsi="宋体" w:cs="宋体"/>
          <w:sz w:val="24"/>
        </w:rPr>
      </w:pPr>
      <w:r>
        <w:rPr>
          <w:rFonts w:hint="eastAsia" w:ascii="宋体" w:hAnsi="宋体" w:cs="宋体"/>
          <w:sz w:val="24"/>
        </w:rPr>
        <w:t>18.3 投标文件的打印和书写应清楚工整，任何行间插字、涂改或增删，必须由投标人的法定代表人或其授权代表签字或盖个人印鉴。</w:t>
      </w:r>
    </w:p>
    <w:p>
      <w:pPr>
        <w:tabs>
          <w:tab w:val="left" w:pos="1080"/>
        </w:tabs>
        <w:spacing w:line="360" w:lineRule="auto"/>
        <w:ind w:firstLine="480" w:firstLineChars="200"/>
        <w:jc w:val="left"/>
        <w:outlineLvl w:val="5"/>
        <w:rPr>
          <w:rFonts w:hint="eastAsia" w:ascii="宋体" w:hAnsi="宋体" w:cs="宋体"/>
          <w:sz w:val="24"/>
        </w:rPr>
      </w:pPr>
      <w:r>
        <w:rPr>
          <w:rFonts w:hint="eastAsia" w:ascii="宋体" w:hAnsi="宋体" w:cs="宋体"/>
          <w:sz w:val="24"/>
        </w:rPr>
        <w:t>18.4投标文件正本和副本应当采取胶装方式装订成册，不得散装或者合页装订</w:t>
      </w:r>
      <w:r>
        <w:rPr>
          <w:rFonts w:hint="eastAsia" w:ascii="宋体" w:hAnsi="宋体" w:cs="宋体"/>
          <w:b/>
          <w:sz w:val="24"/>
        </w:rPr>
        <w:t>。</w:t>
      </w:r>
    </w:p>
    <w:p>
      <w:pPr>
        <w:tabs>
          <w:tab w:val="left" w:pos="1080"/>
        </w:tabs>
        <w:spacing w:line="360" w:lineRule="auto"/>
        <w:ind w:firstLine="480" w:firstLineChars="200"/>
        <w:jc w:val="left"/>
        <w:outlineLvl w:val="5"/>
        <w:rPr>
          <w:rFonts w:hint="eastAsia" w:ascii="宋体" w:hAnsi="宋体" w:cs="宋体"/>
          <w:sz w:val="24"/>
        </w:rPr>
      </w:pPr>
      <w:r>
        <w:rPr>
          <w:rFonts w:hint="eastAsia" w:ascii="宋体" w:hAnsi="宋体" w:cs="宋体"/>
          <w:sz w:val="24"/>
        </w:rPr>
        <w:t>18.5 投标文件应根据招标文件的要求签署、盖章和内容应完整。</w:t>
      </w:r>
    </w:p>
    <w:p>
      <w:pPr>
        <w:tabs>
          <w:tab w:val="left" w:pos="1080"/>
        </w:tabs>
        <w:spacing w:line="360" w:lineRule="auto"/>
        <w:ind w:firstLine="480" w:firstLineChars="200"/>
        <w:jc w:val="left"/>
        <w:outlineLvl w:val="5"/>
        <w:rPr>
          <w:rFonts w:hint="eastAsia" w:ascii="宋体" w:hAnsi="宋体" w:cs="宋体"/>
          <w:sz w:val="24"/>
        </w:rPr>
      </w:pPr>
      <w:r>
        <w:rPr>
          <w:rFonts w:hint="eastAsia" w:ascii="宋体" w:hAnsi="宋体" w:cs="宋体"/>
          <w:sz w:val="24"/>
        </w:rPr>
        <w:t>18.6 投标文件统一用A4幅面纸印制。（生产厂家的白皮书、宣传资料、彩页资料等除外）</w:t>
      </w:r>
    </w:p>
    <w:p>
      <w:pPr>
        <w:pStyle w:val="5"/>
        <w:tabs>
          <w:tab w:val="left" w:pos="2100"/>
        </w:tabs>
        <w:spacing w:line="360" w:lineRule="auto"/>
        <w:ind w:firstLine="482"/>
        <w:rPr>
          <w:rFonts w:hint="eastAsia" w:ascii="宋体" w:hAnsi="宋体" w:cs="宋体"/>
          <w:szCs w:val="24"/>
        </w:rPr>
      </w:pPr>
      <w:bookmarkStart w:id="104" w:name="_Toc183582226"/>
      <w:bookmarkStart w:id="105" w:name="_Toc183682363"/>
      <w:bookmarkStart w:id="106" w:name="_Toc89075877"/>
      <w:bookmarkStart w:id="107" w:name="_Toc77400781"/>
      <w:bookmarkStart w:id="108" w:name="_Toc217446053"/>
      <w:r>
        <w:rPr>
          <w:rFonts w:hint="eastAsia" w:ascii="宋体" w:hAnsi="宋体" w:cs="宋体"/>
          <w:szCs w:val="24"/>
        </w:rPr>
        <w:t>19. 投标文件的密封和标</w:t>
      </w:r>
      <w:bookmarkEnd w:id="104"/>
      <w:bookmarkEnd w:id="105"/>
      <w:bookmarkEnd w:id="106"/>
      <w:bookmarkEnd w:id="107"/>
      <w:r>
        <w:rPr>
          <w:rFonts w:hint="eastAsia" w:ascii="宋体" w:hAnsi="宋体" w:cs="宋体"/>
          <w:szCs w:val="24"/>
        </w:rPr>
        <w:t>注</w:t>
      </w:r>
      <w:bookmarkEnd w:id="108"/>
    </w:p>
    <w:p>
      <w:pPr>
        <w:tabs>
          <w:tab w:val="left" w:pos="1080"/>
        </w:tabs>
        <w:spacing w:line="360" w:lineRule="auto"/>
        <w:ind w:firstLine="480" w:firstLineChars="200"/>
        <w:jc w:val="left"/>
        <w:outlineLvl w:val="5"/>
        <w:rPr>
          <w:rFonts w:hint="eastAsia" w:ascii="宋体" w:hAnsi="宋体" w:cs="宋体"/>
          <w:sz w:val="24"/>
        </w:rPr>
      </w:pPr>
      <w:r>
        <w:rPr>
          <w:rFonts w:hint="eastAsia" w:ascii="宋体" w:hAnsi="宋体" w:cs="宋体"/>
          <w:sz w:val="24"/>
        </w:rPr>
        <w:t>19.1 投标人应在投标文件正本和所有副本的封面上注明投标人名称、招标编号、项目名称。</w:t>
      </w:r>
    </w:p>
    <w:p>
      <w:pPr>
        <w:tabs>
          <w:tab w:val="left" w:pos="1080"/>
        </w:tabs>
        <w:spacing w:line="360" w:lineRule="auto"/>
        <w:ind w:firstLine="480" w:firstLineChars="200"/>
        <w:jc w:val="left"/>
        <w:rPr>
          <w:rFonts w:hint="eastAsia" w:ascii="宋体" w:hAnsi="宋体" w:cs="宋体"/>
          <w:sz w:val="24"/>
        </w:rPr>
      </w:pPr>
      <w:r>
        <w:rPr>
          <w:rFonts w:hint="eastAsia" w:ascii="宋体" w:hAnsi="宋体" w:cs="宋体"/>
          <w:sz w:val="24"/>
        </w:rPr>
        <w:t xml:space="preserve">19.2 投标文件包括正本、副本和用于开标唱标单独提交的“开标一览表”。投标文件应当密封，其中，“开标一览表”“资格性投标文件”“其他响应性投标文件”“电子文档”应分别单独密封。密封袋上应分别标上“资格性投标文件”、“其他响应性投标文件”、“开标一览表”“电子文档”、字样，并注明包号、投标人名称、招标编号、项目名称。 </w:t>
      </w:r>
    </w:p>
    <w:p>
      <w:pPr>
        <w:pStyle w:val="2"/>
        <w:rPr>
          <w:rFonts w:hint="eastAsia" w:ascii="宋体" w:hAnsi="宋体" w:cs="宋体"/>
        </w:rPr>
      </w:pPr>
    </w:p>
    <w:bookmarkEnd w:id="96"/>
    <w:bookmarkEnd w:id="97"/>
    <w:bookmarkEnd w:id="98"/>
    <w:bookmarkEnd w:id="99"/>
    <w:bookmarkEnd w:id="100"/>
    <w:bookmarkEnd w:id="101"/>
    <w:bookmarkEnd w:id="102"/>
    <w:bookmarkEnd w:id="103"/>
    <w:p>
      <w:pPr>
        <w:pStyle w:val="5"/>
        <w:tabs>
          <w:tab w:val="left" w:pos="2100"/>
        </w:tabs>
        <w:spacing w:line="360" w:lineRule="auto"/>
        <w:ind w:firstLine="482"/>
        <w:rPr>
          <w:rFonts w:hint="eastAsia" w:ascii="宋体" w:hAnsi="宋体" w:cs="宋体"/>
          <w:szCs w:val="24"/>
        </w:rPr>
      </w:pPr>
      <w:bookmarkStart w:id="109" w:name="_Toc217446056"/>
      <w:bookmarkStart w:id="110" w:name="_Toc183582231"/>
      <w:bookmarkStart w:id="111" w:name="_Toc77400782"/>
      <w:bookmarkStart w:id="112" w:name="_Toc89075878"/>
      <w:bookmarkStart w:id="113" w:name="_Toc308164805"/>
      <w:bookmarkStart w:id="114" w:name="_Toc183682368"/>
      <w:bookmarkStart w:id="115" w:name="_Toc503862782"/>
      <w:r>
        <w:rPr>
          <w:rFonts w:hint="eastAsia" w:ascii="宋体" w:hAnsi="宋体" w:cs="宋体"/>
          <w:szCs w:val="24"/>
        </w:rPr>
        <w:t>20．投标文件的递交</w:t>
      </w:r>
    </w:p>
    <w:p>
      <w:pPr>
        <w:tabs>
          <w:tab w:val="left" w:pos="1095"/>
        </w:tabs>
        <w:spacing w:line="360" w:lineRule="auto"/>
        <w:ind w:firstLine="480" w:firstLineChars="200"/>
        <w:jc w:val="left"/>
        <w:rPr>
          <w:rFonts w:hint="eastAsia" w:ascii="宋体" w:hAnsi="宋体" w:cs="宋体"/>
          <w:sz w:val="24"/>
        </w:rPr>
      </w:pPr>
      <w:r>
        <w:rPr>
          <w:rFonts w:hint="eastAsia" w:ascii="宋体" w:hAnsi="宋体" w:cs="宋体"/>
          <w:sz w:val="24"/>
        </w:rPr>
        <w:t>20.1 投标人应在招标文件规定的投标截止时间前，将投标文件按招标文件的规定密封后送达开标地点。投标截止时间以后送达的投标文件将不予接收。</w:t>
      </w:r>
    </w:p>
    <w:p>
      <w:pPr>
        <w:tabs>
          <w:tab w:val="left" w:pos="1095"/>
        </w:tabs>
        <w:spacing w:line="360" w:lineRule="auto"/>
        <w:ind w:firstLine="480" w:firstLineChars="200"/>
        <w:jc w:val="left"/>
        <w:rPr>
          <w:rFonts w:hint="eastAsia" w:ascii="宋体" w:hAnsi="宋体" w:cs="宋体"/>
          <w:sz w:val="24"/>
        </w:rPr>
      </w:pPr>
      <w:r>
        <w:rPr>
          <w:rFonts w:hint="eastAsia" w:ascii="宋体" w:hAnsi="宋体" w:cs="宋体"/>
          <w:sz w:val="24"/>
        </w:rPr>
        <w:t>20.2递交投标文件时，报名投标人名称和招标文件的文号应当与投标投标人名称和招标文件的文号一致。但是，投标文件实质内容报名投标人名称和招标文件的编号一致，只是封面文字错误的，可以在评标过程中当面予以澄清，以有效的澄清材料作为认定投标文件是否有效的依据。</w:t>
      </w:r>
    </w:p>
    <w:p>
      <w:pPr>
        <w:tabs>
          <w:tab w:val="left" w:pos="1095"/>
        </w:tabs>
        <w:spacing w:line="360" w:lineRule="auto"/>
        <w:ind w:firstLine="480" w:firstLineChars="200"/>
        <w:jc w:val="left"/>
        <w:rPr>
          <w:rFonts w:hint="eastAsia" w:ascii="宋体" w:hAnsi="宋体" w:cs="宋体"/>
          <w:sz w:val="24"/>
        </w:rPr>
      </w:pPr>
      <w:r>
        <w:rPr>
          <w:rFonts w:hint="eastAsia" w:ascii="宋体" w:hAnsi="宋体" w:cs="宋体"/>
          <w:sz w:val="24"/>
        </w:rPr>
        <w:t>20.3本次招标不接收邮寄的投标文件。</w:t>
      </w:r>
    </w:p>
    <w:p>
      <w:pPr>
        <w:pStyle w:val="5"/>
        <w:tabs>
          <w:tab w:val="left" w:pos="2100"/>
        </w:tabs>
        <w:spacing w:line="360" w:lineRule="auto"/>
        <w:ind w:firstLine="482"/>
        <w:rPr>
          <w:rFonts w:hint="eastAsia" w:ascii="宋体" w:hAnsi="宋体" w:cs="宋体"/>
          <w:szCs w:val="24"/>
        </w:rPr>
      </w:pPr>
      <w:r>
        <w:rPr>
          <w:rFonts w:hint="eastAsia" w:ascii="宋体" w:hAnsi="宋体" w:cs="宋体"/>
          <w:szCs w:val="24"/>
        </w:rPr>
        <w:t>21．投标文件的修改和撤回</w:t>
      </w:r>
    </w:p>
    <w:p>
      <w:pPr>
        <w:spacing w:line="360" w:lineRule="auto"/>
        <w:ind w:firstLine="480" w:firstLineChars="200"/>
        <w:jc w:val="left"/>
        <w:rPr>
          <w:rFonts w:hint="eastAsia" w:ascii="宋体" w:hAnsi="宋体" w:cs="宋体"/>
          <w:sz w:val="24"/>
        </w:rPr>
      </w:pPr>
      <w:r>
        <w:rPr>
          <w:rFonts w:hint="eastAsia" w:ascii="宋体" w:hAnsi="宋体" w:cs="宋体"/>
          <w:sz w:val="24"/>
        </w:rPr>
        <w:t>21.1 投标人在递交了投标文件后，可以修改或撤回其投标文件，但必须在规定的投标截止时间前，以书面形式通知采购代理机构。</w:t>
      </w:r>
    </w:p>
    <w:p>
      <w:pPr>
        <w:spacing w:line="360" w:lineRule="auto"/>
        <w:ind w:firstLine="480" w:firstLineChars="200"/>
        <w:jc w:val="left"/>
        <w:rPr>
          <w:rFonts w:hint="eastAsia" w:ascii="宋体" w:hAnsi="宋体" w:cs="宋体"/>
          <w:sz w:val="24"/>
        </w:rPr>
      </w:pPr>
      <w:r>
        <w:rPr>
          <w:rFonts w:hint="eastAsia" w:ascii="宋体" w:hAnsi="宋体" w:cs="宋体"/>
          <w:sz w:val="24"/>
        </w:rPr>
        <w:t>21.2 投标人的修改书或撤回通知书，应由其法定代表人或授权代表签署并盖单位印章。修改书应按投标须知第19条规定进行密封和标注，并在密封袋上标注“修改”字样。</w:t>
      </w:r>
    </w:p>
    <w:p>
      <w:pPr>
        <w:spacing w:line="360" w:lineRule="auto"/>
        <w:ind w:firstLine="480" w:firstLineChars="200"/>
        <w:jc w:val="left"/>
        <w:rPr>
          <w:rFonts w:hint="eastAsia" w:hAnsi="宋体" w:cs="宋体"/>
          <w:sz w:val="24"/>
        </w:rPr>
      </w:pPr>
      <w:r>
        <w:rPr>
          <w:rFonts w:hint="eastAsia" w:ascii="宋体" w:hAnsi="宋体" w:cs="宋体"/>
          <w:sz w:val="24"/>
        </w:rPr>
        <w:t>21.3 在投标截止时间之后，投标人不得对其递交的投标文件做任何修改，撤回投标的，将按照有</w:t>
      </w:r>
      <w:r>
        <w:rPr>
          <w:rFonts w:hint="eastAsia" w:hAnsi="宋体" w:cs="宋体"/>
          <w:sz w:val="24"/>
        </w:rPr>
        <w:t>关规定进行相应处理。</w:t>
      </w:r>
    </w:p>
    <w:p>
      <w:pPr>
        <w:pStyle w:val="4"/>
        <w:spacing w:line="360" w:lineRule="auto"/>
        <w:jc w:val="center"/>
      </w:pPr>
      <w:r>
        <w:rPr>
          <w:rFonts w:hint="eastAsia"/>
        </w:rPr>
        <w:t>五、开标和中标</w:t>
      </w:r>
      <w:bookmarkEnd w:id="109"/>
      <w:bookmarkEnd w:id="110"/>
      <w:bookmarkEnd w:id="111"/>
      <w:bookmarkEnd w:id="112"/>
      <w:bookmarkEnd w:id="113"/>
      <w:bookmarkEnd w:id="114"/>
      <w:bookmarkEnd w:id="115"/>
    </w:p>
    <w:p>
      <w:pPr>
        <w:pStyle w:val="5"/>
        <w:tabs>
          <w:tab w:val="left" w:pos="2100"/>
        </w:tabs>
        <w:spacing w:line="360" w:lineRule="auto"/>
        <w:ind w:firstLine="482"/>
        <w:rPr>
          <w:rFonts w:hint="eastAsia" w:ascii="宋体" w:hAnsi="宋体" w:cs="宋体"/>
          <w:szCs w:val="24"/>
        </w:rPr>
      </w:pPr>
      <w:bookmarkStart w:id="116" w:name="_Toc183682369"/>
      <w:bookmarkStart w:id="117" w:name="_Toc183582232"/>
      <w:bookmarkStart w:id="118" w:name="_Toc217446057"/>
      <w:bookmarkStart w:id="119" w:name="_Toc217446064"/>
      <w:bookmarkStart w:id="120" w:name="_Toc308164810"/>
      <w:bookmarkStart w:id="121" w:name="_Toc503862785"/>
      <w:bookmarkStart w:id="122" w:name="_Toc183682377"/>
      <w:bookmarkStart w:id="123" w:name="_Toc183582240"/>
      <w:r>
        <w:rPr>
          <w:rFonts w:hint="eastAsia" w:ascii="宋体" w:hAnsi="宋体" w:cs="宋体"/>
          <w:szCs w:val="24"/>
        </w:rPr>
        <w:t>22．开标</w:t>
      </w:r>
      <w:bookmarkEnd w:id="116"/>
      <w:bookmarkEnd w:id="117"/>
      <w:bookmarkEnd w:id="118"/>
    </w:p>
    <w:p>
      <w:pPr>
        <w:spacing w:line="360" w:lineRule="auto"/>
        <w:ind w:firstLine="480" w:firstLineChars="200"/>
        <w:jc w:val="left"/>
        <w:rPr>
          <w:rFonts w:hint="eastAsia" w:hAnsi="宋体" w:cs="宋体"/>
          <w:sz w:val="24"/>
        </w:rPr>
      </w:pPr>
      <w:bookmarkStart w:id="124" w:name="_Toc217446058"/>
      <w:r>
        <w:rPr>
          <w:rFonts w:hint="eastAsia" w:hAnsi="宋体" w:cs="宋体"/>
          <w:sz w:val="24"/>
        </w:rPr>
        <w:t>22.1 开标在招标文件规定的时间和地点公开进行，采购人、投标人须派代表参加并签到以证明其出席。开标由采购代理机构主持，采购人、投标人代表参加。评标专家不参加开标活动。</w:t>
      </w:r>
    </w:p>
    <w:p>
      <w:pPr>
        <w:spacing w:line="360" w:lineRule="auto"/>
        <w:ind w:firstLine="480" w:firstLineChars="200"/>
        <w:jc w:val="left"/>
        <w:rPr>
          <w:rFonts w:hint="eastAsia" w:hAnsi="宋体" w:cs="宋体"/>
          <w:sz w:val="24"/>
        </w:rPr>
      </w:pPr>
      <w:r>
        <w:rPr>
          <w:rFonts w:hint="eastAsia" w:hAnsi="宋体" w:cs="宋体"/>
          <w:sz w:val="24"/>
        </w:rPr>
        <w:t>22.2 开标时，可能根据具体情况邀请有关监督管理部门对开标活动进行现场监督。</w:t>
      </w:r>
    </w:p>
    <w:p>
      <w:pPr>
        <w:spacing w:line="360" w:lineRule="auto"/>
        <w:ind w:firstLine="480" w:firstLineChars="200"/>
        <w:jc w:val="left"/>
        <w:rPr>
          <w:rFonts w:hint="eastAsia" w:hAnsi="宋体" w:cs="宋体"/>
          <w:sz w:val="24"/>
        </w:rPr>
      </w:pPr>
      <w:r>
        <w:rPr>
          <w:rFonts w:hint="eastAsia" w:hAnsi="宋体" w:cs="宋体"/>
          <w:sz w:val="24"/>
        </w:rPr>
        <w:t>22.3 开标时，由投标人或者其推选的代表先检查其自己递交的投标文件的密封情况，经确认无误后，由招标工作人员将投标人单独递交的“开标一览表”当众拆封，并由唱标人员按照招标文件规定的内容进行宣读。</w:t>
      </w:r>
    </w:p>
    <w:p>
      <w:pPr>
        <w:snapToGrid w:val="0"/>
        <w:spacing w:line="360" w:lineRule="auto"/>
        <w:ind w:firstLine="480" w:firstLineChars="200"/>
        <w:jc w:val="left"/>
        <w:rPr>
          <w:rFonts w:hint="eastAsia" w:hAnsi="宋体" w:cs="宋体"/>
          <w:sz w:val="24"/>
        </w:rPr>
      </w:pPr>
      <w:r>
        <w:rPr>
          <w:rFonts w:hint="eastAsia" w:hAnsi="宋体" w:cs="宋体"/>
          <w:sz w:val="24"/>
        </w:rPr>
        <w:t>投标人或者其推选的代表确认投标文件情况，仅限于确认其自己递交的投标文件的密封情况，不代表对其他投标人的投标文件的密封情况确认。投标人或者其推选的代表对其他投标人的投标文件密封情况有异议的，可以当场反映开标主持人或者现场监督人员，要求开标现场记录人员予以记录，并在评标时予以认定处理，但不得干扰、阻挠开标工作的正常进行。</w:t>
      </w:r>
    </w:p>
    <w:p>
      <w:pPr>
        <w:snapToGrid w:val="0"/>
        <w:spacing w:line="360" w:lineRule="auto"/>
        <w:ind w:firstLine="480" w:firstLineChars="200"/>
        <w:jc w:val="left"/>
        <w:rPr>
          <w:rFonts w:hint="eastAsia" w:hAnsi="宋体" w:cs="宋体"/>
          <w:sz w:val="24"/>
        </w:rPr>
      </w:pPr>
      <w:r>
        <w:rPr>
          <w:rFonts w:hint="eastAsia" w:hAnsi="宋体" w:cs="宋体"/>
          <w:sz w:val="24"/>
        </w:rPr>
        <w:t>22.4 投标文件报价出现前后不一致的，按照下列规定修正：</w:t>
      </w:r>
    </w:p>
    <w:p>
      <w:pPr>
        <w:snapToGrid w:val="0"/>
        <w:spacing w:line="360" w:lineRule="auto"/>
        <w:ind w:firstLine="480" w:firstLineChars="200"/>
        <w:jc w:val="left"/>
        <w:rPr>
          <w:rFonts w:hint="eastAsia" w:hAnsi="宋体" w:cs="宋体"/>
          <w:sz w:val="24"/>
        </w:rPr>
      </w:pPr>
      <w:r>
        <w:rPr>
          <w:rFonts w:hint="eastAsia" w:hAnsi="宋体" w:cs="宋体"/>
          <w:sz w:val="24"/>
        </w:rPr>
        <w:t>（1）开标一览表（报价表）内容与投标文件中相应内容不一致的，以开标一览表（报价表）为准；</w:t>
      </w:r>
    </w:p>
    <w:p>
      <w:pPr>
        <w:snapToGrid w:val="0"/>
        <w:spacing w:line="360" w:lineRule="auto"/>
        <w:ind w:firstLine="480" w:firstLineChars="200"/>
        <w:jc w:val="left"/>
        <w:rPr>
          <w:rFonts w:hint="eastAsia" w:hAnsi="宋体" w:cs="宋体"/>
          <w:sz w:val="24"/>
        </w:rPr>
      </w:pPr>
      <w:r>
        <w:rPr>
          <w:rFonts w:hint="eastAsia" w:hAnsi="宋体" w:cs="宋体"/>
          <w:sz w:val="24"/>
        </w:rPr>
        <w:t>（2）大写金额与小写金额不一致的，以大写金额为准；</w:t>
      </w:r>
    </w:p>
    <w:p>
      <w:pPr>
        <w:snapToGrid w:val="0"/>
        <w:spacing w:line="360" w:lineRule="auto"/>
        <w:ind w:firstLine="480" w:firstLineChars="200"/>
        <w:jc w:val="left"/>
        <w:rPr>
          <w:rFonts w:hint="eastAsia" w:hAnsi="宋体" w:cs="宋体"/>
          <w:sz w:val="24"/>
        </w:rPr>
      </w:pPr>
      <w:r>
        <w:rPr>
          <w:rFonts w:hint="eastAsia" w:hAnsi="宋体" w:cs="宋体"/>
          <w:sz w:val="24"/>
        </w:rPr>
        <w:t>（3）单价金额小数点或者百分比有明显错位的，以开标一览表的总价为准，并修改单价；</w:t>
      </w:r>
    </w:p>
    <w:p>
      <w:pPr>
        <w:snapToGrid w:val="0"/>
        <w:spacing w:line="360" w:lineRule="auto"/>
        <w:ind w:firstLine="480" w:firstLineChars="200"/>
        <w:jc w:val="left"/>
        <w:rPr>
          <w:rFonts w:hint="eastAsia" w:hAnsi="宋体" w:cs="宋体"/>
          <w:sz w:val="24"/>
        </w:rPr>
      </w:pPr>
      <w:r>
        <w:rPr>
          <w:rFonts w:hint="eastAsia" w:hAnsi="宋体" w:cs="宋体"/>
          <w:sz w:val="24"/>
        </w:rPr>
        <w:t>（4）总价金额与按单价汇总金额不一致的，以单价金额计算结果为准。</w:t>
      </w:r>
    </w:p>
    <w:p>
      <w:pPr>
        <w:snapToGrid w:val="0"/>
        <w:spacing w:line="360" w:lineRule="auto"/>
        <w:ind w:firstLine="480" w:firstLineChars="200"/>
        <w:jc w:val="left"/>
        <w:rPr>
          <w:rFonts w:hint="eastAsia" w:hAnsi="宋体" w:cs="宋体"/>
          <w:sz w:val="24"/>
        </w:rPr>
      </w:pPr>
      <w:r>
        <w:rPr>
          <w:rFonts w:hint="eastAsia" w:hAnsi="宋体" w:cs="宋体"/>
          <w:sz w:val="24"/>
        </w:rPr>
        <w:t>同时出现两种以上不一致的，按照前款规定的顺序修正。修正后的报价经投标人确认后产生约束力，投标人不确认的，其投标无效。</w:t>
      </w:r>
    </w:p>
    <w:p>
      <w:pPr>
        <w:snapToGrid w:val="0"/>
        <w:spacing w:line="360" w:lineRule="auto"/>
        <w:ind w:firstLine="480" w:firstLineChars="200"/>
        <w:jc w:val="left"/>
        <w:rPr>
          <w:rFonts w:hint="eastAsia" w:hAnsi="宋体" w:cs="宋体"/>
          <w:sz w:val="24"/>
        </w:rPr>
      </w:pPr>
      <w:r>
        <w:rPr>
          <w:rFonts w:hint="eastAsia" w:hAnsi="宋体" w:cs="宋体"/>
          <w:sz w:val="24"/>
        </w:rPr>
        <w:t>22.5 所有投标唱标完毕，如投标人代表对宣读的“开标一览表”上的内容有异议的，应在获得开标会主持人同意后当场提出。如确实属于唱标人员宣读错了的，经现场监督人员核实后，当场予以更正。</w:t>
      </w:r>
    </w:p>
    <w:p>
      <w:pPr>
        <w:snapToGrid w:val="0"/>
        <w:spacing w:line="360" w:lineRule="auto"/>
        <w:ind w:firstLine="480" w:firstLineChars="200"/>
        <w:jc w:val="left"/>
        <w:rPr>
          <w:rFonts w:hint="eastAsia" w:hAnsi="宋体" w:cs="宋体"/>
          <w:sz w:val="24"/>
        </w:rPr>
      </w:pPr>
      <w:r>
        <w:rPr>
          <w:rFonts w:hint="eastAsia" w:hAnsi="宋体" w:cs="宋体"/>
          <w:sz w:val="24"/>
        </w:rPr>
        <w:t>22.6 开标时属于下列情况之一的，将作为无效投标处理:</w:t>
      </w:r>
    </w:p>
    <w:p>
      <w:pPr>
        <w:snapToGrid w:val="0"/>
        <w:spacing w:line="360" w:lineRule="auto"/>
        <w:ind w:firstLine="482" w:firstLineChars="200"/>
        <w:jc w:val="left"/>
        <w:rPr>
          <w:rFonts w:hint="eastAsia" w:hAnsi="宋体" w:cs="宋体"/>
          <w:b/>
          <w:sz w:val="24"/>
        </w:rPr>
      </w:pPr>
      <w:r>
        <w:rPr>
          <w:rFonts w:hint="eastAsia" w:hAnsi="宋体" w:cs="宋体"/>
          <w:b/>
          <w:sz w:val="24"/>
        </w:rPr>
        <w:t>（1）除本招标文件规定的情形以外，单独提交的“开标一览表”未按要求签字、盖章；</w:t>
      </w:r>
    </w:p>
    <w:p>
      <w:pPr>
        <w:snapToGrid w:val="0"/>
        <w:spacing w:line="360" w:lineRule="auto"/>
        <w:ind w:firstLine="482" w:firstLineChars="200"/>
        <w:jc w:val="left"/>
        <w:rPr>
          <w:rFonts w:hint="eastAsia" w:hAnsi="宋体" w:cs="宋体"/>
          <w:b/>
          <w:sz w:val="24"/>
        </w:rPr>
      </w:pPr>
      <w:r>
        <w:rPr>
          <w:rFonts w:hint="eastAsia" w:hAnsi="宋体" w:cs="宋体"/>
          <w:b/>
          <w:sz w:val="24"/>
        </w:rPr>
        <w:t>（2）没有提供单独递交用于开标的“开标一览表”的。</w:t>
      </w:r>
    </w:p>
    <w:p>
      <w:pPr>
        <w:pStyle w:val="5"/>
        <w:tabs>
          <w:tab w:val="left" w:pos="2100"/>
        </w:tabs>
        <w:spacing w:line="360" w:lineRule="auto"/>
        <w:ind w:firstLine="482"/>
        <w:rPr>
          <w:rFonts w:hint="eastAsia" w:ascii="宋体" w:hAnsi="宋体" w:cs="宋体"/>
          <w:szCs w:val="24"/>
        </w:rPr>
      </w:pPr>
      <w:r>
        <w:rPr>
          <w:rFonts w:hint="eastAsia" w:ascii="宋体" w:hAnsi="宋体" w:cs="宋体"/>
          <w:szCs w:val="24"/>
        </w:rPr>
        <w:t>23. 开标程序</w:t>
      </w:r>
      <w:bookmarkEnd w:id="124"/>
    </w:p>
    <w:p>
      <w:pPr>
        <w:spacing w:line="360" w:lineRule="auto"/>
        <w:ind w:firstLine="480" w:firstLineChars="200"/>
        <w:jc w:val="left"/>
        <w:outlineLvl w:val="5"/>
        <w:rPr>
          <w:rFonts w:hint="eastAsia" w:hAnsi="宋体" w:cs="宋体"/>
          <w:sz w:val="24"/>
        </w:rPr>
      </w:pPr>
      <w:r>
        <w:rPr>
          <w:rFonts w:hint="eastAsia" w:hAnsi="宋体" w:cs="宋体"/>
          <w:sz w:val="24"/>
        </w:rPr>
        <w:t>开标会主持人按照招标文件规定的开标时间宣布开标，按照规定要求主持开标会。开标将按以下程序进行：</w:t>
      </w:r>
    </w:p>
    <w:p>
      <w:pPr>
        <w:spacing w:line="360" w:lineRule="auto"/>
        <w:ind w:firstLine="480" w:firstLineChars="200"/>
        <w:jc w:val="left"/>
        <w:rPr>
          <w:rFonts w:hint="eastAsia" w:hAnsi="宋体" w:cs="宋体"/>
          <w:sz w:val="24"/>
        </w:rPr>
      </w:pPr>
      <w:r>
        <w:rPr>
          <w:rFonts w:hint="eastAsia" w:hAnsi="宋体" w:cs="宋体"/>
          <w:sz w:val="24"/>
        </w:rPr>
        <w:t>（1）宣布开标会开始，开标由采购代理机构主持，邀请投标人参加。根据“投标人签到表”宣布参加投标的投标人名单。</w:t>
      </w:r>
    </w:p>
    <w:p>
      <w:pPr>
        <w:spacing w:line="360" w:lineRule="auto"/>
        <w:ind w:firstLine="480" w:firstLineChars="200"/>
        <w:jc w:val="left"/>
        <w:outlineLvl w:val="5"/>
        <w:rPr>
          <w:rFonts w:hint="eastAsia" w:hAnsi="宋体" w:cs="宋体"/>
          <w:sz w:val="24"/>
        </w:rPr>
      </w:pPr>
      <w:r>
        <w:rPr>
          <w:rFonts w:hint="eastAsia" w:hAnsi="宋体" w:cs="宋体"/>
          <w:sz w:val="24"/>
        </w:rPr>
        <w:t>（2）宣布会场纪律和有关注意事项。</w:t>
      </w:r>
    </w:p>
    <w:p>
      <w:pPr>
        <w:spacing w:line="360" w:lineRule="auto"/>
        <w:ind w:firstLine="480" w:firstLineChars="200"/>
        <w:jc w:val="left"/>
        <w:outlineLvl w:val="5"/>
        <w:rPr>
          <w:rFonts w:hint="eastAsia" w:hAnsi="宋体" w:cs="宋体"/>
          <w:sz w:val="24"/>
        </w:rPr>
      </w:pPr>
      <w:r>
        <w:rPr>
          <w:rFonts w:hint="eastAsia" w:hAnsi="宋体" w:cs="宋体"/>
          <w:sz w:val="24"/>
        </w:rPr>
        <w:t>（3）根据投标人或者其推选的代表对投标文件密封的检查结果，当众宣布投标文件的密封情况。</w:t>
      </w:r>
    </w:p>
    <w:p>
      <w:pPr>
        <w:spacing w:line="360" w:lineRule="auto"/>
        <w:ind w:firstLine="480" w:firstLineChars="200"/>
        <w:jc w:val="left"/>
        <w:outlineLvl w:val="5"/>
        <w:rPr>
          <w:rFonts w:hint="eastAsia" w:hAnsi="宋体" w:cs="宋体"/>
          <w:sz w:val="24"/>
        </w:rPr>
      </w:pPr>
      <w:r>
        <w:rPr>
          <w:rFonts w:hint="eastAsia" w:hAnsi="宋体" w:cs="宋体"/>
          <w:sz w:val="24"/>
        </w:rPr>
        <w:t>（4）开标唱标。主持人宣布开标后，由现场工作人员按任意顺序对投标人的“开标一览表”当众进行拆封，由唱标人员宣读投标人名称、投标价格（价格折扣）、或招标文件允许提供的备选投标方案和投标文件的其他主要内容。未宣读的投标价格（价格折扣）或招标文件允许提供的备选投标方案等实质内容，评标时不予承认。同时，做好开标记录。唱标人员在唱标过程中，如遇有字迹不清楚或有明显错误的，应即刻报告主持人，经现场核实后，主持人立即请投标人代表现场进行澄清或确认。唱标完毕后投标人或者其推选的代表需现场对开标记录进行签字确认，投标人或者其推选的代表对唱标内容有异议的，可以当场提出，并要求会议记录人在开标记录中予以记录，或者另行提供书面异议资料，不签字又不提出异议的，视同认可唱标内容和结果，且不得干扰、阻挠开（唱）标、评标工作。</w:t>
      </w:r>
    </w:p>
    <w:p>
      <w:pPr>
        <w:spacing w:line="360" w:lineRule="auto"/>
        <w:ind w:firstLine="480" w:firstLineChars="200"/>
        <w:jc w:val="left"/>
        <w:rPr>
          <w:rFonts w:hint="eastAsia" w:hAnsi="宋体" w:cs="宋体"/>
          <w:sz w:val="24"/>
        </w:rPr>
      </w:pPr>
      <w:r>
        <w:rPr>
          <w:rFonts w:hint="eastAsia" w:hAnsi="宋体" w:cs="宋体"/>
          <w:sz w:val="24"/>
        </w:rPr>
        <w:t>（5）投标人代表对开标过程和开标记录有疑义，以及认为采购人、采购代理机构相关工作人员有需要回避的情形的，应当场提出询问或者回避申请。采购人、采购代理机构对投标人代表提出的询问或者回避申请应当及时处理。开标过程中未提出疑义或回避申请，事后提出的质疑将不予受理。</w:t>
      </w:r>
    </w:p>
    <w:p>
      <w:pPr>
        <w:spacing w:line="360" w:lineRule="auto"/>
        <w:ind w:firstLine="480" w:firstLineChars="200"/>
        <w:jc w:val="left"/>
        <w:rPr>
          <w:rFonts w:hint="eastAsia" w:hAnsi="宋体" w:cs="宋体"/>
          <w:sz w:val="24"/>
        </w:rPr>
      </w:pPr>
      <w:r>
        <w:rPr>
          <w:rFonts w:hint="eastAsia" w:hAnsi="宋体" w:cs="宋体"/>
          <w:sz w:val="24"/>
        </w:rPr>
        <w:t>（6）宣布开标会结束。主持人宣布开标会结束。所有投标人代表应立即退场（招标文件要求有演示、介绍等的除外）。同时所有投标人应保持通讯设备的畅通，以方便在评标过程中评标委员会要求投标人对投标文件的必要澄清。评标结果投标人在“四川政府采购网”上查询。</w:t>
      </w:r>
    </w:p>
    <w:p>
      <w:pPr>
        <w:pStyle w:val="18"/>
        <w:spacing w:before="0" w:beforeAutospacing="0" w:after="0" w:afterAutospacing="0" w:line="360" w:lineRule="auto"/>
        <w:ind w:firstLine="360" w:firstLineChars="200"/>
        <w:rPr>
          <w:rFonts w:hint="eastAsia" w:cs="宋体"/>
          <w:szCs w:val="24"/>
        </w:rPr>
      </w:pPr>
      <w:r>
        <w:rPr>
          <w:rFonts w:hint="eastAsia" w:cs="宋体"/>
          <w:szCs w:val="24"/>
        </w:rPr>
        <w:t>（7）投标人未参加开标的，视同认可开标结果。</w:t>
      </w:r>
      <w:r>
        <w:rPr>
          <w:rFonts w:hint="eastAsia" w:cs="宋体"/>
          <w:szCs w:val="24"/>
          <w:shd w:val="clear" w:color="auto" w:fill="FFFFFF"/>
        </w:rPr>
        <w:t>　</w:t>
      </w:r>
    </w:p>
    <w:p>
      <w:pPr>
        <w:pStyle w:val="5"/>
        <w:tabs>
          <w:tab w:val="left" w:pos="2100"/>
        </w:tabs>
        <w:spacing w:line="360" w:lineRule="auto"/>
        <w:ind w:firstLine="482"/>
        <w:rPr>
          <w:rFonts w:hint="eastAsia" w:ascii="宋体" w:hAnsi="宋体" w:cs="宋体"/>
          <w:szCs w:val="24"/>
        </w:rPr>
      </w:pPr>
      <w:bookmarkStart w:id="125" w:name="_Toc183582238"/>
      <w:bookmarkStart w:id="126" w:name="_Toc183682375"/>
      <w:bookmarkStart w:id="127" w:name="_Toc217446063"/>
      <w:r>
        <w:rPr>
          <w:rFonts w:hint="eastAsia" w:ascii="宋体" w:hAnsi="宋体" w:cs="宋体"/>
          <w:szCs w:val="24"/>
        </w:rPr>
        <w:t>24. 开评标过程存档</w:t>
      </w:r>
    </w:p>
    <w:p>
      <w:pPr>
        <w:spacing w:line="360" w:lineRule="auto"/>
        <w:ind w:firstLine="480" w:firstLineChars="200"/>
        <w:jc w:val="left"/>
        <w:rPr>
          <w:rFonts w:hint="eastAsia" w:hAnsi="宋体" w:cs="宋体"/>
          <w:sz w:val="24"/>
        </w:rPr>
      </w:pPr>
      <w:r>
        <w:rPr>
          <w:rFonts w:hint="eastAsia" w:hAnsi="宋体" w:cs="宋体"/>
          <w:sz w:val="24"/>
        </w:rPr>
        <w:t>开标和评标过程进行全过程电子监控，并将电子监控资料存储介质留存归档。</w:t>
      </w:r>
    </w:p>
    <w:p>
      <w:pPr>
        <w:pStyle w:val="5"/>
        <w:tabs>
          <w:tab w:val="left" w:pos="2100"/>
        </w:tabs>
        <w:spacing w:line="360" w:lineRule="auto"/>
        <w:ind w:firstLine="482"/>
        <w:rPr>
          <w:rFonts w:hint="eastAsia" w:ascii="宋体" w:hAnsi="宋体" w:cs="宋体"/>
          <w:szCs w:val="24"/>
        </w:rPr>
      </w:pPr>
      <w:r>
        <w:rPr>
          <w:rFonts w:hint="eastAsia" w:ascii="宋体" w:hAnsi="宋体" w:cs="宋体"/>
          <w:szCs w:val="24"/>
        </w:rPr>
        <w:t>25. 评标情况公告</w:t>
      </w:r>
    </w:p>
    <w:p>
      <w:pPr>
        <w:spacing w:line="360" w:lineRule="auto"/>
        <w:ind w:firstLine="480" w:firstLineChars="200"/>
        <w:jc w:val="left"/>
        <w:rPr>
          <w:rFonts w:hint="eastAsia" w:hAnsi="宋体" w:cs="宋体"/>
          <w:sz w:val="24"/>
        </w:rPr>
      </w:pPr>
      <w:r>
        <w:rPr>
          <w:rFonts w:hint="eastAsia" w:hAnsi="宋体" w:cs="宋体"/>
          <w:sz w:val="24"/>
        </w:rPr>
        <w:t>所有投标人投标文件资格性、符合性检查情况、采用综合评分法时的总得分和分项汇总得分情况、评标结果等将在“四川政府采购网”上采购结果公告栏中予以公告。</w:t>
      </w:r>
    </w:p>
    <w:p>
      <w:pPr>
        <w:pStyle w:val="5"/>
        <w:tabs>
          <w:tab w:val="left" w:pos="2100"/>
        </w:tabs>
        <w:spacing w:line="360" w:lineRule="auto"/>
        <w:ind w:firstLine="482"/>
        <w:rPr>
          <w:rFonts w:hint="eastAsia" w:ascii="宋体" w:hAnsi="宋体" w:cs="宋体"/>
          <w:szCs w:val="24"/>
        </w:rPr>
      </w:pPr>
      <w:r>
        <w:rPr>
          <w:rFonts w:hint="eastAsia" w:ascii="宋体" w:hAnsi="宋体" w:cs="宋体"/>
          <w:szCs w:val="24"/>
        </w:rPr>
        <w:t>26. 中标通知</w:t>
      </w:r>
      <w:bookmarkEnd w:id="125"/>
      <w:bookmarkEnd w:id="126"/>
      <w:r>
        <w:rPr>
          <w:rFonts w:hint="eastAsia" w:ascii="宋体" w:hAnsi="宋体" w:cs="宋体"/>
          <w:szCs w:val="24"/>
        </w:rPr>
        <w:t>书</w:t>
      </w:r>
      <w:bookmarkEnd w:id="127"/>
    </w:p>
    <w:p>
      <w:pPr>
        <w:tabs>
          <w:tab w:val="left" w:pos="7665"/>
        </w:tabs>
        <w:adjustRightInd w:val="0"/>
        <w:snapToGrid w:val="0"/>
        <w:spacing w:line="360" w:lineRule="auto"/>
        <w:ind w:firstLine="480" w:firstLineChars="200"/>
        <w:jc w:val="left"/>
        <w:rPr>
          <w:rFonts w:hint="eastAsia" w:hAnsi="宋体" w:cs="宋体"/>
          <w:sz w:val="24"/>
        </w:rPr>
      </w:pPr>
      <w:r>
        <w:rPr>
          <w:rFonts w:hint="eastAsia" w:hAnsi="宋体" w:cs="宋体"/>
          <w:sz w:val="24"/>
        </w:rPr>
        <w:t>26</w:t>
      </w:r>
      <w:r>
        <w:rPr>
          <w:rFonts w:hint="eastAsia" w:hAnsi="宋体" w:cs="宋体"/>
          <w:bCs/>
          <w:sz w:val="24"/>
        </w:rPr>
        <w:t>.</w:t>
      </w:r>
      <w:r>
        <w:rPr>
          <w:rFonts w:hint="eastAsia" w:hAnsi="宋体" w:cs="宋体"/>
          <w:sz w:val="24"/>
        </w:rPr>
        <w:t>1 中标通知书为签订政府采购合同的依据之一，是合同的有效组成部分。</w:t>
      </w:r>
    </w:p>
    <w:p>
      <w:pPr>
        <w:tabs>
          <w:tab w:val="left" w:pos="7665"/>
        </w:tabs>
        <w:adjustRightInd w:val="0"/>
        <w:snapToGrid w:val="0"/>
        <w:spacing w:line="360" w:lineRule="auto"/>
        <w:ind w:firstLine="480" w:firstLineChars="200"/>
        <w:jc w:val="left"/>
        <w:rPr>
          <w:rFonts w:hint="eastAsia" w:hAnsi="宋体" w:cs="宋体"/>
          <w:sz w:val="24"/>
        </w:rPr>
      </w:pPr>
      <w:r>
        <w:rPr>
          <w:rFonts w:hint="eastAsia" w:hAnsi="宋体" w:cs="宋体"/>
          <w:sz w:val="24"/>
        </w:rPr>
        <w:t>26.2 中标通知书对采购人和中标人均具有法律效力。中标通知书发出后，采购人改变中标结果，或者中标人无正当理由放弃中标的，应当承担相应的法律责任。</w:t>
      </w:r>
    </w:p>
    <w:p>
      <w:pPr>
        <w:tabs>
          <w:tab w:val="left" w:pos="7665"/>
        </w:tabs>
        <w:adjustRightInd w:val="0"/>
        <w:snapToGrid w:val="0"/>
        <w:spacing w:line="360" w:lineRule="auto"/>
        <w:ind w:firstLine="480" w:firstLineChars="200"/>
        <w:jc w:val="left"/>
        <w:rPr>
          <w:rFonts w:hint="eastAsia" w:hAnsi="宋体" w:cs="宋体"/>
          <w:sz w:val="24"/>
        </w:rPr>
      </w:pPr>
      <w:r>
        <w:rPr>
          <w:rFonts w:hint="eastAsia" w:hAnsi="宋体" w:cs="宋体"/>
          <w:sz w:val="24"/>
        </w:rPr>
        <w:t>26.3中标人的投标文件本应作为无效投标处理或者有政府采购法律法规规章制度规定的中标无效情形的，招标采购单位在取得有权主体的认定以后，将宣布发出的中标通知书无效，并收回发出的中标通知书（中标人也应当缴回），依法重新确定中标人或者重新开展采购活动。</w:t>
      </w:r>
    </w:p>
    <w:p>
      <w:pPr>
        <w:tabs>
          <w:tab w:val="left" w:pos="7665"/>
        </w:tabs>
        <w:adjustRightInd w:val="0"/>
        <w:snapToGrid w:val="0"/>
        <w:spacing w:line="360" w:lineRule="auto"/>
        <w:ind w:firstLine="480" w:firstLineChars="200"/>
        <w:jc w:val="left"/>
        <w:rPr>
          <w:rFonts w:hint="eastAsia" w:hAnsi="宋体" w:cs="宋体"/>
          <w:sz w:val="24"/>
        </w:rPr>
      </w:pPr>
      <w:r>
        <w:rPr>
          <w:rFonts w:hint="eastAsia" w:hAnsi="宋体" w:cs="宋体"/>
          <w:sz w:val="24"/>
        </w:rPr>
        <w:t>26.4中标公告发出后，中标投标人自行领取中标通知书的，可凭有效身份证明证件（单位介绍信和个人身份证）到采购代理机构处领取中标通知书。</w:t>
      </w:r>
    </w:p>
    <w:p>
      <w:pPr>
        <w:pStyle w:val="2"/>
        <w:rPr>
          <w:rFonts w:hint="eastAsia" w:ascii="宋体" w:hAnsi="宋体" w:cs="宋体"/>
        </w:rPr>
      </w:pPr>
    </w:p>
    <w:p>
      <w:pPr>
        <w:pStyle w:val="4"/>
        <w:spacing w:line="360" w:lineRule="auto"/>
        <w:jc w:val="center"/>
        <w:rPr>
          <w:rFonts w:hint="eastAsia" w:ascii="宋体" w:hAnsi="宋体" w:eastAsia="宋体" w:cs="宋体"/>
        </w:rPr>
      </w:pPr>
      <w:r>
        <w:rPr>
          <w:rFonts w:hint="eastAsia" w:ascii="宋体" w:hAnsi="宋体" w:eastAsia="宋体" w:cs="宋体"/>
        </w:rPr>
        <w:t>六、签订及履行合同和验收</w:t>
      </w:r>
      <w:bookmarkEnd w:id="119"/>
      <w:bookmarkEnd w:id="120"/>
      <w:bookmarkEnd w:id="121"/>
    </w:p>
    <w:bookmarkEnd w:id="122"/>
    <w:bookmarkEnd w:id="123"/>
    <w:p>
      <w:pPr>
        <w:pStyle w:val="5"/>
        <w:tabs>
          <w:tab w:val="left" w:pos="2100"/>
        </w:tabs>
        <w:spacing w:line="360" w:lineRule="auto"/>
        <w:ind w:firstLine="482"/>
        <w:rPr>
          <w:rFonts w:hint="eastAsia" w:ascii="宋体" w:hAnsi="宋体" w:cs="宋体"/>
        </w:rPr>
      </w:pPr>
      <w:bookmarkStart w:id="128" w:name="_Toc217446074"/>
      <w:bookmarkStart w:id="129" w:name="_Toc503862795"/>
      <w:bookmarkStart w:id="130" w:name="_Toc308164815"/>
      <w:bookmarkStart w:id="131" w:name="_Toc183682380"/>
      <w:bookmarkStart w:id="132" w:name="_Toc183582243"/>
      <w:r>
        <w:rPr>
          <w:rFonts w:hint="eastAsia" w:ascii="宋体" w:hAnsi="宋体" w:cs="宋体"/>
        </w:rPr>
        <w:t>27. 签订合同</w:t>
      </w:r>
    </w:p>
    <w:p>
      <w:pPr>
        <w:spacing w:line="360" w:lineRule="auto"/>
        <w:ind w:firstLine="480" w:firstLineChars="200"/>
        <w:jc w:val="left"/>
        <w:rPr>
          <w:rFonts w:hint="eastAsia" w:hAnsi="宋体" w:cs="宋体"/>
          <w:sz w:val="24"/>
        </w:rPr>
      </w:pPr>
      <w:r>
        <w:rPr>
          <w:rFonts w:hint="eastAsia" w:hAnsi="宋体" w:cs="宋体"/>
          <w:sz w:val="24"/>
        </w:rPr>
        <w:t>27.1 中标人应在中标通知书发出之日起三十日内与采购人签订采购合同。由于中标人的原因逾期未与采购人签订采购合同的，将视为放弃中标，取消其中标资格并将按相关规定进行处理。</w:t>
      </w:r>
    </w:p>
    <w:p>
      <w:pPr>
        <w:spacing w:line="360" w:lineRule="auto"/>
        <w:ind w:firstLine="480" w:firstLineChars="200"/>
        <w:jc w:val="left"/>
        <w:rPr>
          <w:rFonts w:hint="eastAsia" w:hAnsi="宋体" w:cs="宋体"/>
          <w:sz w:val="24"/>
        </w:rPr>
      </w:pPr>
      <w:r>
        <w:rPr>
          <w:rFonts w:hint="eastAsia" w:hAnsi="宋体" w:cs="宋体"/>
          <w:sz w:val="24"/>
        </w:rPr>
        <w:t>27.2 采购人不得向中标人提出任何不合理的要求，作为签订合同的条件，不得与中标人私下订立背离合同实质性内容的任何协议，所签订的合同不得对招标文件和中标人投标文件确定的事项进行修改。</w:t>
      </w:r>
    </w:p>
    <w:p>
      <w:pPr>
        <w:spacing w:line="360" w:lineRule="auto"/>
        <w:ind w:firstLine="480" w:firstLineChars="200"/>
        <w:jc w:val="left"/>
        <w:rPr>
          <w:rFonts w:hint="eastAsia" w:hAnsi="宋体" w:cs="宋体"/>
          <w:sz w:val="24"/>
        </w:rPr>
      </w:pPr>
      <w:r>
        <w:rPr>
          <w:rFonts w:hint="eastAsia" w:hAnsi="宋体" w:cs="宋体"/>
          <w:sz w:val="24"/>
        </w:rPr>
        <w:t>27.3中标人拒绝或因不可抗力原因不能履行采购合同或放弃中标的，采购人可以按照评标报告推荐的中标候选人名单排序，确定下一候选人为中标人，以此类推。也可以重新开展政府采购活动。</w:t>
      </w:r>
    </w:p>
    <w:p>
      <w:pPr>
        <w:spacing w:line="360" w:lineRule="auto"/>
        <w:ind w:firstLine="480" w:firstLineChars="200"/>
        <w:jc w:val="left"/>
        <w:rPr>
          <w:rFonts w:hint="eastAsia" w:hAnsi="宋体" w:cs="宋体"/>
          <w:sz w:val="24"/>
        </w:rPr>
      </w:pPr>
      <w:r>
        <w:rPr>
          <w:rFonts w:hint="eastAsia" w:hAnsi="宋体" w:cs="宋体"/>
          <w:sz w:val="24"/>
        </w:rPr>
        <w:t>27.4 中标人在合同签订之后三个工作日内，将签订的合同（一份）送采购代理机构财务科室。签订的合同编号按照本项目中标通知书上的编号执行。</w:t>
      </w:r>
    </w:p>
    <w:p>
      <w:pPr>
        <w:spacing w:line="360" w:lineRule="auto"/>
        <w:ind w:firstLine="480" w:firstLineChars="200"/>
        <w:jc w:val="left"/>
        <w:rPr>
          <w:rFonts w:hint="eastAsia" w:hAnsi="宋体" w:cs="宋体"/>
          <w:sz w:val="24"/>
        </w:rPr>
      </w:pPr>
      <w:r>
        <w:rPr>
          <w:rFonts w:hint="eastAsia" w:hAnsi="宋体" w:cs="宋体"/>
          <w:sz w:val="24"/>
        </w:rPr>
        <w:t>27.5中标人在合同履行验收后三个工作日内，将采购人出具的验收书（一份）送采购代理机构财务科室。</w:t>
      </w:r>
    </w:p>
    <w:p>
      <w:pPr>
        <w:pStyle w:val="5"/>
        <w:tabs>
          <w:tab w:val="left" w:pos="2100"/>
        </w:tabs>
        <w:spacing w:line="360" w:lineRule="auto"/>
        <w:ind w:firstLine="482"/>
        <w:rPr>
          <w:rFonts w:hint="eastAsia" w:ascii="宋体" w:hAnsi="宋体" w:cs="宋体"/>
        </w:rPr>
      </w:pPr>
      <w:bookmarkStart w:id="133" w:name="_Toc217446066"/>
      <w:r>
        <w:rPr>
          <w:rFonts w:hint="eastAsia" w:ascii="宋体" w:hAnsi="宋体" w:cs="宋体"/>
        </w:rPr>
        <w:t>28. 合同分包</w:t>
      </w:r>
      <w:bookmarkEnd w:id="133"/>
      <w:r>
        <w:rPr>
          <w:rFonts w:hint="eastAsia" w:ascii="宋体" w:hAnsi="宋体" w:cs="宋体"/>
        </w:rPr>
        <w:t>（实质性要求）</w:t>
      </w:r>
    </w:p>
    <w:p>
      <w:pPr>
        <w:adjustRightInd w:val="0"/>
        <w:snapToGrid w:val="0"/>
        <w:spacing w:line="360" w:lineRule="auto"/>
        <w:ind w:firstLine="480" w:firstLineChars="200"/>
        <w:jc w:val="left"/>
        <w:rPr>
          <w:rFonts w:hint="eastAsia" w:hAnsi="宋体" w:cs="宋体"/>
          <w:sz w:val="24"/>
        </w:rPr>
      </w:pPr>
      <w:bookmarkStart w:id="134" w:name="_Toc217446067"/>
      <w:r>
        <w:rPr>
          <w:rFonts w:hint="eastAsia" w:hAnsi="宋体" w:cs="宋体"/>
          <w:sz w:val="24"/>
        </w:rPr>
        <w:t>28.1 经采购人同意，中标人可以依法采取分包方式履行合同。这种要求应当在合同签订之前征得采购人同意，并且分包投标人履行的分包项目的品牌、技术要求及技术要求等，必须与中标的一致。</w:t>
      </w:r>
    </w:p>
    <w:p>
      <w:pPr>
        <w:adjustRightInd w:val="0"/>
        <w:snapToGrid w:val="0"/>
        <w:spacing w:line="360" w:lineRule="auto"/>
        <w:ind w:firstLine="480" w:firstLineChars="200"/>
        <w:jc w:val="left"/>
        <w:rPr>
          <w:rFonts w:hint="eastAsia" w:hAnsi="宋体" w:cs="宋体"/>
          <w:sz w:val="24"/>
        </w:rPr>
      </w:pPr>
      <w:r>
        <w:rPr>
          <w:rFonts w:hint="eastAsia" w:hAnsi="宋体" w:cs="宋体"/>
          <w:sz w:val="24"/>
        </w:rPr>
        <w:t>分包履行合同的部分应当为采购项目的非主体、非关键性工作，不属于中标人的主要合同义务。投标人根据招标文件的规定和采购项目的实际情况，拟在中标后将中标项目的非主体、非关键性工作分包的，应当在投标文件中载明分包承担主体，分包承担主体应当具备相应资质条件且不得再次分包。</w:t>
      </w:r>
    </w:p>
    <w:p>
      <w:pPr>
        <w:adjustRightInd w:val="0"/>
        <w:snapToGrid w:val="0"/>
        <w:spacing w:line="360" w:lineRule="auto"/>
        <w:ind w:firstLine="480" w:firstLineChars="200"/>
        <w:jc w:val="left"/>
        <w:rPr>
          <w:rFonts w:hint="eastAsia" w:hAnsi="宋体" w:cs="宋体"/>
          <w:sz w:val="24"/>
        </w:rPr>
      </w:pPr>
      <w:r>
        <w:rPr>
          <w:rFonts w:hint="eastAsia" w:hAnsi="宋体" w:cs="宋体"/>
          <w:sz w:val="24"/>
        </w:rPr>
        <w:t xml:space="preserve">28.2 采购合同实行分包履行的，中标人就采购项目和分包项目向采购人负责，分包供应商就分包项目承担责任。 </w:t>
      </w:r>
    </w:p>
    <w:bookmarkEnd w:id="134"/>
    <w:p>
      <w:pPr>
        <w:pStyle w:val="5"/>
        <w:tabs>
          <w:tab w:val="left" w:pos="2100"/>
        </w:tabs>
        <w:spacing w:line="360" w:lineRule="auto"/>
        <w:ind w:firstLine="480"/>
        <w:rPr>
          <w:rFonts w:hint="eastAsia" w:hAnsi="宋体" w:cs="宋体"/>
          <w:b w:val="0"/>
          <w:bCs w:val="0"/>
        </w:rPr>
      </w:pPr>
      <w:bookmarkStart w:id="135" w:name="_Toc217446069"/>
      <w:r>
        <w:rPr>
          <w:rFonts w:hint="eastAsia" w:hAnsi="宋体" w:cs="宋体"/>
          <w:b w:val="0"/>
          <w:bCs w:val="0"/>
        </w:rPr>
        <w:t>28.3 中小企业根据《政府采购促进中小企业发展管理办法》（财库〔2020〕46号）的规定依据本办法规定享受扶持政策获得政府采购合同的，小微企业不得将合同分包给大中型企业，中型企业不得将合同分包给大型企业；</w:t>
      </w:r>
    </w:p>
    <w:p>
      <w:pPr>
        <w:pStyle w:val="5"/>
        <w:tabs>
          <w:tab w:val="left" w:pos="2100"/>
        </w:tabs>
        <w:spacing w:line="360" w:lineRule="auto"/>
        <w:ind w:firstLine="482"/>
        <w:rPr>
          <w:rFonts w:hint="eastAsia" w:ascii="宋体" w:hAnsi="宋体" w:cs="宋体"/>
        </w:rPr>
      </w:pPr>
      <w:r>
        <w:rPr>
          <w:rFonts w:hint="eastAsia" w:ascii="宋体" w:hAnsi="宋体" w:cs="宋体"/>
        </w:rPr>
        <w:t>29.合同转包（实质性要求）</w:t>
      </w:r>
    </w:p>
    <w:p>
      <w:pPr>
        <w:adjustRightInd w:val="0"/>
        <w:snapToGrid w:val="0"/>
        <w:spacing w:line="360" w:lineRule="auto"/>
        <w:ind w:firstLine="480" w:firstLineChars="200"/>
        <w:jc w:val="left"/>
        <w:rPr>
          <w:rFonts w:hint="eastAsia" w:hAnsi="宋体" w:cs="宋体"/>
          <w:sz w:val="24"/>
        </w:rPr>
      </w:pPr>
      <w:r>
        <w:rPr>
          <w:rFonts w:hint="eastAsia" w:hAnsi="宋体" w:cs="宋体"/>
          <w:sz w:val="24"/>
        </w:rPr>
        <w:t>本采购项目严禁中标人将任何政府采购合同义务转包。本项目所称转包，是指中标人将政府采购合同义务转让给第三人，并退出现有政府采购合同当事人双方的权利义务关系，受让人（即第三人）成为政府采购合同的另一方当事人的行为。</w:t>
      </w:r>
    </w:p>
    <w:p>
      <w:pPr>
        <w:adjustRightInd w:val="0"/>
        <w:snapToGrid w:val="0"/>
        <w:spacing w:line="360" w:lineRule="auto"/>
        <w:ind w:firstLine="480" w:firstLineChars="200"/>
        <w:jc w:val="left"/>
        <w:rPr>
          <w:rFonts w:hint="eastAsia" w:hAnsi="宋体" w:cs="宋体"/>
          <w:sz w:val="24"/>
        </w:rPr>
      </w:pPr>
      <w:r>
        <w:rPr>
          <w:rFonts w:hint="eastAsia" w:hAnsi="宋体" w:cs="宋体"/>
          <w:sz w:val="24"/>
        </w:rPr>
        <w:t>中标人转包的，视同拒绝履行政府采购合同义务，将依法追究法律责任。</w:t>
      </w:r>
    </w:p>
    <w:p>
      <w:pPr>
        <w:pStyle w:val="5"/>
        <w:tabs>
          <w:tab w:val="left" w:pos="2100"/>
        </w:tabs>
        <w:spacing w:line="360" w:lineRule="auto"/>
        <w:ind w:firstLine="482"/>
        <w:rPr>
          <w:rFonts w:hint="eastAsia" w:ascii="宋体" w:hAnsi="宋体" w:cs="宋体"/>
        </w:rPr>
      </w:pPr>
      <w:r>
        <w:rPr>
          <w:rFonts w:hint="eastAsia" w:ascii="宋体" w:hAnsi="宋体" w:cs="宋体"/>
        </w:rPr>
        <w:t>30. 补充合同</w:t>
      </w:r>
    </w:p>
    <w:p>
      <w:pPr>
        <w:adjustRightInd w:val="0"/>
        <w:snapToGrid w:val="0"/>
        <w:spacing w:line="360" w:lineRule="auto"/>
        <w:ind w:firstLine="480" w:firstLineChars="200"/>
        <w:jc w:val="left"/>
        <w:rPr>
          <w:rFonts w:hint="eastAsia" w:hAnsi="宋体" w:cs="宋体"/>
          <w:sz w:val="24"/>
        </w:rPr>
      </w:pPr>
      <w:r>
        <w:rPr>
          <w:rFonts w:hint="eastAsia" w:hAnsi="宋体" w:cs="宋体"/>
          <w:sz w:val="24"/>
        </w:rPr>
        <w:t>采购合同履行过程中，采购人需要追加与合同标的相同的货物或者服务的，在不改变合同其他条款的前提下，可以与中标投标人协商签订补充合同，但所有补充合同的采购金额不得超过原合同采购金额的百分之十，该补充合同应当在原政府采购合同履行过程中，不得在原政府采购合同履行结束后，且采购货物、工程和服务的名称、价格、履约方式、验收标准等必须与原政府采购合同一致。</w:t>
      </w:r>
    </w:p>
    <w:p>
      <w:pPr>
        <w:pStyle w:val="5"/>
        <w:tabs>
          <w:tab w:val="left" w:pos="2100"/>
        </w:tabs>
        <w:spacing w:line="360" w:lineRule="auto"/>
        <w:ind w:firstLine="482"/>
        <w:rPr>
          <w:rFonts w:hint="eastAsia" w:ascii="宋体" w:hAnsi="宋体" w:cs="宋体"/>
        </w:rPr>
      </w:pPr>
      <w:bookmarkStart w:id="136" w:name="_Toc308164812"/>
      <w:r>
        <w:rPr>
          <w:rFonts w:hint="eastAsia" w:ascii="宋体" w:hAnsi="宋体" w:cs="宋体"/>
        </w:rPr>
        <w:t>31. 履约保证金</w:t>
      </w:r>
      <w:bookmarkEnd w:id="136"/>
      <w:r>
        <w:rPr>
          <w:rFonts w:hint="eastAsia" w:ascii="宋体" w:hAnsi="宋体" w:cs="宋体"/>
        </w:rPr>
        <w:t>（实质性要求）</w:t>
      </w:r>
    </w:p>
    <w:p>
      <w:pPr>
        <w:adjustRightInd w:val="0"/>
        <w:snapToGrid w:val="0"/>
        <w:spacing w:line="360" w:lineRule="auto"/>
        <w:ind w:firstLine="480" w:firstLineChars="200"/>
        <w:jc w:val="left"/>
        <w:rPr>
          <w:rFonts w:hint="eastAsia" w:hAnsi="宋体" w:cs="宋体"/>
          <w:sz w:val="24"/>
        </w:rPr>
      </w:pPr>
      <w:r>
        <w:rPr>
          <w:rFonts w:hint="eastAsia" w:hAnsi="宋体" w:cs="宋体"/>
          <w:sz w:val="24"/>
        </w:rPr>
        <w:t>履约保证金的递交：详见“投标人须知附表”。</w:t>
      </w:r>
    </w:p>
    <w:p>
      <w:pPr>
        <w:pStyle w:val="5"/>
        <w:tabs>
          <w:tab w:val="left" w:pos="2100"/>
        </w:tabs>
        <w:spacing w:line="360" w:lineRule="auto"/>
        <w:ind w:firstLine="482"/>
        <w:rPr>
          <w:rFonts w:hint="eastAsia" w:ascii="宋体" w:hAnsi="宋体" w:cs="宋体"/>
        </w:rPr>
      </w:pPr>
      <w:r>
        <w:rPr>
          <w:rFonts w:hint="eastAsia" w:ascii="宋体" w:hAnsi="宋体" w:cs="宋体"/>
        </w:rPr>
        <w:t>32.合同公告</w:t>
      </w:r>
    </w:p>
    <w:p>
      <w:pPr>
        <w:spacing w:line="360" w:lineRule="auto"/>
        <w:ind w:firstLine="480" w:firstLineChars="200"/>
        <w:jc w:val="left"/>
        <w:rPr>
          <w:rFonts w:hint="eastAsia" w:hAnsi="宋体" w:cs="宋体"/>
          <w:sz w:val="24"/>
        </w:rPr>
      </w:pPr>
      <w:r>
        <w:rPr>
          <w:rFonts w:hint="eastAsia" w:hAnsi="宋体" w:cs="宋体"/>
          <w:sz w:val="24"/>
        </w:rPr>
        <w:t>采购人应当自政府采购合同签订（双方当事人均已签字盖章）之日起2个工作日内，将政府采购合同在省级以上人民政府财政部门指定的媒体上公告（四川政府采购网），但政府采购合同中涉及国家秘密、商业秘密的内容除外。</w:t>
      </w:r>
    </w:p>
    <w:p>
      <w:pPr>
        <w:pStyle w:val="5"/>
        <w:tabs>
          <w:tab w:val="left" w:pos="2100"/>
        </w:tabs>
        <w:spacing w:line="360" w:lineRule="auto"/>
        <w:ind w:firstLine="482"/>
        <w:rPr>
          <w:rFonts w:hint="eastAsia" w:ascii="宋体" w:hAnsi="宋体" w:cs="宋体"/>
        </w:rPr>
      </w:pPr>
      <w:r>
        <w:rPr>
          <w:rFonts w:hint="eastAsia" w:ascii="宋体" w:hAnsi="宋体" w:cs="宋体"/>
        </w:rPr>
        <w:t>33.合同备案</w:t>
      </w:r>
    </w:p>
    <w:p>
      <w:pPr>
        <w:spacing w:line="360" w:lineRule="auto"/>
        <w:ind w:firstLine="480" w:firstLineChars="200"/>
        <w:jc w:val="left"/>
        <w:rPr>
          <w:rFonts w:hint="eastAsia" w:hAnsi="宋体" w:cs="宋体"/>
          <w:sz w:val="24"/>
        </w:rPr>
      </w:pPr>
      <w:r>
        <w:rPr>
          <w:rFonts w:hint="eastAsia" w:hAnsi="宋体" w:cs="宋体"/>
          <w:sz w:val="24"/>
        </w:rPr>
        <w:t>采购人应当将政府采购合同副本自签订（双方当事人均已签字盖章）之日起七个工作日内通过“四川政府采购网”报同级财政部门备案。</w:t>
      </w:r>
    </w:p>
    <w:p>
      <w:pPr>
        <w:pStyle w:val="5"/>
        <w:tabs>
          <w:tab w:val="left" w:pos="2100"/>
        </w:tabs>
        <w:spacing w:line="360" w:lineRule="auto"/>
        <w:ind w:firstLine="482"/>
        <w:rPr>
          <w:rFonts w:hint="eastAsia" w:ascii="宋体" w:hAnsi="宋体" w:cs="宋体"/>
        </w:rPr>
      </w:pPr>
      <w:r>
        <w:rPr>
          <w:rFonts w:hint="eastAsia" w:ascii="宋体" w:hAnsi="宋体" w:cs="宋体"/>
        </w:rPr>
        <w:t>34. 履行合同</w:t>
      </w:r>
    </w:p>
    <w:p>
      <w:pPr>
        <w:spacing w:line="360" w:lineRule="auto"/>
        <w:ind w:firstLine="480" w:firstLineChars="200"/>
        <w:jc w:val="left"/>
        <w:rPr>
          <w:rFonts w:hint="eastAsia" w:ascii="宋体" w:hAnsi="宋体" w:cs="宋体"/>
          <w:sz w:val="24"/>
        </w:rPr>
      </w:pPr>
      <w:r>
        <w:rPr>
          <w:rFonts w:hint="eastAsia" w:ascii="宋体" w:hAnsi="宋体" w:cs="宋体"/>
          <w:sz w:val="24"/>
        </w:rPr>
        <w:t>34.1 中标人与采购人签订合同后，合同双方应严格执行合同条款，履行合同规定的义务，保证合同的顺利完成。</w:t>
      </w:r>
    </w:p>
    <w:p>
      <w:pPr>
        <w:spacing w:line="360" w:lineRule="auto"/>
        <w:ind w:firstLine="480" w:firstLineChars="200"/>
        <w:jc w:val="left"/>
        <w:rPr>
          <w:rFonts w:hint="eastAsia" w:ascii="宋体" w:hAnsi="宋体" w:cs="宋体"/>
          <w:sz w:val="24"/>
        </w:rPr>
      </w:pPr>
      <w:r>
        <w:rPr>
          <w:rFonts w:hint="eastAsia" w:ascii="宋体" w:hAnsi="宋体" w:cs="宋体"/>
          <w:sz w:val="24"/>
        </w:rPr>
        <w:t>34.2 在合同履行过程中，如发生合同纠纷，合同双方应按照《中华人民共和国民法典》的有关规定进行处理。</w:t>
      </w:r>
    </w:p>
    <w:p>
      <w:pPr>
        <w:spacing w:line="360" w:lineRule="auto"/>
        <w:ind w:firstLine="480" w:firstLineChars="200"/>
        <w:jc w:val="left"/>
        <w:rPr>
          <w:rFonts w:hint="eastAsia" w:ascii="宋体" w:hAnsi="宋体" w:cs="宋体"/>
          <w:sz w:val="24"/>
        </w:rPr>
      </w:pPr>
      <w:r>
        <w:rPr>
          <w:rFonts w:hint="eastAsia" w:ascii="宋体" w:hAnsi="宋体" w:cs="宋体"/>
          <w:sz w:val="24"/>
        </w:rPr>
        <w:t>34.3政府采购货物、工程和服务项目中涉及商品包装和快递包装的，要参考《商品包装政府采购需求标准（试行）》《快递包装政府采购需求标准（试行）》包装需求标准执行。</w:t>
      </w:r>
    </w:p>
    <w:p>
      <w:pPr>
        <w:spacing w:line="360" w:lineRule="auto"/>
        <w:ind w:firstLine="482" w:firstLineChars="200"/>
        <w:jc w:val="left"/>
        <w:rPr>
          <w:rFonts w:hint="eastAsia" w:ascii="宋体" w:hAnsi="宋体" w:cs="宋体"/>
          <w:b/>
          <w:bCs/>
          <w:sz w:val="24"/>
        </w:rPr>
      </w:pPr>
      <w:bookmarkStart w:id="137" w:name="_Toc308164814"/>
      <w:r>
        <w:rPr>
          <w:rFonts w:hint="eastAsia" w:ascii="宋体" w:hAnsi="宋体" w:cs="宋体"/>
          <w:b/>
          <w:bCs/>
          <w:sz w:val="24"/>
        </w:rPr>
        <w:t>35. 验收</w:t>
      </w:r>
      <w:bookmarkEnd w:id="137"/>
    </w:p>
    <w:p>
      <w:pPr>
        <w:adjustRightInd w:val="0"/>
        <w:snapToGrid w:val="0"/>
        <w:spacing w:line="360" w:lineRule="auto"/>
        <w:ind w:firstLine="480" w:firstLineChars="200"/>
        <w:jc w:val="left"/>
        <w:rPr>
          <w:rFonts w:hint="eastAsia" w:ascii="宋体" w:hAnsi="宋体" w:cs="宋体"/>
          <w:sz w:val="24"/>
        </w:rPr>
      </w:pPr>
      <w:r>
        <w:rPr>
          <w:rFonts w:hint="eastAsia" w:ascii="宋体" w:hAnsi="宋体" w:cs="宋体"/>
          <w:sz w:val="24"/>
        </w:rPr>
        <w:t>35.1</w:t>
      </w:r>
      <w:r>
        <w:rPr>
          <w:rFonts w:hint="eastAsia" w:ascii="宋体" w:hAnsi="宋体" w:cs="宋体"/>
          <w:sz w:val="24"/>
          <w:szCs w:val="22"/>
        </w:rPr>
        <w:t>项目符合国家、行业的相关技术标准及要求，并严格按照政府采购相关法律法规以及《财政部关于进一步加强政府采购需求和履约验收管理的指导意见》（财库〔2016〕205号）的要求进行验收。</w:t>
      </w:r>
    </w:p>
    <w:p>
      <w:pPr>
        <w:adjustRightInd w:val="0"/>
        <w:snapToGrid w:val="0"/>
        <w:spacing w:line="360" w:lineRule="auto"/>
        <w:ind w:firstLine="480" w:firstLineChars="200"/>
        <w:jc w:val="left"/>
        <w:rPr>
          <w:rFonts w:hint="eastAsia" w:ascii="宋体" w:hAnsi="宋体" w:cs="宋体"/>
          <w:sz w:val="24"/>
        </w:rPr>
      </w:pPr>
      <w:r>
        <w:rPr>
          <w:rFonts w:hint="eastAsia" w:ascii="宋体" w:hAnsi="宋体" w:cs="宋体"/>
          <w:sz w:val="24"/>
        </w:rPr>
        <w:t>35.2 验收结果合格的，中标人凭“验收结果”办理履约保证金的退付手续；验收结果不合格的，履约保证金将不予退还，也将不予支付采购资金，还可能会报本项目同级财政部门按照政府采购法律法规及有关规定给予行政处罚或者以失信行为记入诚信档案。</w:t>
      </w:r>
      <w:bookmarkEnd w:id="135"/>
      <w:r>
        <w:rPr>
          <w:rFonts w:hint="eastAsia" w:ascii="宋体" w:hAnsi="宋体" w:cs="宋体"/>
          <w:sz w:val="24"/>
        </w:rPr>
        <w:t>采购合同的履行、违约责任和解决争议的方式等适用《中华人民共和国民法典》。</w:t>
      </w:r>
    </w:p>
    <w:p>
      <w:pPr>
        <w:pStyle w:val="2"/>
        <w:rPr>
          <w:rFonts w:hint="eastAsia"/>
        </w:rPr>
      </w:pPr>
    </w:p>
    <w:p>
      <w:pPr>
        <w:pStyle w:val="4"/>
        <w:spacing w:line="360" w:lineRule="auto"/>
        <w:jc w:val="center"/>
        <w:rPr>
          <w:rFonts w:hint="eastAsia"/>
        </w:rPr>
      </w:pPr>
      <w:r>
        <w:rPr>
          <w:rFonts w:hint="eastAsia"/>
        </w:rPr>
        <w:t>七、投标纪律要求</w:t>
      </w:r>
      <w:bookmarkEnd w:id="128"/>
      <w:bookmarkEnd w:id="129"/>
      <w:bookmarkEnd w:id="130"/>
    </w:p>
    <w:p>
      <w:pPr>
        <w:pStyle w:val="5"/>
        <w:spacing w:line="360" w:lineRule="auto"/>
        <w:ind w:firstLine="482"/>
        <w:rPr>
          <w:rFonts w:hint="eastAsia"/>
        </w:rPr>
      </w:pPr>
      <w:bookmarkStart w:id="138" w:name="_Toc308164816"/>
      <w:bookmarkStart w:id="139" w:name="_Toc503862796"/>
      <w:bookmarkStart w:id="140" w:name="_Toc217446075"/>
      <w:r>
        <w:rPr>
          <w:rFonts w:hint="eastAsia"/>
        </w:rPr>
        <w:t>36．投标人不得具有的情形</w:t>
      </w:r>
      <w:bookmarkEnd w:id="138"/>
      <w:bookmarkEnd w:id="139"/>
      <w:bookmarkEnd w:id="140"/>
    </w:p>
    <w:p>
      <w:pPr>
        <w:pStyle w:val="7"/>
        <w:adjustRightInd w:val="0"/>
        <w:snapToGrid w:val="0"/>
        <w:spacing w:line="360" w:lineRule="auto"/>
        <w:ind w:firstLine="480"/>
        <w:rPr>
          <w:rFonts w:hint="eastAsia" w:ascii="宋体" w:hAnsi="宋体" w:cs="宋体"/>
          <w:sz w:val="24"/>
        </w:rPr>
      </w:pPr>
      <w:bookmarkStart w:id="141" w:name="_Toc308164819"/>
      <w:bookmarkStart w:id="142" w:name="_Toc217446078"/>
      <w:r>
        <w:rPr>
          <w:rFonts w:hint="eastAsia" w:ascii="宋体" w:hAnsi="宋体" w:cs="宋体"/>
          <w:sz w:val="24"/>
        </w:rPr>
        <w:t>投标人应当遵循公平竞争的原则，不得恶意串通，不得妨碍其他投标人的竞争行为，不得损害采购人或者其他投标人的合法权益。</w:t>
      </w:r>
    </w:p>
    <w:p>
      <w:pPr>
        <w:pStyle w:val="7"/>
        <w:adjustRightInd w:val="0"/>
        <w:snapToGrid w:val="0"/>
        <w:spacing w:line="360" w:lineRule="auto"/>
        <w:ind w:firstLine="480"/>
        <w:rPr>
          <w:rFonts w:hint="eastAsia" w:ascii="宋体" w:hAnsi="宋体" w:cs="宋体"/>
          <w:sz w:val="24"/>
        </w:rPr>
      </w:pPr>
      <w:r>
        <w:rPr>
          <w:rFonts w:hint="eastAsia" w:ascii="宋体" w:hAnsi="宋体" w:cs="宋体"/>
          <w:sz w:val="24"/>
        </w:rPr>
        <w:t>在评标过程中发现投标人有上述情形的，评标委员会应当认定其投标无效，并书面报告本级财政部门。</w:t>
      </w:r>
    </w:p>
    <w:p>
      <w:pPr>
        <w:adjustRightInd w:val="0"/>
        <w:snapToGrid w:val="0"/>
        <w:spacing w:line="360" w:lineRule="auto"/>
        <w:ind w:firstLine="480" w:firstLineChars="200"/>
        <w:rPr>
          <w:rFonts w:hint="eastAsia" w:ascii="宋体" w:hAnsi="宋体" w:cs="宋体"/>
          <w:sz w:val="24"/>
        </w:rPr>
      </w:pPr>
      <w:r>
        <w:rPr>
          <w:rFonts w:hint="eastAsia" w:ascii="宋体" w:hAnsi="宋体" w:cs="宋体"/>
          <w:sz w:val="24"/>
        </w:rPr>
        <w:t>36.1 投标人参加本项目投标不得有下列情形：</w:t>
      </w:r>
    </w:p>
    <w:p>
      <w:pPr>
        <w:adjustRightInd w:val="0"/>
        <w:snapToGrid w:val="0"/>
        <w:spacing w:line="360" w:lineRule="auto"/>
        <w:ind w:firstLine="480" w:firstLineChars="200"/>
        <w:rPr>
          <w:rFonts w:hint="eastAsia" w:ascii="宋体" w:hAnsi="宋体" w:cs="宋体"/>
          <w:sz w:val="24"/>
        </w:rPr>
      </w:pPr>
      <w:r>
        <w:rPr>
          <w:rFonts w:hint="eastAsia" w:ascii="宋体" w:hAnsi="宋体" w:cs="宋体"/>
          <w:sz w:val="24"/>
        </w:rPr>
        <w:t>（1）提供虚假材料谋取中标；</w:t>
      </w:r>
    </w:p>
    <w:p>
      <w:pPr>
        <w:adjustRightInd w:val="0"/>
        <w:snapToGrid w:val="0"/>
        <w:spacing w:line="360" w:lineRule="auto"/>
        <w:ind w:firstLine="480" w:firstLineChars="200"/>
        <w:rPr>
          <w:rFonts w:hint="eastAsia" w:ascii="宋体" w:hAnsi="宋体" w:cs="宋体"/>
          <w:sz w:val="24"/>
        </w:rPr>
      </w:pPr>
      <w:r>
        <w:rPr>
          <w:rFonts w:hint="eastAsia" w:ascii="宋体" w:hAnsi="宋体" w:cs="宋体"/>
          <w:sz w:val="24"/>
        </w:rPr>
        <w:t>（2）采取不正当手段诋毁、排挤其他投标人；</w:t>
      </w:r>
    </w:p>
    <w:p>
      <w:pPr>
        <w:adjustRightInd w:val="0"/>
        <w:snapToGrid w:val="0"/>
        <w:spacing w:line="360" w:lineRule="auto"/>
        <w:ind w:firstLine="480" w:firstLineChars="200"/>
        <w:rPr>
          <w:rFonts w:hint="eastAsia" w:ascii="宋体" w:hAnsi="宋体" w:cs="宋体"/>
          <w:sz w:val="24"/>
        </w:rPr>
      </w:pPr>
      <w:r>
        <w:rPr>
          <w:rFonts w:hint="eastAsia" w:ascii="宋体" w:hAnsi="宋体" w:cs="宋体"/>
          <w:sz w:val="24"/>
        </w:rPr>
        <w:t>（3）与招标采购单位、其他投标人恶意串通；</w:t>
      </w:r>
    </w:p>
    <w:p>
      <w:pPr>
        <w:adjustRightInd w:val="0"/>
        <w:snapToGrid w:val="0"/>
        <w:spacing w:line="360" w:lineRule="auto"/>
        <w:ind w:firstLine="480" w:firstLineChars="200"/>
        <w:rPr>
          <w:rFonts w:hint="eastAsia" w:ascii="宋体" w:hAnsi="宋体" w:cs="宋体"/>
          <w:sz w:val="24"/>
        </w:rPr>
      </w:pPr>
      <w:r>
        <w:rPr>
          <w:rFonts w:hint="eastAsia" w:ascii="宋体" w:hAnsi="宋体" w:cs="宋体"/>
          <w:sz w:val="24"/>
        </w:rPr>
        <w:t>（4）向招标采购单位、评标委员会成员行贿或者提供其他不正当利益；</w:t>
      </w:r>
    </w:p>
    <w:p>
      <w:pPr>
        <w:adjustRightInd w:val="0"/>
        <w:snapToGrid w:val="0"/>
        <w:spacing w:line="360" w:lineRule="auto"/>
        <w:ind w:firstLine="480" w:firstLineChars="200"/>
        <w:rPr>
          <w:rFonts w:hint="eastAsia" w:ascii="宋体" w:hAnsi="宋体" w:cs="宋体"/>
          <w:sz w:val="24"/>
        </w:rPr>
      </w:pPr>
      <w:r>
        <w:rPr>
          <w:rFonts w:hint="eastAsia" w:ascii="宋体" w:hAnsi="宋体" w:cs="宋体"/>
          <w:sz w:val="24"/>
        </w:rPr>
        <w:t>（5）在招标过程中与招标采购单位进行协商谈判；</w:t>
      </w:r>
    </w:p>
    <w:p>
      <w:pPr>
        <w:adjustRightInd w:val="0"/>
        <w:snapToGrid w:val="0"/>
        <w:spacing w:line="360" w:lineRule="auto"/>
        <w:ind w:firstLine="480" w:firstLineChars="200"/>
        <w:rPr>
          <w:rFonts w:hint="eastAsia" w:ascii="宋体" w:hAnsi="宋体" w:cs="宋体"/>
          <w:sz w:val="24"/>
        </w:rPr>
      </w:pPr>
      <w:r>
        <w:rPr>
          <w:rFonts w:hint="eastAsia" w:ascii="宋体" w:hAnsi="宋体" w:cs="宋体"/>
          <w:sz w:val="24"/>
        </w:rPr>
        <w:t>（6）中标或者成交后无正当理由拒不与采购人签订政府采购合同；</w:t>
      </w:r>
    </w:p>
    <w:p>
      <w:pPr>
        <w:adjustRightInd w:val="0"/>
        <w:snapToGrid w:val="0"/>
        <w:spacing w:line="360" w:lineRule="auto"/>
        <w:ind w:firstLine="480" w:firstLineChars="200"/>
        <w:rPr>
          <w:rFonts w:hint="eastAsia" w:ascii="宋体" w:hAnsi="宋体" w:cs="宋体"/>
          <w:sz w:val="24"/>
        </w:rPr>
      </w:pPr>
      <w:r>
        <w:rPr>
          <w:rFonts w:hint="eastAsia" w:ascii="宋体" w:hAnsi="宋体" w:cs="宋体"/>
          <w:sz w:val="24"/>
        </w:rPr>
        <w:t>（7）未按照采购文件确定的事项签订政府采购合同；</w:t>
      </w:r>
    </w:p>
    <w:p>
      <w:pPr>
        <w:adjustRightInd w:val="0"/>
        <w:snapToGrid w:val="0"/>
        <w:spacing w:line="360" w:lineRule="auto"/>
        <w:ind w:firstLine="480" w:firstLineChars="200"/>
        <w:rPr>
          <w:rFonts w:hint="eastAsia" w:ascii="宋体" w:hAnsi="宋体" w:cs="宋体"/>
          <w:sz w:val="24"/>
        </w:rPr>
      </w:pPr>
      <w:r>
        <w:rPr>
          <w:rFonts w:hint="eastAsia" w:ascii="宋体" w:hAnsi="宋体" w:cs="宋体"/>
          <w:sz w:val="24"/>
        </w:rPr>
        <w:t>（8）将政府采购合同转包或者违规分包；</w:t>
      </w:r>
    </w:p>
    <w:p>
      <w:pPr>
        <w:adjustRightInd w:val="0"/>
        <w:snapToGrid w:val="0"/>
        <w:spacing w:line="360" w:lineRule="auto"/>
        <w:ind w:firstLine="480" w:firstLineChars="200"/>
        <w:rPr>
          <w:rFonts w:hint="eastAsia" w:ascii="宋体" w:hAnsi="宋体" w:cs="宋体"/>
          <w:sz w:val="24"/>
        </w:rPr>
      </w:pPr>
      <w:r>
        <w:rPr>
          <w:rFonts w:hint="eastAsia" w:ascii="宋体" w:hAnsi="宋体" w:cs="宋体"/>
          <w:sz w:val="24"/>
        </w:rPr>
        <w:t>（9）提供假冒伪劣产品；</w:t>
      </w:r>
    </w:p>
    <w:p>
      <w:pPr>
        <w:adjustRightInd w:val="0"/>
        <w:snapToGrid w:val="0"/>
        <w:spacing w:line="360" w:lineRule="auto"/>
        <w:ind w:firstLine="480" w:firstLineChars="200"/>
        <w:rPr>
          <w:rFonts w:hint="eastAsia" w:ascii="宋体" w:hAnsi="宋体" w:cs="宋体"/>
          <w:sz w:val="24"/>
        </w:rPr>
      </w:pPr>
      <w:r>
        <w:rPr>
          <w:rFonts w:hint="eastAsia" w:ascii="宋体" w:hAnsi="宋体" w:cs="宋体"/>
          <w:sz w:val="24"/>
        </w:rPr>
        <w:t>（10）擅自变更、中止或者终止政府采购合同；</w:t>
      </w:r>
    </w:p>
    <w:p>
      <w:pPr>
        <w:adjustRightInd w:val="0"/>
        <w:snapToGrid w:val="0"/>
        <w:spacing w:line="360" w:lineRule="auto"/>
        <w:ind w:firstLine="480" w:firstLineChars="200"/>
        <w:rPr>
          <w:rFonts w:hint="eastAsia" w:ascii="宋体" w:hAnsi="宋体" w:cs="宋体"/>
          <w:sz w:val="24"/>
        </w:rPr>
      </w:pPr>
      <w:r>
        <w:rPr>
          <w:rFonts w:hint="eastAsia" w:ascii="宋体" w:hAnsi="宋体" w:cs="宋体"/>
          <w:sz w:val="24"/>
        </w:rPr>
        <w:t>（11）拒绝有关部门的监督检查或者向监督检查部门提供虚假情况；</w:t>
      </w:r>
    </w:p>
    <w:p>
      <w:pPr>
        <w:adjustRightInd w:val="0"/>
        <w:snapToGrid w:val="0"/>
        <w:spacing w:line="360" w:lineRule="auto"/>
        <w:ind w:firstLine="480" w:firstLineChars="200"/>
        <w:rPr>
          <w:rFonts w:hint="eastAsia" w:ascii="宋体" w:hAnsi="宋体" w:cs="宋体"/>
          <w:sz w:val="24"/>
        </w:rPr>
      </w:pPr>
      <w:r>
        <w:rPr>
          <w:rFonts w:hint="eastAsia" w:ascii="宋体" w:hAnsi="宋体" w:cs="宋体"/>
          <w:sz w:val="24"/>
        </w:rPr>
        <w:t>（12）法律法规规定的其他情形。</w:t>
      </w:r>
    </w:p>
    <w:p>
      <w:pPr>
        <w:adjustRightInd w:val="0"/>
        <w:snapToGrid w:val="0"/>
        <w:spacing w:line="360" w:lineRule="auto"/>
        <w:ind w:firstLine="480" w:firstLineChars="200"/>
        <w:rPr>
          <w:rFonts w:hint="eastAsia" w:ascii="宋体" w:hAnsi="宋体" w:cs="宋体"/>
          <w:sz w:val="24"/>
        </w:rPr>
      </w:pPr>
      <w:r>
        <w:rPr>
          <w:rFonts w:hint="eastAsia" w:ascii="宋体" w:hAnsi="宋体" w:cs="宋体"/>
          <w:sz w:val="24"/>
        </w:rPr>
        <w:t>投标人有上述情形的，按照规定追究法律责任，具备（1）-（12）条情形之一的，同时将取消中标资格或者认定中标无效。</w:t>
      </w:r>
    </w:p>
    <w:p>
      <w:pPr>
        <w:adjustRightInd w:val="0"/>
        <w:snapToGrid w:val="0"/>
        <w:spacing w:line="360" w:lineRule="auto"/>
        <w:ind w:firstLine="480" w:firstLineChars="200"/>
        <w:rPr>
          <w:rFonts w:hint="eastAsia" w:ascii="宋体" w:hAnsi="宋体" w:cs="宋体"/>
          <w:sz w:val="24"/>
        </w:rPr>
      </w:pPr>
      <w:r>
        <w:rPr>
          <w:rFonts w:hint="eastAsia" w:ascii="宋体" w:hAnsi="宋体" w:cs="宋体"/>
          <w:sz w:val="24"/>
        </w:rPr>
        <w:t>36.2 投标人有下列情形之一的，视为投标人串通投标，其投标无效：</w:t>
      </w:r>
    </w:p>
    <w:p>
      <w:pPr>
        <w:adjustRightInd w:val="0"/>
        <w:snapToGrid w:val="0"/>
        <w:spacing w:line="360" w:lineRule="auto"/>
        <w:ind w:firstLine="480" w:firstLineChars="200"/>
        <w:rPr>
          <w:rFonts w:hint="eastAsia" w:ascii="宋体" w:hAnsi="宋体" w:cs="宋体"/>
          <w:sz w:val="24"/>
        </w:rPr>
      </w:pPr>
      <w:r>
        <w:rPr>
          <w:rFonts w:hint="eastAsia" w:ascii="宋体" w:hAnsi="宋体" w:cs="宋体"/>
          <w:sz w:val="24"/>
        </w:rPr>
        <w:t>（1）不同投标人的投标文件由同一单位或者个人编制；</w:t>
      </w:r>
    </w:p>
    <w:p>
      <w:pPr>
        <w:adjustRightInd w:val="0"/>
        <w:snapToGrid w:val="0"/>
        <w:spacing w:line="360" w:lineRule="auto"/>
        <w:ind w:firstLine="480" w:firstLineChars="200"/>
        <w:rPr>
          <w:rFonts w:hint="eastAsia" w:ascii="宋体" w:hAnsi="宋体" w:cs="宋体"/>
          <w:sz w:val="24"/>
        </w:rPr>
      </w:pPr>
      <w:r>
        <w:rPr>
          <w:rFonts w:hint="eastAsia" w:ascii="宋体" w:hAnsi="宋体" w:cs="宋体"/>
          <w:sz w:val="24"/>
        </w:rPr>
        <w:t>（2）不同投标人委托同一单位或者个人办理投标事宜；</w:t>
      </w:r>
    </w:p>
    <w:p>
      <w:pPr>
        <w:adjustRightInd w:val="0"/>
        <w:snapToGrid w:val="0"/>
        <w:spacing w:line="360" w:lineRule="auto"/>
        <w:ind w:firstLine="480" w:firstLineChars="200"/>
        <w:rPr>
          <w:rFonts w:hint="eastAsia" w:ascii="宋体" w:hAnsi="宋体" w:cs="宋体"/>
          <w:sz w:val="24"/>
        </w:rPr>
      </w:pPr>
      <w:r>
        <w:rPr>
          <w:rFonts w:hint="eastAsia" w:ascii="宋体" w:hAnsi="宋体" w:cs="宋体"/>
          <w:sz w:val="24"/>
        </w:rPr>
        <w:t>（3）不同投标人的投标文件载明的项目管理成员或者联系人员为同一人；</w:t>
      </w:r>
    </w:p>
    <w:p>
      <w:pPr>
        <w:adjustRightInd w:val="0"/>
        <w:snapToGrid w:val="0"/>
        <w:spacing w:line="360" w:lineRule="auto"/>
        <w:ind w:firstLine="480" w:firstLineChars="200"/>
        <w:rPr>
          <w:rFonts w:hint="eastAsia" w:ascii="宋体" w:hAnsi="宋体" w:cs="宋体"/>
          <w:sz w:val="24"/>
        </w:rPr>
      </w:pPr>
      <w:r>
        <w:rPr>
          <w:rFonts w:hint="eastAsia" w:ascii="宋体" w:hAnsi="宋体" w:cs="宋体"/>
          <w:sz w:val="24"/>
        </w:rPr>
        <w:t>（4）不同投标人的投标文件异常一致或者投标报价呈规律性差异；</w:t>
      </w:r>
    </w:p>
    <w:p>
      <w:pPr>
        <w:adjustRightInd w:val="0"/>
        <w:snapToGrid w:val="0"/>
        <w:spacing w:line="360" w:lineRule="auto"/>
        <w:ind w:firstLine="480" w:firstLineChars="200"/>
        <w:rPr>
          <w:rFonts w:hint="eastAsia" w:ascii="宋体" w:hAnsi="宋体" w:cs="宋体"/>
          <w:sz w:val="24"/>
        </w:rPr>
      </w:pPr>
      <w:r>
        <w:rPr>
          <w:rFonts w:hint="eastAsia" w:ascii="宋体" w:hAnsi="宋体" w:cs="宋体"/>
          <w:sz w:val="24"/>
        </w:rPr>
        <w:t>（5）不同投标人的投标文件相互混装；</w:t>
      </w:r>
    </w:p>
    <w:p>
      <w:pPr>
        <w:adjustRightInd w:val="0"/>
        <w:snapToGrid w:val="0"/>
        <w:spacing w:line="360" w:lineRule="auto"/>
        <w:ind w:firstLine="480" w:firstLineChars="200"/>
        <w:rPr>
          <w:rFonts w:hint="eastAsia" w:ascii="宋体" w:hAnsi="宋体" w:cs="宋体"/>
          <w:sz w:val="24"/>
        </w:rPr>
      </w:pPr>
      <w:r>
        <w:rPr>
          <w:rFonts w:hint="eastAsia" w:ascii="宋体" w:hAnsi="宋体" w:cs="宋体"/>
          <w:sz w:val="24"/>
        </w:rPr>
        <w:t>36.3 投标人存在下列情况之一的，投标无效:</w:t>
      </w:r>
    </w:p>
    <w:p>
      <w:pPr>
        <w:adjustRightInd w:val="0"/>
        <w:snapToGrid w:val="0"/>
        <w:spacing w:line="360" w:lineRule="auto"/>
        <w:ind w:firstLine="480" w:firstLineChars="200"/>
        <w:rPr>
          <w:rFonts w:hint="eastAsia" w:ascii="宋体" w:hAnsi="宋体" w:cs="宋体"/>
          <w:sz w:val="24"/>
        </w:rPr>
      </w:pPr>
      <w:r>
        <w:rPr>
          <w:rFonts w:hint="eastAsia" w:ascii="宋体" w:hAnsi="宋体" w:cs="宋体"/>
          <w:sz w:val="24"/>
        </w:rPr>
        <w:t>（1）投标文件未按招标文件要求签署、盖章的；</w:t>
      </w:r>
    </w:p>
    <w:p>
      <w:pPr>
        <w:adjustRightInd w:val="0"/>
        <w:snapToGrid w:val="0"/>
        <w:spacing w:line="360" w:lineRule="auto"/>
        <w:ind w:firstLine="480" w:firstLineChars="200"/>
        <w:rPr>
          <w:rFonts w:hint="eastAsia" w:ascii="宋体" w:hAnsi="宋体" w:cs="宋体"/>
          <w:sz w:val="24"/>
        </w:rPr>
      </w:pPr>
      <w:r>
        <w:rPr>
          <w:rFonts w:hint="eastAsia" w:ascii="宋体" w:hAnsi="宋体" w:cs="宋体"/>
          <w:sz w:val="24"/>
        </w:rPr>
        <w:t>（2）不具备招标文件中规定的资格要求的；</w:t>
      </w:r>
    </w:p>
    <w:p>
      <w:pPr>
        <w:adjustRightInd w:val="0"/>
        <w:snapToGrid w:val="0"/>
        <w:spacing w:line="360" w:lineRule="auto"/>
        <w:ind w:firstLine="480" w:firstLineChars="200"/>
        <w:rPr>
          <w:rFonts w:hint="eastAsia" w:ascii="宋体" w:hAnsi="宋体" w:cs="宋体"/>
          <w:sz w:val="24"/>
        </w:rPr>
      </w:pPr>
      <w:r>
        <w:rPr>
          <w:rFonts w:hint="eastAsia" w:ascii="宋体" w:hAnsi="宋体" w:cs="宋体"/>
          <w:sz w:val="24"/>
        </w:rPr>
        <w:t>（3）报价超过招标文件中规定的预算金额或者最高限价的；</w:t>
      </w:r>
    </w:p>
    <w:p>
      <w:pPr>
        <w:adjustRightInd w:val="0"/>
        <w:snapToGrid w:val="0"/>
        <w:spacing w:line="360" w:lineRule="auto"/>
        <w:ind w:firstLine="480" w:firstLineChars="200"/>
        <w:rPr>
          <w:rFonts w:hint="eastAsia" w:ascii="宋体" w:hAnsi="宋体" w:cs="宋体"/>
          <w:sz w:val="24"/>
        </w:rPr>
      </w:pPr>
      <w:r>
        <w:rPr>
          <w:rFonts w:hint="eastAsia" w:ascii="宋体" w:hAnsi="宋体" w:cs="宋体"/>
          <w:sz w:val="24"/>
        </w:rPr>
        <w:t>（4）投标文件含有采购人不能接受的附加条件的；</w:t>
      </w:r>
    </w:p>
    <w:p>
      <w:pPr>
        <w:adjustRightInd w:val="0"/>
        <w:snapToGrid w:val="0"/>
        <w:spacing w:line="360" w:lineRule="auto"/>
        <w:ind w:firstLine="480" w:firstLineChars="200"/>
        <w:rPr>
          <w:rFonts w:hint="eastAsia" w:ascii="宋体" w:hAnsi="宋体" w:cs="宋体"/>
          <w:sz w:val="24"/>
        </w:rPr>
      </w:pPr>
      <w:r>
        <w:rPr>
          <w:rFonts w:hint="eastAsia" w:ascii="宋体" w:hAnsi="宋体" w:cs="宋体"/>
          <w:sz w:val="24"/>
        </w:rPr>
        <w:t>（5）法律、法规和招标文件规定的其他无效情形。</w:t>
      </w:r>
    </w:p>
    <w:p>
      <w:pPr>
        <w:pStyle w:val="4"/>
        <w:spacing w:line="360" w:lineRule="auto"/>
        <w:jc w:val="center"/>
        <w:rPr>
          <w:rFonts w:hint="eastAsia"/>
        </w:rPr>
      </w:pPr>
      <w:bookmarkStart w:id="143" w:name="_Toc503862797"/>
      <w:r>
        <w:rPr>
          <w:rFonts w:hint="eastAsia"/>
        </w:rPr>
        <w:t>八、询问、质疑和投诉</w:t>
      </w:r>
      <w:bookmarkEnd w:id="141"/>
      <w:bookmarkEnd w:id="142"/>
      <w:bookmarkEnd w:id="143"/>
      <w:bookmarkStart w:id="144" w:name="_Toc217446079"/>
    </w:p>
    <w:bookmarkEnd w:id="131"/>
    <w:bookmarkEnd w:id="132"/>
    <w:bookmarkEnd w:id="144"/>
    <w:p>
      <w:pPr>
        <w:tabs>
          <w:tab w:val="left" w:pos="851"/>
        </w:tabs>
        <w:adjustRightInd w:val="0"/>
        <w:snapToGrid w:val="0"/>
        <w:spacing w:line="360" w:lineRule="auto"/>
        <w:ind w:firstLine="495"/>
        <w:jc w:val="left"/>
        <w:rPr>
          <w:rFonts w:hint="eastAsia" w:ascii="宋体" w:hAnsi="宋体" w:cs="宋体"/>
          <w:sz w:val="24"/>
        </w:rPr>
      </w:pPr>
      <w:r>
        <w:rPr>
          <w:rFonts w:hint="eastAsia" w:ascii="宋体" w:hAnsi="宋体" w:cs="宋体"/>
          <w:bCs/>
          <w:sz w:val="24"/>
        </w:rPr>
        <w:t>询问、质</w:t>
      </w:r>
      <w:r>
        <w:rPr>
          <w:rFonts w:hint="eastAsia" w:ascii="宋体" w:hAnsi="宋体" w:cs="宋体"/>
          <w:sz w:val="24"/>
        </w:rPr>
        <w:t>疑、投诉的接收和处理严格按照《中华人民共和国政府采购法》、《中华人民共和国政府采购法实施条例》、《政府采购质疑和投诉办法》的规定办理。本项目要求投标人在法定质疑期内一次性提出针对同一采购程序环节的质疑。</w:t>
      </w:r>
    </w:p>
    <w:p>
      <w:pPr>
        <w:pStyle w:val="4"/>
        <w:spacing w:line="360" w:lineRule="auto"/>
        <w:jc w:val="center"/>
        <w:rPr>
          <w:rFonts w:hint="eastAsia"/>
        </w:rPr>
      </w:pPr>
      <w:bookmarkStart w:id="145" w:name="_Toc503862799"/>
      <w:r>
        <w:rPr>
          <w:rFonts w:hint="eastAsia"/>
        </w:rPr>
        <w:t>九、其他</w:t>
      </w:r>
      <w:bookmarkEnd w:id="145"/>
    </w:p>
    <w:p>
      <w:pPr>
        <w:adjustRightInd w:val="0"/>
        <w:snapToGrid w:val="0"/>
        <w:spacing w:line="360" w:lineRule="auto"/>
        <w:ind w:firstLine="480" w:firstLineChars="200"/>
        <w:rPr>
          <w:rFonts w:hint="eastAsia" w:ascii="宋体"/>
          <w:b/>
          <w:sz w:val="24"/>
        </w:rPr>
      </w:pPr>
      <w:bookmarkStart w:id="146" w:name="_Toc503862800"/>
      <w:r>
        <w:rPr>
          <w:rFonts w:hint="eastAsia" w:ascii="宋体" w:hAnsi="宋体" w:cs="宋体"/>
          <w:sz w:val="24"/>
        </w:rPr>
        <w:t>本招标文件中所引相关法律制度规定，在政府采购中有变化的，按照变化后的相关法律制度规定执行。本章和第七章中“1.总则、2.评标方法、3.评标程序”规定的内容条款，在本项目投标截止时间届满后，因相关法律制度规定的变化导致不符合相关法律制度规定的，直接按照变化后的相关法律制度规定执行，本招标文件不再做调整。</w:t>
      </w:r>
      <w:bookmarkEnd w:id="146"/>
      <w:bookmarkStart w:id="147" w:name="_Toc217446083"/>
      <w:r>
        <w:rPr>
          <w:rFonts w:hint="eastAsia" w:ascii="宋体"/>
          <w:b/>
          <w:sz w:val="24"/>
        </w:rPr>
        <w:br w:type="page"/>
      </w:r>
    </w:p>
    <w:p>
      <w:pPr>
        <w:pStyle w:val="3"/>
        <w:rPr>
          <w:rFonts w:hint="eastAsia"/>
        </w:rPr>
      </w:pPr>
      <w:bookmarkStart w:id="148" w:name="_Toc503862801"/>
      <w:bookmarkStart w:id="149" w:name="_Toc17569"/>
      <w:bookmarkStart w:id="150" w:name="_Toc21400"/>
      <w:r>
        <w:rPr>
          <w:rFonts w:hint="eastAsia"/>
        </w:rPr>
        <w:t>第三章  投标文件格式</w:t>
      </w:r>
      <w:bookmarkEnd w:id="148"/>
      <w:bookmarkEnd w:id="149"/>
      <w:bookmarkEnd w:id="150"/>
      <w:bookmarkStart w:id="151" w:name="_Toc308164821"/>
      <w:bookmarkStart w:id="152" w:name="_Toc217446082"/>
    </w:p>
    <w:p>
      <w:pPr>
        <w:widowControl/>
        <w:adjustRightInd w:val="0"/>
        <w:snapToGrid w:val="0"/>
        <w:spacing w:line="360" w:lineRule="auto"/>
        <w:ind w:firstLine="470" w:firstLineChars="196"/>
        <w:rPr>
          <w:rFonts w:hint="eastAsia" w:ascii="宋体"/>
          <w:sz w:val="24"/>
        </w:rPr>
      </w:pPr>
      <w:bookmarkStart w:id="153" w:name="_Toc503862802"/>
      <w:r>
        <w:rPr>
          <w:rFonts w:hint="eastAsia" w:ascii="宋体"/>
          <w:sz w:val="24"/>
        </w:rPr>
        <w:t>一、本章所制投标文件格式，除格式中明确将该格式作为实质性要求的，一律不具有强制性。</w:t>
      </w:r>
      <w:bookmarkEnd w:id="153"/>
    </w:p>
    <w:p>
      <w:pPr>
        <w:widowControl/>
        <w:adjustRightInd w:val="0"/>
        <w:snapToGrid w:val="0"/>
        <w:spacing w:line="360" w:lineRule="auto"/>
        <w:ind w:firstLine="470" w:firstLineChars="196"/>
        <w:rPr>
          <w:rFonts w:hint="eastAsia" w:ascii="宋体"/>
          <w:sz w:val="24"/>
        </w:rPr>
      </w:pPr>
      <w:bookmarkStart w:id="154" w:name="_Toc503862803"/>
      <w:r>
        <w:rPr>
          <w:rFonts w:hint="eastAsia" w:ascii="宋体"/>
          <w:sz w:val="24"/>
        </w:rPr>
        <w:t>二、本章所制投标文件格式有关表格中的备注栏，由投标人根据自身投标情况作解释性说明，不作为必填项。</w:t>
      </w:r>
      <w:bookmarkEnd w:id="154"/>
    </w:p>
    <w:p>
      <w:pPr>
        <w:widowControl/>
        <w:adjustRightInd w:val="0"/>
        <w:snapToGrid w:val="0"/>
        <w:spacing w:line="360" w:lineRule="auto"/>
        <w:ind w:firstLine="470" w:firstLineChars="196"/>
        <w:rPr>
          <w:rFonts w:hint="eastAsia" w:ascii="宋体"/>
          <w:sz w:val="24"/>
        </w:rPr>
      </w:pPr>
      <w:bookmarkStart w:id="155" w:name="_Toc503862804"/>
      <w:r>
        <w:rPr>
          <w:rFonts w:hint="eastAsia" w:ascii="宋体"/>
          <w:sz w:val="24"/>
        </w:rPr>
        <w:t>三、本章所制投标文件格式中需要填写的相关内容事项，可能会与本采购项目无关，在不改变投标文件原义、不影响本项目采购需求的情况下，投标人可以不予填写，但应当注明。</w:t>
      </w:r>
      <w:bookmarkEnd w:id="155"/>
    </w:p>
    <w:p>
      <w:pPr>
        <w:widowControl/>
        <w:spacing w:line="360" w:lineRule="atLeast"/>
        <w:ind w:firstLine="470" w:firstLineChars="196"/>
        <w:rPr>
          <w:rFonts w:hint="eastAsia" w:ascii="宋体"/>
          <w:sz w:val="24"/>
        </w:rPr>
      </w:pPr>
    </w:p>
    <w:p>
      <w:pPr>
        <w:widowControl/>
        <w:spacing w:line="360" w:lineRule="atLeast"/>
        <w:ind w:firstLine="470" w:firstLineChars="196"/>
        <w:rPr>
          <w:rFonts w:hint="eastAsia" w:ascii="宋体"/>
          <w:sz w:val="24"/>
        </w:rPr>
      </w:pPr>
    </w:p>
    <w:p>
      <w:pPr>
        <w:widowControl/>
        <w:spacing w:line="360" w:lineRule="atLeast"/>
        <w:ind w:firstLine="470" w:firstLineChars="196"/>
        <w:rPr>
          <w:rFonts w:hint="eastAsia" w:ascii="宋体"/>
          <w:sz w:val="24"/>
        </w:rPr>
      </w:pPr>
      <w:r>
        <w:rPr>
          <w:rFonts w:hint="eastAsia" w:ascii="宋体"/>
          <w:sz w:val="24"/>
        </w:rPr>
        <w:t xml:space="preserve"> </w:t>
      </w:r>
    </w:p>
    <w:p>
      <w:pPr>
        <w:widowControl/>
        <w:spacing w:line="360" w:lineRule="atLeast"/>
        <w:ind w:firstLine="470" w:firstLineChars="196"/>
        <w:rPr>
          <w:rFonts w:hint="eastAsia" w:ascii="宋体"/>
          <w:sz w:val="24"/>
        </w:rPr>
      </w:pPr>
    </w:p>
    <w:p>
      <w:pPr>
        <w:widowControl/>
        <w:spacing w:line="360" w:lineRule="atLeast"/>
        <w:ind w:firstLine="470" w:firstLineChars="196"/>
        <w:rPr>
          <w:rFonts w:hint="eastAsia" w:ascii="宋体"/>
          <w:sz w:val="24"/>
        </w:rPr>
      </w:pPr>
    </w:p>
    <w:p>
      <w:pPr>
        <w:rPr>
          <w:rFonts w:hint="eastAsia" w:ascii="宋体"/>
          <w:sz w:val="24"/>
        </w:rPr>
      </w:pPr>
      <w:r>
        <w:rPr>
          <w:rFonts w:hint="eastAsia" w:ascii="宋体"/>
          <w:sz w:val="24"/>
        </w:rPr>
        <w:br w:type="page"/>
      </w:r>
    </w:p>
    <w:p>
      <w:pPr>
        <w:tabs>
          <w:tab w:val="left" w:pos="900"/>
        </w:tabs>
        <w:spacing w:line="360" w:lineRule="auto"/>
        <w:jc w:val="center"/>
        <w:rPr>
          <w:rFonts w:ascii="宋体" w:hAnsi="宋体"/>
          <w:b/>
          <w:sz w:val="32"/>
        </w:rPr>
      </w:pPr>
      <w:r>
        <w:rPr>
          <w:rFonts w:ascii="宋体" w:hAnsi="宋体"/>
          <w:b/>
          <w:sz w:val="32"/>
        </w:rPr>
        <w:t xml:space="preserve">第一部分     </w:t>
      </w:r>
      <w:r>
        <w:rPr>
          <w:rFonts w:hint="eastAsia" w:ascii="宋体" w:hAnsi="宋体"/>
          <w:b/>
          <w:sz w:val="32"/>
        </w:rPr>
        <w:t>“</w:t>
      </w:r>
      <w:r>
        <w:rPr>
          <w:rFonts w:ascii="宋体" w:hAnsi="宋体"/>
          <w:b/>
          <w:sz w:val="32"/>
        </w:rPr>
        <w:t>资格性</w:t>
      </w:r>
      <w:r>
        <w:rPr>
          <w:rFonts w:hint="eastAsia" w:ascii="宋体" w:hAnsi="宋体"/>
          <w:b/>
          <w:sz w:val="32"/>
        </w:rPr>
        <w:t>投标</w:t>
      </w:r>
      <w:r>
        <w:rPr>
          <w:rFonts w:ascii="宋体" w:hAnsi="宋体"/>
          <w:b/>
          <w:sz w:val="32"/>
        </w:rPr>
        <w:t>文件</w:t>
      </w:r>
      <w:r>
        <w:rPr>
          <w:rFonts w:hint="eastAsia" w:ascii="宋体" w:hAnsi="宋体"/>
          <w:b/>
          <w:sz w:val="32"/>
        </w:rPr>
        <w:t>”</w:t>
      </w:r>
      <w:r>
        <w:rPr>
          <w:rFonts w:ascii="宋体" w:hAnsi="宋体"/>
          <w:b/>
          <w:sz w:val="32"/>
        </w:rPr>
        <w:t>格式</w:t>
      </w:r>
    </w:p>
    <w:p>
      <w:pPr>
        <w:spacing w:line="360" w:lineRule="auto"/>
        <w:rPr>
          <w:rFonts w:hint="eastAsia" w:ascii="宋体" w:hAnsi="宋体"/>
          <w:b/>
          <w:sz w:val="32"/>
          <w:szCs w:val="32"/>
        </w:rPr>
      </w:pPr>
      <w:r>
        <w:rPr>
          <w:rFonts w:hint="eastAsia" w:ascii="宋体" w:hAnsi="宋体"/>
          <w:b/>
          <w:sz w:val="32"/>
          <w:szCs w:val="32"/>
        </w:rPr>
        <w:t>格式1-1</w:t>
      </w:r>
    </w:p>
    <w:p>
      <w:pPr>
        <w:spacing w:line="360" w:lineRule="auto"/>
        <w:rPr>
          <w:rFonts w:hint="eastAsia" w:ascii="宋体" w:hAnsi="宋体"/>
          <w:b/>
          <w:sz w:val="32"/>
          <w:szCs w:val="32"/>
        </w:rPr>
      </w:pPr>
      <w:r>
        <w:rPr>
          <w:rFonts w:hint="eastAsia" w:ascii="宋体" w:hAnsi="宋体"/>
          <w:b/>
          <w:sz w:val="32"/>
          <w:szCs w:val="32"/>
        </w:rPr>
        <w:t>封面：</w:t>
      </w:r>
    </w:p>
    <w:p>
      <w:pPr>
        <w:spacing w:line="360" w:lineRule="auto"/>
        <w:jc w:val="right"/>
        <w:rPr>
          <w:rFonts w:ascii="宋体" w:hAnsi="宋体"/>
          <w:b/>
          <w:sz w:val="36"/>
        </w:rPr>
      </w:pPr>
    </w:p>
    <w:p>
      <w:pPr>
        <w:spacing w:line="360" w:lineRule="auto"/>
        <w:rPr>
          <w:rFonts w:hint="eastAsia" w:ascii="宋体" w:hAnsi="宋体"/>
          <w:b/>
          <w:sz w:val="32"/>
          <w:szCs w:val="32"/>
        </w:rPr>
      </w:pPr>
    </w:p>
    <w:p>
      <w:pPr>
        <w:spacing w:line="360" w:lineRule="auto"/>
        <w:rPr>
          <w:rFonts w:hint="eastAsia" w:ascii="宋体" w:hAnsi="宋体"/>
          <w:b/>
          <w:sz w:val="32"/>
          <w:szCs w:val="32"/>
        </w:rPr>
      </w:pPr>
    </w:p>
    <w:p>
      <w:pPr>
        <w:spacing w:line="360" w:lineRule="auto"/>
        <w:jc w:val="center"/>
        <w:rPr>
          <w:rFonts w:hint="eastAsia" w:ascii="宋体" w:hAnsi="宋体"/>
          <w:b/>
          <w:sz w:val="72"/>
        </w:rPr>
      </w:pPr>
      <w:r>
        <w:rPr>
          <w:rFonts w:hint="eastAsia" w:ascii="宋体" w:hAnsi="宋体"/>
          <w:b/>
          <w:sz w:val="40"/>
          <w:szCs w:val="48"/>
          <w:u w:val="single"/>
        </w:rPr>
        <w:t xml:space="preserve">                      </w:t>
      </w:r>
      <w:r>
        <w:rPr>
          <w:rFonts w:hint="eastAsia" w:ascii="宋体" w:hAnsi="宋体"/>
          <w:b/>
          <w:sz w:val="40"/>
          <w:szCs w:val="48"/>
        </w:rPr>
        <w:t>项目</w:t>
      </w:r>
    </w:p>
    <w:p>
      <w:pPr>
        <w:spacing w:line="360" w:lineRule="auto"/>
        <w:jc w:val="center"/>
        <w:rPr>
          <w:rFonts w:hint="eastAsia" w:ascii="宋体" w:hAnsi="宋体"/>
          <w:b/>
          <w:sz w:val="52"/>
          <w:szCs w:val="52"/>
        </w:rPr>
      </w:pPr>
    </w:p>
    <w:p>
      <w:pPr>
        <w:spacing w:line="360" w:lineRule="auto"/>
        <w:jc w:val="center"/>
        <w:outlineLvl w:val="1"/>
        <w:rPr>
          <w:rFonts w:hint="eastAsia" w:ascii="宋体" w:hAnsi="宋体"/>
          <w:b/>
          <w:sz w:val="32"/>
          <w:szCs w:val="32"/>
        </w:rPr>
      </w:pPr>
      <w:r>
        <w:rPr>
          <w:rFonts w:hint="eastAsia" w:ascii="宋体" w:hAnsi="宋体"/>
          <w:b/>
          <w:sz w:val="52"/>
          <w:szCs w:val="52"/>
        </w:rPr>
        <w:t>资格性投标文件</w:t>
      </w:r>
    </w:p>
    <w:p>
      <w:pPr>
        <w:spacing w:line="360" w:lineRule="auto"/>
        <w:rPr>
          <w:rFonts w:ascii="宋体" w:hAnsi="宋体"/>
          <w:b/>
          <w:sz w:val="36"/>
        </w:rPr>
      </w:pPr>
    </w:p>
    <w:p>
      <w:pPr>
        <w:spacing w:line="360" w:lineRule="auto"/>
        <w:rPr>
          <w:rFonts w:hint="eastAsia" w:ascii="宋体" w:hAnsi="宋体"/>
          <w:b/>
          <w:sz w:val="36"/>
        </w:rPr>
      </w:pPr>
    </w:p>
    <w:p>
      <w:pPr>
        <w:spacing w:line="360" w:lineRule="auto"/>
        <w:jc w:val="left"/>
        <w:rPr>
          <w:rFonts w:ascii="宋体" w:hAnsi="宋体"/>
          <w:b/>
          <w:sz w:val="32"/>
          <w:u w:val="single"/>
        </w:rPr>
      </w:pPr>
      <w:r>
        <w:rPr>
          <w:rFonts w:hint="eastAsia" w:ascii="宋体" w:hAnsi="宋体"/>
          <w:b/>
          <w:sz w:val="32"/>
        </w:rPr>
        <w:t>投 标 人</w:t>
      </w:r>
      <w:r>
        <w:rPr>
          <w:rFonts w:ascii="宋体" w:hAnsi="宋体"/>
          <w:b/>
          <w:sz w:val="32"/>
        </w:rPr>
        <w:t>名称：</w:t>
      </w:r>
      <w:r>
        <w:rPr>
          <w:rFonts w:ascii="宋体" w:hAnsi="宋体"/>
          <w:b/>
          <w:sz w:val="32"/>
          <w:u w:val="single"/>
        </w:rPr>
        <w:t xml:space="preserve">                        </w:t>
      </w:r>
      <w:r>
        <w:rPr>
          <w:rFonts w:hint="eastAsia" w:ascii="宋体" w:hAnsi="宋体"/>
          <w:b/>
          <w:sz w:val="32"/>
          <w:u w:val="single"/>
        </w:rPr>
        <w:t xml:space="preserve">    </w:t>
      </w:r>
      <w:r>
        <w:rPr>
          <w:rFonts w:ascii="宋体" w:hAnsi="宋体"/>
          <w:b/>
          <w:sz w:val="32"/>
          <w:u w:val="single"/>
        </w:rPr>
        <w:t xml:space="preserve">     </w:t>
      </w:r>
    </w:p>
    <w:p>
      <w:pPr>
        <w:spacing w:line="360" w:lineRule="auto"/>
        <w:jc w:val="left"/>
        <w:rPr>
          <w:rFonts w:ascii="宋体" w:hAnsi="宋体"/>
          <w:b/>
          <w:sz w:val="32"/>
          <w:u w:val="single"/>
        </w:rPr>
      </w:pPr>
      <w:r>
        <w:rPr>
          <w:rFonts w:hint="eastAsia" w:ascii="宋体" w:hAnsi="宋体"/>
          <w:b/>
          <w:sz w:val="32"/>
        </w:rPr>
        <w:t>采购项目</w:t>
      </w:r>
      <w:r>
        <w:rPr>
          <w:rFonts w:ascii="宋体" w:hAnsi="宋体"/>
          <w:b/>
          <w:sz w:val="32"/>
        </w:rPr>
        <w:t>编号：</w:t>
      </w:r>
      <w:r>
        <w:rPr>
          <w:rFonts w:ascii="宋体" w:hAnsi="宋体"/>
          <w:b/>
          <w:sz w:val="32"/>
          <w:u w:val="single"/>
        </w:rPr>
        <w:t xml:space="preserve">         </w:t>
      </w:r>
      <w:r>
        <w:rPr>
          <w:rFonts w:hint="eastAsia" w:ascii="宋体" w:hAnsi="宋体"/>
          <w:b/>
          <w:sz w:val="32"/>
          <w:u w:val="single"/>
        </w:rPr>
        <w:t xml:space="preserve">                      </w:t>
      </w:r>
      <w:r>
        <w:rPr>
          <w:rFonts w:ascii="宋体" w:hAnsi="宋体"/>
          <w:b/>
          <w:sz w:val="32"/>
          <w:u w:val="single"/>
        </w:rPr>
        <w:t xml:space="preserve">  </w:t>
      </w:r>
    </w:p>
    <w:p>
      <w:pPr>
        <w:spacing w:line="360" w:lineRule="auto"/>
        <w:jc w:val="left"/>
        <w:rPr>
          <w:rFonts w:ascii="华文中宋" w:hAnsi="华文中宋" w:eastAsia="华文中宋"/>
          <w:b/>
          <w:sz w:val="32"/>
        </w:rPr>
      </w:pPr>
      <w:r>
        <w:rPr>
          <w:rFonts w:hint="eastAsia" w:ascii="宋体" w:hAnsi="宋体"/>
          <w:b/>
          <w:sz w:val="32"/>
        </w:rPr>
        <w:t>包   件   号：</w:t>
      </w:r>
      <w:r>
        <w:rPr>
          <w:rFonts w:ascii="华文中宋" w:hAnsi="华文中宋" w:eastAsia="华文中宋"/>
          <w:b/>
          <w:sz w:val="32"/>
          <w:u w:val="single"/>
        </w:rPr>
        <w:t xml:space="preserve">         </w:t>
      </w:r>
      <w:r>
        <w:rPr>
          <w:rFonts w:hint="eastAsia" w:ascii="华文中宋" w:hAnsi="华文中宋" w:eastAsia="华文中宋"/>
          <w:b/>
          <w:sz w:val="32"/>
          <w:u w:val="single"/>
        </w:rPr>
        <w:t xml:space="preserve">                             </w:t>
      </w:r>
    </w:p>
    <w:p>
      <w:pPr>
        <w:pStyle w:val="2"/>
      </w:pPr>
    </w:p>
    <w:p>
      <w:pPr>
        <w:spacing w:line="360" w:lineRule="auto"/>
        <w:ind w:firstLine="790" w:firstLineChars="246"/>
        <w:jc w:val="center"/>
        <w:rPr>
          <w:rFonts w:hint="eastAsia" w:ascii="宋体" w:hAnsi="宋体"/>
          <w:b/>
          <w:sz w:val="32"/>
        </w:rPr>
      </w:pPr>
    </w:p>
    <w:p>
      <w:pPr>
        <w:spacing w:line="360" w:lineRule="auto"/>
        <w:jc w:val="center"/>
        <w:rPr>
          <w:rFonts w:ascii="宋体" w:hAnsi="宋体"/>
          <w:b/>
          <w:sz w:val="32"/>
        </w:rPr>
      </w:pPr>
      <w:r>
        <w:rPr>
          <w:rFonts w:hint="eastAsia" w:ascii="宋体" w:hAnsi="宋体"/>
          <w:b/>
          <w:sz w:val="32"/>
        </w:rPr>
        <w:t>投标时间</w:t>
      </w:r>
      <w:r>
        <w:rPr>
          <w:rFonts w:ascii="宋体" w:hAnsi="宋体"/>
          <w:b/>
          <w:sz w:val="32"/>
        </w:rPr>
        <w:t>：20</w:t>
      </w:r>
      <w:r>
        <w:rPr>
          <w:rFonts w:hint="eastAsia" w:ascii="宋体" w:hAnsi="宋体"/>
          <w:b/>
          <w:sz w:val="32"/>
        </w:rPr>
        <w:t>21</w:t>
      </w:r>
      <w:r>
        <w:rPr>
          <w:rFonts w:ascii="宋体" w:hAnsi="宋体"/>
          <w:b/>
          <w:sz w:val="32"/>
        </w:rPr>
        <w:t>年</w:t>
      </w:r>
      <w:r>
        <w:rPr>
          <w:rFonts w:ascii="宋体" w:hAnsi="宋体"/>
          <w:b/>
          <w:sz w:val="32"/>
          <w:u w:val="single"/>
        </w:rPr>
        <w:t xml:space="preserve"> </w:t>
      </w:r>
      <w:r>
        <w:rPr>
          <w:rFonts w:hint="eastAsia" w:ascii="宋体" w:hAnsi="宋体"/>
          <w:b/>
          <w:sz w:val="32"/>
          <w:u w:val="single"/>
        </w:rPr>
        <w:t xml:space="preserve">   </w:t>
      </w:r>
      <w:r>
        <w:rPr>
          <w:rFonts w:ascii="宋体" w:hAnsi="宋体"/>
          <w:b/>
          <w:sz w:val="32"/>
          <w:u w:val="single"/>
        </w:rPr>
        <w:t xml:space="preserve"> </w:t>
      </w:r>
      <w:r>
        <w:rPr>
          <w:rFonts w:ascii="宋体" w:hAnsi="宋体"/>
          <w:b/>
          <w:sz w:val="32"/>
        </w:rPr>
        <w:t>月</w:t>
      </w:r>
      <w:r>
        <w:rPr>
          <w:rFonts w:ascii="宋体" w:hAnsi="宋体"/>
          <w:b/>
          <w:sz w:val="32"/>
          <w:u w:val="single"/>
        </w:rPr>
        <w:t xml:space="preserve">   </w:t>
      </w:r>
      <w:r>
        <w:rPr>
          <w:rFonts w:ascii="宋体" w:hAnsi="宋体"/>
          <w:b/>
          <w:sz w:val="32"/>
        </w:rPr>
        <w:t>日</w:t>
      </w:r>
    </w:p>
    <w:p>
      <w:pPr>
        <w:spacing w:line="360" w:lineRule="auto"/>
        <w:rPr>
          <w:rFonts w:hAnsi="宋体"/>
          <w:b/>
          <w:sz w:val="32"/>
          <w:szCs w:val="32"/>
        </w:rPr>
      </w:pPr>
      <w:r>
        <w:rPr>
          <w:rFonts w:ascii="宋体" w:hAnsi="宋体"/>
          <w:b/>
          <w:sz w:val="32"/>
        </w:rPr>
        <w:br w:type="page"/>
      </w:r>
      <w:r>
        <w:rPr>
          <w:rFonts w:hint="eastAsia" w:hAnsi="宋体"/>
          <w:b/>
          <w:sz w:val="32"/>
          <w:szCs w:val="32"/>
        </w:rPr>
        <w:t>格式1-2</w:t>
      </w:r>
    </w:p>
    <w:p>
      <w:pPr>
        <w:widowControl/>
        <w:spacing w:line="360" w:lineRule="auto"/>
        <w:jc w:val="center"/>
        <w:outlineLvl w:val="2"/>
        <w:rPr>
          <w:rFonts w:hint="eastAsia" w:hAnsi="宋体"/>
          <w:b/>
          <w:sz w:val="32"/>
          <w:szCs w:val="32"/>
        </w:rPr>
      </w:pPr>
      <w:r>
        <w:rPr>
          <w:rFonts w:hint="eastAsia" w:hAnsi="宋体"/>
          <w:b/>
          <w:sz w:val="32"/>
          <w:szCs w:val="32"/>
        </w:rPr>
        <w:t>一、法定代表人/单位负责人身份证明书</w:t>
      </w:r>
    </w:p>
    <w:p>
      <w:pPr>
        <w:pStyle w:val="12"/>
        <w:spacing w:after="0" w:line="360" w:lineRule="auto"/>
        <w:ind w:left="0" w:leftChars="0"/>
        <w:rPr>
          <w:rFonts w:hint="eastAsia"/>
          <w:sz w:val="24"/>
          <w:lang w:val="zh-CN"/>
        </w:rPr>
      </w:pPr>
    </w:p>
    <w:p>
      <w:pPr>
        <w:pStyle w:val="12"/>
        <w:spacing w:after="0" w:line="360" w:lineRule="auto"/>
        <w:ind w:left="0" w:leftChars="0"/>
        <w:rPr>
          <w:rFonts w:hint="eastAsia"/>
          <w:sz w:val="24"/>
          <w:lang w:val="zh-CN"/>
        </w:rPr>
      </w:pPr>
      <w:r>
        <w:rPr>
          <w:rFonts w:hint="eastAsia"/>
          <w:sz w:val="24"/>
          <w:lang w:val="zh-CN"/>
        </w:rPr>
        <w:t>四川浩行招标代理有限公司：</w:t>
      </w:r>
    </w:p>
    <w:p>
      <w:pPr>
        <w:tabs>
          <w:tab w:val="left" w:pos="6300"/>
        </w:tabs>
        <w:spacing w:line="360" w:lineRule="auto"/>
        <w:ind w:firstLine="480" w:firstLineChars="200"/>
        <w:rPr>
          <w:rFonts w:hint="eastAsia"/>
          <w:sz w:val="24"/>
          <w:u w:val="single"/>
          <w:lang w:val="zh-CN"/>
        </w:rPr>
      </w:pPr>
    </w:p>
    <w:p>
      <w:pPr>
        <w:tabs>
          <w:tab w:val="left" w:pos="6300"/>
        </w:tabs>
        <w:spacing w:line="360" w:lineRule="auto"/>
        <w:ind w:firstLine="480" w:firstLineChars="200"/>
        <w:rPr>
          <w:rFonts w:hint="eastAsia"/>
          <w:sz w:val="24"/>
          <w:lang w:val="zh-CN"/>
        </w:rPr>
      </w:pPr>
      <w:r>
        <w:rPr>
          <w:rFonts w:hint="eastAsia"/>
          <w:sz w:val="24"/>
          <w:u w:val="single"/>
          <w:lang w:val="zh-CN"/>
        </w:rPr>
        <w:t xml:space="preserve">    （法定代表人姓名）</w:t>
      </w:r>
      <w:r>
        <w:rPr>
          <w:rFonts w:hint="eastAsia"/>
          <w:sz w:val="24"/>
          <w:lang w:val="zh-CN"/>
        </w:rPr>
        <w:t>在</w:t>
      </w:r>
      <w:r>
        <w:rPr>
          <w:rFonts w:hint="eastAsia"/>
          <w:sz w:val="24"/>
          <w:u w:val="single"/>
          <w:lang w:val="zh-CN"/>
        </w:rPr>
        <w:t xml:space="preserve">          </w:t>
      </w:r>
      <w:r>
        <w:rPr>
          <w:rFonts w:hint="eastAsia"/>
          <w:sz w:val="24"/>
          <w:u w:val="single"/>
        </w:rPr>
        <w:t xml:space="preserve">   </w:t>
      </w:r>
      <w:r>
        <w:rPr>
          <w:rFonts w:hint="eastAsia"/>
          <w:sz w:val="24"/>
          <w:lang w:val="zh-CN"/>
        </w:rPr>
        <w:t>（投标人名称） 处任</w:t>
      </w:r>
      <w:r>
        <w:rPr>
          <w:rFonts w:hint="eastAsia"/>
          <w:sz w:val="24"/>
          <w:u w:val="single"/>
          <w:lang w:val="zh-CN"/>
        </w:rPr>
        <w:t xml:space="preserve">         （职务名称）        </w:t>
      </w:r>
      <w:r>
        <w:rPr>
          <w:rFonts w:hint="eastAsia"/>
          <w:sz w:val="24"/>
          <w:lang w:val="zh-CN"/>
        </w:rPr>
        <w:t>职务，是</w:t>
      </w:r>
      <w:r>
        <w:rPr>
          <w:rFonts w:hint="eastAsia"/>
          <w:sz w:val="24"/>
          <w:u w:val="single"/>
          <w:lang w:val="zh-CN"/>
        </w:rPr>
        <w:t xml:space="preserve">      （投标人名称）    </w:t>
      </w:r>
      <w:r>
        <w:rPr>
          <w:rFonts w:hint="eastAsia"/>
          <w:sz w:val="24"/>
          <w:lang w:val="zh-CN"/>
        </w:rPr>
        <w:t>的法定代表人/单位负责人。</w:t>
      </w:r>
    </w:p>
    <w:p>
      <w:pPr>
        <w:tabs>
          <w:tab w:val="left" w:pos="6300"/>
        </w:tabs>
        <w:spacing w:line="360" w:lineRule="auto"/>
        <w:ind w:firstLine="573"/>
        <w:rPr>
          <w:rFonts w:hint="eastAsia"/>
          <w:b/>
          <w:sz w:val="24"/>
          <w:lang w:val="zh-CN"/>
        </w:rPr>
      </w:pPr>
      <w:r>
        <w:rPr>
          <w:rFonts w:hint="eastAsia"/>
          <w:b/>
          <w:sz w:val="24"/>
          <w:lang w:val="zh-CN"/>
        </w:rPr>
        <w:t>特此证明。</w:t>
      </w:r>
    </w:p>
    <w:p>
      <w:pPr>
        <w:spacing w:line="360" w:lineRule="auto"/>
        <w:rPr>
          <w:rFonts w:hint="eastAsia"/>
          <w:sz w:val="24"/>
        </w:rPr>
      </w:pPr>
    </w:p>
    <w:p>
      <w:pPr>
        <w:widowControl/>
        <w:adjustRightInd w:val="0"/>
        <w:snapToGrid w:val="0"/>
        <w:spacing w:line="360" w:lineRule="auto"/>
        <w:ind w:firstLine="472" w:firstLineChars="196"/>
        <w:jc w:val="left"/>
        <w:rPr>
          <w:rFonts w:hint="eastAsia" w:ascii="宋体" w:hAnsi="宋体"/>
          <w:b/>
          <w:bCs/>
          <w:sz w:val="24"/>
        </w:rPr>
      </w:pPr>
    </w:p>
    <w:p>
      <w:pPr>
        <w:widowControl/>
        <w:adjustRightInd w:val="0"/>
        <w:snapToGrid w:val="0"/>
        <w:spacing w:line="360" w:lineRule="auto"/>
        <w:ind w:firstLine="472" w:firstLineChars="196"/>
        <w:jc w:val="left"/>
        <w:rPr>
          <w:rFonts w:hint="eastAsia" w:ascii="宋体" w:hAnsi="宋体"/>
          <w:b/>
          <w:bCs/>
          <w:sz w:val="24"/>
        </w:rPr>
      </w:pPr>
    </w:p>
    <w:p>
      <w:pPr>
        <w:widowControl/>
        <w:adjustRightInd w:val="0"/>
        <w:snapToGrid w:val="0"/>
        <w:spacing w:line="360" w:lineRule="auto"/>
        <w:ind w:firstLine="472" w:firstLineChars="196"/>
        <w:jc w:val="left"/>
        <w:rPr>
          <w:rFonts w:hint="eastAsia" w:ascii="宋体" w:hAnsi="宋体"/>
          <w:b/>
          <w:bCs/>
          <w:sz w:val="24"/>
        </w:rPr>
      </w:pPr>
    </w:p>
    <w:p>
      <w:pPr>
        <w:widowControl/>
        <w:adjustRightInd w:val="0"/>
        <w:snapToGrid w:val="0"/>
        <w:spacing w:line="360" w:lineRule="auto"/>
        <w:ind w:firstLine="472" w:firstLineChars="196"/>
        <w:jc w:val="left"/>
        <w:rPr>
          <w:rFonts w:hint="eastAsia" w:ascii="宋体" w:hAnsi="宋体"/>
          <w:b/>
          <w:bCs/>
          <w:sz w:val="24"/>
        </w:rPr>
      </w:pPr>
      <w:r>
        <w:rPr>
          <w:rFonts w:hint="eastAsia" w:ascii="宋体" w:hAnsi="宋体"/>
          <w:b/>
          <w:bCs/>
          <w:sz w:val="24"/>
        </w:rPr>
        <w:t>投标人名称：XXXX（单位盖章）。</w:t>
      </w:r>
    </w:p>
    <w:p>
      <w:pPr>
        <w:widowControl/>
        <w:adjustRightInd w:val="0"/>
        <w:snapToGrid w:val="0"/>
        <w:spacing w:line="360" w:lineRule="auto"/>
        <w:ind w:firstLine="472" w:firstLineChars="196"/>
        <w:jc w:val="left"/>
        <w:rPr>
          <w:rFonts w:hint="eastAsia" w:ascii="宋体" w:hAnsi="宋体"/>
          <w:b/>
          <w:bCs/>
          <w:sz w:val="24"/>
        </w:rPr>
      </w:pPr>
      <w:r>
        <w:rPr>
          <w:rFonts w:hint="eastAsia" w:ascii="宋体" w:hAnsi="宋体"/>
          <w:b/>
          <w:bCs/>
          <w:sz w:val="24"/>
        </w:rPr>
        <w:t>法定代表人/单位负责人或授权代表（签字或加盖个人名章）：XXXX。</w:t>
      </w:r>
    </w:p>
    <w:p>
      <w:pPr>
        <w:pStyle w:val="2"/>
        <w:ind w:firstLine="482" w:firstLineChars="200"/>
        <w:rPr>
          <w:rFonts w:hint="eastAsia"/>
        </w:rPr>
      </w:pPr>
      <w:r>
        <w:rPr>
          <w:rFonts w:hint="eastAsia" w:ascii="宋体"/>
          <w:b/>
          <w:bCs/>
          <w:sz w:val="24"/>
        </w:rPr>
        <w:t>包件号：</w:t>
      </w:r>
    </w:p>
    <w:p>
      <w:pPr>
        <w:tabs>
          <w:tab w:val="left" w:pos="6300"/>
        </w:tabs>
        <w:spacing w:line="360" w:lineRule="auto"/>
        <w:ind w:firstLine="482" w:firstLineChars="200"/>
        <w:rPr>
          <w:rFonts w:hint="eastAsia"/>
          <w:b/>
          <w:szCs w:val="21"/>
          <w:lang w:val="zh-CN"/>
        </w:rPr>
      </w:pPr>
      <w:r>
        <w:rPr>
          <w:rFonts w:hint="eastAsia" w:ascii="宋体" w:hAnsi="宋体"/>
          <w:b/>
          <w:bCs/>
          <w:sz w:val="24"/>
        </w:rPr>
        <w:t>投标日期: XXXX。</w:t>
      </w:r>
    </w:p>
    <w:p>
      <w:pPr>
        <w:tabs>
          <w:tab w:val="left" w:pos="6300"/>
        </w:tabs>
        <w:spacing w:line="360" w:lineRule="auto"/>
        <w:ind w:firstLine="442" w:firstLineChars="200"/>
        <w:rPr>
          <w:rFonts w:hint="eastAsia"/>
          <w:b/>
          <w:sz w:val="22"/>
          <w:szCs w:val="21"/>
          <w:lang w:val="zh-CN"/>
        </w:rPr>
      </w:pPr>
    </w:p>
    <w:p>
      <w:pPr>
        <w:tabs>
          <w:tab w:val="left" w:pos="6300"/>
        </w:tabs>
        <w:spacing w:line="360" w:lineRule="auto"/>
        <w:ind w:firstLine="442" w:firstLineChars="200"/>
        <w:rPr>
          <w:rFonts w:hint="eastAsia"/>
          <w:b/>
          <w:sz w:val="22"/>
          <w:szCs w:val="21"/>
          <w:lang w:val="zh-CN"/>
        </w:rPr>
      </w:pPr>
    </w:p>
    <w:p>
      <w:pPr>
        <w:tabs>
          <w:tab w:val="left" w:pos="6300"/>
        </w:tabs>
        <w:spacing w:line="360" w:lineRule="auto"/>
        <w:ind w:firstLine="442" w:firstLineChars="200"/>
        <w:rPr>
          <w:rFonts w:hint="eastAsia"/>
          <w:b/>
          <w:sz w:val="22"/>
          <w:szCs w:val="21"/>
          <w:lang w:val="zh-CN"/>
        </w:rPr>
      </w:pPr>
      <w:r>
        <w:rPr>
          <w:rFonts w:hint="eastAsia"/>
          <w:b/>
          <w:sz w:val="22"/>
          <w:szCs w:val="21"/>
          <w:lang w:val="zh-CN"/>
        </w:rPr>
        <w:t>附件：法定代表人/单位负责人有效的身份证复印件（身份证两面均应复印）。投标人的法定代表人为外籍人士的，则需提供护照复印件。</w:t>
      </w:r>
    </w:p>
    <w:p>
      <w:pPr>
        <w:spacing w:line="360" w:lineRule="auto"/>
        <w:rPr>
          <w:rFonts w:hAnsi="宋体"/>
          <w:b/>
          <w:sz w:val="32"/>
          <w:szCs w:val="32"/>
        </w:rPr>
      </w:pPr>
      <w:r>
        <w:rPr>
          <w:sz w:val="24"/>
        </w:rPr>
        <w:br w:type="page"/>
      </w:r>
      <w:r>
        <w:rPr>
          <w:rFonts w:hint="eastAsia" w:hAnsi="宋体"/>
          <w:b/>
          <w:sz w:val="32"/>
          <w:szCs w:val="32"/>
        </w:rPr>
        <w:t>格式1-3</w:t>
      </w:r>
    </w:p>
    <w:p>
      <w:pPr>
        <w:widowControl/>
        <w:spacing w:line="360" w:lineRule="auto"/>
        <w:jc w:val="center"/>
        <w:outlineLvl w:val="2"/>
        <w:rPr>
          <w:rFonts w:hint="eastAsia" w:hAnsi="宋体"/>
          <w:b/>
          <w:sz w:val="32"/>
          <w:szCs w:val="32"/>
        </w:rPr>
      </w:pPr>
      <w:r>
        <w:rPr>
          <w:rFonts w:hint="eastAsia" w:hAnsi="宋体"/>
          <w:b/>
          <w:sz w:val="32"/>
          <w:szCs w:val="32"/>
        </w:rPr>
        <w:t>二、法定代表人/单位负责人授权书</w:t>
      </w:r>
    </w:p>
    <w:p>
      <w:pPr>
        <w:pStyle w:val="12"/>
        <w:spacing w:after="0" w:line="360" w:lineRule="auto"/>
        <w:ind w:left="0" w:leftChars="0"/>
        <w:rPr>
          <w:rFonts w:hint="eastAsia" w:ascii="宋体" w:hAnsi="宋体" w:cs="宋体"/>
          <w:sz w:val="24"/>
          <w:lang w:val="zh-CN"/>
        </w:rPr>
      </w:pPr>
    </w:p>
    <w:p>
      <w:pPr>
        <w:pStyle w:val="12"/>
        <w:spacing w:after="0" w:line="360" w:lineRule="auto"/>
        <w:ind w:left="0" w:leftChars="0"/>
        <w:rPr>
          <w:rFonts w:hint="eastAsia" w:ascii="宋体" w:hAnsi="宋体" w:cs="宋体"/>
          <w:sz w:val="24"/>
          <w:lang w:val="zh-CN"/>
        </w:rPr>
      </w:pPr>
      <w:r>
        <w:rPr>
          <w:rFonts w:hint="eastAsia" w:ascii="宋体" w:hAnsi="宋体" w:cs="宋体"/>
          <w:sz w:val="24"/>
          <w:lang w:val="zh-CN"/>
        </w:rPr>
        <w:t>四川浩行招标代理有限公司：</w:t>
      </w:r>
    </w:p>
    <w:p>
      <w:pPr>
        <w:spacing w:line="360" w:lineRule="auto"/>
        <w:ind w:firstLine="480" w:firstLineChars="200"/>
        <w:rPr>
          <w:rFonts w:hint="eastAsia" w:ascii="宋体" w:hAnsi="宋体" w:cs="宋体"/>
          <w:sz w:val="24"/>
        </w:rPr>
      </w:pPr>
    </w:p>
    <w:p>
      <w:pPr>
        <w:spacing w:line="360" w:lineRule="auto"/>
        <w:ind w:firstLine="480" w:firstLineChars="200"/>
        <w:rPr>
          <w:rFonts w:hint="eastAsia" w:ascii="宋体" w:hAnsi="宋体" w:cs="宋体"/>
          <w:b/>
          <w:sz w:val="32"/>
          <w:szCs w:val="32"/>
        </w:rPr>
      </w:pPr>
      <w:r>
        <w:rPr>
          <w:rFonts w:hint="eastAsia" w:ascii="宋体" w:hAnsi="宋体" w:cs="宋体"/>
          <w:sz w:val="24"/>
        </w:rPr>
        <w:t>本授权声明：</w:t>
      </w:r>
      <w:r>
        <w:rPr>
          <w:rFonts w:hint="eastAsia" w:ascii="宋体" w:hAnsi="宋体" w:cs="宋体"/>
          <w:sz w:val="24"/>
          <w:u w:val="single"/>
        </w:rPr>
        <w:t xml:space="preserve">       </w:t>
      </w:r>
      <w:r>
        <w:rPr>
          <w:rFonts w:hint="eastAsia" w:ascii="宋体" w:hAnsi="宋体" w:cs="宋体"/>
          <w:sz w:val="24"/>
        </w:rPr>
        <w:t>（投标人名称）</w:t>
      </w:r>
      <w:r>
        <w:rPr>
          <w:rFonts w:hint="eastAsia" w:ascii="宋体" w:hAnsi="宋体" w:cs="宋体"/>
          <w:sz w:val="24"/>
          <w:u w:val="single"/>
        </w:rPr>
        <w:t xml:space="preserve">       </w:t>
      </w:r>
      <w:r>
        <w:rPr>
          <w:rFonts w:hint="eastAsia" w:ascii="宋体" w:hAnsi="宋体" w:cs="宋体"/>
          <w:sz w:val="24"/>
        </w:rPr>
        <w:t>（法定代表人/单位负责人姓名、职务）授权</w:t>
      </w:r>
      <w:r>
        <w:rPr>
          <w:rFonts w:hint="eastAsia" w:ascii="宋体" w:hAnsi="宋体" w:cs="宋体"/>
          <w:sz w:val="24"/>
          <w:u w:val="single"/>
        </w:rPr>
        <w:t xml:space="preserve">         </w:t>
      </w:r>
      <w:r>
        <w:rPr>
          <w:rFonts w:hint="eastAsia" w:ascii="宋体" w:hAnsi="宋体" w:cs="宋体"/>
          <w:sz w:val="24"/>
        </w:rPr>
        <w:t>（被授权人姓名、职务）为我方 “</w:t>
      </w:r>
      <w:r>
        <w:rPr>
          <w:rFonts w:hint="eastAsia" w:ascii="宋体" w:hAnsi="宋体" w:cs="宋体"/>
          <w:sz w:val="24"/>
          <w:u w:val="single"/>
        </w:rPr>
        <w:t xml:space="preserve">        </w:t>
      </w:r>
      <w:r>
        <w:rPr>
          <w:rFonts w:hint="eastAsia" w:ascii="宋体" w:hAnsi="宋体" w:cs="宋体"/>
          <w:sz w:val="24"/>
        </w:rPr>
        <w:t>” 项目（项目编号：</w:t>
      </w:r>
      <w:r>
        <w:rPr>
          <w:rFonts w:hint="eastAsia" w:ascii="宋体" w:hAnsi="宋体" w:cs="宋体"/>
          <w:sz w:val="24"/>
          <w:u w:val="single"/>
        </w:rPr>
        <w:t xml:space="preserve">        </w:t>
      </w:r>
      <w:r>
        <w:rPr>
          <w:rFonts w:hint="eastAsia" w:ascii="宋体" w:hAnsi="宋体" w:cs="宋体"/>
          <w:sz w:val="24"/>
        </w:rPr>
        <w:t>）投标活动的合法代表，以我方名义全权处理该项目有关投标、签订合同以及执行合同等一切事宜。</w:t>
      </w:r>
    </w:p>
    <w:p>
      <w:pPr>
        <w:spacing w:line="360" w:lineRule="auto"/>
        <w:ind w:firstLine="480" w:firstLineChars="200"/>
        <w:rPr>
          <w:rFonts w:hint="eastAsia" w:ascii="宋体" w:hAnsi="宋体" w:cs="宋体"/>
          <w:b/>
          <w:sz w:val="32"/>
          <w:szCs w:val="32"/>
        </w:rPr>
      </w:pPr>
      <w:r>
        <w:rPr>
          <w:rFonts w:hint="eastAsia" w:ascii="宋体" w:hAnsi="宋体" w:cs="宋体"/>
          <w:sz w:val="24"/>
        </w:rPr>
        <w:t>特此声明。</w:t>
      </w:r>
    </w:p>
    <w:p>
      <w:pPr>
        <w:spacing w:line="360" w:lineRule="auto"/>
        <w:ind w:firstLine="480" w:firstLineChars="200"/>
        <w:rPr>
          <w:rFonts w:hint="eastAsia" w:ascii="宋体" w:hAnsi="宋体" w:cs="宋体"/>
          <w:sz w:val="24"/>
        </w:rPr>
      </w:pPr>
    </w:p>
    <w:p>
      <w:pPr>
        <w:spacing w:line="360" w:lineRule="auto"/>
        <w:ind w:firstLine="482" w:firstLineChars="200"/>
        <w:rPr>
          <w:rFonts w:hint="eastAsia" w:ascii="宋体" w:hAnsi="宋体" w:cs="宋体"/>
          <w:b/>
          <w:bCs/>
          <w:sz w:val="32"/>
          <w:szCs w:val="32"/>
        </w:rPr>
      </w:pPr>
      <w:r>
        <w:rPr>
          <w:rFonts w:hint="eastAsia" w:ascii="宋体" w:hAnsi="宋体" w:cs="宋体"/>
          <w:b/>
          <w:bCs/>
          <w:sz w:val="24"/>
        </w:rPr>
        <w:t>法定代表人/单位负责人（委托人）签字或加盖个人名章：XXXX</w:t>
      </w:r>
    </w:p>
    <w:p>
      <w:pPr>
        <w:spacing w:line="360" w:lineRule="auto"/>
        <w:ind w:firstLine="482" w:firstLineChars="200"/>
        <w:rPr>
          <w:rFonts w:hint="eastAsia" w:ascii="宋体" w:hAnsi="宋体" w:cs="宋体"/>
          <w:b/>
          <w:bCs/>
          <w:sz w:val="32"/>
          <w:szCs w:val="32"/>
        </w:rPr>
      </w:pPr>
      <w:r>
        <w:rPr>
          <w:rFonts w:hint="eastAsia" w:ascii="宋体" w:hAnsi="宋体" w:cs="宋体"/>
          <w:b/>
          <w:bCs/>
          <w:sz w:val="24"/>
        </w:rPr>
        <w:t>授权代表（被授权人）签字：XXXX</w:t>
      </w:r>
    </w:p>
    <w:p>
      <w:pPr>
        <w:spacing w:line="360" w:lineRule="auto"/>
        <w:ind w:firstLine="482" w:firstLineChars="200"/>
        <w:rPr>
          <w:rFonts w:hint="eastAsia" w:ascii="宋体" w:hAnsi="宋体" w:cs="宋体"/>
          <w:b/>
          <w:bCs/>
          <w:sz w:val="24"/>
        </w:rPr>
      </w:pPr>
      <w:r>
        <w:rPr>
          <w:rFonts w:hint="eastAsia" w:ascii="宋体" w:hAnsi="宋体" w:cs="宋体"/>
          <w:b/>
          <w:bCs/>
          <w:sz w:val="24"/>
        </w:rPr>
        <w:t>投标人名称：XXXX（单位盖章）</w:t>
      </w:r>
    </w:p>
    <w:p>
      <w:pPr>
        <w:spacing w:line="360" w:lineRule="auto"/>
        <w:ind w:firstLine="482" w:firstLineChars="200"/>
        <w:rPr>
          <w:rFonts w:hint="eastAsia"/>
          <w:u w:val="single"/>
        </w:rPr>
      </w:pPr>
      <w:r>
        <w:rPr>
          <w:rFonts w:hint="eastAsia" w:ascii="宋体" w:hAnsi="宋体" w:cs="宋体"/>
          <w:b/>
          <w:bCs/>
          <w:sz w:val="24"/>
        </w:rPr>
        <w:t>包件号：</w:t>
      </w:r>
    </w:p>
    <w:p>
      <w:pPr>
        <w:spacing w:line="360" w:lineRule="auto"/>
        <w:ind w:firstLine="482" w:firstLineChars="200"/>
        <w:rPr>
          <w:rFonts w:hint="eastAsia" w:ascii="宋体" w:hAnsi="宋体" w:cs="宋体"/>
          <w:b/>
          <w:bCs/>
          <w:sz w:val="32"/>
          <w:szCs w:val="32"/>
        </w:rPr>
      </w:pPr>
      <w:r>
        <w:rPr>
          <w:rFonts w:hint="eastAsia" w:ascii="宋体" w:hAnsi="宋体" w:cs="宋体"/>
          <w:b/>
          <w:bCs/>
          <w:sz w:val="24"/>
        </w:rPr>
        <w:t>日    期：XXXX</w:t>
      </w:r>
    </w:p>
    <w:p>
      <w:pPr>
        <w:spacing w:line="360" w:lineRule="auto"/>
        <w:ind w:firstLine="643" w:firstLineChars="200"/>
        <w:rPr>
          <w:rFonts w:hint="eastAsia" w:ascii="宋体" w:hAnsi="宋体" w:cs="宋体"/>
          <w:b/>
          <w:sz w:val="32"/>
          <w:szCs w:val="32"/>
        </w:rPr>
      </w:pPr>
    </w:p>
    <w:p>
      <w:pPr>
        <w:spacing w:line="360" w:lineRule="auto"/>
        <w:ind w:firstLine="480" w:firstLineChars="200"/>
        <w:rPr>
          <w:rFonts w:hAnsi="宋体"/>
          <w:b/>
          <w:sz w:val="32"/>
          <w:szCs w:val="32"/>
        </w:rPr>
      </w:pPr>
      <w:r>
        <w:rPr>
          <w:rFonts w:hint="eastAsia" w:hAnsi="宋体"/>
          <w:sz w:val="24"/>
        </w:rPr>
        <w:t>注：</w:t>
      </w:r>
    </w:p>
    <w:p>
      <w:pPr>
        <w:spacing w:line="360" w:lineRule="auto"/>
        <w:ind w:firstLine="480" w:firstLineChars="200"/>
        <w:rPr>
          <w:rFonts w:hint="eastAsia" w:ascii="宋体" w:hAnsi="宋体" w:cs="宋体"/>
          <w:sz w:val="24"/>
        </w:rPr>
      </w:pPr>
      <w:r>
        <w:rPr>
          <w:rFonts w:hint="eastAsia" w:ascii="宋体" w:hAnsi="宋体" w:cs="宋体"/>
          <w:sz w:val="24"/>
        </w:rPr>
        <w:t>1、投标人为法人单位时提供“法定代表人授权书”，投标人为其他组织时提供“单位负责人授权书”，投标人为自然人时提供“自然人身份证明材料”。</w:t>
      </w:r>
    </w:p>
    <w:p>
      <w:pPr>
        <w:spacing w:line="360" w:lineRule="auto"/>
        <w:ind w:firstLine="480" w:firstLineChars="200"/>
        <w:rPr>
          <w:rFonts w:hint="eastAsia" w:ascii="宋体" w:hAnsi="宋体" w:cs="宋体"/>
          <w:sz w:val="24"/>
        </w:rPr>
      </w:pPr>
      <w:r>
        <w:rPr>
          <w:rFonts w:hint="eastAsia" w:ascii="宋体" w:hAnsi="宋体" w:cs="宋体"/>
          <w:sz w:val="24"/>
        </w:rPr>
        <w:t>2、应附法定代表人/单位负责人身份证明材料复印件和授权代表身份证明材料复印件。</w:t>
      </w:r>
    </w:p>
    <w:p>
      <w:pPr>
        <w:spacing w:line="360" w:lineRule="auto"/>
        <w:ind w:firstLine="480" w:firstLineChars="200"/>
        <w:rPr>
          <w:rFonts w:hint="eastAsia" w:ascii="宋体" w:hAnsi="宋体" w:cs="宋体"/>
          <w:sz w:val="24"/>
        </w:rPr>
      </w:pPr>
      <w:r>
        <w:rPr>
          <w:rFonts w:hint="eastAsia" w:ascii="宋体" w:hAnsi="宋体" w:cs="宋体"/>
          <w:sz w:val="24"/>
        </w:rPr>
        <w:t>3、身份证明材料包括居民身份证或户口本或军官证或护照等。</w:t>
      </w:r>
    </w:p>
    <w:p>
      <w:pPr>
        <w:spacing w:line="360" w:lineRule="auto"/>
        <w:ind w:firstLine="480" w:firstLineChars="200"/>
        <w:rPr>
          <w:rFonts w:hint="eastAsia" w:ascii="宋体" w:hAnsi="宋体" w:cs="宋体"/>
          <w:sz w:val="24"/>
        </w:rPr>
      </w:pPr>
      <w:r>
        <w:rPr>
          <w:rFonts w:hint="eastAsia" w:ascii="宋体" w:hAnsi="宋体" w:cs="宋体"/>
          <w:sz w:val="24"/>
        </w:rPr>
        <w:t>4、身份证明材料应同时提供其在有效期的材料，如居民身份证正、反面复印件。</w:t>
      </w:r>
    </w:p>
    <w:p>
      <w:pPr>
        <w:spacing w:line="400" w:lineRule="exact"/>
        <w:ind w:firstLine="480" w:firstLineChars="200"/>
        <w:rPr>
          <w:rFonts w:hint="eastAsia" w:ascii="宋体" w:hAnsi="宋体"/>
          <w:sz w:val="24"/>
        </w:rPr>
      </w:pPr>
    </w:p>
    <w:p>
      <w:pPr>
        <w:spacing w:line="360" w:lineRule="auto"/>
        <w:rPr>
          <w:rFonts w:hint="eastAsia" w:ascii="宋体" w:hAnsi="宋体"/>
          <w:b/>
          <w:sz w:val="32"/>
          <w:szCs w:val="32"/>
        </w:rPr>
      </w:pPr>
      <w:r>
        <w:rPr>
          <w:rFonts w:hint="eastAsia" w:ascii="宋体" w:hAnsi="宋体"/>
          <w:b/>
          <w:sz w:val="32"/>
          <w:szCs w:val="32"/>
        </w:rPr>
        <w:br w:type="page"/>
      </w:r>
      <w:r>
        <w:rPr>
          <w:rFonts w:hint="eastAsia" w:ascii="宋体" w:hAnsi="宋体"/>
          <w:b/>
          <w:sz w:val="32"/>
          <w:szCs w:val="32"/>
        </w:rPr>
        <w:t>格式1-4</w:t>
      </w:r>
    </w:p>
    <w:p>
      <w:pPr>
        <w:widowControl/>
        <w:spacing w:line="360" w:lineRule="auto"/>
        <w:jc w:val="center"/>
        <w:outlineLvl w:val="2"/>
        <w:rPr>
          <w:rFonts w:hint="eastAsia" w:hAnsi="宋体"/>
          <w:b/>
          <w:sz w:val="32"/>
          <w:szCs w:val="32"/>
        </w:rPr>
      </w:pPr>
      <w:bookmarkStart w:id="156" w:name="_Toc503862812"/>
      <w:r>
        <w:rPr>
          <w:rFonts w:hint="eastAsia" w:hAnsi="宋体"/>
          <w:b/>
          <w:sz w:val="32"/>
          <w:szCs w:val="32"/>
        </w:rPr>
        <w:t>三、承诺函</w:t>
      </w:r>
      <w:bookmarkEnd w:id="156"/>
    </w:p>
    <w:p>
      <w:pPr>
        <w:pStyle w:val="12"/>
        <w:spacing w:after="0" w:line="360" w:lineRule="auto"/>
        <w:ind w:left="0" w:leftChars="0"/>
        <w:rPr>
          <w:rFonts w:hint="eastAsia" w:ascii="宋体" w:hAnsi="宋体" w:cs="宋体"/>
          <w:sz w:val="24"/>
          <w:lang w:val="zh-CN"/>
        </w:rPr>
      </w:pPr>
      <w:bookmarkStart w:id="157" w:name="_Toc503862824"/>
      <w:r>
        <w:rPr>
          <w:rFonts w:hint="eastAsia" w:ascii="宋体" w:hAnsi="宋体" w:cs="宋体"/>
          <w:sz w:val="24"/>
          <w:lang w:val="zh-CN"/>
        </w:rPr>
        <w:t>四川浩行招标代理有限公司：</w:t>
      </w:r>
    </w:p>
    <w:p>
      <w:pPr>
        <w:tabs>
          <w:tab w:val="left" w:pos="7669"/>
        </w:tabs>
        <w:adjustRightInd w:val="0"/>
        <w:snapToGrid w:val="0"/>
        <w:spacing w:line="264" w:lineRule="auto"/>
        <w:ind w:firstLine="480" w:firstLineChars="200"/>
        <w:rPr>
          <w:rFonts w:hint="eastAsia" w:ascii="宋体" w:hAnsi="宋体" w:cs="宋体"/>
          <w:sz w:val="24"/>
        </w:rPr>
      </w:pPr>
      <w:r>
        <w:rPr>
          <w:rFonts w:hint="eastAsia" w:ascii="宋体" w:hAnsi="宋体" w:cs="宋体"/>
          <w:sz w:val="24"/>
        </w:rPr>
        <w:t>我公司作为本次采购项目的投标人，根据招标文件要求，现郑重承诺如下：</w:t>
      </w:r>
    </w:p>
    <w:p>
      <w:pPr>
        <w:tabs>
          <w:tab w:val="left" w:pos="7669"/>
        </w:tabs>
        <w:adjustRightInd w:val="0"/>
        <w:snapToGrid w:val="0"/>
        <w:spacing w:line="264" w:lineRule="auto"/>
        <w:ind w:firstLine="480" w:firstLineChars="200"/>
        <w:rPr>
          <w:rFonts w:hint="eastAsia" w:ascii="宋体" w:hAnsi="宋体" w:cs="宋体"/>
          <w:sz w:val="24"/>
        </w:rPr>
      </w:pPr>
      <w:r>
        <w:rPr>
          <w:rFonts w:hint="eastAsia" w:ascii="宋体" w:hAnsi="宋体" w:cs="宋体"/>
          <w:sz w:val="24"/>
        </w:rPr>
        <w:t>一、具备《中华人民共和国政府采购法》第二十二条第一款和本项目规定的条件：</w:t>
      </w:r>
    </w:p>
    <w:p>
      <w:pPr>
        <w:tabs>
          <w:tab w:val="left" w:pos="7669"/>
        </w:tabs>
        <w:adjustRightInd w:val="0"/>
        <w:snapToGrid w:val="0"/>
        <w:spacing w:line="264" w:lineRule="auto"/>
        <w:ind w:firstLine="480" w:firstLineChars="200"/>
        <w:rPr>
          <w:rFonts w:hint="eastAsia" w:ascii="宋体" w:hAnsi="宋体" w:cs="宋体"/>
          <w:sz w:val="24"/>
        </w:rPr>
      </w:pPr>
      <w:r>
        <w:rPr>
          <w:rFonts w:hint="eastAsia" w:ascii="宋体" w:hAnsi="宋体" w:cs="宋体"/>
          <w:sz w:val="24"/>
        </w:rPr>
        <w:t xml:space="preserve">（1）具有独立承担民事责任的能力； </w:t>
      </w:r>
    </w:p>
    <w:p>
      <w:pPr>
        <w:tabs>
          <w:tab w:val="left" w:pos="7669"/>
        </w:tabs>
        <w:adjustRightInd w:val="0"/>
        <w:snapToGrid w:val="0"/>
        <w:spacing w:line="264" w:lineRule="auto"/>
        <w:ind w:firstLine="480" w:firstLineChars="200"/>
        <w:rPr>
          <w:rFonts w:hint="eastAsia" w:ascii="宋体" w:hAnsi="宋体" w:cs="宋体"/>
          <w:sz w:val="24"/>
        </w:rPr>
      </w:pPr>
      <w:r>
        <w:rPr>
          <w:rFonts w:hint="eastAsia" w:ascii="宋体" w:hAnsi="宋体" w:cs="宋体"/>
          <w:sz w:val="24"/>
        </w:rPr>
        <w:t xml:space="preserve">（2）具有良好的商业信誉和健全的财务会计制度； </w:t>
      </w:r>
    </w:p>
    <w:p>
      <w:pPr>
        <w:tabs>
          <w:tab w:val="left" w:pos="7669"/>
        </w:tabs>
        <w:adjustRightInd w:val="0"/>
        <w:snapToGrid w:val="0"/>
        <w:spacing w:line="264" w:lineRule="auto"/>
        <w:ind w:firstLine="480" w:firstLineChars="200"/>
        <w:rPr>
          <w:rFonts w:hint="eastAsia" w:ascii="宋体" w:hAnsi="宋体" w:cs="宋体"/>
          <w:sz w:val="24"/>
        </w:rPr>
      </w:pPr>
      <w:r>
        <w:rPr>
          <w:rFonts w:hint="eastAsia" w:ascii="宋体" w:hAnsi="宋体" w:cs="宋体"/>
          <w:sz w:val="24"/>
        </w:rPr>
        <w:t xml:space="preserve">（3）具有履行合同所必需的设备和专业技术能力； </w:t>
      </w:r>
    </w:p>
    <w:p>
      <w:pPr>
        <w:tabs>
          <w:tab w:val="left" w:pos="7669"/>
        </w:tabs>
        <w:adjustRightInd w:val="0"/>
        <w:snapToGrid w:val="0"/>
        <w:spacing w:line="264" w:lineRule="auto"/>
        <w:ind w:firstLine="480" w:firstLineChars="200"/>
        <w:rPr>
          <w:rFonts w:hint="eastAsia" w:ascii="宋体" w:hAnsi="宋体" w:cs="宋体"/>
          <w:sz w:val="24"/>
        </w:rPr>
      </w:pPr>
      <w:r>
        <w:rPr>
          <w:rFonts w:hint="eastAsia" w:ascii="宋体" w:hAnsi="宋体" w:cs="宋体"/>
          <w:sz w:val="24"/>
        </w:rPr>
        <w:t xml:space="preserve">（4）有依法缴纳税收和社会保障资金的良好记录； </w:t>
      </w:r>
    </w:p>
    <w:p>
      <w:pPr>
        <w:tabs>
          <w:tab w:val="left" w:pos="7669"/>
        </w:tabs>
        <w:adjustRightInd w:val="0"/>
        <w:snapToGrid w:val="0"/>
        <w:spacing w:line="264" w:lineRule="auto"/>
        <w:ind w:firstLine="480" w:firstLineChars="200"/>
        <w:rPr>
          <w:rFonts w:hint="eastAsia" w:ascii="宋体" w:hAnsi="宋体" w:cs="宋体"/>
          <w:sz w:val="24"/>
        </w:rPr>
      </w:pPr>
      <w:r>
        <w:rPr>
          <w:rFonts w:hint="eastAsia" w:ascii="宋体" w:hAnsi="宋体" w:cs="宋体"/>
          <w:sz w:val="24"/>
        </w:rPr>
        <w:t>（5）参加政府采购活动前三年内，在经营活动中没有重大违法记录；</w:t>
      </w:r>
    </w:p>
    <w:p>
      <w:pPr>
        <w:tabs>
          <w:tab w:val="left" w:pos="7669"/>
        </w:tabs>
        <w:adjustRightInd w:val="0"/>
        <w:snapToGrid w:val="0"/>
        <w:spacing w:line="264" w:lineRule="auto"/>
        <w:ind w:firstLine="480" w:firstLineChars="200"/>
        <w:rPr>
          <w:rFonts w:hint="eastAsia" w:ascii="宋体" w:hAnsi="宋体" w:cs="宋体"/>
          <w:sz w:val="24"/>
        </w:rPr>
      </w:pPr>
      <w:r>
        <w:rPr>
          <w:rFonts w:hint="eastAsia" w:ascii="宋体" w:hAnsi="宋体" w:cs="宋体"/>
          <w:sz w:val="24"/>
        </w:rPr>
        <w:t>（6）法律、行政法规规定的其他条件；</w:t>
      </w:r>
    </w:p>
    <w:p>
      <w:pPr>
        <w:tabs>
          <w:tab w:val="left" w:pos="7669"/>
        </w:tabs>
        <w:adjustRightInd w:val="0"/>
        <w:snapToGrid w:val="0"/>
        <w:spacing w:line="264" w:lineRule="auto"/>
        <w:ind w:firstLine="480" w:firstLineChars="200"/>
        <w:rPr>
          <w:rFonts w:hint="eastAsia" w:ascii="宋体" w:hAnsi="宋体" w:cs="宋体"/>
          <w:sz w:val="24"/>
        </w:rPr>
      </w:pPr>
      <w:r>
        <w:rPr>
          <w:rFonts w:hint="eastAsia" w:ascii="宋体" w:hAnsi="宋体" w:cs="宋体"/>
          <w:sz w:val="24"/>
        </w:rPr>
        <w:t>（7）根据采购项目提出的特殊条件。</w:t>
      </w:r>
    </w:p>
    <w:p>
      <w:pPr>
        <w:tabs>
          <w:tab w:val="left" w:pos="7669"/>
        </w:tabs>
        <w:adjustRightInd w:val="0"/>
        <w:snapToGrid w:val="0"/>
        <w:spacing w:line="264" w:lineRule="auto"/>
        <w:ind w:firstLine="480" w:firstLineChars="200"/>
        <w:rPr>
          <w:rFonts w:hint="eastAsia" w:ascii="宋体" w:hAnsi="宋体" w:cs="宋体"/>
          <w:sz w:val="24"/>
        </w:rPr>
      </w:pPr>
      <w:r>
        <w:rPr>
          <w:rFonts w:hint="eastAsia" w:ascii="宋体" w:hAnsi="宋体" w:cs="宋体"/>
          <w:sz w:val="24"/>
        </w:rPr>
        <w:t>二、完全接受和满足本项目招标文件中规定的实质性要求，如对招标文件有异议，已经在投标截止时间届满前依法进行维权救济，不存在对招标文件有异议的同时又参加投标以求侥幸成交或者为实现其他非法目的的行为。</w:t>
      </w:r>
    </w:p>
    <w:p>
      <w:pPr>
        <w:tabs>
          <w:tab w:val="left" w:pos="7669"/>
        </w:tabs>
        <w:adjustRightInd w:val="0"/>
        <w:snapToGrid w:val="0"/>
        <w:spacing w:line="264" w:lineRule="auto"/>
        <w:ind w:firstLine="480" w:firstLineChars="200"/>
        <w:rPr>
          <w:rFonts w:hint="eastAsia" w:ascii="宋体" w:hAnsi="宋体" w:cs="宋体"/>
          <w:sz w:val="24"/>
        </w:rPr>
      </w:pPr>
      <w:r>
        <w:rPr>
          <w:rFonts w:hint="eastAsia" w:ascii="宋体" w:hAnsi="宋体" w:cs="宋体"/>
          <w:sz w:val="24"/>
        </w:rPr>
        <w:t>三、在参加本次招标采购活动中，不存在与单位负责人为同一人或者存在直接控股、管理关系的其他投标人参与同一合同项下的政府采购活动的行为。我方未参与本采购项目前期咨询论证，不属于禁止参加本项目投标的投标人。</w:t>
      </w:r>
    </w:p>
    <w:p>
      <w:pPr>
        <w:tabs>
          <w:tab w:val="left" w:pos="7669"/>
        </w:tabs>
        <w:adjustRightInd w:val="0"/>
        <w:snapToGrid w:val="0"/>
        <w:spacing w:line="264" w:lineRule="auto"/>
        <w:ind w:firstLine="480" w:firstLineChars="200"/>
        <w:rPr>
          <w:rFonts w:hint="eastAsia" w:ascii="宋体" w:hAnsi="宋体" w:cs="宋体"/>
          <w:sz w:val="24"/>
        </w:rPr>
      </w:pPr>
      <w:r>
        <w:rPr>
          <w:rFonts w:hint="eastAsia" w:ascii="宋体" w:hAnsi="宋体" w:cs="宋体"/>
          <w:sz w:val="24"/>
        </w:rPr>
        <w:t>四、在参加本次招标采购活动中，不存在和其他投标人在同一合同项下的采购项目中，同时委托同一个自然人、同一家庭的人员、同一单位的人员作为代理人的行为。</w:t>
      </w:r>
    </w:p>
    <w:p>
      <w:pPr>
        <w:tabs>
          <w:tab w:val="left" w:pos="7669"/>
        </w:tabs>
        <w:adjustRightInd w:val="0"/>
        <w:snapToGrid w:val="0"/>
        <w:spacing w:line="264" w:lineRule="auto"/>
        <w:ind w:firstLine="480" w:firstLineChars="200"/>
        <w:rPr>
          <w:rFonts w:hint="eastAsia" w:ascii="宋体" w:hAnsi="宋体" w:cs="宋体"/>
          <w:sz w:val="24"/>
        </w:rPr>
      </w:pPr>
      <w:r>
        <w:rPr>
          <w:rFonts w:hint="eastAsia" w:ascii="宋体" w:hAnsi="宋体" w:cs="宋体"/>
          <w:sz w:val="24"/>
        </w:rPr>
        <w:t>五、我司未被对列入按财库[2016]125号规定的失信被执行人、重大税收违法案件当事人名单、政府采购严重违法失信行为记录名单及其他不符合《中华人民共和国政府采购法》第二十二条规定条件的投标人。</w:t>
      </w:r>
    </w:p>
    <w:p>
      <w:pPr>
        <w:tabs>
          <w:tab w:val="left" w:pos="7669"/>
        </w:tabs>
        <w:adjustRightInd w:val="0"/>
        <w:snapToGrid w:val="0"/>
        <w:spacing w:line="264" w:lineRule="auto"/>
        <w:ind w:firstLine="480" w:firstLineChars="200"/>
        <w:rPr>
          <w:rFonts w:hint="eastAsia" w:ascii="宋体" w:hAnsi="宋体" w:cs="宋体"/>
          <w:sz w:val="24"/>
        </w:rPr>
      </w:pPr>
      <w:r>
        <w:rPr>
          <w:rFonts w:hint="eastAsia" w:ascii="宋体" w:hAnsi="宋体" w:cs="宋体"/>
          <w:sz w:val="24"/>
        </w:rPr>
        <w:t>六、投标文件中提供的任何资料和技术、服务、商务等响应承诺情况都是真实的、有效的、合法的。</w:t>
      </w:r>
    </w:p>
    <w:p>
      <w:pPr>
        <w:tabs>
          <w:tab w:val="left" w:pos="7669"/>
        </w:tabs>
        <w:adjustRightInd w:val="0"/>
        <w:snapToGrid w:val="0"/>
        <w:spacing w:line="264" w:lineRule="auto"/>
        <w:ind w:firstLine="480" w:firstLineChars="200"/>
        <w:rPr>
          <w:rFonts w:hint="eastAsia" w:ascii="宋体" w:hAnsi="宋体" w:cs="宋体"/>
          <w:sz w:val="24"/>
        </w:rPr>
      </w:pPr>
      <w:r>
        <w:rPr>
          <w:rFonts w:hint="eastAsia" w:ascii="宋体" w:hAnsi="宋体" w:cs="宋体"/>
          <w:sz w:val="24"/>
        </w:rPr>
        <w:t>七、如本项目评审过程中需要提供样品，则我公司提供的样品即为成交后将要提供的成交产品，我公司对提供样品的性能和质量负责，因样品存在缺陷或者不符合招标文件要求导致未能成交的，我公司愿意承担相应不利后果。</w:t>
      </w:r>
    </w:p>
    <w:p>
      <w:pPr>
        <w:tabs>
          <w:tab w:val="left" w:pos="7669"/>
        </w:tabs>
        <w:adjustRightInd w:val="0"/>
        <w:snapToGrid w:val="0"/>
        <w:spacing w:line="264" w:lineRule="auto"/>
        <w:ind w:firstLine="480" w:firstLineChars="200"/>
        <w:rPr>
          <w:rFonts w:hint="eastAsia" w:ascii="宋体" w:hAnsi="宋体" w:cs="宋体"/>
          <w:sz w:val="24"/>
        </w:rPr>
      </w:pPr>
      <w:r>
        <w:rPr>
          <w:rFonts w:hint="eastAsia" w:ascii="宋体" w:hAnsi="宋体" w:cs="宋体"/>
          <w:sz w:val="24"/>
        </w:rPr>
        <w:t>八、我司完全同意招标文件中关于知识产权的说明，承诺由此造成的纠纷由我单位全权负责。</w:t>
      </w:r>
    </w:p>
    <w:p>
      <w:pPr>
        <w:tabs>
          <w:tab w:val="left" w:pos="7669"/>
        </w:tabs>
        <w:adjustRightInd w:val="0"/>
        <w:snapToGrid w:val="0"/>
        <w:spacing w:line="264" w:lineRule="auto"/>
        <w:ind w:firstLine="480" w:firstLineChars="200"/>
        <w:rPr>
          <w:rFonts w:hint="eastAsia" w:ascii="宋体" w:hAnsi="宋体" w:cs="宋体"/>
          <w:sz w:val="24"/>
        </w:rPr>
      </w:pPr>
      <w:r>
        <w:rPr>
          <w:rFonts w:hint="eastAsia" w:ascii="宋体" w:hAnsi="宋体" w:cs="宋体"/>
          <w:sz w:val="24"/>
        </w:rPr>
        <w:t>本公司对上述承诺的内容事项真实性负责。如经查实上述承诺的内容事项存在虚假，我公司愿意接受以提供虚假材料谋取成交追究法律责任。</w:t>
      </w:r>
    </w:p>
    <w:bookmarkEnd w:id="157"/>
    <w:p>
      <w:pPr>
        <w:widowControl/>
        <w:adjustRightInd w:val="0"/>
        <w:snapToGrid w:val="0"/>
        <w:spacing w:line="360" w:lineRule="auto"/>
        <w:ind w:firstLine="472" w:firstLineChars="196"/>
        <w:jc w:val="left"/>
        <w:rPr>
          <w:rFonts w:hint="eastAsia" w:ascii="宋体" w:hAnsi="宋体"/>
          <w:b/>
          <w:bCs/>
          <w:sz w:val="24"/>
        </w:rPr>
      </w:pPr>
      <w:r>
        <w:rPr>
          <w:rFonts w:hint="eastAsia" w:ascii="宋体" w:hAnsi="宋体"/>
          <w:b/>
          <w:bCs/>
          <w:sz w:val="24"/>
        </w:rPr>
        <w:t>投标人名称：XXXX（单位盖章）。</w:t>
      </w:r>
    </w:p>
    <w:p>
      <w:pPr>
        <w:widowControl/>
        <w:adjustRightInd w:val="0"/>
        <w:snapToGrid w:val="0"/>
        <w:spacing w:line="360" w:lineRule="auto"/>
        <w:ind w:firstLine="472" w:firstLineChars="196"/>
        <w:jc w:val="left"/>
        <w:rPr>
          <w:rFonts w:hint="eastAsia" w:ascii="宋体" w:hAnsi="宋体"/>
          <w:b/>
          <w:bCs/>
          <w:sz w:val="24"/>
        </w:rPr>
      </w:pPr>
      <w:r>
        <w:rPr>
          <w:rFonts w:hint="eastAsia" w:ascii="宋体" w:hAnsi="宋体"/>
          <w:b/>
          <w:bCs/>
          <w:sz w:val="24"/>
        </w:rPr>
        <w:t>法定代表人/单位负责人或授权代表（签字或加盖个人名章）：XXXX。</w:t>
      </w:r>
    </w:p>
    <w:p>
      <w:pPr>
        <w:pStyle w:val="2"/>
        <w:ind w:firstLine="482" w:firstLineChars="200"/>
        <w:rPr>
          <w:rFonts w:hint="eastAsia"/>
        </w:rPr>
      </w:pPr>
      <w:r>
        <w:rPr>
          <w:rFonts w:hint="eastAsia" w:ascii="宋体"/>
          <w:b/>
          <w:bCs/>
          <w:sz w:val="24"/>
        </w:rPr>
        <w:t>包件号：</w:t>
      </w:r>
    </w:p>
    <w:p>
      <w:pPr>
        <w:widowControl/>
        <w:adjustRightInd w:val="0"/>
        <w:snapToGrid w:val="0"/>
        <w:spacing w:line="360" w:lineRule="auto"/>
        <w:ind w:firstLine="472" w:firstLineChars="196"/>
        <w:jc w:val="left"/>
        <w:rPr>
          <w:rFonts w:hint="eastAsia" w:ascii="宋体" w:hAnsi="宋体"/>
          <w:b/>
          <w:sz w:val="32"/>
          <w:szCs w:val="32"/>
        </w:rPr>
      </w:pPr>
      <w:r>
        <w:rPr>
          <w:rFonts w:hint="eastAsia" w:ascii="宋体" w:hAnsi="宋体"/>
          <w:b/>
          <w:bCs/>
          <w:sz w:val="24"/>
        </w:rPr>
        <w:t>投标日期: XXXX。</w:t>
      </w:r>
      <w:r>
        <w:rPr>
          <w:rFonts w:hint="eastAsia" w:ascii="宋体" w:hAnsi="宋体"/>
          <w:sz w:val="24"/>
        </w:rPr>
        <w:br w:type="page"/>
      </w:r>
      <w:r>
        <w:rPr>
          <w:rFonts w:hint="eastAsia" w:ascii="宋体" w:hAnsi="宋体"/>
          <w:b/>
          <w:sz w:val="32"/>
          <w:szCs w:val="32"/>
        </w:rPr>
        <w:t>格式1-5</w:t>
      </w:r>
    </w:p>
    <w:p>
      <w:pPr>
        <w:widowControl/>
        <w:spacing w:line="360" w:lineRule="auto"/>
        <w:jc w:val="center"/>
        <w:outlineLvl w:val="2"/>
        <w:rPr>
          <w:rFonts w:hint="eastAsia" w:hAnsi="宋体"/>
          <w:b/>
          <w:sz w:val="32"/>
          <w:szCs w:val="32"/>
        </w:rPr>
      </w:pPr>
      <w:bookmarkStart w:id="158" w:name="_Toc503862828"/>
      <w:r>
        <w:rPr>
          <w:rFonts w:hint="eastAsia" w:hAnsi="宋体"/>
          <w:b/>
          <w:sz w:val="32"/>
          <w:szCs w:val="32"/>
        </w:rPr>
        <w:t>四、本项目参加政府采购活动的投标人在前三年内不得具有行贿犯罪记录的承诺</w:t>
      </w:r>
      <w:bookmarkEnd w:id="158"/>
    </w:p>
    <w:p>
      <w:pPr>
        <w:rPr>
          <w:rFonts w:hint="eastAsia"/>
        </w:rPr>
      </w:pPr>
    </w:p>
    <w:p>
      <w:pPr>
        <w:adjustRightInd w:val="0"/>
        <w:snapToGrid w:val="0"/>
        <w:spacing w:line="360" w:lineRule="auto"/>
        <w:rPr>
          <w:rFonts w:hint="eastAsia" w:ascii="宋体" w:hAnsi="宋体" w:cs="宋体"/>
          <w:sz w:val="24"/>
        </w:rPr>
      </w:pPr>
      <w:bookmarkStart w:id="159" w:name="_Toc503862829"/>
    </w:p>
    <w:p>
      <w:pPr>
        <w:adjustRightInd w:val="0"/>
        <w:snapToGrid w:val="0"/>
        <w:spacing w:line="360" w:lineRule="auto"/>
        <w:rPr>
          <w:rFonts w:hint="eastAsia" w:ascii="宋体" w:hAnsi="宋体" w:cs="宋体"/>
          <w:sz w:val="24"/>
        </w:rPr>
      </w:pPr>
      <w:r>
        <w:rPr>
          <w:rFonts w:hint="eastAsia" w:ascii="宋体" w:hAnsi="宋体" w:cs="宋体"/>
          <w:sz w:val="24"/>
        </w:rPr>
        <w:t>致：</w:t>
      </w:r>
      <w:bookmarkEnd w:id="159"/>
      <w:r>
        <w:rPr>
          <w:rFonts w:hint="eastAsia" w:ascii="宋体" w:hAnsi="宋体" w:cs="宋体"/>
          <w:sz w:val="24"/>
        </w:rPr>
        <w:t>四川浩行招标代理有限公司</w:t>
      </w:r>
    </w:p>
    <w:p>
      <w:pPr>
        <w:adjustRightInd w:val="0"/>
        <w:snapToGrid w:val="0"/>
        <w:spacing w:line="360" w:lineRule="auto"/>
        <w:ind w:firstLine="470" w:firstLineChars="196"/>
        <w:rPr>
          <w:rFonts w:hint="eastAsia" w:ascii="宋体" w:hAnsi="宋体" w:cs="宋体"/>
          <w:sz w:val="24"/>
        </w:rPr>
      </w:pPr>
      <w:bookmarkStart w:id="160" w:name="_Toc503862830"/>
      <w:r>
        <w:rPr>
          <w:rFonts w:hint="eastAsia" w:ascii="宋体" w:hAnsi="宋体" w:cs="宋体"/>
          <w:sz w:val="24"/>
        </w:rPr>
        <w:t>我公司承诺在参加本项目政府采购活动前三年中我司及其现任法定代表人、主要负责人不具有行贿犯罪记录。</w:t>
      </w:r>
      <w:bookmarkEnd w:id="160"/>
    </w:p>
    <w:p>
      <w:pPr>
        <w:adjustRightInd w:val="0"/>
        <w:snapToGrid w:val="0"/>
        <w:spacing w:line="360" w:lineRule="auto"/>
        <w:ind w:firstLine="480" w:firstLineChars="200"/>
        <w:jc w:val="left"/>
        <w:rPr>
          <w:rFonts w:hint="eastAsia" w:ascii="宋体" w:hAnsi="宋体" w:cs="宋体"/>
          <w:sz w:val="24"/>
        </w:rPr>
      </w:pPr>
      <w:bookmarkStart w:id="161" w:name="_Toc503862831"/>
      <w:r>
        <w:rPr>
          <w:rFonts w:hint="eastAsia" w:ascii="宋体" w:hAnsi="宋体" w:cs="宋体"/>
          <w:sz w:val="24"/>
        </w:rPr>
        <w:t>本公司对上述承诺的内容事项真实性负责。如经查实上述承诺的内容事项存在虚假，我公司愿意接受以提供虚假材料谋取中标追究法律责任。</w:t>
      </w:r>
      <w:bookmarkEnd w:id="161"/>
    </w:p>
    <w:p>
      <w:pPr>
        <w:adjustRightInd w:val="0"/>
        <w:spacing w:line="360" w:lineRule="auto"/>
        <w:ind w:firstLine="480" w:firstLineChars="200"/>
        <w:jc w:val="left"/>
        <w:rPr>
          <w:rFonts w:hint="eastAsia" w:ascii="宋体"/>
          <w:sz w:val="24"/>
        </w:rPr>
      </w:pPr>
      <w:bookmarkStart w:id="162" w:name="_Toc503862832"/>
    </w:p>
    <w:bookmarkEnd w:id="162"/>
    <w:p>
      <w:pPr>
        <w:adjustRightInd w:val="0"/>
        <w:spacing w:line="360" w:lineRule="auto"/>
        <w:ind w:firstLine="480" w:firstLineChars="200"/>
        <w:jc w:val="left"/>
        <w:rPr>
          <w:rFonts w:hint="eastAsia" w:ascii="宋体" w:hAnsi="宋体" w:cs="宋体"/>
          <w:sz w:val="24"/>
        </w:rPr>
      </w:pPr>
    </w:p>
    <w:p>
      <w:pPr>
        <w:adjustRightInd w:val="0"/>
        <w:spacing w:line="360" w:lineRule="auto"/>
        <w:jc w:val="left"/>
        <w:rPr>
          <w:rFonts w:hint="eastAsia" w:ascii="宋体" w:hAnsi="宋体"/>
          <w:b/>
          <w:sz w:val="24"/>
        </w:rPr>
      </w:pPr>
    </w:p>
    <w:p>
      <w:pPr>
        <w:adjustRightInd w:val="0"/>
        <w:spacing w:line="360" w:lineRule="auto"/>
        <w:jc w:val="left"/>
        <w:rPr>
          <w:rFonts w:hint="eastAsia" w:ascii="宋体" w:hAnsi="宋体"/>
          <w:b/>
          <w:sz w:val="24"/>
        </w:rPr>
      </w:pPr>
    </w:p>
    <w:p>
      <w:pPr>
        <w:adjustRightInd w:val="0"/>
        <w:spacing w:line="360" w:lineRule="auto"/>
        <w:jc w:val="left"/>
        <w:rPr>
          <w:rFonts w:hint="eastAsia" w:ascii="宋体" w:hAnsi="宋体"/>
          <w:b/>
          <w:sz w:val="24"/>
        </w:rPr>
      </w:pPr>
    </w:p>
    <w:p>
      <w:pPr>
        <w:adjustRightInd w:val="0"/>
        <w:spacing w:line="360" w:lineRule="auto"/>
        <w:jc w:val="left"/>
        <w:rPr>
          <w:rFonts w:hint="eastAsia" w:ascii="宋体" w:hAnsi="宋体"/>
          <w:b/>
          <w:sz w:val="24"/>
        </w:rPr>
      </w:pPr>
    </w:p>
    <w:p>
      <w:pPr>
        <w:widowControl/>
        <w:adjustRightInd w:val="0"/>
        <w:snapToGrid w:val="0"/>
        <w:spacing w:line="360" w:lineRule="auto"/>
        <w:ind w:firstLine="472" w:firstLineChars="196"/>
        <w:jc w:val="left"/>
        <w:rPr>
          <w:rFonts w:hint="eastAsia" w:ascii="宋体" w:hAnsi="宋体"/>
          <w:b/>
          <w:bCs/>
          <w:sz w:val="24"/>
        </w:rPr>
      </w:pPr>
      <w:r>
        <w:rPr>
          <w:rFonts w:hint="eastAsia" w:ascii="宋体" w:hAnsi="宋体"/>
          <w:b/>
          <w:bCs/>
          <w:sz w:val="24"/>
        </w:rPr>
        <w:t>投标人名称：XXXX（单位盖章）。</w:t>
      </w:r>
    </w:p>
    <w:p>
      <w:pPr>
        <w:widowControl/>
        <w:adjustRightInd w:val="0"/>
        <w:snapToGrid w:val="0"/>
        <w:spacing w:line="360" w:lineRule="auto"/>
        <w:ind w:firstLine="472" w:firstLineChars="196"/>
        <w:jc w:val="left"/>
        <w:rPr>
          <w:rFonts w:hint="eastAsia" w:ascii="宋体" w:hAnsi="宋体"/>
          <w:b/>
          <w:bCs/>
          <w:sz w:val="24"/>
        </w:rPr>
      </w:pPr>
      <w:r>
        <w:rPr>
          <w:rFonts w:hint="eastAsia" w:ascii="宋体" w:hAnsi="宋体"/>
          <w:b/>
          <w:bCs/>
          <w:sz w:val="24"/>
        </w:rPr>
        <w:t>法定代表人/单位负责人或授权代表（签字或加盖个人名章）：XXXX。</w:t>
      </w:r>
    </w:p>
    <w:p>
      <w:pPr>
        <w:widowControl/>
        <w:spacing w:line="360" w:lineRule="auto"/>
        <w:ind w:firstLine="472" w:firstLineChars="196"/>
        <w:jc w:val="left"/>
        <w:rPr>
          <w:rFonts w:hint="eastAsia"/>
        </w:rPr>
      </w:pPr>
      <w:r>
        <w:rPr>
          <w:rFonts w:hint="eastAsia" w:ascii="宋体"/>
          <w:b/>
          <w:bCs/>
          <w:sz w:val="24"/>
        </w:rPr>
        <w:t>包件号：</w:t>
      </w:r>
    </w:p>
    <w:p>
      <w:pPr>
        <w:widowControl/>
        <w:adjustRightInd w:val="0"/>
        <w:snapToGrid w:val="0"/>
        <w:spacing w:line="360" w:lineRule="auto"/>
        <w:ind w:firstLine="472" w:firstLineChars="196"/>
        <w:jc w:val="left"/>
        <w:rPr>
          <w:rFonts w:hint="eastAsia" w:ascii="宋体" w:hAnsi="宋体"/>
          <w:b/>
          <w:bCs/>
          <w:sz w:val="24"/>
        </w:rPr>
      </w:pPr>
      <w:r>
        <w:rPr>
          <w:rFonts w:hint="eastAsia" w:ascii="宋体" w:hAnsi="宋体"/>
          <w:b/>
          <w:bCs/>
          <w:sz w:val="24"/>
        </w:rPr>
        <w:t>投标日期: XXXX。</w:t>
      </w:r>
    </w:p>
    <w:p>
      <w:pPr>
        <w:widowControl/>
        <w:spacing w:line="360" w:lineRule="atLeast"/>
        <w:ind w:firstLine="472" w:firstLineChars="196"/>
        <w:jc w:val="left"/>
        <w:rPr>
          <w:rFonts w:hint="eastAsia" w:ascii="宋体"/>
          <w:b/>
          <w:sz w:val="24"/>
        </w:rPr>
        <w:sectPr>
          <w:footerReference r:id="rId8" w:type="default"/>
          <w:pgSz w:w="11907" w:h="16840"/>
          <w:pgMar w:top="1440" w:right="1474" w:bottom="1440" w:left="1474" w:header="851" w:footer="992" w:gutter="0"/>
          <w:pgNumType w:start="1"/>
          <w:cols w:space="720" w:num="1"/>
          <w:docGrid w:linePitch="312" w:charSpace="0"/>
        </w:sectPr>
      </w:pPr>
    </w:p>
    <w:p>
      <w:pPr>
        <w:spacing w:line="360" w:lineRule="auto"/>
        <w:rPr>
          <w:rFonts w:hint="eastAsia" w:ascii="宋体" w:hAnsi="宋体"/>
          <w:b/>
          <w:sz w:val="32"/>
          <w:szCs w:val="32"/>
        </w:rPr>
      </w:pPr>
      <w:r>
        <w:rPr>
          <w:rFonts w:hint="eastAsia" w:ascii="宋体" w:hAnsi="宋体"/>
          <w:b/>
          <w:sz w:val="32"/>
          <w:szCs w:val="32"/>
        </w:rPr>
        <w:t>格式1-6</w:t>
      </w:r>
    </w:p>
    <w:p>
      <w:pPr>
        <w:widowControl/>
        <w:spacing w:line="360" w:lineRule="auto"/>
        <w:jc w:val="center"/>
        <w:outlineLvl w:val="2"/>
        <w:rPr>
          <w:rFonts w:hint="eastAsia" w:hAnsi="宋体"/>
          <w:b/>
          <w:sz w:val="32"/>
          <w:szCs w:val="32"/>
        </w:rPr>
      </w:pPr>
      <w:bookmarkStart w:id="163" w:name="_Toc503862836"/>
      <w:r>
        <w:rPr>
          <w:rFonts w:hint="eastAsia" w:hAnsi="宋体"/>
          <w:b/>
          <w:sz w:val="32"/>
          <w:szCs w:val="32"/>
        </w:rPr>
        <w:t>五、近三年在经营活动中没有重大违法记录的书面声明</w:t>
      </w:r>
      <w:bookmarkEnd w:id="163"/>
    </w:p>
    <w:p>
      <w:pPr>
        <w:spacing w:line="360" w:lineRule="auto"/>
        <w:rPr>
          <w:rFonts w:hint="eastAsia" w:ascii="宋体" w:hAnsi="宋体" w:cs="宋体"/>
        </w:rPr>
      </w:pPr>
    </w:p>
    <w:p>
      <w:pPr>
        <w:adjustRightInd w:val="0"/>
        <w:snapToGrid w:val="0"/>
        <w:spacing w:line="360" w:lineRule="auto"/>
        <w:ind w:left="480" w:hanging="480" w:hangingChars="200"/>
        <w:rPr>
          <w:rFonts w:hint="eastAsia" w:ascii="宋体" w:hAnsi="宋体" w:cs="宋体"/>
          <w:sz w:val="24"/>
        </w:rPr>
      </w:pPr>
      <w:bookmarkStart w:id="164" w:name="_Toc503862837"/>
      <w:r>
        <w:rPr>
          <w:rFonts w:hint="eastAsia" w:ascii="宋体" w:hAnsi="宋体" w:cs="宋体"/>
          <w:sz w:val="24"/>
        </w:rPr>
        <w:t>致：</w:t>
      </w:r>
      <w:bookmarkEnd w:id="164"/>
      <w:r>
        <w:rPr>
          <w:rFonts w:hint="eastAsia" w:ascii="宋体" w:hAnsi="宋体" w:cs="宋体"/>
          <w:sz w:val="24"/>
        </w:rPr>
        <w:t>四川浩行招标代理有限公司</w:t>
      </w:r>
    </w:p>
    <w:p>
      <w:pPr>
        <w:adjustRightInd w:val="0"/>
        <w:snapToGrid w:val="0"/>
        <w:spacing w:line="360" w:lineRule="auto"/>
        <w:ind w:firstLine="720" w:firstLineChars="300"/>
        <w:rPr>
          <w:rFonts w:hint="eastAsia" w:ascii="宋体" w:hAnsi="宋体" w:cs="宋体"/>
          <w:sz w:val="24"/>
        </w:rPr>
      </w:pPr>
      <w:bookmarkStart w:id="165" w:name="_Toc503862838"/>
      <w:r>
        <w:rPr>
          <w:rFonts w:hint="eastAsia" w:ascii="宋体" w:hAnsi="宋体" w:cs="宋体"/>
          <w:sz w:val="24"/>
        </w:rPr>
        <w:t>本公司</w:t>
      </w:r>
      <w:r>
        <w:rPr>
          <w:rFonts w:hint="eastAsia" w:ascii="宋体" w:hAnsi="宋体" w:cs="宋体"/>
          <w:sz w:val="24"/>
          <w:u w:val="single"/>
        </w:rPr>
        <w:t xml:space="preserve">                </w:t>
      </w:r>
      <w:r>
        <w:rPr>
          <w:rFonts w:hint="eastAsia" w:ascii="宋体" w:hAnsi="宋体" w:cs="宋体"/>
          <w:sz w:val="24"/>
        </w:rPr>
        <w:t>（公司名称）参加</w:t>
      </w:r>
      <w:r>
        <w:rPr>
          <w:rFonts w:hint="eastAsia" w:ascii="宋体" w:hAnsi="宋体" w:cs="宋体"/>
          <w:sz w:val="24"/>
          <w:u w:val="single"/>
        </w:rPr>
        <w:t xml:space="preserve">                 </w:t>
      </w:r>
      <w:r>
        <w:rPr>
          <w:rFonts w:hint="eastAsia" w:ascii="宋体" w:hAnsi="宋体" w:cs="宋体"/>
          <w:sz w:val="24"/>
        </w:rPr>
        <w:t>（项目名称）（项目编号：</w:t>
      </w:r>
      <w:r>
        <w:rPr>
          <w:rFonts w:hint="eastAsia" w:ascii="宋体" w:hAnsi="宋体" w:cs="宋体"/>
          <w:sz w:val="24"/>
          <w:u w:val="single"/>
        </w:rPr>
        <w:t xml:space="preserve">                  </w:t>
      </w:r>
      <w:r>
        <w:rPr>
          <w:rFonts w:hint="eastAsia" w:ascii="宋体" w:hAnsi="宋体" w:cs="宋体"/>
          <w:sz w:val="24"/>
        </w:rPr>
        <w:t>）的投标活动，现承诺我公司在参加政府采购活动前三年内，在经营活动中没有重大违法记录。</w:t>
      </w:r>
      <w:bookmarkEnd w:id="165"/>
    </w:p>
    <w:p>
      <w:pPr>
        <w:spacing w:line="360" w:lineRule="auto"/>
        <w:ind w:firstLine="480" w:firstLineChars="200"/>
        <w:rPr>
          <w:rFonts w:hint="eastAsia" w:hAnsi="宋体" w:cs="宋体"/>
          <w:sz w:val="24"/>
        </w:rPr>
      </w:pPr>
      <w:bookmarkStart w:id="166" w:name="_Toc503862839"/>
    </w:p>
    <w:p>
      <w:pPr>
        <w:spacing w:line="360" w:lineRule="auto"/>
        <w:ind w:firstLine="480" w:firstLineChars="200"/>
        <w:rPr>
          <w:rFonts w:hint="eastAsia" w:ascii="宋体" w:hAnsi="宋体" w:cs="宋体"/>
          <w:sz w:val="24"/>
        </w:rPr>
      </w:pPr>
      <w:r>
        <w:rPr>
          <w:rFonts w:hint="eastAsia" w:hAnsi="宋体" w:cs="宋体"/>
          <w:sz w:val="24"/>
        </w:rPr>
        <w:t>说明：其中重大违法记录中的较大数额罚款的具体金额标准，采购项目所属行业行政主管部门对较大数额罚款金额标准有明文规定的，可以根据采购项目所属行业行政主管部门规定的较大数额罚款金额标准为准；采购项目所属行业行政主管部门对较大数额罚款金额标准未明文规定的，应当以四川省人民政府规定的行政处罚罚款听证标准金额为准。</w:t>
      </w:r>
      <w:bookmarkEnd w:id="166"/>
    </w:p>
    <w:p>
      <w:pPr>
        <w:spacing w:line="360" w:lineRule="auto"/>
        <w:rPr>
          <w:rFonts w:hint="eastAsia" w:ascii="宋体" w:hAnsi="宋体" w:cs="宋体"/>
        </w:rPr>
      </w:pPr>
      <w:r>
        <w:rPr>
          <w:rFonts w:hint="eastAsia" w:ascii="宋体" w:hAnsi="宋体" w:cs="宋体"/>
          <w:sz w:val="24"/>
        </w:rPr>
        <w:t xml:space="preserve">    </w:t>
      </w:r>
      <w:bookmarkStart w:id="167" w:name="_Toc503862840"/>
      <w:r>
        <w:rPr>
          <w:rFonts w:hint="eastAsia" w:ascii="宋体" w:hAnsi="宋体" w:cs="宋体"/>
          <w:sz w:val="24"/>
        </w:rPr>
        <w:t>如违反以上承诺，本公司愿承担一切法律责任。</w:t>
      </w:r>
      <w:bookmarkEnd w:id="167"/>
    </w:p>
    <w:p>
      <w:pPr>
        <w:rPr>
          <w:rFonts w:hint="eastAsia" w:ascii="宋体" w:hAnsi="宋体" w:cs="宋体"/>
        </w:rPr>
      </w:pPr>
    </w:p>
    <w:p>
      <w:pPr>
        <w:rPr>
          <w:rFonts w:hint="eastAsia" w:ascii="宋体" w:hAnsi="宋体" w:cs="宋体"/>
        </w:rPr>
      </w:pPr>
    </w:p>
    <w:p>
      <w:pPr>
        <w:rPr>
          <w:rFonts w:hint="eastAsia" w:ascii="宋体" w:hAnsi="宋体" w:cs="宋体"/>
        </w:rPr>
      </w:pPr>
    </w:p>
    <w:p>
      <w:pPr>
        <w:rPr>
          <w:rFonts w:hint="eastAsia" w:ascii="宋体" w:hAnsi="宋体" w:cs="宋体"/>
        </w:rPr>
      </w:pPr>
    </w:p>
    <w:p>
      <w:pPr>
        <w:widowControl/>
        <w:adjustRightInd w:val="0"/>
        <w:snapToGrid w:val="0"/>
        <w:spacing w:line="360" w:lineRule="auto"/>
        <w:ind w:firstLine="472" w:firstLineChars="196"/>
        <w:jc w:val="left"/>
        <w:rPr>
          <w:rFonts w:hint="eastAsia" w:ascii="宋体" w:hAnsi="宋体"/>
          <w:b/>
          <w:bCs/>
          <w:sz w:val="24"/>
        </w:rPr>
      </w:pPr>
      <w:r>
        <w:rPr>
          <w:rFonts w:hint="eastAsia" w:ascii="宋体" w:hAnsi="宋体"/>
          <w:b/>
          <w:bCs/>
          <w:sz w:val="24"/>
        </w:rPr>
        <w:t>投标人名称：XXXX（单位盖章）。</w:t>
      </w:r>
    </w:p>
    <w:p>
      <w:pPr>
        <w:widowControl/>
        <w:adjustRightInd w:val="0"/>
        <w:snapToGrid w:val="0"/>
        <w:spacing w:line="360" w:lineRule="auto"/>
        <w:ind w:firstLine="472" w:firstLineChars="196"/>
        <w:jc w:val="left"/>
        <w:rPr>
          <w:rFonts w:hint="eastAsia" w:ascii="宋体" w:hAnsi="宋体"/>
          <w:b/>
          <w:bCs/>
          <w:sz w:val="24"/>
        </w:rPr>
      </w:pPr>
      <w:r>
        <w:rPr>
          <w:rFonts w:hint="eastAsia" w:ascii="宋体" w:hAnsi="宋体"/>
          <w:b/>
          <w:bCs/>
          <w:sz w:val="24"/>
        </w:rPr>
        <w:t>法定代表人/单位负责人或授权代表（签字或加盖个人名章）：XXXX。</w:t>
      </w:r>
    </w:p>
    <w:p>
      <w:pPr>
        <w:pStyle w:val="2"/>
        <w:ind w:firstLine="482" w:firstLineChars="200"/>
      </w:pPr>
      <w:r>
        <w:rPr>
          <w:rFonts w:hint="eastAsia" w:ascii="宋体" w:hAnsi="宋体"/>
          <w:b/>
          <w:bCs/>
          <w:sz w:val="24"/>
        </w:rPr>
        <w:t>包件号：</w:t>
      </w:r>
    </w:p>
    <w:p>
      <w:pPr>
        <w:widowControl/>
        <w:adjustRightInd w:val="0"/>
        <w:snapToGrid w:val="0"/>
        <w:spacing w:line="360" w:lineRule="auto"/>
        <w:ind w:firstLine="472" w:firstLineChars="196"/>
        <w:jc w:val="left"/>
        <w:rPr>
          <w:rFonts w:hint="eastAsia" w:ascii="宋体" w:hAnsi="宋体"/>
          <w:b/>
          <w:bCs/>
          <w:sz w:val="24"/>
        </w:rPr>
      </w:pPr>
      <w:r>
        <w:rPr>
          <w:rFonts w:hint="eastAsia" w:ascii="宋体" w:hAnsi="宋体"/>
          <w:b/>
          <w:bCs/>
          <w:sz w:val="24"/>
        </w:rPr>
        <w:t>投标日期: XXXX。</w:t>
      </w:r>
    </w:p>
    <w:p>
      <w:pPr>
        <w:adjustRightInd w:val="0"/>
        <w:snapToGrid w:val="0"/>
        <w:spacing w:line="360" w:lineRule="auto"/>
        <w:rPr>
          <w:rFonts w:hint="eastAsia" w:ascii="宋体" w:hAnsi="宋体" w:cs="宋体"/>
          <w:b/>
          <w:bCs/>
          <w:sz w:val="24"/>
        </w:rPr>
      </w:pPr>
    </w:p>
    <w:p>
      <w:pPr>
        <w:adjustRightInd w:val="0"/>
        <w:snapToGrid w:val="0"/>
        <w:spacing w:line="360" w:lineRule="auto"/>
        <w:rPr>
          <w:rFonts w:hint="eastAsia" w:ascii="宋体" w:hAnsi="宋体" w:cs="宋体"/>
          <w:b/>
          <w:bCs/>
          <w:sz w:val="24"/>
        </w:rPr>
      </w:pPr>
    </w:p>
    <w:p>
      <w:pPr>
        <w:adjustRightInd w:val="0"/>
        <w:snapToGrid w:val="0"/>
        <w:spacing w:line="360" w:lineRule="auto"/>
        <w:rPr>
          <w:rFonts w:hint="eastAsia" w:ascii="宋体" w:hAnsi="宋体" w:cs="宋体"/>
          <w:b/>
          <w:bCs/>
          <w:sz w:val="24"/>
        </w:rPr>
      </w:pPr>
    </w:p>
    <w:p>
      <w:pPr>
        <w:adjustRightInd w:val="0"/>
        <w:snapToGrid w:val="0"/>
        <w:spacing w:line="360" w:lineRule="auto"/>
        <w:rPr>
          <w:rFonts w:hint="eastAsia" w:ascii="宋体" w:hAnsi="宋体" w:cs="宋体"/>
          <w:b/>
          <w:bCs/>
          <w:sz w:val="24"/>
        </w:rPr>
      </w:pPr>
    </w:p>
    <w:p>
      <w:pPr>
        <w:adjustRightInd w:val="0"/>
        <w:snapToGrid w:val="0"/>
        <w:spacing w:line="360" w:lineRule="auto"/>
        <w:rPr>
          <w:rFonts w:hint="eastAsia" w:ascii="宋体" w:hAnsi="宋体" w:cs="宋体"/>
          <w:b/>
          <w:bCs/>
          <w:sz w:val="24"/>
        </w:rPr>
      </w:pPr>
    </w:p>
    <w:p>
      <w:pPr>
        <w:adjustRightInd w:val="0"/>
        <w:snapToGrid w:val="0"/>
        <w:spacing w:line="360" w:lineRule="auto"/>
        <w:rPr>
          <w:rFonts w:hint="eastAsia" w:ascii="宋体" w:hAnsi="宋体" w:cs="宋体"/>
          <w:b/>
          <w:bCs/>
          <w:sz w:val="24"/>
        </w:rPr>
      </w:pPr>
    </w:p>
    <w:p>
      <w:pPr>
        <w:pStyle w:val="2"/>
        <w:rPr>
          <w:rFonts w:hint="eastAsia" w:ascii="宋体" w:hAnsi="宋体" w:cs="宋体"/>
          <w:b/>
          <w:bCs/>
          <w:sz w:val="24"/>
        </w:rPr>
      </w:pPr>
    </w:p>
    <w:p>
      <w:pPr>
        <w:rPr>
          <w:rFonts w:hint="eastAsia" w:ascii="宋体" w:hAnsi="宋体" w:cs="宋体"/>
          <w:b/>
          <w:bCs/>
          <w:sz w:val="24"/>
        </w:rPr>
      </w:pPr>
    </w:p>
    <w:p>
      <w:pPr>
        <w:pStyle w:val="2"/>
        <w:rPr>
          <w:rFonts w:hint="eastAsia" w:ascii="宋体" w:hAnsi="宋体" w:cs="宋体"/>
          <w:b/>
          <w:bCs/>
          <w:sz w:val="24"/>
        </w:rPr>
      </w:pPr>
    </w:p>
    <w:p>
      <w:pPr>
        <w:spacing w:line="360" w:lineRule="auto"/>
        <w:rPr>
          <w:rFonts w:hint="eastAsia" w:ascii="宋体" w:hAnsi="宋体"/>
          <w:b/>
          <w:sz w:val="32"/>
          <w:szCs w:val="32"/>
        </w:rPr>
      </w:pPr>
      <w:r>
        <w:rPr>
          <w:rFonts w:hint="eastAsia" w:ascii="宋体" w:hAnsi="宋体"/>
          <w:b/>
          <w:sz w:val="32"/>
          <w:szCs w:val="32"/>
        </w:rPr>
        <w:t>格式1-7</w:t>
      </w:r>
    </w:p>
    <w:p>
      <w:pPr>
        <w:pStyle w:val="2"/>
        <w:rPr>
          <w:rFonts w:hint="eastAsia" w:ascii="宋体" w:hAnsi="宋体"/>
          <w:b/>
          <w:sz w:val="32"/>
          <w:szCs w:val="32"/>
        </w:rPr>
      </w:pPr>
    </w:p>
    <w:p>
      <w:pPr>
        <w:rPr>
          <w:rFonts w:hint="eastAsia" w:ascii="宋体" w:hAnsi="宋体"/>
          <w:b/>
          <w:sz w:val="32"/>
          <w:szCs w:val="32"/>
        </w:rPr>
      </w:pPr>
    </w:p>
    <w:p>
      <w:pPr>
        <w:pStyle w:val="2"/>
        <w:rPr>
          <w:rFonts w:hint="eastAsia"/>
        </w:rPr>
      </w:pPr>
    </w:p>
    <w:p>
      <w:pPr>
        <w:widowControl/>
        <w:spacing w:line="360" w:lineRule="auto"/>
        <w:jc w:val="center"/>
        <w:outlineLvl w:val="2"/>
        <w:rPr>
          <w:rFonts w:hint="eastAsia" w:hAnsi="宋体"/>
          <w:b/>
          <w:sz w:val="32"/>
          <w:szCs w:val="32"/>
        </w:rPr>
      </w:pPr>
      <w:r>
        <w:rPr>
          <w:rFonts w:hint="eastAsia" w:hAnsi="宋体"/>
          <w:b/>
          <w:sz w:val="32"/>
          <w:szCs w:val="32"/>
        </w:rPr>
        <w:t>六、投标人和投标产品其他资格、资质性及其他类似效力要求的相关证明材料</w:t>
      </w:r>
    </w:p>
    <w:p>
      <w:pPr>
        <w:spacing w:line="360" w:lineRule="auto"/>
        <w:ind w:firstLine="480" w:firstLineChars="200"/>
        <w:rPr>
          <w:rFonts w:hint="eastAsia" w:ascii="宋体" w:hAnsi="宋体" w:cs="宋体"/>
          <w:bCs/>
          <w:sz w:val="24"/>
        </w:rPr>
      </w:pPr>
      <w:r>
        <w:rPr>
          <w:rFonts w:hint="eastAsia" w:ascii="宋体" w:hAnsi="宋体" w:cs="宋体"/>
          <w:bCs/>
          <w:sz w:val="24"/>
        </w:rPr>
        <w:t>注：投标人应按招标文件第五章相关要求提供佐证材料，有格式要求的从其要求，无格式要求的格式自拟。</w:t>
      </w:r>
    </w:p>
    <w:p>
      <w:pPr>
        <w:pStyle w:val="2"/>
        <w:rPr>
          <w:rFonts w:hint="eastAsia"/>
        </w:rPr>
      </w:pPr>
    </w:p>
    <w:p>
      <w:pPr>
        <w:tabs>
          <w:tab w:val="left" w:pos="900"/>
        </w:tabs>
        <w:spacing w:line="360" w:lineRule="auto"/>
        <w:jc w:val="center"/>
        <w:rPr>
          <w:rFonts w:ascii="宋体" w:hAnsi="宋体"/>
          <w:b/>
          <w:sz w:val="32"/>
        </w:rPr>
      </w:pPr>
      <w:r>
        <w:rPr>
          <w:rFonts w:hint="eastAsia" w:ascii="宋体" w:hAnsi="宋体"/>
          <w:b/>
          <w:sz w:val="32"/>
          <w:szCs w:val="32"/>
        </w:rPr>
        <w:br w:type="page"/>
      </w:r>
      <w:r>
        <w:rPr>
          <w:rFonts w:ascii="宋体" w:hAnsi="宋体"/>
          <w:b/>
          <w:sz w:val="32"/>
        </w:rPr>
        <w:t>第</w:t>
      </w:r>
      <w:r>
        <w:rPr>
          <w:rFonts w:hint="eastAsia" w:ascii="宋体" w:hAnsi="宋体"/>
          <w:b/>
          <w:sz w:val="32"/>
        </w:rPr>
        <w:t>二</w:t>
      </w:r>
      <w:r>
        <w:rPr>
          <w:rFonts w:ascii="宋体" w:hAnsi="宋体"/>
          <w:b/>
          <w:sz w:val="32"/>
        </w:rPr>
        <w:t xml:space="preserve">部分     </w:t>
      </w:r>
      <w:r>
        <w:rPr>
          <w:rFonts w:hint="eastAsia" w:ascii="宋体" w:hAnsi="宋体"/>
          <w:b/>
          <w:sz w:val="32"/>
        </w:rPr>
        <w:t>“其他响应性投标</w:t>
      </w:r>
      <w:r>
        <w:rPr>
          <w:rFonts w:ascii="宋体" w:hAnsi="宋体"/>
          <w:b/>
          <w:sz w:val="32"/>
        </w:rPr>
        <w:t>文件</w:t>
      </w:r>
      <w:r>
        <w:rPr>
          <w:rFonts w:hint="eastAsia" w:ascii="宋体" w:hAnsi="宋体"/>
          <w:b/>
          <w:sz w:val="32"/>
        </w:rPr>
        <w:t>”</w:t>
      </w:r>
      <w:r>
        <w:rPr>
          <w:rFonts w:ascii="宋体" w:hAnsi="宋体"/>
          <w:b/>
          <w:sz w:val="32"/>
        </w:rPr>
        <w:t>格式</w:t>
      </w:r>
    </w:p>
    <w:p>
      <w:pPr>
        <w:spacing w:line="360" w:lineRule="auto"/>
        <w:rPr>
          <w:rFonts w:hint="eastAsia" w:ascii="宋体" w:hAnsi="宋体"/>
          <w:b/>
          <w:sz w:val="32"/>
          <w:szCs w:val="32"/>
        </w:rPr>
      </w:pPr>
    </w:p>
    <w:p>
      <w:pPr>
        <w:spacing w:line="360" w:lineRule="auto"/>
        <w:rPr>
          <w:rFonts w:hint="eastAsia" w:ascii="宋体" w:hAnsi="宋体"/>
          <w:b/>
          <w:sz w:val="32"/>
          <w:szCs w:val="32"/>
        </w:rPr>
      </w:pPr>
      <w:r>
        <w:rPr>
          <w:rFonts w:hint="eastAsia" w:ascii="宋体" w:hAnsi="宋体"/>
          <w:b/>
          <w:sz w:val="32"/>
          <w:szCs w:val="32"/>
        </w:rPr>
        <w:t>格式2-1</w:t>
      </w:r>
    </w:p>
    <w:p>
      <w:pPr>
        <w:spacing w:line="360" w:lineRule="auto"/>
        <w:rPr>
          <w:rFonts w:hint="eastAsia" w:ascii="宋体" w:hAnsi="宋体"/>
          <w:b/>
          <w:sz w:val="32"/>
          <w:szCs w:val="32"/>
        </w:rPr>
      </w:pPr>
      <w:r>
        <w:rPr>
          <w:rFonts w:hint="eastAsia" w:ascii="宋体" w:hAnsi="宋体"/>
          <w:b/>
          <w:sz w:val="32"/>
          <w:szCs w:val="32"/>
        </w:rPr>
        <w:t>封面：</w:t>
      </w:r>
    </w:p>
    <w:p>
      <w:pPr>
        <w:spacing w:line="360" w:lineRule="auto"/>
        <w:jc w:val="right"/>
        <w:rPr>
          <w:rFonts w:ascii="宋体" w:hAnsi="宋体"/>
          <w:b/>
          <w:sz w:val="36"/>
        </w:rPr>
      </w:pPr>
    </w:p>
    <w:p>
      <w:pPr>
        <w:spacing w:line="360" w:lineRule="auto"/>
        <w:rPr>
          <w:rFonts w:hint="eastAsia" w:ascii="宋体" w:hAnsi="宋体"/>
          <w:b/>
          <w:sz w:val="32"/>
          <w:szCs w:val="32"/>
        </w:rPr>
      </w:pPr>
    </w:p>
    <w:p>
      <w:pPr>
        <w:spacing w:line="360" w:lineRule="auto"/>
        <w:rPr>
          <w:rFonts w:hint="eastAsia" w:ascii="宋体" w:hAnsi="宋体"/>
          <w:b/>
          <w:sz w:val="32"/>
          <w:szCs w:val="32"/>
        </w:rPr>
      </w:pPr>
    </w:p>
    <w:p>
      <w:pPr>
        <w:spacing w:line="360" w:lineRule="auto"/>
        <w:jc w:val="center"/>
        <w:rPr>
          <w:rFonts w:hint="eastAsia" w:ascii="宋体" w:hAnsi="宋体"/>
          <w:b/>
          <w:sz w:val="72"/>
        </w:rPr>
      </w:pPr>
      <w:r>
        <w:rPr>
          <w:rFonts w:hint="eastAsia" w:ascii="宋体" w:hAnsi="宋体"/>
          <w:b/>
          <w:sz w:val="40"/>
          <w:szCs w:val="48"/>
          <w:u w:val="single"/>
        </w:rPr>
        <w:t xml:space="preserve">                      </w:t>
      </w:r>
      <w:r>
        <w:rPr>
          <w:rFonts w:hint="eastAsia" w:ascii="宋体" w:hAnsi="宋体"/>
          <w:b/>
          <w:sz w:val="40"/>
          <w:szCs w:val="48"/>
        </w:rPr>
        <w:t>项目</w:t>
      </w:r>
    </w:p>
    <w:p>
      <w:pPr>
        <w:spacing w:line="360" w:lineRule="auto"/>
        <w:rPr>
          <w:rFonts w:hint="eastAsia" w:ascii="宋体" w:hAnsi="宋体"/>
          <w:b/>
          <w:sz w:val="52"/>
          <w:szCs w:val="52"/>
        </w:rPr>
      </w:pPr>
    </w:p>
    <w:p>
      <w:pPr>
        <w:spacing w:line="360" w:lineRule="auto"/>
        <w:jc w:val="center"/>
        <w:outlineLvl w:val="1"/>
        <w:rPr>
          <w:rFonts w:hint="eastAsia" w:ascii="宋体" w:hAnsi="宋体"/>
          <w:b/>
          <w:sz w:val="32"/>
          <w:szCs w:val="32"/>
        </w:rPr>
      </w:pPr>
      <w:r>
        <w:rPr>
          <w:rFonts w:hint="eastAsia" w:ascii="宋体" w:hAnsi="宋体"/>
          <w:b/>
          <w:sz w:val="52"/>
          <w:szCs w:val="52"/>
        </w:rPr>
        <w:t>其他响应性投标文件</w:t>
      </w:r>
    </w:p>
    <w:p>
      <w:pPr>
        <w:spacing w:line="360" w:lineRule="auto"/>
        <w:rPr>
          <w:rFonts w:ascii="宋体" w:hAnsi="宋体"/>
          <w:b/>
          <w:sz w:val="36"/>
        </w:rPr>
      </w:pPr>
    </w:p>
    <w:p>
      <w:pPr>
        <w:spacing w:line="360" w:lineRule="auto"/>
        <w:rPr>
          <w:rFonts w:hint="eastAsia" w:ascii="宋体" w:hAnsi="宋体"/>
          <w:b/>
          <w:sz w:val="36"/>
        </w:rPr>
      </w:pPr>
    </w:p>
    <w:p>
      <w:pPr>
        <w:spacing w:line="360" w:lineRule="auto"/>
        <w:jc w:val="left"/>
        <w:rPr>
          <w:rFonts w:ascii="宋体" w:hAnsi="宋体"/>
          <w:b/>
          <w:sz w:val="32"/>
          <w:u w:val="single"/>
        </w:rPr>
      </w:pPr>
      <w:r>
        <w:rPr>
          <w:rFonts w:hint="eastAsia" w:ascii="宋体" w:hAnsi="宋体"/>
          <w:b/>
          <w:sz w:val="32"/>
        </w:rPr>
        <w:t>投 标 人</w:t>
      </w:r>
      <w:r>
        <w:rPr>
          <w:rFonts w:ascii="宋体" w:hAnsi="宋体"/>
          <w:b/>
          <w:sz w:val="32"/>
        </w:rPr>
        <w:t>名称：</w:t>
      </w:r>
      <w:r>
        <w:rPr>
          <w:rFonts w:ascii="宋体" w:hAnsi="宋体"/>
          <w:b/>
          <w:sz w:val="32"/>
          <w:u w:val="single"/>
        </w:rPr>
        <w:t xml:space="preserve">                        </w:t>
      </w:r>
      <w:r>
        <w:rPr>
          <w:rFonts w:hint="eastAsia" w:ascii="宋体" w:hAnsi="宋体"/>
          <w:b/>
          <w:sz w:val="32"/>
          <w:u w:val="single"/>
        </w:rPr>
        <w:t xml:space="preserve">    </w:t>
      </w:r>
      <w:r>
        <w:rPr>
          <w:rFonts w:ascii="宋体" w:hAnsi="宋体"/>
          <w:b/>
          <w:sz w:val="32"/>
          <w:u w:val="single"/>
        </w:rPr>
        <w:t xml:space="preserve">     </w:t>
      </w:r>
    </w:p>
    <w:p>
      <w:pPr>
        <w:spacing w:line="360" w:lineRule="auto"/>
        <w:jc w:val="left"/>
        <w:rPr>
          <w:rFonts w:ascii="宋体" w:hAnsi="宋体"/>
          <w:b/>
          <w:sz w:val="32"/>
          <w:u w:val="single"/>
        </w:rPr>
      </w:pPr>
      <w:r>
        <w:rPr>
          <w:rFonts w:hint="eastAsia" w:ascii="宋体" w:hAnsi="宋体"/>
          <w:b/>
          <w:sz w:val="32"/>
        </w:rPr>
        <w:t>采购项目</w:t>
      </w:r>
      <w:r>
        <w:rPr>
          <w:rFonts w:ascii="宋体" w:hAnsi="宋体"/>
          <w:b/>
          <w:sz w:val="32"/>
        </w:rPr>
        <w:t>编号：</w:t>
      </w:r>
      <w:r>
        <w:rPr>
          <w:rFonts w:ascii="宋体" w:hAnsi="宋体"/>
          <w:b/>
          <w:sz w:val="32"/>
          <w:u w:val="single"/>
        </w:rPr>
        <w:t xml:space="preserve">         </w:t>
      </w:r>
      <w:r>
        <w:rPr>
          <w:rFonts w:hint="eastAsia" w:ascii="宋体" w:hAnsi="宋体"/>
          <w:b/>
          <w:sz w:val="32"/>
          <w:u w:val="single"/>
        </w:rPr>
        <w:t xml:space="preserve">                      </w:t>
      </w:r>
      <w:r>
        <w:rPr>
          <w:rFonts w:ascii="宋体" w:hAnsi="宋体"/>
          <w:b/>
          <w:sz w:val="32"/>
          <w:u w:val="single"/>
        </w:rPr>
        <w:t xml:space="preserve">  </w:t>
      </w:r>
    </w:p>
    <w:p>
      <w:pPr>
        <w:spacing w:line="360" w:lineRule="auto"/>
        <w:jc w:val="left"/>
        <w:rPr>
          <w:rFonts w:hint="eastAsia" w:ascii="宋体" w:hAnsi="宋体"/>
          <w:b/>
          <w:sz w:val="32"/>
        </w:rPr>
      </w:pPr>
      <w:r>
        <w:rPr>
          <w:rFonts w:hint="eastAsia" w:ascii="宋体" w:hAnsi="宋体"/>
          <w:b/>
          <w:sz w:val="32"/>
        </w:rPr>
        <w:t>包   件   号：</w:t>
      </w:r>
      <w:r>
        <w:rPr>
          <w:rFonts w:hint="eastAsia" w:ascii="宋体" w:hAnsi="宋体"/>
          <w:b/>
          <w:sz w:val="32"/>
          <w:u w:val="single"/>
        </w:rPr>
        <w:t xml:space="preserve">                              </w:t>
      </w:r>
      <w:r>
        <w:rPr>
          <w:rFonts w:hint="eastAsia" w:ascii="宋体" w:hAnsi="宋体"/>
          <w:b/>
          <w:sz w:val="32"/>
        </w:rPr>
        <w:t xml:space="preserve">        </w:t>
      </w:r>
    </w:p>
    <w:p>
      <w:pPr>
        <w:pStyle w:val="2"/>
      </w:pPr>
    </w:p>
    <w:p>
      <w:pPr>
        <w:spacing w:line="360" w:lineRule="auto"/>
        <w:ind w:firstLine="790" w:firstLineChars="246"/>
        <w:jc w:val="center"/>
        <w:rPr>
          <w:rFonts w:hint="eastAsia" w:ascii="宋体" w:hAnsi="宋体"/>
          <w:b/>
          <w:sz w:val="32"/>
        </w:rPr>
      </w:pPr>
    </w:p>
    <w:p>
      <w:pPr>
        <w:spacing w:line="360" w:lineRule="auto"/>
        <w:jc w:val="center"/>
        <w:rPr>
          <w:rFonts w:ascii="宋体" w:hAnsi="宋体"/>
          <w:b/>
          <w:sz w:val="32"/>
        </w:rPr>
      </w:pPr>
      <w:r>
        <w:rPr>
          <w:rFonts w:hint="eastAsia" w:ascii="宋体" w:hAnsi="宋体"/>
          <w:b/>
          <w:sz w:val="32"/>
        </w:rPr>
        <w:t>投标时间</w:t>
      </w:r>
      <w:r>
        <w:rPr>
          <w:rFonts w:ascii="宋体" w:hAnsi="宋体"/>
          <w:b/>
          <w:sz w:val="32"/>
        </w:rPr>
        <w:t>：20</w:t>
      </w:r>
      <w:r>
        <w:rPr>
          <w:rFonts w:hint="eastAsia" w:ascii="宋体" w:hAnsi="宋体"/>
          <w:b/>
          <w:sz w:val="32"/>
        </w:rPr>
        <w:t>21</w:t>
      </w:r>
      <w:r>
        <w:rPr>
          <w:rFonts w:ascii="宋体" w:hAnsi="宋体"/>
          <w:b/>
          <w:sz w:val="32"/>
        </w:rPr>
        <w:t>年</w:t>
      </w:r>
      <w:r>
        <w:rPr>
          <w:rFonts w:ascii="宋体" w:hAnsi="宋体"/>
          <w:b/>
          <w:sz w:val="32"/>
          <w:u w:val="single"/>
        </w:rPr>
        <w:t xml:space="preserve"> </w:t>
      </w:r>
      <w:r>
        <w:rPr>
          <w:rFonts w:hint="eastAsia" w:ascii="宋体" w:hAnsi="宋体"/>
          <w:b/>
          <w:sz w:val="32"/>
          <w:u w:val="single"/>
        </w:rPr>
        <w:t xml:space="preserve">   </w:t>
      </w:r>
      <w:r>
        <w:rPr>
          <w:rFonts w:ascii="宋体" w:hAnsi="宋体"/>
          <w:b/>
          <w:sz w:val="32"/>
          <w:u w:val="single"/>
        </w:rPr>
        <w:t xml:space="preserve"> </w:t>
      </w:r>
      <w:r>
        <w:rPr>
          <w:rFonts w:ascii="宋体" w:hAnsi="宋体"/>
          <w:b/>
          <w:sz w:val="32"/>
        </w:rPr>
        <w:t>月</w:t>
      </w:r>
      <w:r>
        <w:rPr>
          <w:rFonts w:ascii="宋体" w:hAnsi="宋体"/>
          <w:b/>
          <w:sz w:val="32"/>
          <w:u w:val="single"/>
        </w:rPr>
        <w:t xml:space="preserve">   </w:t>
      </w:r>
      <w:r>
        <w:rPr>
          <w:rFonts w:ascii="宋体" w:hAnsi="宋体"/>
          <w:b/>
          <w:sz w:val="32"/>
        </w:rPr>
        <w:t>日</w:t>
      </w:r>
    </w:p>
    <w:p>
      <w:pPr>
        <w:spacing w:line="360" w:lineRule="auto"/>
        <w:rPr>
          <w:rFonts w:hint="eastAsia" w:ascii="宋体" w:hAnsi="宋体"/>
          <w:b/>
          <w:sz w:val="32"/>
          <w:szCs w:val="32"/>
        </w:rPr>
      </w:pPr>
      <w:r>
        <w:rPr>
          <w:rFonts w:ascii="宋体" w:hAnsi="宋体"/>
          <w:b/>
          <w:sz w:val="32"/>
        </w:rPr>
        <w:br w:type="page"/>
      </w:r>
      <w:r>
        <w:rPr>
          <w:rFonts w:hint="eastAsia" w:ascii="宋体" w:hAnsi="宋体"/>
          <w:b/>
          <w:sz w:val="32"/>
          <w:szCs w:val="32"/>
        </w:rPr>
        <w:t>格式2-2</w:t>
      </w:r>
    </w:p>
    <w:p>
      <w:pPr>
        <w:widowControl/>
        <w:spacing w:line="360" w:lineRule="auto"/>
        <w:jc w:val="center"/>
        <w:outlineLvl w:val="2"/>
        <w:rPr>
          <w:rFonts w:hint="eastAsia" w:hAnsi="宋体"/>
          <w:b/>
          <w:sz w:val="32"/>
          <w:szCs w:val="32"/>
        </w:rPr>
      </w:pPr>
      <w:bookmarkStart w:id="168" w:name="_Toc503862844"/>
      <w:r>
        <w:rPr>
          <w:rFonts w:hint="eastAsia" w:hAnsi="宋体"/>
          <w:b/>
          <w:sz w:val="32"/>
          <w:szCs w:val="32"/>
        </w:rPr>
        <w:t>一、投 标 函</w:t>
      </w:r>
      <w:bookmarkEnd w:id="168"/>
    </w:p>
    <w:p>
      <w:pPr>
        <w:widowControl/>
        <w:adjustRightInd w:val="0"/>
        <w:snapToGrid w:val="0"/>
        <w:spacing w:line="360" w:lineRule="auto"/>
        <w:jc w:val="left"/>
        <w:rPr>
          <w:rFonts w:hint="eastAsia" w:ascii="宋体" w:hAnsi="宋体"/>
          <w:b/>
          <w:sz w:val="24"/>
        </w:rPr>
      </w:pPr>
      <w:bookmarkStart w:id="169" w:name="_Toc503862845"/>
    </w:p>
    <w:p>
      <w:pPr>
        <w:widowControl/>
        <w:adjustRightInd w:val="0"/>
        <w:snapToGrid w:val="0"/>
        <w:spacing w:line="360" w:lineRule="auto"/>
        <w:jc w:val="left"/>
        <w:rPr>
          <w:rFonts w:hint="eastAsia" w:ascii="宋体" w:hAnsi="宋体" w:cs="宋体"/>
          <w:bCs/>
          <w:sz w:val="24"/>
        </w:rPr>
      </w:pPr>
      <w:r>
        <w:rPr>
          <w:rFonts w:hint="eastAsia" w:ascii="宋体" w:hAnsi="宋体" w:cs="宋体"/>
          <w:bCs/>
          <w:sz w:val="24"/>
        </w:rPr>
        <w:t>四川浩行招标代理有限公司：</w:t>
      </w:r>
      <w:bookmarkEnd w:id="169"/>
    </w:p>
    <w:p>
      <w:pPr>
        <w:adjustRightInd w:val="0"/>
        <w:snapToGrid w:val="0"/>
        <w:spacing w:line="360" w:lineRule="auto"/>
        <w:ind w:firstLine="480" w:firstLineChars="200"/>
        <w:rPr>
          <w:rFonts w:hint="eastAsia" w:ascii="宋体" w:hAnsi="宋体" w:cs="宋体"/>
          <w:bCs/>
          <w:sz w:val="24"/>
        </w:rPr>
      </w:pPr>
      <w:bookmarkStart w:id="170" w:name="_Toc503862853"/>
      <w:r>
        <w:rPr>
          <w:rFonts w:hint="eastAsia" w:ascii="宋体" w:hAnsi="宋体" w:cs="宋体"/>
          <w:bCs/>
          <w:sz w:val="24"/>
        </w:rPr>
        <w:t>我方全面研究了 “</w:t>
      </w:r>
      <w:r>
        <w:rPr>
          <w:rFonts w:hint="eastAsia" w:ascii="宋体" w:hAnsi="宋体" w:cs="宋体"/>
          <w:bCs/>
          <w:sz w:val="24"/>
          <w:u w:val="single"/>
        </w:rPr>
        <w:t xml:space="preserve">        </w:t>
      </w:r>
      <w:r>
        <w:rPr>
          <w:rFonts w:hint="eastAsia" w:ascii="宋体" w:hAnsi="宋体" w:cs="宋体"/>
          <w:bCs/>
          <w:sz w:val="24"/>
        </w:rPr>
        <w:t>”项目（项目编号</w:t>
      </w:r>
      <w:r>
        <w:rPr>
          <w:rFonts w:hint="eastAsia" w:ascii="宋体" w:hAnsi="宋体" w:cs="宋体"/>
          <w:sz w:val="24"/>
        </w:rPr>
        <w:t>：</w:t>
      </w:r>
      <w:r>
        <w:rPr>
          <w:rFonts w:hint="eastAsia" w:ascii="宋体" w:hAnsi="宋体" w:cs="宋体"/>
          <w:sz w:val="24"/>
          <w:u w:val="single"/>
        </w:rPr>
        <w:t xml:space="preserve">        </w:t>
      </w:r>
      <w:r>
        <w:rPr>
          <w:rFonts w:hint="eastAsia" w:ascii="宋体" w:hAnsi="宋体" w:cs="宋体"/>
          <w:sz w:val="24"/>
        </w:rPr>
        <w:t>包件号：</w:t>
      </w:r>
      <w:r>
        <w:rPr>
          <w:rFonts w:hint="eastAsia" w:ascii="宋体" w:hAnsi="宋体" w:cs="宋体"/>
          <w:sz w:val="24"/>
          <w:u w:val="single"/>
        </w:rPr>
        <w:t xml:space="preserve">         </w:t>
      </w:r>
      <w:r>
        <w:rPr>
          <w:rFonts w:hint="eastAsia" w:ascii="宋体" w:hAnsi="宋体" w:cs="宋体"/>
          <w:bCs/>
          <w:sz w:val="24"/>
        </w:rPr>
        <w:t xml:space="preserve">）招标文件；决定参加贵单位组织的本项目投标。我方授权 </w:t>
      </w:r>
      <w:r>
        <w:rPr>
          <w:rFonts w:hint="eastAsia" w:ascii="宋体" w:hAnsi="宋体" w:cs="宋体"/>
          <w:bCs/>
          <w:sz w:val="24"/>
          <w:u w:val="single"/>
        </w:rPr>
        <w:t xml:space="preserve">         </w:t>
      </w:r>
      <w:r>
        <w:rPr>
          <w:rFonts w:hint="eastAsia" w:ascii="宋体" w:hAnsi="宋体" w:cs="宋体"/>
          <w:bCs/>
          <w:sz w:val="24"/>
        </w:rPr>
        <w:t>（姓名、职务）代表我方</w:t>
      </w:r>
      <w:r>
        <w:rPr>
          <w:rFonts w:hint="eastAsia" w:ascii="宋体" w:hAnsi="宋体" w:cs="宋体"/>
          <w:bCs/>
          <w:sz w:val="24"/>
          <w:u w:val="single"/>
        </w:rPr>
        <w:t xml:space="preserve">         </w:t>
      </w:r>
      <w:r>
        <w:rPr>
          <w:rFonts w:hint="eastAsia" w:ascii="宋体" w:hAnsi="宋体" w:cs="宋体"/>
          <w:bCs/>
          <w:sz w:val="24"/>
        </w:rPr>
        <w:t>（投标单位的名称）全权处理本项目投标的有关事宜。</w:t>
      </w:r>
    </w:p>
    <w:p>
      <w:pPr>
        <w:adjustRightInd w:val="0"/>
        <w:snapToGrid w:val="0"/>
        <w:spacing w:line="360" w:lineRule="auto"/>
        <w:ind w:firstLine="480" w:firstLineChars="200"/>
        <w:rPr>
          <w:rFonts w:hint="eastAsia" w:ascii="宋体" w:hAnsi="宋体" w:cs="宋体"/>
          <w:bCs/>
          <w:sz w:val="24"/>
        </w:rPr>
      </w:pPr>
      <w:r>
        <w:rPr>
          <w:rFonts w:hint="eastAsia" w:ascii="宋体" w:hAnsi="宋体" w:cs="宋体"/>
          <w:bCs/>
          <w:sz w:val="24"/>
        </w:rPr>
        <w:t>1、我方自愿按照招标文件规定的各项要求向采购人提供所需货物/服务，投标总价为人民币</w:t>
      </w:r>
      <w:r>
        <w:rPr>
          <w:rFonts w:hint="eastAsia" w:ascii="宋体" w:hAnsi="宋体" w:cs="宋体"/>
          <w:bCs/>
          <w:sz w:val="24"/>
          <w:u w:val="single"/>
        </w:rPr>
        <w:t xml:space="preserve">           元/年  </w:t>
      </w:r>
      <w:r>
        <w:rPr>
          <w:rFonts w:hint="eastAsia" w:ascii="宋体" w:hAnsi="宋体" w:cs="宋体"/>
          <w:bCs/>
          <w:sz w:val="24"/>
        </w:rPr>
        <w:t>（大写：</w:t>
      </w:r>
      <w:r>
        <w:rPr>
          <w:rFonts w:hint="eastAsia" w:ascii="宋体" w:hAnsi="宋体" w:cs="宋体"/>
          <w:bCs/>
          <w:sz w:val="24"/>
          <w:u w:val="single"/>
        </w:rPr>
        <w:t xml:space="preserve">           </w:t>
      </w:r>
      <w:r>
        <w:rPr>
          <w:rFonts w:hint="eastAsia" w:ascii="宋体" w:hAnsi="宋体" w:cs="宋体"/>
          <w:bCs/>
          <w:sz w:val="24"/>
        </w:rPr>
        <w:t>）。</w:t>
      </w:r>
    </w:p>
    <w:p>
      <w:pPr>
        <w:adjustRightInd w:val="0"/>
        <w:snapToGrid w:val="0"/>
        <w:spacing w:line="360" w:lineRule="auto"/>
        <w:ind w:firstLine="480" w:firstLineChars="200"/>
        <w:rPr>
          <w:rFonts w:hint="eastAsia" w:ascii="宋体" w:hAnsi="宋体" w:cs="宋体"/>
          <w:bCs/>
          <w:sz w:val="24"/>
        </w:rPr>
      </w:pPr>
      <w:r>
        <w:rPr>
          <w:rFonts w:hint="eastAsia" w:ascii="宋体" w:hAnsi="宋体" w:cs="宋体"/>
          <w:bCs/>
          <w:sz w:val="24"/>
        </w:rPr>
        <w:t>2、一旦我方中标，我方将严格履行政府采购合同规定的责任和义务。</w:t>
      </w:r>
    </w:p>
    <w:p>
      <w:pPr>
        <w:adjustRightInd w:val="0"/>
        <w:snapToGrid w:val="0"/>
        <w:spacing w:line="360" w:lineRule="auto"/>
        <w:ind w:firstLine="480" w:firstLineChars="200"/>
        <w:rPr>
          <w:rFonts w:hint="eastAsia" w:ascii="宋体" w:hAnsi="宋体" w:cs="宋体"/>
          <w:sz w:val="24"/>
        </w:rPr>
      </w:pPr>
      <w:r>
        <w:rPr>
          <w:rFonts w:hint="eastAsia" w:ascii="宋体" w:hAnsi="宋体" w:cs="宋体"/>
          <w:bCs/>
          <w:sz w:val="24"/>
        </w:rPr>
        <w:t>3、我们已详细阅读全部招标文件，参考资料及有关附件等，我们完全理解并放弃提出含糊不清或误解的问题的权利。</w:t>
      </w:r>
    </w:p>
    <w:p>
      <w:pPr>
        <w:adjustRightInd w:val="0"/>
        <w:snapToGrid w:val="0"/>
        <w:spacing w:line="360" w:lineRule="auto"/>
        <w:ind w:firstLine="480" w:firstLineChars="200"/>
        <w:rPr>
          <w:rFonts w:hint="eastAsia" w:ascii="宋体" w:hAnsi="宋体" w:cs="宋体"/>
          <w:bCs/>
          <w:sz w:val="24"/>
        </w:rPr>
      </w:pPr>
      <w:r>
        <w:rPr>
          <w:rFonts w:hint="eastAsia" w:ascii="宋体" w:hAnsi="宋体" w:cs="宋体"/>
          <w:bCs/>
          <w:sz w:val="24"/>
        </w:rPr>
        <w:t>4、我方为本项目提交的投标文件投标有效期为递交投标文件截止之日起90天。</w:t>
      </w:r>
    </w:p>
    <w:p>
      <w:pPr>
        <w:adjustRightInd w:val="0"/>
        <w:snapToGrid w:val="0"/>
        <w:spacing w:line="360" w:lineRule="auto"/>
        <w:ind w:firstLine="480" w:firstLineChars="200"/>
        <w:rPr>
          <w:rFonts w:hint="eastAsia" w:ascii="宋体" w:hAnsi="宋体" w:cs="宋体"/>
          <w:bCs/>
          <w:sz w:val="24"/>
        </w:rPr>
      </w:pPr>
      <w:r>
        <w:rPr>
          <w:rFonts w:hint="eastAsia" w:ascii="宋体" w:hAnsi="宋体" w:cs="宋体"/>
          <w:bCs/>
          <w:sz w:val="24"/>
        </w:rPr>
        <w:t>5、我方完全理解采购人</w:t>
      </w:r>
      <w:r>
        <w:rPr>
          <w:rFonts w:hint="eastAsia" w:ascii="宋体" w:hAnsi="宋体" w:cs="宋体"/>
          <w:sz w:val="24"/>
        </w:rPr>
        <w:t>不一定接受最低报价的投标或收到的任何投标</w:t>
      </w:r>
      <w:r>
        <w:rPr>
          <w:rFonts w:hint="eastAsia" w:ascii="宋体" w:hAnsi="宋体" w:cs="宋体"/>
          <w:bCs/>
          <w:sz w:val="24"/>
        </w:rPr>
        <w:t>。</w:t>
      </w:r>
    </w:p>
    <w:p>
      <w:pPr>
        <w:widowControl/>
        <w:autoSpaceDE w:val="0"/>
        <w:autoSpaceDN w:val="0"/>
        <w:adjustRightInd w:val="0"/>
        <w:snapToGrid w:val="0"/>
        <w:spacing w:line="360" w:lineRule="auto"/>
        <w:ind w:firstLine="480" w:firstLineChars="200"/>
        <w:jc w:val="left"/>
        <w:rPr>
          <w:rFonts w:hint="eastAsia" w:ascii="宋体" w:hAnsi="宋体" w:cs="宋体"/>
          <w:sz w:val="24"/>
        </w:rPr>
      </w:pPr>
      <w:r>
        <w:rPr>
          <w:rFonts w:hint="eastAsia" w:ascii="宋体" w:hAnsi="宋体" w:cs="宋体"/>
          <w:sz w:val="24"/>
        </w:rPr>
        <w:t>6、如果我方中标，我方保证按照招标文件的规定向贵方交纳中标服务费。</w:t>
      </w:r>
    </w:p>
    <w:p>
      <w:pPr>
        <w:widowControl/>
        <w:adjustRightInd w:val="0"/>
        <w:snapToGrid w:val="0"/>
        <w:spacing w:line="360" w:lineRule="auto"/>
        <w:ind w:firstLine="470" w:firstLineChars="196"/>
        <w:jc w:val="left"/>
        <w:rPr>
          <w:rFonts w:hint="eastAsia" w:ascii="宋体" w:hAnsi="宋体" w:cs="宋体"/>
          <w:bCs/>
          <w:sz w:val="24"/>
        </w:rPr>
      </w:pPr>
      <w:r>
        <w:rPr>
          <w:rFonts w:hint="eastAsia" w:ascii="宋体" w:hAnsi="宋体" w:cs="宋体"/>
          <w:bCs/>
          <w:sz w:val="24"/>
        </w:rPr>
        <w:t>7、我方愿意提供贵方可能另外要求的，与投标有关的文件资料，并保证我方已提供和将要提供的文件资料是真实、准确的。</w:t>
      </w:r>
    </w:p>
    <w:p>
      <w:pPr>
        <w:spacing w:line="400" w:lineRule="atLeast"/>
        <w:ind w:firstLine="480" w:firstLineChars="200"/>
        <w:rPr>
          <w:rFonts w:hint="eastAsia" w:hAnsi="宋体"/>
          <w:sz w:val="24"/>
        </w:rPr>
      </w:pPr>
      <w:r>
        <w:rPr>
          <w:rFonts w:hint="eastAsia" w:hAnsi="宋体"/>
          <w:sz w:val="24"/>
        </w:rPr>
        <w:t xml:space="preserve">         </w:t>
      </w:r>
    </w:p>
    <w:p>
      <w:pPr>
        <w:widowControl/>
        <w:adjustRightInd w:val="0"/>
        <w:snapToGrid w:val="0"/>
        <w:spacing w:line="360" w:lineRule="auto"/>
        <w:ind w:firstLine="482" w:firstLineChars="200"/>
        <w:jc w:val="left"/>
        <w:rPr>
          <w:rFonts w:hint="eastAsia" w:ascii="宋体" w:hAnsi="宋体"/>
          <w:b/>
          <w:bCs/>
          <w:sz w:val="24"/>
        </w:rPr>
      </w:pPr>
      <w:r>
        <w:rPr>
          <w:rFonts w:hint="eastAsia" w:ascii="宋体" w:hAnsi="宋体"/>
          <w:b/>
          <w:bCs/>
          <w:sz w:val="24"/>
        </w:rPr>
        <w:t>投标人名称：XXXX（单位公章）。</w:t>
      </w:r>
      <w:bookmarkEnd w:id="170"/>
    </w:p>
    <w:p>
      <w:pPr>
        <w:widowControl/>
        <w:adjustRightInd w:val="0"/>
        <w:snapToGrid w:val="0"/>
        <w:spacing w:line="360" w:lineRule="auto"/>
        <w:ind w:firstLine="482" w:firstLineChars="200"/>
        <w:jc w:val="left"/>
        <w:rPr>
          <w:rFonts w:hint="eastAsia" w:ascii="宋体" w:hAnsi="宋体"/>
          <w:b/>
          <w:bCs/>
          <w:sz w:val="24"/>
        </w:rPr>
      </w:pPr>
      <w:bookmarkStart w:id="171" w:name="_Toc503862854"/>
      <w:r>
        <w:rPr>
          <w:rFonts w:hint="eastAsia" w:ascii="宋体" w:hAnsi="宋体"/>
          <w:b/>
          <w:bCs/>
          <w:sz w:val="24"/>
        </w:rPr>
        <w:t>法定代表人/单位负责人或授权代表（签字或加盖个人名章）：XXXX。</w:t>
      </w:r>
      <w:bookmarkEnd w:id="171"/>
    </w:p>
    <w:p>
      <w:pPr>
        <w:widowControl/>
        <w:adjustRightInd w:val="0"/>
        <w:snapToGrid w:val="0"/>
        <w:spacing w:line="360" w:lineRule="auto"/>
        <w:ind w:firstLine="482" w:firstLineChars="200"/>
        <w:jc w:val="left"/>
        <w:rPr>
          <w:rFonts w:hint="eastAsia" w:ascii="宋体" w:hAnsi="宋体"/>
          <w:b/>
          <w:bCs/>
          <w:sz w:val="24"/>
        </w:rPr>
      </w:pPr>
      <w:bookmarkStart w:id="172" w:name="_Toc503862855"/>
      <w:r>
        <w:rPr>
          <w:rFonts w:hint="eastAsia" w:ascii="宋体" w:hAnsi="宋体"/>
          <w:b/>
          <w:bCs/>
          <w:sz w:val="24"/>
        </w:rPr>
        <w:t>通讯地址：XXXX。</w:t>
      </w:r>
      <w:bookmarkEnd w:id="172"/>
    </w:p>
    <w:p>
      <w:pPr>
        <w:widowControl/>
        <w:adjustRightInd w:val="0"/>
        <w:snapToGrid w:val="0"/>
        <w:spacing w:line="360" w:lineRule="auto"/>
        <w:ind w:firstLine="482" w:firstLineChars="200"/>
        <w:jc w:val="left"/>
        <w:rPr>
          <w:rFonts w:hint="eastAsia" w:ascii="宋体" w:hAnsi="宋体"/>
          <w:b/>
          <w:bCs/>
          <w:sz w:val="24"/>
        </w:rPr>
      </w:pPr>
      <w:bookmarkStart w:id="173" w:name="_Toc503862856"/>
      <w:r>
        <w:rPr>
          <w:rFonts w:hint="eastAsia" w:ascii="宋体" w:hAnsi="宋体"/>
          <w:b/>
          <w:bCs/>
          <w:sz w:val="24"/>
        </w:rPr>
        <w:t>邮政编码：XXXX。</w:t>
      </w:r>
      <w:bookmarkEnd w:id="173"/>
    </w:p>
    <w:p>
      <w:pPr>
        <w:widowControl/>
        <w:adjustRightInd w:val="0"/>
        <w:snapToGrid w:val="0"/>
        <w:spacing w:line="360" w:lineRule="auto"/>
        <w:ind w:firstLine="482" w:firstLineChars="200"/>
        <w:jc w:val="left"/>
        <w:rPr>
          <w:rFonts w:hint="eastAsia" w:ascii="宋体" w:hAnsi="宋体"/>
          <w:b/>
          <w:bCs/>
          <w:sz w:val="24"/>
        </w:rPr>
      </w:pPr>
      <w:bookmarkStart w:id="174" w:name="_Toc503862857"/>
      <w:r>
        <w:rPr>
          <w:rFonts w:hint="eastAsia" w:ascii="宋体" w:hAnsi="宋体"/>
          <w:b/>
          <w:bCs/>
          <w:sz w:val="24"/>
        </w:rPr>
        <w:t>联系电话：XXXX。</w:t>
      </w:r>
      <w:bookmarkEnd w:id="174"/>
    </w:p>
    <w:p>
      <w:pPr>
        <w:widowControl/>
        <w:adjustRightInd w:val="0"/>
        <w:snapToGrid w:val="0"/>
        <w:spacing w:line="360" w:lineRule="auto"/>
        <w:ind w:firstLine="482" w:firstLineChars="200"/>
        <w:jc w:val="left"/>
        <w:rPr>
          <w:rFonts w:hint="eastAsia" w:ascii="宋体" w:hAnsi="宋体"/>
          <w:b/>
          <w:bCs/>
          <w:sz w:val="24"/>
        </w:rPr>
      </w:pPr>
      <w:bookmarkStart w:id="175" w:name="_Toc503862858"/>
      <w:r>
        <w:rPr>
          <w:rFonts w:hint="eastAsia" w:ascii="宋体" w:hAnsi="宋体"/>
          <w:b/>
          <w:bCs/>
          <w:sz w:val="24"/>
        </w:rPr>
        <w:t>传    真：XXXX。</w:t>
      </w:r>
      <w:bookmarkEnd w:id="175"/>
    </w:p>
    <w:p>
      <w:pPr>
        <w:widowControl/>
        <w:adjustRightInd w:val="0"/>
        <w:snapToGrid w:val="0"/>
        <w:spacing w:line="360" w:lineRule="auto"/>
        <w:ind w:firstLine="482" w:firstLineChars="200"/>
        <w:jc w:val="left"/>
        <w:rPr>
          <w:rFonts w:hint="eastAsia" w:ascii="宋体" w:hAnsi="宋体"/>
          <w:sz w:val="24"/>
        </w:rPr>
      </w:pPr>
      <w:bookmarkStart w:id="176" w:name="_Toc503862859"/>
      <w:r>
        <w:rPr>
          <w:rFonts w:hint="eastAsia" w:ascii="宋体" w:hAnsi="宋体"/>
          <w:b/>
          <w:bCs/>
          <w:sz w:val="24"/>
        </w:rPr>
        <w:t>日    期：XXXX年XXXX月XXXX日。</w:t>
      </w:r>
      <w:bookmarkEnd w:id="176"/>
    </w:p>
    <w:p>
      <w:pPr>
        <w:spacing w:line="288" w:lineRule="auto"/>
        <w:rPr>
          <w:rFonts w:hint="eastAsia" w:ascii="宋体" w:hAnsi="宋体"/>
          <w:b/>
          <w:sz w:val="32"/>
          <w:szCs w:val="32"/>
        </w:rPr>
      </w:pPr>
      <w:r>
        <w:rPr>
          <w:rFonts w:hint="eastAsia" w:ascii="宋体" w:hAnsi="宋体"/>
          <w:b/>
          <w:sz w:val="32"/>
          <w:szCs w:val="32"/>
        </w:rPr>
        <w:br w:type="page"/>
      </w:r>
      <w:r>
        <w:rPr>
          <w:rFonts w:hint="eastAsia" w:ascii="宋体" w:hAnsi="宋体"/>
          <w:b/>
          <w:sz w:val="32"/>
          <w:szCs w:val="32"/>
        </w:rPr>
        <w:t>格式2-3</w:t>
      </w:r>
    </w:p>
    <w:p>
      <w:pPr>
        <w:widowControl/>
        <w:spacing w:line="360" w:lineRule="auto"/>
        <w:jc w:val="center"/>
        <w:outlineLvl w:val="2"/>
        <w:rPr>
          <w:rFonts w:hint="eastAsia" w:hAnsi="宋体"/>
          <w:b/>
          <w:sz w:val="32"/>
          <w:szCs w:val="32"/>
        </w:rPr>
      </w:pPr>
      <w:bookmarkStart w:id="177" w:name="_Toc503862860"/>
      <w:r>
        <w:rPr>
          <w:rFonts w:hint="eastAsia" w:hAnsi="宋体"/>
          <w:b/>
          <w:sz w:val="32"/>
          <w:szCs w:val="32"/>
        </w:rPr>
        <w:t>二、承诺函</w:t>
      </w:r>
      <w:bookmarkEnd w:id="177"/>
    </w:p>
    <w:p>
      <w:pPr>
        <w:widowControl/>
        <w:spacing w:line="312" w:lineRule="auto"/>
        <w:jc w:val="left"/>
        <w:rPr>
          <w:rFonts w:hint="eastAsia" w:ascii="宋体" w:hAnsi="宋体"/>
          <w:sz w:val="24"/>
        </w:rPr>
      </w:pPr>
      <w:bookmarkStart w:id="178" w:name="_Toc503862861"/>
      <w:r>
        <w:rPr>
          <w:rFonts w:hint="eastAsia" w:ascii="宋体" w:hAnsi="宋体"/>
          <w:bCs/>
          <w:sz w:val="24"/>
        </w:rPr>
        <w:t>四川浩行招标代理有限公司</w:t>
      </w:r>
      <w:r>
        <w:rPr>
          <w:rFonts w:hint="eastAsia" w:ascii="宋体" w:hAnsi="宋体"/>
          <w:sz w:val="24"/>
        </w:rPr>
        <w:t>：</w:t>
      </w:r>
      <w:bookmarkEnd w:id="178"/>
    </w:p>
    <w:p>
      <w:pPr>
        <w:widowControl/>
        <w:spacing w:line="312" w:lineRule="auto"/>
        <w:ind w:firstLine="480" w:firstLineChars="200"/>
        <w:jc w:val="left"/>
        <w:rPr>
          <w:rFonts w:hint="eastAsia" w:ascii="宋体" w:hAnsi="宋体"/>
          <w:sz w:val="24"/>
        </w:rPr>
      </w:pPr>
      <w:bookmarkStart w:id="179" w:name="_Toc503862862"/>
      <w:r>
        <w:rPr>
          <w:rFonts w:hint="eastAsia" w:ascii="宋体" w:hAnsi="宋体"/>
          <w:sz w:val="24"/>
        </w:rPr>
        <w:t>我单位作为本次采购项目的投标人，根据招标文件要求，现郑重承诺如下：</w:t>
      </w:r>
      <w:bookmarkEnd w:id="179"/>
    </w:p>
    <w:p>
      <w:pPr>
        <w:widowControl/>
        <w:spacing w:line="312" w:lineRule="auto"/>
        <w:ind w:firstLine="480" w:firstLineChars="200"/>
        <w:jc w:val="left"/>
        <w:rPr>
          <w:rFonts w:hint="eastAsia" w:ascii="宋体" w:hAnsi="宋体"/>
          <w:sz w:val="24"/>
        </w:rPr>
      </w:pPr>
      <w:bookmarkStart w:id="180" w:name="_Toc503862863"/>
      <w:r>
        <w:rPr>
          <w:rFonts w:hint="eastAsia" w:ascii="宋体" w:hAnsi="宋体"/>
          <w:sz w:val="24"/>
        </w:rPr>
        <w:t>一、</w:t>
      </w:r>
      <w:r>
        <w:rPr>
          <w:rFonts w:ascii="宋体" w:hAnsi="宋体"/>
          <w:sz w:val="24"/>
        </w:rPr>
        <w:t>完全接受和满足本项目招标文件中规定的实质性要求，如对招标文件有异议，</w:t>
      </w:r>
      <w:r>
        <w:rPr>
          <w:rFonts w:hint="eastAsia" w:ascii="宋体" w:hAnsi="宋体"/>
          <w:sz w:val="24"/>
        </w:rPr>
        <w:t>已</w:t>
      </w:r>
      <w:r>
        <w:rPr>
          <w:rFonts w:ascii="宋体" w:hAnsi="宋体"/>
          <w:sz w:val="24"/>
        </w:rPr>
        <w:t>依法进行维权救济，不存在对招标文件有异议的同时又参加投标以求侥幸中标或者为实现其他非法目的的行为。</w:t>
      </w:r>
      <w:bookmarkEnd w:id="180"/>
    </w:p>
    <w:p>
      <w:pPr>
        <w:widowControl/>
        <w:spacing w:line="312" w:lineRule="auto"/>
        <w:ind w:firstLine="480" w:firstLineChars="200"/>
        <w:jc w:val="left"/>
        <w:rPr>
          <w:rFonts w:hint="eastAsia" w:ascii="宋体" w:hAnsi="宋体"/>
          <w:sz w:val="24"/>
        </w:rPr>
      </w:pPr>
      <w:bookmarkStart w:id="181" w:name="_Toc503862864"/>
      <w:r>
        <w:rPr>
          <w:rFonts w:hint="eastAsia" w:ascii="宋体" w:hAnsi="宋体"/>
          <w:sz w:val="24"/>
        </w:rPr>
        <w:t>二、参加本次招标采购活动，不存在与单位负责人为同一人或者存在直接控股、管理关系的其他投标人参与同一合同项下的政府采购活动的行为。为采购项目提供整体设计、规范编制或者项目管理、监理、检测等服务的投标人，不得再参加该采购项目的其他采购活动。</w:t>
      </w:r>
      <w:bookmarkEnd w:id="181"/>
    </w:p>
    <w:p>
      <w:pPr>
        <w:widowControl/>
        <w:spacing w:line="312" w:lineRule="auto"/>
        <w:ind w:firstLine="480" w:firstLineChars="200"/>
        <w:jc w:val="left"/>
        <w:rPr>
          <w:rFonts w:hint="eastAsia" w:ascii="宋体" w:hAnsi="宋体"/>
          <w:sz w:val="24"/>
        </w:rPr>
      </w:pPr>
      <w:bookmarkStart w:id="182" w:name="_Toc503862865"/>
      <w:r>
        <w:rPr>
          <w:rFonts w:hint="eastAsia" w:ascii="宋体" w:hAnsi="宋体"/>
          <w:sz w:val="24"/>
        </w:rPr>
        <w:t>三、参加本次招标采购活动，不存在和其他投标人在同一合同项下的采购项目中，同时委托同一个自然人、同一家庭的人员、同一单位的人员作为代理人的行为。</w:t>
      </w:r>
      <w:bookmarkEnd w:id="182"/>
    </w:p>
    <w:p>
      <w:pPr>
        <w:widowControl/>
        <w:spacing w:line="312" w:lineRule="auto"/>
        <w:ind w:firstLine="480" w:firstLineChars="200"/>
        <w:jc w:val="left"/>
        <w:rPr>
          <w:rFonts w:hint="eastAsia" w:ascii="宋体" w:hAnsi="宋体"/>
          <w:sz w:val="24"/>
        </w:rPr>
      </w:pPr>
      <w:r>
        <w:rPr>
          <w:rFonts w:hint="eastAsia" w:ascii="宋体" w:hAnsi="宋体"/>
          <w:sz w:val="24"/>
        </w:rPr>
        <w:t>四、我司未被对列入按财库[2016]125号规定的失信被执行人、重大税收违法案件当事人名单、政府采购严重违法失信行为记录名单及其他不符合《中华人民共和国政府采购法》第二十二条规定条件的投标人。</w:t>
      </w:r>
    </w:p>
    <w:p>
      <w:pPr>
        <w:widowControl/>
        <w:spacing w:line="312" w:lineRule="auto"/>
        <w:ind w:firstLine="480" w:firstLineChars="200"/>
        <w:jc w:val="left"/>
        <w:rPr>
          <w:rFonts w:hint="eastAsia" w:ascii="宋体" w:hAnsi="宋体"/>
          <w:sz w:val="24"/>
        </w:rPr>
      </w:pPr>
      <w:bookmarkStart w:id="183" w:name="_Toc503862867"/>
      <w:r>
        <w:rPr>
          <w:rFonts w:hint="eastAsia" w:ascii="宋体" w:hAnsi="宋体"/>
          <w:sz w:val="24"/>
        </w:rPr>
        <w:t>五、投标文件中提供的能够给予我单位带来优惠、好处的任何材料资料和技术、服务、商务、响应产品等响应承诺情况都是真实的、有效的、合法的。</w:t>
      </w:r>
      <w:bookmarkEnd w:id="183"/>
    </w:p>
    <w:p>
      <w:pPr>
        <w:widowControl/>
        <w:spacing w:line="312" w:lineRule="auto"/>
        <w:ind w:firstLine="480" w:firstLineChars="200"/>
        <w:jc w:val="left"/>
        <w:rPr>
          <w:rFonts w:hint="eastAsia" w:ascii="宋体" w:hAnsi="宋体"/>
          <w:sz w:val="24"/>
        </w:rPr>
      </w:pPr>
      <w:bookmarkStart w:id="184" w:name="_Toc503862868"/>
      <w:r>
        <w:rPr>
          <w:rFonts w:hint="eastAsia" w:ascii="宋体" w:hAnsi="宋体"/>
          <w:sz w:val="24"/>
        </w:rPr>
        <w:t>六、如本项目评标过程中需要提供样品，则我单位提供的样品即为中标后将要提供的中标产品，我单位对提供样品的性能和质量负责，因样品存在缺陷或者不符合招标文件要求导致未能中标的，我单位愿意承担相应不利后果。</w:t>
      </w:r>
      <w:bookmarkEnd w:id="184"/>
    </w:p>
    <w:p>
      <w:pPr>
        <w:spacing w:line="312" w:lineRule="auto"/>
        <w:ind w:firstLine="480" w:firstLineChars="200"/>
        <w:jc w:val="left"/>
        <w:rPr>
          <w:sz w:val="20"/>
          <w:szCs w:val="20"/>
        </w:rPr>
      </w:pPr>
      <w:r>
        <w:rPr>
          <w:rFonts w:hint="eastAsia" w:ascii="宋体" w:hAnsi="宋体"/>
          <w:sz w:val="24"/>
        </w:rPr>
        <w:t>七、</w:t>
      </w:r>
      <w:r>
        <w:rPr>
          <w:rFonts w:ascii="宋体" w:hAnsi="宋体" w:cs="宋体"/>
          <w:sz w:val="24"/>
        </w:rPr>
        <w:t>我公司完全同意采购文件中关于知识产权的说明，承诺由此造成的纠纷由我单位全权负责。</w:t>
      </w:r>
      <w:r>
        <w:rPr>
          <w:rFonts w:hint="eastAsia" w:ascii="宋体" w:hAnsi="宋体" w:cs="宋体"/>
          <w:sz w:val="24"/>
        </w:rPr>
        <w:t xml:space="preserve"> </w:t>
      </w:r>
    </w:p>
    <w:p>
      <w:pPr>
        <w:widowControl/>
        <w:spacing w:line="312" w:lineRule="auto"/>
        <w:ind w:firstLine="480" w:firstLineChars="200"/>
        <w:jc w:val="left"/>
        <w:rPr>
          <w:rFonts w:hint="eastAsia" w:ascii="宋体" w:hAnsi="宋体"/>
          <w:sz w:val="24"/>
        </w:rPr>
      </w:pPr>
      <w:bookmarkStart w:id="185" w:name="_Toc503862869"/>
      <w:r>
        <w:rPr>
          <w:rFonts w:hint="eastAsia" w:ascii="宋体" w:hAnsi="宋体"/>
          <w:sz w:val="24"/>
        </w:rPr>
        <w:t>本单位对上述承诺的内容事项真实性负责。如经查实上述承诺的内容事项存在虚假，我单位愿意接受以提供虚假材料谋取中标追究法律责任。</w:t>
      </w:r>
      <w:bookmarkEnd w:id="185"/>
    </w:p>
    <w:p>
      <w:pPr>
        <w:widowControl/>
        <w:spacing w:line="312" w:lineRule="auto"/>
        <w:ind w:firstLine="470" w:firstLineChars="196"/>
        <w:jc w:val="left"/>
        <w:rPr>
          <w:rFonts w:hint="eastAsia" w:ascii="宋体" w:hAnsi="宋体"/>
          <w:sz w:val="24"/>
        </w:rPr>
      </w:pPr>
    </w:p>
    <w:p>
      <w:pPr>
        <w:widowControl/>
        <w:adjustRightInd w:val="0"/>
        <w:snapToGrid w:val="0"/>
        <w:spacing w:line="360" w:lineRule="auto"/>
        <w:ind w:firstLine="472" w:firstLineChars="196"/>
        <w:jc w:val="left"/>
        <w:rPr>
          <w:rFonts w:hint="eastAsia" w:ascii="宋体" w:hAnsi="宋体"/>
          <w:b/>
          <w:bCs/>
          <w:sz w:val="24"/>
        </w:rPr>
      </w:pPr>
      <w:r>
        <w:rPr>
          <w:rFonts w:hint="eastAsia" w:ascii="宋体" w:hAnsi="宋体"/>
          <w:b/>
          <w:bCs/>
          <w:sz w:val="24"/>
        </w:rPr>
        <w:t>投标人名称：XXXX（单位盖章）。</w:t>
      </w:r>
    </w:p>
    <w:p>
      <w:pPr>
        <w:widowControl/>
        <w:adjustRightInd w:val="0"/>
        <w:snapToGrid w:val="0"/>
        <w:spacing w:line="360" w:lineRule="auto"/>
        <w:ind w:firstLine="472" w:firstLineChars="196"/>
        <w:jc w:val="left"/>
        <w:rPr>
          <w:rFonts w:hint="eastAsia" w:ascii="宋体" w:hAnsi="宋体"/>
          <w:b/>
          <w:bCs/>
          <w:sz w:val="24"/>
        </w:rPr>
      </w:pPr>
      <w:r>
        <w:rPr>
          <w:rFonts w:hint="eastAsia" w:ascii="宋体" w:hAnsi="宋体"/>
          <w:b/>
          <w:bCs/>
          <w:sz w:val="24"/>
        </w:rPr>
        <w:t>法定代表人/单位负责人或授权代表（签字或加盖个人名章）：XXXX。</w:t>
      </w:r>
    </w:p>
    <w:p>
      <w:pPr>
        <w:widowControl/>
        <w:adjustRightInd w:val="0"/>
        <w:snapToGrid w:val="0"/>
        <w:spacing w:line="360" w:lineRule="auto"/>
        <w:ind w:firstLine="472" w:firstLineChars="196"/>
        <w:jc w:val="left"/>
        <w:rPr>
          <w:rFonts w:hint="eastAsia" w:ascii="宋体"/>
          <w:b/>
          <w:bCs/>
          <w:sz w:val="24"/>
        </w:rPr>
      </w:pPr>
      <w:r>
        <w:rPr>
          <w:rFonts w:hint="eastAsia" w:ascii="宋体"/>
          <w:b/>
          <w:bCs/>
          <w:sz w:val="24"/>
        </w:rPr>
        <w:t>包件号：</w:t>
      </w:r>
    </w:p>
    <w:p>
      <w:pPr>
        <w:widowControl/>
        <w:adjustRightInd w:val="0"/>
        <w:snapToGrid w:val="0"/>
        <w:spacing w:line="360" w:lineRule="auto"/>
        <w:ind w:firstLine="472" w:firstLineChars="196"/>
        <w:jc w:val="left"/>
        <w:rPr>
          <w:rFonts w:hint="eastAsia" w:ascii="宋体" w:hAnsi="宋体"/>
          <w:b/>
          <w:bCs/>
          <w:sz w:val="24"/>
        </w:rPr>
      </w:pPr>
      <w:r>
        <w:rPr>
          <w:rFonts w:hint="eastAsia" w:ascii="宋体" w:hAnsi="宋体"/>
          <w:b/>
          <w:bCs/>
          <w:sz w:val="24"/>
        </w:rPr>
        <w:t>投标日期: XXXX。</w:t>
      </w:r>
    </w:p>
    <w:p>
      <w:pPr>
        <w:spacing w:line="360" w:lineRule="auto"/>
        <w:rPr>
          <w:rFonts w:hint="eastAsia" w:ascii="宋体" w:hAnsi="宋体"/>
          <w:b/>
          <w:sz w:val="32"/>
          <w:szCs w:val="32"/>
        </w:rPr>
      </w:pPr>
      <w:r>
        <w:rPr>
          <w:rFonts w:hint="eastAsia" w:ascii="宋体" w:hAnsi="宋体"/>
          <w:b/>
          <w:sz w:val="32"/>
          <w:szCs w:val="32"/>
        </w:rPr>
        <w:br w:type="page"/>
      </w:r>
      <w:r>
        <w:rPr>
          <w:rFonts w:hint="eastAsia" w:ascii="宋体" w:hAnsi="宋体"/>
          <w:b/>
          <w:sz w:val="32"/>
          <w:szCs w:val="32"/>
        </w:rPr>
        <w:t>格式2-4</w:t>
      </w:r>
    </w:p>
    <w:p>
      <w:pPr>
        <w:widowControl/>
        <w:spacing w:line="360" w:lineRule="auto"/>
        <w:jc w:val="center"/>
        <w:outlineLvl w:val="2"/>
        <w:rPr>
          <w:rFonts w:hint="eastAsia" w:hAnsi="宋体"/>
          <w:b/>
          <w:sz w:val="32"/>
          <w:szCs w:val="32"/>
        </w:rPr>
      </w:pPr>
      <w:r>
        <w:rPr>
          <w:rFonts w:hint="eastAsia" w:hAnsi="宋体"/>
          <w:b/>
          <w:sz w:val="32"/>
          <w:szCs w:val="32"/>
        </w:rPr>
        <w:t>三、开标一览表</w:t>
      </w:r>
    </w:p>
    <w:p>
      <w:pPr>
        <w:widowControl/>
        <w:spacing w:line="360" w:lineRule="atLeast"/>
        <w:ind w:firstLine="470" w:firstLineChars="196"/>
        <w:jc w:val="left"/>
        <w:rPr>
          <w:rFonts w:hint="eastAsia" w:ascii="宋体" w:hAnsi="宋体"/>
          <w:sz w:val="24"/>
        </w:rPr>
      </w:pPr>
    </w:p>
    <w:tbl>
      <w:tblPr>
        <w:tblStyle w:val="23"/>
        <w:tblW w:w="0" w:type="auto"/>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2342"/>
        <w:gridCol w:w="5780"/>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50" w:hRule="atLeast"/>
          <w:jc w:val="center"/>
        </w:trPr>
        <w:tc>
          <w:tcPr>
            <w:tcW w:w="2342" w:type="dxa"/>
            <w:tcBorders>
              <w:top w:val="single" w:color="000000" w:sz="12" w:space="0"/>
            </w:tcBorders>
            <w:vAlign w:val="center"/>
          </w:tcPr>
          <w:p>
            <w:pPr>
              <w:spacing w:line="360" w:lineRule="auto"/>
              <w:jc w:val="center"/>
              <w:rPr>
                <w:rFonts w:ascii="宋体" w:hAnsi="宋体"/>
                <w:sz w:val="24"/>
              </w:rPr>
            </w:pPr>
            <w:r>
              <w:rPr>
                <w:rFonts w:hint="eastAsia" w:ascii="宋体" w:hAnsi="宋体"/>
                <w:sz w:val="24"/>
              </w:rPr>
              <w:t>项目名称</w:t>
            </w:r>
          </w:p>
        </w:tc>
        <w:tc>
          <w:tcPr>
            <w:tcW w:w="5780" w:type="dxa"/>
            <w:tcBorders>
              <w:top w:val="single" w:color="000000" w:sz="12" w:space="0"/>
            </w:tcBorders>
            <w:vAlign w:val="center"/>
          </w:tcPr>
          <w:p>
            <w:pPr>
              <w:spacing w:line="360" w:lineRule="auto"/>
              <w:jc w:val="left"/>
              <w:rPr>
                <w:rFonts w:ascii="宋体" w:hAnsi="宋体"/>
                <w:sz w:val="24"/>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50" w:hRule="atLeast"/>
          <w:jc w:val="center"/>
        </w:trPr>
        <w:tc>
          <w:tcPr>
            <w:tcW w:w="2342" w:type="dxa"/>
            <w:tcBorders>
              <w:top w:val="single" w:color="000000" w:sz="12" w:space="0"/>
            </w:tcBorders>
            <w:vAlign w:val="center"/>
          </w:tcPr>
          <w:p>
            <w:pPr>
              <w:spacing w:line="360" w:lineRule="auto"/>
              <w:jc w:val="center"/>
              <w:rPr>
                <w:rFonts w:hint="eastAsia" w:ascii="宋体" w:hAnsi="宋体"/>
                <w:sz w:val="24"/>
              </w:rPr>
            </w:pPr>
            <w:r>
              <w:rPr>
                <w:rFonts w:hint="eastAsia" w:ascii="宋体" w:hAnsi="宋体"/>
                <w:sz w:val="24"/>
              </w:rPr>
              <w:t>项目编号</w:t>
            </w:r>
          </w:p>
        </w:tc>
        <w:tc>
          <w:tcPr>
            <w:tcW w:w="5780" w:type="dxa"/>
            <w:tcBorders>
              <w:top w:val="single" w:color="000000" w:sz="12" w:space="0"/>
            </w:tcBorders>
            <w:vAlign w:val="center"/>
          </w:tcPr>
          <w:p>
            <w:pPr>
              <w:spacing w:line="360" w:lineRule="auto"/>
              <w:rPr>
                <w:rFonts w:ascii="宋体" w:hAnsi="宋体"/>
                <w:sz w:val="24"/>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50" w:hRule="atLeast"/>
          <w:jc w:val="center"/>
        </w:trPr>
        <w:tc>
          <w:tcPr>
            <w:tcW w:w="2342" w:type="dxa"/>
            <w:tcBorders>
              <w:top w:val="single" w:color="000000" w:sz="12" w:space="0"/>
            </w:tcBorders>
            <w:vAlign w:val="center"/>
          </w:tcPr>
          <w:p>
            <w:pPr>
              <w:spacing w:line="360" w:lineRule="auto"/>
              <w:jc w:val="center"/>
              <w:rPr>
                <w:rFonts w:ascii="宋体" w:hAnsi="宋体"/>
                <w:sz w:val="24"/>
              </w:rPr>
            </w:pPr>
            <w:r>
              <w:rPr>
                <w:rFonts w:hint="eastAsia" w:ascii="宋体" w:hAnsi="宋体"/>
                <w:sz w:val="24"/>
              </w:rPr>
              <w:t>包件号</w:t>
            </w:r>
          </w:p>
        </w:tc>
        <w:tc>
          <w:tcPr>
            <w:tcW w:w="5780" w:type="dxa"/>
            <w:tcBorders>
              <w:top w:val="single" w:color="000000" w:sz="12" w:space="0"/>
            </w:tcBorders>
            <w:vAlign w:val="center"/>
          </w:tcPr>
          <w:p>
            <w:pPr>
              <w:spacing w:line="360" w:lineRule="auto"/>
              <w:rPr>
                <w:rFonts w:ascii="宋体" w:hAnsi="宋体"/>
                <w:sz w:val="24"/>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50" w:hRule="atLeast"/>
          <w:jc w:val="center"/>
        </w:trPr>
        <w:tc>
          <w:tcPr>
            <w:tcW w:w="2342" w:type="dxa"/>
            <w:vAlign w:val="center"/>
          </w:tcPr>
          <w:p>
            <w:pPr>
              <w:spacing w:line="360" w:lineRule="auto"/>
              <w:jc w:val="center"/>
              <w:rPr>
                <w:rFonts w:ascii="宋体" w:hAnsi="宋体"/>
                <w:sz w:val="24"/>
              </w:rPr>
            </w:pPr>
            <w:r>
              <w:rPr>
                <w:rFonts w:hint="eastAsia" w:ascii="宋体" w:hAnsi="宋体"/>
                <w:sz w:val="24"/>
              </w:rPr>
              <w:t>服务期限</w:t>
            </w:r>
          </w:p>
        </w:tc>
        <w:tc>
          <w:tcPr>
            <w:tcW w:w="5780" w:type="dxa"/>
            <w:vAlign w:val="center"/>
          </w:tcPr>
          <w:p>
            <w:pPr>
              <w:spacing w:line="360" w:lineRule="auto"/>
              <w:rPr>
                <w:rFonts w:ascii="宋体" w:hAnsi="宋体"/>
                <w:sz w:val="24"/>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1552" w:hRule="atLeast"/>
          <w:jc w:val="center"/>
        </w:trPr>
        <w:tc>
          <w:tcPr>
            <w:tcW w:w="2342" w:type="dxa"/>
            <w:tcBorders>
              <w:bottom w:val="single" w:color="000000" w:sz="12" w:space="0"/>
            </w:tcBorders>
            <w:vAlign w:val="center"/>
          </w:tcPr>
          <w:p>
            <w:pPr>
              <w:spacing w:line="360" w:lineRule="auto"/>
              <w:jc w:val="center"/>
              <w:rPr>
                <w:rFonts w:hint="eastAsia" w:ascii="宋体" w:hAnsi="宋体"/>
                <w:sz w:val="24"/>
              </w:rPr>
            </w:pPr>
            <w:r>
              <w:rPr>
                <w:rFonts w:hint="eastAsia" w:ascii="宋体" w:hAnsi="宋体"/>
                <w:sz w:val="24"/>
              </w:rPr>
              <w:t>投标价格</w:t>
            </w:r>
          </w:p>
        </w:tc>
        <w:tc>
          <w:tcPr>
            <w:tcW w:w="5780" w:type="dxa"/>
            <w:tcBorders>
              <w:bottom w:val="single" w:color="000000" w:sz="12" w:space="0"/>
            </w:tcBorders>
            <w:vAlign w:val="center"/>
          </w:tcPr>
          <w:p>
            <w:pPr>
              <w:spacing w:line="360" w:lineRule="auto"/>
              <w:rPr>
                <w:rFonts w:hint="eastAsia" w:ascii="宋体" w:hAnsi="宋体"/>
                <w:sz w:val="24"/>
              </w:rPr>
            </w:pPr>
            <w:r>
              <w:rPr>
                <w:rFonts w:ascii="宋体" w:hAnsi="宋体"/>
                <w:sz w:val="24"/>
              </w:rPr>
              <w:t>小写：</w:t>
            </w:r>
            <w:r>
              <w:rPr>
                <w:rFonts w:ascii="宋体" w:hAnsi="宋体"/>
                <w:sz w:val="24"/>
                <w:u w:val="single"/>
              </w:rPr>
              <w:t xml:space="preserve">              </w:t>
            </w:r>
            <w:r>
              <w:rPr>
                <w:rFonts w:hint="eastAsia" w:ascii="宋体" w:hAnsi="宋体"/>
                <w:sz w:val="24"/>
                <w:u w:val="single"/>
              </w:rPr>
              <w:t>元/年</w:t>
            </w:r>
          </w:p>
          <w:p>
            <w:pPr>
              <w:spacing w:line="360" w:lineRule="auto"/>
              <w:rPr>
                <w:rFonts w:hint="eastAsia" w:ascii="宋体" w:hAnsi="宋体"/>
                <w:sz w:val="24"/>
              </w:rPr>
            </w:pPr>
            <w:r>
              <w:rPr>
                <w:rFonts w:ascii="宋体" w:hAnsi="宋体"/>
                <w:sz w:val="24"/>
              </w:rPr>
              <w:t>大写：</w:t>
            </w:r>
            <w:r>
              <w:rPr>
                <w:rFonts w:ascii="宋体" w:hAnsi="宋体"/>
                <w:sz w:val="24"/>
                <w:u w:val="single"/>
              </w:rPr>
              <w:t xml:space="preserve">                   </w:t>
            </w:r>
          </w:p>
        </w:tc>
      </w:tr>
    </w:tbl>
    <w:p>
      <w:pPr>
        <w:widowControl/>
        <w:spacing w:line="360" w:lineRule="atLeast"/>
        <w:jc w:val="left"/>
        <w:rPr>
          <w:rFonts w:hint="eastAsia" w:ascii="宋体" w:hAnsi="宋体"/>
          <w:sz w:val="24"/>
        </w:rPr>
      </w:pPr>
    </w:p>
    <w:p>
      <w:pPr>
        <w:widowControl/>
        <w:spacing w:line="360" w:lineRule="atLeast"/>
        <w:ind w:firstLine="470" w:firstLineChars="196"/>
        <w:jc w:val="left"/>
        <w:rPr>
          <w:rFonts w:hint="eastAsia" w:ascii="宋体" w:hAnsi="宋体"/>
          <w:sz w:val="24"/>
        </w:rPr>
      </w:pPr>
      <w:bookmarkStart w:id="186" w:name="_Toc503862887"/>
      <w:r>
        <w:rPr>
          <w:rFonts w:hint="eastAsia" w:ascii="宋体" w:hAnsi="宋体"/>
          <w:sz w:val="24"/>
        </w:rPr>
        <w:t>注：1.</w:t>
      </w:r>
      <w:bookmarkEnd w:id="186"/>
      <w:r>
        <w:rPr>
          <w:rFonts w:hint="eastAsia" w:ascii="宋体" w:hAnsi="宋体"/>
          <w:sz w:val="24"/>
        </w:rPr>
        <w:t>所有报价均用人民币表示，所报价格是履行合同的固定价格。报价应为是投标人响应采购项目要求的全部工作内容的价格体现，包括但不限于人工劳务、差旅、设备投入、取证、固证、管理、利润、税金、风险、招标代理服务费等完成本项目所需的一切费用。</w:t>
      </w:r>
    </w:p>
    <w:p>
      <w:pPr>
        <w:widowControl/>
        <w:spacing w:line="360" w:lineRule="atLeast"/>
        <w:ind w:firstLine="470" w:firstLineChars="196"/>
        <w:jc w:val="left"/>
        <w:rPr>
          <w:rFonts w:hint="eastAsia" w:ascii="宋体" w:hAnsi="宋体"/>
          <w:sz w:val="24"/>
        </w:rPr>
      </w:pPr>
      <w:bookmarkStart w:id="187" w:name="_Toc503862888"/>
      <w:r>
        <w:rPr>
          <w:rFonts w:hint="eastAsia" w:ascii="宋体" w:hAnsi="宋体"/>
          <w:sz w:val="24"/>
        </w:rPr>
        <w:t>2.“开标一览表”为多页的，每页均需由法定代表人/单位负责人或授权代表签字并盖投标人印章。</w:t>
      </w:r>
      <w:bookmarkEnd w:id="187"/>
    </w:p>
    <w:p>
      <w:pPr>
        <w:spacing w:line="400" w:lineRule="exact"/>
        <w:ind w:firstLine="480" w:firstLineChars="200"/>
        <w:rPr>
          <w:rFonts w:hint="eastAsia" w:ascii="宋体" w:hAnsi="宋体"/>
          <w:sz w:val="24"/>
        </w:rPr>
      </w:pPr>
      <w:r>
        <w:rPr>
          <w:rFonts w:hint="eastAsia" w:ascii="宋体" w:hAnsi="宋体"/>
          <w:sz w:val="24"/>
        </w:rPr>
        <w:t>3、“开标一览表”以包为单位填写。</w:t>
      </w:r>
    </w:p>
    <w:p>
      <w:pPr>
        <w:pStyle w:val="11"/>
        <w:rPr>
          <w:rFonts w:hint="eastAsia"/>
        </w:rPr>
      </w:pPr>
    </w:p>
    <w:p>
      <w:pPr>
        <w:widowControl/>
        <w:adjustRightInd w:val="0"/>
        <w:snapToGrid w:val="0"/>
        <w:spacing w:line="360" w:lineRule="auto"/>
        <w:ind w:firstLine="472" w:firstLineChars="196"/>
        <w:jc w:val="left"/>
        <w:rPr>
          <w:rFonts w:hint="eastAsia" w:ascii="宋体" w:hAnsi="宋体"/>
          <w:b/>
          <w:bCs/>
          <w:sz w:val="24"/>
        </w:rPr>
      </w:pPr>
      <w:r>
        <w:rPr>
          <w:rFonts w:hint="eastAsia" w:ascii="宋体" w:hAnsi="宋体"/>
          <w:b/>
          <w:bCs/>
          <w:sz w:val="24"/>
        </w:rPr>
        <w:t>投标人名称：XXXX（单位盖章）。</w:t>
      </w:r>
    </w:p>
    <w:p>
      <w:pPr>
        <w:widowControl/>
        <w:adjustRightInd w:val="0"/>
        <w:snapToGrid w:val="0"/>
        <w:spacing w:line="360" w:lineRule="auto"/>
        <w:ind w:firstLine="472" w:firstLineChars="196"/>
        <w:jc w:val="left"/>
        <w:rPr>
          <w:rFonts w:hint="eastAsia" w:ascii="宋体" w:hAnsi="宋体"/>
          <w:b/>
          <w:bCs/>
          <w:sz w:val="24"/>
        </w:rPr>
      </w:pPr>
      <w:r>
        <w:rPr>
          <w:rFonts w:hint="eastAsia" w:ascii="宋体" w:hAnsi="宋体"/>
          <w:b/>
          <w:bCs/>
          <w:sz w:val="24"/>
        </w:rPr>
        <w:t>法定代表人/单位负责人或授权代表（签字或加盖个人名章）：XXXX。</w:t>
      </w:r>
    </w:p>
    <w:p>
      <w:pPr>
        <w:widowControl/>
        <w:adjustRightInd w:val="0"/>
        <w:snapToGrid w:val="0"/>
        <w:spacing w:line="360" w:lineRule="auto"/>
        <w:ind w:firstLine="472" w:firstLineChars="196"/>
        <w:jc w:val="left"/>
        <w:rPr>
          <w:rFonts w:hint="eastAsia" w:ascii="宋体" w:hAnsi="宋体"/>
          <w:b/>
          <w:bCs/>
          <w:sz w:val="24"/>
        </w:rPr>
      </w:pPr>
      <w:r>
        <w:rPr>
          <w:rFonts w:hint="eastAsia" w:ascii="宋体" w:hAnsi="宋体"/>
          <w:b/>
          <w:bCs/>
          <w:sz w:val="24"/>
        </w:rPr>
        <w:t>投标日期: XXXX。</w:t>
      </w:r>
    </w:p>
    <w:p>
      <w:pPr>
        <w:rPr>
          <w:rFonts w:hint="eastAsia" w:ascii="宋体" w:hAnsi="宋体"/>
          <w:b/>
          <w:sz w:val="32"/>
          <w:szCs w:val="32"/>
        </w:rPr>
      </w:pPr>
      <w:r>
        <w:rPr>
          <w:rFonts w:hint="eastAsia" w:ascii="宋体" w:hAnsi="宋体"/>
          <w:b/>
          <w:bCs/>
          <w:sz w:val="24"/>
        </w:rPr>
        <w:br w:type="page"/>
      </w:r>
      <w:r>
        <w:rPr>
          <w:rFonts w:hint="eastAsia" w:ascii="宋体" w:hAnsi="宋体"/>
          <w:b/>
          <w:sz w:val="32"/>
          <w:szCs w:val="32"/>
        </w:rPr>
        <w:t>格式2-5</w:t>
      </w:r>
    </w:p>
    <w:p>
      <w:pPr>
        <w:jc w:val="center"/>
        <w:outlineLvl w:val="2"/>
        <w:rPr>
          <w:rFonts w:hint="eastAsia" w:hAnsi="宋体"/>
          <w:b/>
          <w:sz w:val="32"/>
          <w:szCs w:val="32"/>
        </w:rPr>
      </w:pPr>
      <w:bookmarkStart w:id="188" w:name="_Toc503862910"/>
      <w:r>
        <w:rPr>
          <w:rFonts w:hint="eastAsia" w:hAnsi="宋体"/>
          <w:b/>
          <w:sz w:val="32"/>
          <w:szCs w:val="32"/>
        </w:rPr>
        <w:t>四、分项报价明细表</w:t>
      </w:r>
    </w:p>
    <w:p>
      <w:pPr>
        <w:widowControl/>
        <w:spacing w:line="360" w:lineRule="atLeast"/>
        <w:jc w:val="left"/>
        <w:rPr>
          <w:rFonts w:ascii="宋体" w:hAnsi="Calibri"/>
          <w:sz w:val="24"/>
        </w:rPr>
      </w:pPr>
      <w:r>
        <w:rPr>
          <w:rFonts w:hint="eastAsia" w:ascii="宋体" w:hAnsi="Calibri"/>
          <w:sz w:val="24"/>
        </w:rPr>
        <w:t xml:space="preserve"> </w:t>
      </w:r>
    </w:p>
    <w:tbl>
      <w:tblPr>
        <w:tblStyle w:val="23"/>
        <w:tblW w:w="944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0"/>
        <w:gridCol w:w="2368"/>
        <w:gridCol w:w="770"/>
        <w:gridCol w:w="1387"/>
        <w:gridCol w:w="1273"/>
        <w:gridCol w:w="1619"/>
        <w:gridCol w:w="12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770" w:type="dxa"/>
            <w:vAlign w:val="center"/>
          </w:tcPr>
          <w:p>
            <w:pPr>
              <w:jc w:val="center"/>
              <w:rPr>
                <w:rFonts w:hint="eastAsia" w:ascii="宋体" w:hAnsi="宋体" w:cs="宋体"/>
                <w:sz w:val="24"/>
                <w:szCs w:val="32"/>
              </w:rPr>
            </w:pPr>
            <w:r>
              <w:rPr>
                <w:rFonts w:hint="eastAsia" w:ascii="宋体" w:hAnsi="宋体" w:cs="宋体"/>
                <w:sz w:val="24"/>
                <w:szCs w:val="32"/>
              </w:rPr>
              <w:t>序号</w:t>
            </w:r>
          </w:p>
        </w:tc>
        <w:tc>
          <w:tcPr>
            <w:tcW w:w="2368" w:type="dxa"/>
            <w:vAlign w:val="center"/>
          </w:tcPr>
          <w:p>
            <w:pPr>
              <w:jc w:val="center"/>
              <w:rPr>
                <w:rFonts w:hint="eastAsia" w:ascii="宋体" w:hAnsi="宋体" w:cs="宋体"/>
                <w:sz w:val="24"/>
                <w:szCs w:val="32"/>
              </w:rPr>
            </w:pPr>
            <w:r>
              <w:rPr>
                <w:rFonts w:hint="eastAsia" w:ascii="宋体" w:hAnsi="宋体" w:cs="宋体"/>
                <w:sz w:val="24"/>
                <w:szCs w:val="32"/>
              </w:rPr>
              <w:t>服务内容</w:t>
            </w:r>
          </w:p>
        </w:tc>
        <w:tc>
          <w:tcPr>
            <w:tcW w:w="770" w:type="dxa"/>
            <w:vAlign w:val="center"/>
          </w:tcPr>
          <w:p>
            <w:pPr>
              <w:jc w:val="center"/>
              <w:rPr>
                <w:rFonts w:hint="eastAsia" w:ascii="宋体" w:hAnsi="宋体" w:cs="宋体"/>
                <w:sz w:val="24"/>
                <w:szCs w:val="32"/>
              </w:rPr>
            </w:pPr>
            <w:r>
              <w:rPr>
                <w:rFonts w:hint="eastAsia" w:ascii="宋体" w:hAnsi="宋体" w:cs="宋体"/>
                <w:sz w:val="24"/>
                <w:szCs w:val="32"/>
              </w:rPr>
              <w:t>单位</w:t>
            </w:r>
          </w:p>
        </w:tc>
        <w:tc>
          <w:tcPr>
            <w:tcW w:w="1387" w:type="dxa"/>
            <w:vAlign w:val="center"/>
          </w:tcPr>
          <w:p>
            <w:pPr>
              <w:jc w:val="center"/>
              <w:rPr>
                <w:rFonts w:hint="eastAsia" w:ascii="宋体" w:hAnsi="宋体" w:cs="宋体"/>
                <w:sz w:val="24"/>
                <w:szCs w:val="32"/>
              </w:rPr>
            </w:pPr>
            <w:r>
              <w:rPr>
                <w:rFonts w:hint="eastAsia" w:ascii="宋体" w:hAnsi="宋体" w:cs="宋体"/>
                <w:sz w:val="24"/>
                <w:szCs w:val="32"/>
              </w:rPr>
              <w:t>数量</w:t>
            </w:r>
          </w:p>
        </w:tc>
        <w:tc>
          <w:tcPr>
            <w:tcW w:w="1273" w:type="dxa"/>
            <w:vAlign w:val="center"/>
          </w:tcPr>
          <w:p>
            <w:pPr>
              <w:jc w:val="center"/>
              <w:rPr>
                <w:rFonts w:hint="eastAsia" w:ascii="宋体" w:hAnsi="宋体" w:cs="宋体"/>
                <w:sz w:val="24"/>
                <w:szCs w:val="32"/>
              </w:rPr>
            </w:pPr>
            <w:r>
              <w:rPr>
                <w:rFonts w:hint="eastAsia" w:ascii="宋体" w:hAnsi="宋体" w:cs="宋体"/>
                <w:sz w:val="24"/>
                <w:szCs w:val="32"/>
              </w:rPr>
              <w:t>综合单价</w:t>
            </w:r>
          </w:p>
        </w:tc>
        <w:tc>
          <w:tcPr>
            <w:tcW w:w="1619" w:type="dxa"/>
            <w:vAlign w:val="center"/>
          </w:tcPr>
          <w:p>
            <w:pPr>
              <w:jc w:val="center"/>
              <w:rPr>
                <w:rFonts w:hint="eastAsia" w:ascii="宋体" w:hAnsi="宋体" w:cs="宋体"/>
                <w:sz w:val="24"/>
                <w:szCs w:val="32"/>
              </w:rPr>
            </w:pPr>
            <w:r>
              <w:rPr>
                <w:rFonts w:hint="eastAsia" w:ascii="宋体" w:hAnsi="宋体" w:cs="宋体"/>
                <w:sz w:val="24"/>
                <w:szCs w:val="32"/>
              </w:rPr>
              <w:t>总价（元/年）</w:t>
            </w:r>
          </w:p>
        </w:tc>
        <w:tc>
          <w:tcPr>
            <w:tcW w:w="1258" w:type="dxa"/>
            <w:vAlign w:val="center"/>
          </w:tcPr>
          <w:p>
            <w:pPr>
              <w:jc w:val="center"/>
              <w:rPr>
                <w:rFonts w:hint="eastAsia" w:ascii="宋体" w:hAnsi="宋体" w:cs="宋体"/>
                <w:sz w:val="24"/>
                <w:szCs w:val="32"/>
              </w:rPr>
            </w:pPr>
            <w:r>
              <w:rPr>
                <w:rFonts w:hint="eastAsia" w:ascii="宋体" w:hAnsi="宋体" w:cs="宋体"/>
                <w:sz w:val="24"/>
                <w:szCs w:val="3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770" w:type="dxa"/>
            <w:vAlign w:val="center"/>
          </w:tcPr>
          <w:p>
            <w:pPr>
              <w:jc w:val="center"/>
              <w:rPr>
                <w:rFonts w:hint="eastAsia" w:ascii="宋体" w:hAnsi="宋体" w:cs="宋体"/>
                <w:sz w:val="24"/>
                <w:szCs w:val="32"/>
              </w:rPr>
            </w:pPr>
            <w:r>
              <w:rPr>
                <w:rFonts w:hint="eastAsia" w:ascii="宋体" w:hAnsi="宋体" w:cs="宋体"/>
                <w:sz w:val="24"/>
                <w:szCs w:val="32"/>
              </w:rPr>
              <w:t>1</w:t>
            </w:r>
          </w:p>
        </w:tc>
        <w:tc>
          <w:tcPr>
            <w:tcW w:w="2368" w:type="dxa"/>
            <w:vAlign w:val="center"/>
          </w:tcPr>
          <w:p>
            <w:pPr>
              <w:jc w:val="center"/>
              <w:rPr>
                <w:rFonts w:ascii="宋体" w:hAnsi="宋体" w:cs="宋体"/>
                <w:sz w:val="24"/>
                <w:szCs w:val="32"/>
              </w:rPr>
            </w:pPr>
            <w:r>
              <w:rPr>
                <w:rFonts w:hint="eastAsia" w:ascii="宋体" w:hAnsi="宋体" w:cs="宋体"/>
                <w:sz w:val="24"/>
                <w:szCs w:val="32"/>
              </w:rPr>
              <w:t>公厕管理</w:t>
            </w:r>
          </w:p>
        </w:tc>
        <w:tc>
          <w:tcPr>
            <w:tcW w:w="770" w:type="dxa"/>
            <w:vAlign w:val="center"/>
          </w:tcPr>
          <w:p>
            <w:pPr>
              <w:jc w:val="center"/>
              <w:rPr>
                <w:rFonts w:hint="eastAsia" w:ascii="宋体" w:hAnsi="宋体" w:cs="宋体"/>
                <w:sz w:val="24"/>
                <w:szCs w:val="32"/>
              </w:rPr>
            </w:pPr>
          </w:p>
        </w:tc>
        <w:tc>
          <w:tcPr>
            <w:tcW w:w="1387" w:type="dxa"/>
            <w:vAlign w:val="center"/>
          </w:tcPr>
          <w:p>
            <w:pPr>
              <w:jc w:val="center"/>
              <w:rPr>
                <w:rFonts w:hint="eastAsia" w:ascii="宋体" w:hAnsi="宋体" w:cs="宋体"/>
                <w:sz w:val="24"/>
                <w:szCs w:val="32"/>
              </w:rPr>
            </w:pPr>
          </w:p>
        </w:tc>
        <w:tc>
          <w:tcPr>
            <w:tcW w:w="1273" w:type="dxa"/>
            <w:vAlign w:val="center"/>
          </w:tcPr>
          <w:p>
            <w:pPr>
              <w:jc w:val="center"/>
              <w:rPr>
                <w:rFonts w:hint="eastAsia" w:ascii="宋体" w:hAnsi="宋体" w:cs="宋体"/>
                <w:sz w:val="24"/>
                <w:szCs w:val="32"/>
              </w:rPr>
            </w:pPr>
          </w:p>
        </w:tc>
        <w:tc>
          <w:tcPr>
            <w:tcW w:w="1619" w:type="dxa"/>
            <w:vAlign w:val="center"/>
          </w:tcPr>
          <w:p>
            <w:pPr>
              <w:jc w:val="center"/>
              <w:rPr>
                <w:rFonts w:hint="eastAsia" w:ascii="宋体" w:hAnsi="宋体" w:cs="宋体"/>
                <w:sz w:val="24"/>
                <w:szCs w:val="32"/>
              </w:rPr>
            </w:pPr>
          </w:p>
        </w:tc>
        <w:tc>
          <w:tcPr>
            <w:tcW w:w="1258" w:type="dxa"/>
            <w:vAlign w:val="center"/>
          </w:tcPr>
          <w:p>
            <w:pPr>
              <w:jc w:val="center"/>
              <w:rPr>
                <w:rFonts w:hint="eastAsia" w:ascii="宋体" w:hAnsi="宋体" w:cs="宋体"/>
                <w:sz w:val="24"/>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770" w:type="dxa"/>
            <w:vAlign w:val="center"/>
          </w:tcPr>
          <w:p>
            <w:pPr>
              <w:jc w:val="center"/>
              <w:rPr>
                <w:rFonts w:hint="eastAsia" w:ascii="宋体" w:hAnsi="宋体" w:cs="宋体"/>
                <w:sz w:val="24"/>
                <w:szCs w:val="32"/>
              </w:rPr>
            </w:pPr>
            <w:r>
              <w:rPr>
                <w:rFonts w:hint="eastAsia" w:ascii="宋体" w:hAnsi="宋体" w:cs="宋体"/>
                <w:sz w:val="24"/>
                <w:szCs w:val="32"/>
              </w:rPr>
              <w:t>2</w:t>
            </w:r>
          </w:p>
        </w:tc>
        <w:tc>
          <w:tcPr>
            <w:tcW w:w="2368" w:type="dxa"/>
            <w:vAlign w:val="center"/>
          </w:tcPr>
          <w:p>
            <w:pPr>
              <w:jc w:val="center"/>
              <w:rPr>
                <w:rFonts w:ascii="宋体" w:hAnsi="宋体" w:cs="宋体"/>
                <w:sz w:val="24"/>
                <w:szCs w:val="32"/>
              </w:rPr>
            </w:pPr>
            <w:r>
              <w:rPr>
                <w:rFonts w:hint="eastAsia" w:ascii="宋体" w:hAnsi="宋体" w:cs="宋体"/>
                <w:sz w:val="24"/>
                <w:szCs w:val="32"/>
              </w:rPr>
              <w:t>清扫保洁</w:t>
            </w:r>
          </w:p>
        </w:tc>
        <w:tc>
          <w:tcPr>
            <w:tcW w:w="770" w:type="dxa"/>
            <w:vAlign w:val="center"/>
          </w:tcPr>
          <w:p>
            <w:pPr>
              <w:jc w:val="center"/>
              <w:rPr>
                <w:rFonts w:hint="eastAsia" w:ascii="宋体" w:hAnsi="宋体" w:cs="宋体"/>
                <w:sz w:val="24"/>
                <w:szCs w:val="32"/>
              </w:rPr>
            </w:pPr>
          </w:p>
        </w:tc>
        <w:tc>
          <w:tcPr>
            <w:tcW w:w="1387" w:type="dxa"/>
            <w:vAlign w:val="center"/>
          </w:tcPr>
          <w:p>
            <w:pPr>
              <w:jc w:val="center"/>
              <w:rPr>
                <w:rFonts w:hint="eastAsia" w:ascii="宋体" w:hAnsi="宋体" w:cs="宋体"/>
                <w:sz w:val="24"/>
                <w:szCs w:val="32"/>
              </w:rPr>
            </w:pPr>
          </w:p>
        </w:tc>
        <w:tc>
          <w:tcPr>
            <w:tcW w:w="1273" w:type="dxa"/>
            <w:vAlign w:val="center"/>
          </w:tcPr>
          <w:p>
            <w:pPr>
              <w:jc w:val="center"/>
              <w:rPr>
                <w:rFonts w:hint="eastAsia" w:ascii="宋体" w:hAnsi="宋体" w:cs="宋体"/>
                <w:sz w:val="24"/>
                <w:szCs w:val="32"/>
              </w:rPr>
            </w:pPr>
          </w:p>
        </w:tc>
        <w:tc>
          <w:tcPr>
            <w:tcW w:w="1619" w:type="dxa"/>
            <w:vAlign w:val="center"/>
          </w:tcPr>
          <w:p>
            <w:pPr>
              <w:jc w:val="center"/>
              <w:rPr>
                <w:rFonts w:hint="eastAsia" w:ascii="宋体" w:hAnsi="宋体" w:cs="宋体"/>
                <w:sz w:val="24"/>
                <w:szCs w:val="32"/>
              </w:rPr>
            </w:pPr>
          </w:p>
        </w:tc>
        <w:tc>
          <w:tcPr>
            <w:tcW w:w="1258" w:type="dxa"/>
            <w:vAlign w:val="center"/>
          </w:tcPr>
          <w:p>
            <w:pPr>
              <w:jc w:val="center"/>
              <w:rPr>
                <w:rFonts w:hint="eastAsia" w:ascii="宋体" w:hAnsi="宋体" w:cs="宋体"/>
                <w:sz w:val="24"/>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770" w:type="dxa"/>
            <w:vAlign w:val="center"/>
          </w:tcPr>
          <w:p>
            <w:pPr>
              <w:jc w:val="center"/>
              <w:rPr>
                <w:rFonts w:hint="eastAsia" w:ascii="宋体" w:hAnsi="宋体" w:cs="宋体"/>
                <w:sz w:val="24"/>
                <w:szCs w:val="32"/>
              </w:rPr>
            </w:pPr>
            <w:r>
              <w:rPr>
                <w:rFonts w:hint="eastAsia" w:ascii="宋体" w:hAnsi="宋体" w:cs="宋体"/>
                <w:sz w:val="24"/>
                <w:szCs w:val="32"/>
              </w:rPr>
              <w:t>3</w:t>
            </w:r>
          </w:p>
        </w:tc>
        <w:tc>
          <w:tcPr>
            <w:tcW w:w="2368" w:type="dxa"/>
            <w:vAlign w:val="center"/>
          </w:tcPr>
          <w:p>
            <w:pPr>
              <w:jc w:val="center"/>
              <w:rPr>
                <w:rFonts w:ascii="宋体" w:hAnsi="宋体" w:cs="宋体"/>
                <w:sz w:val="24"/>
                <w:szCs w:val="32"/>
              </w:rPr>
            </w:pPr>
            <w:r>
              <w:rPr>
                <w:rFonts w:hint="eastAsia" w:ascii="宋体" w:hAnsi="宋体" w:cs="宋体"/>
                <w:sz w:val="24"/>
                <w:szCs w:val="32"/>
              </w:rPr>
              <w:t>垃圾收运</w:t>
            </w:r>
          </w:p>
        </w:tc>
        <w:tc>
          <w:tcPr>
            <w:tcW w:w="770" w:type="dxa"/>
            <w:vAlign w:val="center"/>
          </w:tcPr>
          <w:p>
            <w:pPr>
              <w:jc w:val="center"/>
              <w:rPr>
                <w:rFonts w:hint="eastAsia" w:ascii="宋体" w:hAnsi="宋体" w:cs="宋体"/>
                <w:sz w:val="24"/>
                <w:szCs w:val="32"/>
              </w:rPr>
            </w:pPr>
          </w:p>
        </w:tc>
        <w:tc>
          <w:tcPr>
            <w:tcW w:w="1387" w:type="dxa"/>
            <w:vAlign w:val="center"/>
          </w:tcPr>
          <w:p>
            <w:pPr>
              <w:jc w:val="center"/>
              <w:rPr>
                <w:rFonts w:hint="eastAsia" w:ascii="宋体" w:hAnsi="宋体" w:cs="宋体"/>
                <w:sz w:val="24"/>
                <w:szCs w:val="32"/>
              </w:rPr>
            </w:pPr>
          </w:p>
        </w:tc>
        <w:tc>
          <w:tcPr>
            <w:tcW w:w="1273" w:type="dxa"/>
            <w:vAlign w:val="center"/>
          </w:tcPr>
          <w:p>
            <w:pPr>
              <w:jc w:val="center"/>
              <w:rPr>
                <w:rFonts w:hint="eastAsia" w:ascii="宋体" w:hAnsi="宋体" w:cs="宋体"/>
                <w:sz w:val="24"/>
                <w:szCs w:val="32"/>
              </w:rPr>
            </w:pPr>
          </w:p>
        </w:tc>
        <w:tc>
          <w:tcPr>
            <w:tcW w:w="1619" w:type="dxa"/>
            <w:vAlign w:val="center"/>
          </w:tcPr>
          <w:p>
            <w:pPr>
              <w:jc w:val="center"/>
              <w:rPr>
                <w:rFonts w:hint="eastAsia" w:ascii="宋体" w:hAnsi="宋体" w:cs="宋体"/>
                <w:sz w:val="24"/>
                <w:szCs w:val="32"/>
              </w:rPr>
            </w:pPr>
          </w:p>
        </w:tc>
        <w:tc>
          <w:tcPr>
            <w:tcW w:w="1258" w:type="dxa"/>
            <w:vAlign w:val="center"/>
          </w:tcPr>
          <w:p>
            <w:pPr>
              <w:jc w:val="center"/>
              <w:rPr>
                <w:rFonts w:hint="eastAsia" w:ascii="宋体" w:hAnsi="宋体" w:cs="宋体"/>
                <w:sz w:val="24"/>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770" w:type="dxa"/>
            <w:vAlign w:val="center"/>
          </w:tcPr>
          <w:p>
            <w:pPr>
              <w:jc w:val="center"/>
              <w:rPr>
                <w:rFonts w:hint="eastAsia" w:ascii="宋体" w:hAnsi="宋体" w:cs="宋体"/>
                <w:sz w:val="24"/>
                <w:szCs w:val="32"/>
              </w:rPr>
            </w:pPr>
            <w:r>
              <w:rPr>
                <w:rFonts w:hint="eastAsia" w:ascii="宋体" w:hAnsi="宋体" w:cs="宋体"/>
                <w:sz w:val="24"/>
                <w:szCs w:val="32"/>
              </w:rPr>
              <w:t>4</w:t>
            </w:r>
          </w:p>
        </w:tc>
        <w:tc>
          <w:tcPr>
            <w:tcW w:w="2368" w:type="dxa"/>
            <w:vAlign w:val="center"/>
          </w:tcPr>
          <w:p>
            <w:pPr>
              <w:jc w:val="center"/>
              <w:rPr>
                <w:rFonts w:ascii="宋体" w:hAnsi="宋体" w:cs="宋体"/>
                <w:sz w:val="24"/>
                <w:szCs w:val="32"/>
              </w:rPr>
            </w:pPr>
            <w:r>
              <w:rPr>
                <w:rFonts w:hint="eastAsia" w:ascii="宋体" w:hAnsi="宋体" w:cs="宋体"/>
                <w:sz w:val="24"/>
                <w:szCs w:val="32"/>
              </w:rPr>
              <w:t>道路冲洗</w:t>
            </w:r>
          </w:p>
        </w:tc>
        <w:tc>
          <w:tcPr>
            <w:tcW w:w="770" w:type="dxa"/>
            <w:vAlign w:val="center"/>
          </w:tcPr>
          <w:p>
            <w:pPr>
              <w:jc w:val="center"/>
              <w:rPr>
                <w:rFonts w:hint="eastAsia" w:ascii="宋体" w:hAnsi="宋体" w:cs="宋体"/>
                <w:sz w:val="24"/>
                <w:szCs w:val="32"/>
              </w:rPr>
            </w:pPr>
          </w:p>
        </w:tc>
        <w:tc>
          <w:tcPr>
            <w:tcW w:w="1387" w:type="dxa"/>
            <w:vAlign w:val="center"/>
          </w:tcPr>
          <w:p>
            <w:pPr>
              <w:jc w:val="center"/>
              <w:rPr>
                <w:rFonts w:hint="eastAsia" w:ascii="宋体" w:hAnsi="宋体" w:cs="宋体"/>
                <w:sz w:val="24"/>
                <w:szCs w:val="32"/>
              </w:rPr>
            </w:pPr>
          </w:p>
        </w:tc>
        <w:tc>
          <w:tcPr>
            <w:tcW w:w="1273" w:type="dxa"/>
            <w:vAlign w:val="center"/>
          </w:tcPr>
          <w:p>
            <w:pPr>
              <w:jc w:val="center"/>
              <w:rPr>
                <w:rFonts w:hint="eastAsia" w:ascii="宋体" w:hAnsi="宋体" w:cs="宋体"/>
                <w:sz w:val="24"/>
                <w:szCs w:val="32"/>
              </w:rPr>
            </w:pPr>
          </w:p>
        </w:tc>
        <w:tc>
          <w:tcPr>
            <w:tcW w:w="1619" w:type="dxa"/>
            <w:vAlign w:val="center"/>
          </w:tcPr>
          <w:p>
            <w:pPr>
              <w:jc w:val="center"/>
              <w:rPr>
                <w:rFonts w:hint="eastAsia" w:ascii="宋体" w:hAnsi="宋体" w:cs="宋体"/>
                <w:sz w:val="24"/>
                <w:szCs w:val="32"/>
              </w:rPr>
            </w:pPr>
          </w:p>
        </w:tc>
        <w:tc>
          <w:tcPr>
            <w:tcW w:w="1258" w:type="dxa"/>
            <w:vAlign w:val="center"/>
          </w:tcPr>
          <w:p>
            <w:pPr>
              <w:jc w:val="center"/>
              <w:rPr>
                <w:rFonts w:hint="eastAsia" w:ascii="宋体" w:hAnsi="宋体" w:cs="宋体"/>
                <w:sz w:val="24"/>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770" w:type="dxa"/>
            <w:vAlign w:val="center"/>
          </w:tcPr>
          <w:p>
            <w:pPr>
              <w:jc w:val="center"/>
              <w:rPr>
                <w:rFonts w:hint="eastAsia" w:ascii="宋体" w:hAnsi="宋体" w:cs="宋体"/>
                <w:sz w:val="24"/>
                <w:szCs w:val="32"/>
              </w:rPr>
            </w:pPr>
            <w:r>
              <w:rPr>
                <w:rFonts w:hint="eastAsia" w:ascii="宋体" w:hAnsi="宋体" w:cs="宋体"/>
                <w:sz w:val="24"/>
                <w:szCs w:val="32"/>
              </w:rPr>
              <w:t>5</w:t>
            </w:r>
          </w:p>
        </w:tc>
        <w:tc>
          <w:tcPr>
            <w:tcW w:w="2368" w:type="dxa"/>
            <w:vAlign w:val="center"/>
          </w:tcPr>
          <w:p>
            <w:pPr>
              <w:jc w:val="center"/>
              <w:rPr>
                <w:rFonts w:ascii="宋体" w:hAnsi="宋体" w:cs="宋体"/>
                <w:sz w:val="24"/>
                <w:szCs w:val="32"/>
              </w:rPr>
            </w:pPr>
            <w:r>
              <w:rPr>
                <w:rFonts w:hint="eastAsia" w:ascii="宋体" w:hAnsi="宋体" w:cs="宋体"/>
                <w:sz w:val="24"/>
                <w:szCs w:val="32"/>
              </w:rPr>
              <w:t>水体保洁</w:t>
            </w:r>
          </w:p>
        </w:tc>
        <w:tc>
          <w:tcPr>
            <w:tcW w:w="770" w:type="dxa"/>
            <w:vAlign w:val="center"/>
          </w:tcPr>
          <w:p>
            <w:pPr>
              <w:jc w:val="center"/>
              <w:rPr>
                <w:rFonts w:hint="eastAsia" w:ascii="宋体" w:hAnsi="宋体" w:cs="宋体"/>
                <w:sz w:val="24"/>
                <w:szCs w:val="32"/>
              </w:rPr>
            </w:pPr>
          </w:p>
        </w:tc>
        <w:tc>
          <w:tcPr>
            <w:tcW w:w="1387" w:type="dxa"/>
            <w:vAlign w:val="center"/>
          </w:tcPr>
          <w:p>
            <w:pPr>
              <w:jc w:val="center"/>
              <w:rPr>
                <w:rFonts w:hint="eastAsia" w:ascii="宋体" w:hAnsi="宋体" w:cs="宋体"/>
                <w:sz w:val="24"/>
                <w:szCs w:val="32"/>
              </w:rPr>
            </w:pPr>
          </w:p>
        </w:tc>
        <w:tc>
          <w:tcPr>
            <w:tcW w:w="1273" w:type="dxa"/>
            <w:vAlign w:val="center"/>
          </w:tcPr>
          <w:p>
            <w:pPr>
              <w:jc w:val="center"/>
              <w:rPr>
                <w:rFonts w:hint="eastAsia" w:ascii="宋体" w:hAnsi="宋体" w:cs="宋体"/>
                <w:sz w:val="24"/>
                <w:szCs w:val="32"/>
              </w:rPr>
            </w:pPr>
          </w:p>
        </w:tc>
        <w:tc>
          <w:tcPr>
            <w:tcW w:w="1619" w:type="dxa"/>
            <w:vAlign w:val="center"/>
          </w:tcPr>
          <w:p>
            <w:pPr>
              <w:jc w:val="center"/>
              <w:rPr>
                <w:rFonts w:hint="eastAsia" w:ascii="宋体" w:hAnsi="宋体" w:cs="宋体"/>
                <w:sz w:val="24"/>
                <w:szCs w:val="32"/>
              </w:rPr>
            </w:pPr>
          </w:p>
        </w:tc>
        <w:tc>
          <w:tcPr>
            <w:tcW w:w="1258" w:type="dxa"/>
            <w:vAlign w:val="center"/>
          </w:tcPr>
          <w:p>
            <w:pPr>
              <w:jc w:val="center"/>
              <w:rPr>
                <w:rFonts w:hint="eastAsia" w:ascii="宋体" w:hAnsi="宋体" w:cs="宋体"/>
                <w:sz w:val="24"/>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9" w:hRule="atLeast"/>
          <w:jc w:val="center"/>
        </w:trPr>
        <w:tc>
          <w:tcPr>
            <w:tcW w:w="9445" w:type="dxa"/>
            <w:gridSpan w:val="7"/>
            <w:vAlign w:val="center"/>
          </w:tcPr>
          <w:p>
            <w:pPr>
              <w:spacing w:line="360" w:lineRule="auto"/>
              <w:rPr>
                <w:rFonts w:hint="eastAsia" w:ascii="宋体" w:hAnsi="宋体" w:cs="宋体"/>
                <w:sz w:val="24"/>
              </w:rPr>
            </w:pPr>
            <w:r>
              <w:rPr>
                <w:rFonts w:hint="eastAsia" w:ascii="宋体" w:hAnsi="宋体" w:cs="宋体"/>
                <w:sz w:val="24"/>
                <w:szCs w:val="32"/>
              </w:rPr>
              <w:t>总价合计：</w:t>
            </w:r>
            <w:r>
              <w:rPr>
                <w:rFonts w:hint="eastAsia" w:ascii="宋体" w:hAnsi="宋体" w:cs="宋体"/>
                <w:sz w:val="24"/>
              </w:rPr>
              <w:t>小写：</w:t>
            </w:r>
            <w:r>
              <w:rPr>
                <w:rFonts w:hint="eastAsia" w:ascii="宋体" w:hAnsi="宋体" w:cs="宋体"/>
                <w:sz w:val="24"/>
                <w:u w:val="single"/>
              </w:rPr>
              <w:t xml:space="preserve">              元/年</w:t>
            </w:r>
          </w:p>
          <w:p>
            <w:pPr>
              <w:ind w:firstLine="1200" w:firstLineChars="500"/>
              <w:jc w:val="left"/>
              <w:rPr>
                <w:rFonts w:hint="eastAsia" w:ascii="宋体" w:hAnsi="宋体" w:cs="宋体"/>
                <w:sz w:val="24"/>
                <w:szCs w:val="32"/>
              </w:rPr>
            </w:pPr>
            <w:r>
              <w:rPr>
                <w:rFonts w:hint="eastAsia" w:ascii="宋体" w:hAnsi="宋体" w:cs="宋体"/>
                <w:sz w:val="24"/>
              </w:rPr>
              <w:t>大写：</w:t>
            </w:r>
            <w:r>
              <w:rPr>
                <w:rFonts w:hint="eastAsia" w:ascii="宋体" w:hAnsi="宋体" w:cs="宋体"/>
                <w:sz w:val="24"/>
                <w:u w:val="single"/>
              </w:rPr>
              <w:t xml:space="preserve">                   </w:t>
            </w:r>
          </w:p>
        </w:tc>
      </w:tr>
    </w:tbl>
    <w:p>
      <w:pPr>
        <w:spacing w:line="360" w:lineRule="auto"/>
        <w:rPr>
          <w:rFonts w:hint="eastAsia" w:ascii="宋体" w:hAnsi="宋体" w:cs="宋体"/>
          <w:b/>
          <w:bCs/>
          <w:sz w:val="24"/>
        </w:rPr>
      </w:pPr>
    </w:p>
    <w:p>
      <w:pPr>
        <w:spacing w:line="360" w:lineRule="auto"/>
        <w:rPr>
          <w:rFonts w:hint="eastAsia" w:ascii="宋体" w:hAnsi="宋体" w:cs="宋体"/>
          <w:b/>
          <w:bCs/>
          <w:sz w:val="24"/>
        </w:rPr>
      </w:pPr>
    </w:p>
    <w:p>
      <w:pPr>
        <w:spacing w:line="360" w:lineRule="auto"/>
        <w:rPr>
          <w:rFonts w:hint="eastAsia" w:ascii="宋体" w:hAnsi="宋体" w:cs="宋体"/>
          <w:b/>
          <w:bCs/>
          <w:sz w:val="24"/>
        </w:rPr>
      </w:pPr>
    </w:p>
    <w:p>
      <w:pPr>
        <w:spacing w:line="360" w:lineRule="auto"/>
        <w:rPr>
          <w:rFonts w:hint="eastAsia" w:ascii="宋体" w:hAnsi="宋体" w:cs="宋体"/>
          <w:b/>
          <w:bCs/>
          <w:sz w:val="24"/>
        </w:rPr>
      </w:pPr>
    </w:p>
    <w:p>
      <w:pPr>
        <w:spacing w:line="360" w:lineRule="auto"/>
        <w:rPr>
          <w:rFonts w:hint="eastAsia" w:ascii="宋体" w:hAnsi="宋体" w:cs="宋体"/>
          <w:b/>
          <w:bCs/>
          <w:sz w:val="24"/>
        </w:rPr>
      </w:pPr>
    </w:p>
    <w:p>
      <w:pPr>
        <w:spacing w:line="360" w:lineRule="auto"/>
        <w:rPr>
          <w:rFonts w:ascii="宋体" w:hAnsi="宋体" w:cs="宋体"/>
          <w:b/>
          <w:bCs/>
          <w:sz w:val="24"/>
        </w:rPr>
      </w:pPr>
      <w:r>
        <w:rPr>
          <w:rFonts w:hint="eastAsia" w:ascii="宋体" w:hAnsi="宋体" w:cs="宋体"/>
          <w:b/>
          <w:bCs/>
          <w:sz w:val="24"/>
        </w:rPr>
        <w:t>注：1、“分项报价明细表”各分项报价合计应与“开标一览表”报价合计相等。</w:t>
      </w:r>
    </w:p>
    <w:p>
      <w:pPr>
        <w:spacing w:line="360" w:lineRule="auto"/>
        <w:rPr>
          <w:rFonts w:ascii="宋体" w:hAnsi="宋体" w:cs="宋体"/>
          <w:b/>
          <w:bCs/>
          <w:sz w:val="24"/>
        </w:rPr>
      </w:pPr>
      <w:r>
        <w:rPr>
          <w:rFonts w:hint="eastAsia"/>
        </w:rPr>
        <w:t xml:space="preserve">   </w:t>
      </w:r>
      <w:r>
        <w:rPr>
          <w:rFonts w:hint="eastAsia" w:ascii="宋体" w:hAnsi="宋体" w:cs="宋体"/>
          <w:b/>
          <w:bCs/>
          <w:sz w:val="24"/>
        </w:rPr>
        <w:t xml:space="preserve"> 2、投标人只须提供所投包件号对应的分项报价明细表；以上5项中，所投包件号未涉及的小项可不填写。</w:t>
      </w:r>
    </w:p>
    <w:p>
      <w:pPr>
        <w:widowControl/>
        <w:adjustRightInd w:val="0"/>
        <w:snapToGrid w:val="0"/>
        <w:spacing w:line="360" w:lineRule="auto"/>
        <w:ind w:firstLine="472" w:firstLineChars="196"/>
        <w:jc w:val="left"/>
        <w:rPr>
          <w:rFonts w:hint="eastAsia" w:ascii="宋体" w:hAnsi="宋体"/>
          <w:b/>
          <w:bCs/>
          <w:sz w:val="24"/>
        </w:rPr>
      </w:pPr>
      <w:r>
        <w:rPr>
          <w:rFonts w:hint="eastAsia" w:ascii="宋体" w:hAnsi="宋体"/>
          <w:b/>
          <w:bCs/>
          <w:sz w:val="24"/>
        </w:rPr>
        <w:t>投标人名称：XXXX（单位盖章）。</w:t>
      </w:r>
    </w:p>
    <w:p>
      <w:pPr>
        <w:widowControl/>
        <w:adjustRightInd w:val="0"/>
        <w:snapToGrid w:val="0"/>
        <w:spacing w:line="360" w:lineRule="auto"/>
        <w:ind w:firstLine="472" w:firstLineChars="196"/>
        <w:jc w:val="left"/>
        <w:rPr>
          <w:rFonts w:hint="eastAsia" w:ascii="宋体" w:hAnsi="宋体"/>
          <w:b/>
          <w:bCs/>
          <w:sz w:val="24"/>
        </w:rPr>
      </w:pPr>
      <w:r>
        <w:rPr>
          <w:rFonts w:hint="eastAsia" w:ascii="宋体" w:hAnsi="宋体"/>
          <w:b/>
          <w:bCs/>
          <w:sz w:val="24"/>
        </w:rPr>
        <w:t>法定代表人/单位负责人或授权代表（签字或加盖个人名章）：XXXX。</w:t>
      </w:r>
    </w:p>
    <w:p>
      <w:pPr>
        <w:widowControl/>
        <w:adjustRightInd w:val="0"/>
        <w:snapToGrid w:val="0"/>
        <w:spacing w:line="360" w:lineRule="auto"/>
        <w:ind w:firstLine="472" w:firstLineChars="196"/>
        <w:jc w:val="left"/>
        <w:rPr>
          <w:rFonts w:hint="eastAsia" w:ascii="宋体"/>
          <w:b/>
          <w:bCs/>
          <w:sz w:val="24"/>
        </w:rPr>
      </w:pPr>
      <w:r>
        <w:rPr>
          <w:rFonts w:hint="eastAsia" w:ascii="宋体"/>
          <w:b/>
          <w:bCs/>
          <w:sz w:val="24"/>
        </w:rPr>
        <w:t>包件号：</w:t>
      </w:r>
    </w:p>
    <w:p>
      <w:pPr>
        <w:widowControl/>
        <w:adjustRightInd w:val="0"/>
        <w:snapToGrid w:val="0"/>
        <w:spacing w:line="360" w:lineRule="auto"/>
        <w:ind w:firstLine="472" w:firstLineChars="196"/>
        <w:jc w:val="left"/>
        <w:rPr>
          <w:rFonts w:hint="eastAsia" w:ascii="宋体" w:hAnsi="宋体"/>
          <w:b/>
          <w:bCs/>
          <w:sz w:val="24"/>
        </w:rPr>
      </w:pPr>
      <w:r>
        <w:rPr>
          <w:rFonts w:hint="eastAsia" w:ascii="宋体" w:hAnsi="宋体"/>
          <w:b/>
          <w:bCs/>
          <w:sz w:val="24"/>
        </w:rPr>
        <w:t>投标日期: XXXX。</w:t>
      </w:r>
    </w:p>
    <w:p>
      <w:pPr>
        <w:widowControl/>
        <w:jc w:val="left"/>
        <w:rPr>
          <w:rFonts w:hint="eastAsia" w:ascii="宋体" w:hAnsi="宋体" w:cs="宋体"/>
          <w:b/>
          <w:sz w:val="32"/>
          <w:szCs w:val="32"/>
        </w:rPr>
      </w:pPr>
      <w:r>
        <w:rPr>
          <w:rFonts w:hint="eastAsia" w:ascii="宋体" w:hAnsi="宋体" w:cs="宋体"/>
          <w:b/>
          <w:sz w:val="32"/>
          <w:szCs w:val="32"/>
        </w:rPr>
        <w:br w:type="page"/>
      </w:r>
      <w:r>
        <w:rPr>
          <w:rFonts w:hint="eastAsia" w:ascii="宋体" w:hAnsi="宋体" w:cs="宋体"/>
          <w:b/>
          <w:sz w:val="32"/>
          <w:szCs w:val="32"/>
        </w:rPr>
        <w:t>格式2-6</w:t>
      </w:r>
    </w:p>
    <w:p>
      <w:pPr>
        <w:widowControl/>
        <w:spacing w:line="360" w:lineRule="auto"/>
        <w:jc w:val="center"/>
        <w:outlineLvl w:val="2"/>
        <w:rPr>
          <w:rFonts w:hint="eastAsia" w:hAnsi="宋体"/>
          <w:b/>
          <w:sz w:val="32"/>
          <w:szCs w:val="32"/>
        </w:rPr>
      </w:pPr>
      <w:r>
        <w:rPr>
          <w:rFonts w:hAnsi="宋体"/>
          <w:b/>
          <w:sz w:val="32"/>
          <w:szCs w:val="32"/>
        </w:rPr>
        <w:t>五</w:t>
      </w:r>
      <w:r>
        <w:rPr>
          <w:rFonts w:hint="eastAsia" w:hAnsi="宋体"/>
          <w:b/>
          <w:sz w:val="32"/>
          <w:szCs w:val="32"/>
        </w:rPr>
        <w:t>、</w:t>
      </w:r>
      <w:bookmarkEnd w:id="188"/>
      <w:r>
        <w:rPr>
          <w:rFonts w:hint="eastAsia" w:hAnsi="宋体"/>
          <w:b/>
          <w:sz w:val="32"/>
          <w:szCs w:val="32"/>
        </w:rPr>
        <w:t>商务应答表</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9"/>
        <w:gridCol w:w="2537"/>
        <w:gridCol w:w="3299"/>
        <w:gridCol w:w="25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799" w:type="dxa"/>
            <w:vAlign w:val="center"/>
          </w:tcPr>
          <w:p>
            <w:pPr>
              <w:widowControl/>
              <w:spacing w:line="360" w:lineRule="atLeast"/>
              <w:jc w:val="center"/>
              <w:outlineLvl w:val="1"/>
              <w:rPr>
                <w:rFonts w:hint="eastAsia" w:ascii="宋体" w:hAnsi="宋体"/>
                <w:b/>
                <w:bCs/>
                <w:sz w:val="24"/>
              </w:rPr>
            </w:pPr>
            <w:bookmarkStart w:id="189" w:name="_Toc503862912"/>
            <w:r>
              <w:rPr>
                <w:rFonts w:hint="eastAsia" w:ascii="宋体" w:hAnsi="宋体"/>
                <w:b/>
                <w:bCs/>
                <w:sz w:val="24"/>
              </w:rPr>
              <w:t>序号</w:t>
            </w:r>
            <w:bookmarkEnd w:id="189"/>
          </w:p>
        </w:tc>
        <w:tc>
          <w:tcPr>
            <w:tcW w:w="2537" w:type="dxa"/>
            <w:vAlign w:val="center"/>
          </w:tcPr>
          <w:p>
            <w:pPr>
              <w:widowControl/>
              <w:spacing w:line="360" w:lineRule="atLeast"/>
              <w:jc w:val="center"/>
              <w:outlineLvl w:val="1"/>
              <w:rPr>
                <w:rFonts w:hint="eastAsia" w:ascii="宋体" w:hAnsi="宋体"/>
                <w:b/>
                <w:bCs/>
                <w:sz w:val="24"/>
              </w:rPr>
            </w:pPr>
            <w:r>
              <w:rPr>
                <w:rFonts w:hint="eastAsia" w:ascii="宋体" w:hAnsi="宋体"/>
                <w:b/>
                <w:bCs/>
                <w:sz w:val="24"/>
              </w:rPr>
              <w:t>招标要求</w:t>
            </w:r>
          </w:p>
        </w:tc>
        <w:tc>
          <w:tcPr>
            <w:tcW w:w="3299" w:type="dxa"/>
            <w:vAlign w:val="center"/>
          </w:tcPr>
          <w:p>
            <w:pPr>
              <w:widowControl/>
              <w:spacing w:line="360" w:lineRule="atLeast"/>
              <w:jc w:val="center"/>
              <w:outlineLvl w:val="1"/>
              <w:rPr>
                <w:rFonts w:hint="eastAsia" w:ascii="宋体" w:hAnsi="宋体"/>
                <w:b/>
                <w:bCs/>
                <w:sz w:val="24"/>
              </w:rPr>
            </w:pPr>
            <w:r>
              <w:rPr>
                <w:rFonts w:hint="eastAsia" w:ascii="宋体" w:hAnsi="宋体"/>
                <w:b/>
                <w:bCs/>
                <w:sz w:val="24"/>
              </w:rPr>
              <w:t>投标应答</w:t>
            </w:r>
          </w:p>
        </w:tc>
        <w:tc>
          <w:tcPr>
            <w:tcW w:w="2535" w:type="dxa"/>
            <w:vAlign w:val="center"/>
          </w:tcPr>
          <w:p>
            <w:pPr>
              <w:widowControl/>
              <w:spacing w:line="360" w:lineRule="atLeast"/>
              <w:jc w:val="center"/>
              <w:outlineLvl w:val="1"/>
              <w:rPr>
                <w:rFonts w:hint="eastAsia" w:ascii="宋体" w:hAnsi="宋体"/>
                <w:b/>
                <w:bCs/>
                <w:sz w:val="24"/>
              </w:rPr>
            </w:pPr>
            <w:r>
              <w:rPr>
                <w:rFonts w:ascii="宋体" w:hAnsi="宋体"/>
                <w:b/>
                <w:bCs/>
                <w:sz w:val="24"/>
              </w:rPr>
              <w:t>偏离情况说明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trPr>
        <w:tc>
          <w:tcPr>
            <w:tcW w:w="799" w:type="dxa"/>
          </w:tcPr>
          <w:p>
            <w:pPr>
              <w:widowControl/>
              <w:spacing w:line="360" w:lineRule="atLeast"/>
              <w:ind w:firstLine="470" w:firstLineChars="196"/>
              <w:jc w:val="left"/>
              <w:rPr>
                <w:rFonts w:hint="eastAsia" w:ascii="宋体" w:hAnsi="宋体"/>
                <w:sz w:val="24"/>
              </w:rPr>
            </w:pPr>
          </w:p>
        </w:tc>
        <w:tc>
          <w:tcPr>
            <w:tcW w:w="2537" w:type="dxa"/>
          </w:tcPr>
          <w:p>
            <w:pPr>
              <w:widowControl/>
              <w:spacing w:line="360" w:lineRule="atLeast"/>
              <w:ind w:firstLine="470" w:firstLineChars="196"/>
              <w:jc w:val="left"/>
              <w:rPr>
                <w:rFonts w:hint="eastAsia" w:ascii="宋体" w:hAnsi="宋体"/>
                <w:sz w:val="24"/>
              </w:rPr>
            </w:pPr>
          </w:p>
        </w:tc>
        <w:tc>
          <w:tcPr>
            <w:tcW w:w="3299" w:type="dxa"/>
          </w:tcPr>
          <w:p>
            <w:pPr>
              <w:widowControl/>
              <w:spacing w:line="360" w:lineRule="atLeast"/>
              <w:ind w:firstLine="470" w:firstLineChars="196"/>
              <w:jc w:val="left"/>
              <w:rPr>
                <w:rFonts w:hint="eastAsia" w:ascii="宋体" w:hAnsi="宋体"/>
                <w:sz w:val="24"/>
              </w:rPr>
            </w:pPr>
          </w:p>
        </w:tc>
        <w:tc>
          <w:tcPr>
            <w:tcW w:w="2535" w:type="dxa"/>
          </w:tcPr>
          <w:p>
            <w:pPr>
              <w:widowControl/>
              <w:spacing w:line="360" w:lineRule="atLeast"/>
              <w:ind w:firstLine="470" w:firstLineChars="196"/>
              <w:jc w:val="left"/>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trPr>
        <w:tc>
          <w:tcPr>
            <w:tcW w:w="799" w:type="dxa"/>
          </w:tcPr>
          <w:p>
            <w:pPr>
              <w:widowControl/>
              <w:spacing w:line="360" w:lineRule="atLeast"/>
              <w:ind w:firstLine="470" w:firstLineChars="196"/>
              <w:jc w:val="left"/>
              <w:rPr>
                <w:rFonts w:hint="eastAsia" w:ascii="宋体" w:hAnsi="宋体"/>
                <w:sz w:val="24"/>
              </w:rPr>
            </w:pPr>
          </w:p>
        </w:tc>
        <w:tc>
          <w:tcPr>
            <w:tcW w:w="2537" w:type="dxa"/>
          </w:tcPr>
          <w:p>
            <w:pPr>
              <w:widowControl/>
              <w:spacing w:line="360" w:lineRule="atLeast"/>
              <w:ind w:firstLine="470" w:firstLineChars="196"/>
              <w:jc w:val="left"/>
              <w:rPr>
                <w:rFonts w:hint="eastAsia" w:ascii="宋体" w:hAnsi="宋体"/>
                <w:sz w:val="24"/>
              </w:rPr>
            </w:pPr>
          </w:p>
        </w:tc>
        <w:tc>
          <w:tcPr>
            <w:tcW w:w="3299" w:type="dxa"/>
          </w:tcPr>
          <w:p>
            <w:pPr>
              <w:widowControl/>
              <w:spacing w:line="360" w:lineRule="atLeast"/>
              <w:ind w:firstLine="470" w:firstLineChars="196"/>
              <w:jc w:val="left"/>
              <w:rPr>
                <w:rFonts w:hint="eastAsia" w:ascii="宋体" w:hAnsi="宋体"/>
                <w:sz w:val="24"/>
              </w:rPr>
            </w:pPr>
          </w:p>
        </w:tc>
        <w:tc>
          <w:tcPr>
            <w:tcW w:w="2535" w:type="dxa"/>
          </w:tcPr>
          <w:p>
            <w:pPr>
              <w:widowControl/>
              <w:spacing w:line="360" w:lineRule="atLeast"/>
              <w:ind w:firstLine="470" w:firstLineChars="196"/>
              <w:jc w:val="left"/>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trPr>
        <w:tc>
          <w:tcPr>
            <w:tcW w:w="799" w:type="dxa"/>
          </w:tcPr>
          <w:p>
            <w:pPr>
              <w:widowControl/>
              <w:spacing w:line="360" w:lineRule="atLeast"/>
              <w:ind w:firstLine="470" w:firstLineChars="196"/>
              <w:jc w:val="left"/>
              <w:rPr>
                <w:rFonts w:hint="eastAsia" w:ascii="宋体" w:hAnsi="宋体"/>
                <w:sz w:val="24"/>
              </w:rPr>
            </w:pPr>
          </w:p>
        </w:tc>
        <w:tc>
          <w:tcPr>
            <w:tcW w:w="2537" w:type="dxa"/>
          </w:tcPr>
          <w:p>
            <w:pPr>
              <w:widowControl/>
              <w:spacing w:line="360" w:lineRule="atLeast"/>
              <w:ind w:firstLine="470" w:firstLineChars="196"/>
              <w:jc w:val="left"/>
              <w:rPr>
                <w:rFonts w:hint="eastAsia" w:ascii="宋体" w:hAnsi="宋体"/>
                <w:sz w:val="24"/>
              </w:rPr>
            </w:pPr>
          </w:p>
        </w:tc>
        <w:tc>
          <w:tcPr>
            <w:tcW w:w="3299" w:type="dxa"/>
          </w:tcPr>
          <w:p>
            <w:pPr>
              <w:widowControl/>
              <w:spacing w:line="360" w:lineRule="atLeast"/>
              <w:ind w:firstLine="470" w:firstLineChars="196"/>
              <w:jc w:val="left"/>
              <w:rPr>
                <w:rFonts w:hint="eastAsia" w:ascii="宋体" w:hAnsi="宋体"/>
                <w:sz w:val="24"/>
              </w:rPr>
            </w:pPr>
          </w:p>
        </w:tc>
        <w:tc>
          <w:tcPr>
            <w:tcW w:w="2535" w:type="dxa"/>
          </w:tcPr>
          <w:p>
            <w:pPr>
              <w:widowControl/>
              <w:spacing w:line="360" w:lineRule="atLeast"/>
              <w:ind w:firstLine="470" w:firstLineChars="196"/>
              <w:jc w:val="left"/>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trPr>
        <w:tc>
          <w:tcPr>
            <w:tcW w:w="799" w:type="dxa"/>
          </w:tcPr>
          <w:p>
            <w:pPr>
              <w:widowControl/>
              <w:spacing w:line="360" w:lineRule="atLeast"/>
              <w:ind w:firstLine="470" w:firstLineChars="196"/>
              <w:jc w:val="left"/>
              <w:rPr>
                <w:rFonts w:hint="eastAsia" w:ascii="宋体" w:hAnsi="宋体"/>
                <w:sz w:val="24"/>
              </w:rPr>
            </w:pPr>
          </w:p>
        </w:tc>
        <w:tc>
          <w:tcPr>
            <w:tcW w:w="2537" w:type="dxa"/>
          </w:tcPr>
          <w:p>
            <w:pPr>
              <w:widowControl/>
              <w:spacing w:line="360" w:lineRule="atLeast"/>
              <w:ind w:firstLine="470" w:firstLineChars="196"/>
              <w:jc w:val="left"/>
              <w:rPr>
                <w:rFonts w:hint="eastAsia" w:ascii="宋体" w:hAnsi="宋体"/>
                <w:sz w:val="24"/>
              </w:rPr>
            </w:pPr>
          </w:p>
        </w:tc>
        <w:tc>
          <w:tcPr>
            <w:tcW w:w="3299" w:type="dxa"/>
          </w:tcPr>
          <w:p>
            <w:pPr>
              <w:widowControl/>
              <w:spacing w:line="360" w:lineRule="atLeast"/>
              <w:ind w:firstLine="470" w:firstLineChars="196"/>
              <w:jc w:val="left"/>
              <w:rPr>
                <w:rFonts w:hint="eastAsia" w:ascii="宋体" w:hAnsi="宋体"/>
                <w:sz w:val="24"/>
              </w:rPr>
            </w:pPr>
          </w:p>
        </w:tc>
        <w:tc>
          <w:tcPr>
            <w:tcW w:w="2535" w:type="dxa"/>
          </w:tcPr>
          <w:p>
            <w:pPr>
              <w:widowControl/>
              <w:spacing w:line="360" w:lineRule="atLeast"/>
              <w:ind w:firstLine="470" w:firstLineChars="196"/>
              <w:jc w:val="left"/>
              <w:rPr>
                <w:rFonts w:hint="eastAsia" w:ascii="宋体" w:hAnsi="宋体"/>
                <w:sz w:val="24"/>
              </w:rPr>
            </w:pPr>
          </w:p>
        </w:tc>
      </w:tr>
    </w:tbl>
    <w:p>
      <w:pPr>
        <w:widowControl/>
        <w:spacing w:line="360" w:lineRule="atLeast"/>
        <w:ind w:firstLine="470" w:firstLineChars="196"/>
        <w:jc w:val="left"/>
        <w:rPr>
          <w:rFonts w:hint="eastAsia" w:ascii="宋体" w:hAnsi="宋体"/>
          <w:sz w:val="24"/>
        </w:rPr>
      </w:pPr>
      <w:bookmarkStart w:id="190" w:name="_Toc503862916"/>
    </w:p>
    <w:bookmarkEnd w:id="190"/>
    <w:p>
      <w:pPr>
        <w:widowControl/>
        <w:spacing w:line="360" w:lineRule="atLeast"/>
        <w:jc w:val="left"/>
        <w:rPr>
          <w:rFonts w:hint="eastAsia" w:ascii="宋体" w:hAnsi="宋体"/>
          <w:sz w:val="24"/>
        </w:rPr>
      </w:pPr>
      <w:r>
        <w:rPr>
          <w:rFonts w:hint="eastAsia" w:ascii="宋体" w:hAnsi="宋体"/>
          <w:sz w:val="24"/>
        </w:rPr>
        <w:t>注：投标人必须据实填写，不得虚假应答，否则将取消其投标或中标资格。如与招标文件相关条款无偏离（包括正偏离和负偏离），则无须逐条应答。如有偏离条款，请将偏离条款逐条应答。未明确应答的条款（包括招标文件要求的非资格性审查的实质性条款及本章格式所附的“注”），均视为满足招标文件的要求。</w:t>
      </w:r>
    </w:p>
    <w:p>
      <w:pPr>
        <w:widowControl/>
        <w:spacing w:line="360" w:lineRule="atLeast"/>
        <w:ind w:firstLine="470" w:firstLineChars="196"/>
        <w:jc w:val="left"/>
        <w:rPr>
          <w:rFonts w:hint="eastAsia" w:ascii="宋体" w:hAnsi="宋体"/>
          <w:sz w:val="24"/>
        </w:rPr>
      </w:pPr>
    </w:p>
    <w:p>
      <w:pPr>
        <w:pStyle w:val="11"/>
        <w:rPr>
          <w:rFonts w:hint="eastAsia"/>
        </w:rPr>
      </w:pPr>
    </w:p>
    <w:p>
      <w:pPr>
        <w:widowControl/>
        <w:adjustRightInd w:val="0"/>
        <w:snapToGrid w:val="0"/>
        <w:spacing w:line="360" w:lineRule="auto"/>
        <w:ind w:firstLine="472" w:firstLineChars="196"/>
        <w:jc w:val="left"/>
        <w:rPr>
          <w:rFonts w:hint="eastAsia" w:ascii="宋体" w:hAnsi="宋体"/>
          <w:b/>
          <w:bCs/>
          <w:sz w:val="24"/>
        </w:rPr>
      </w:pPr>
      <w:r>
        <w:rPr>
          <w:rFonts w:hint="eastAsia" w:ascii="宋体" w:hAnsi="宋体"/>
          <w:b/>
          <w:bCs/>
          <w:sz w:val="24"/>
        </w:rPr>
        <w:t>投标人名称：XXXX（单位盖章）。</w:t>
      </w:r>
    </w:p>
    <w:p>
      <w:pPr>
        <w:widowControl/>
        <w:adjustRightInd w:val="0"/>
        <w:snapToGrid w:val="0"/>
        <w:spacing w:line="360" w:lineRule="auto"/>
        <w:ind w:firstLine="472" w:firstLineChars="196"/>
        <w:jc w:val="left"/>
        <w:rPr>
          <w:rFonts w:hint="eastAsia" w:ascii="宋体" w:hAnsi="宋体"/>
          <w:b/>
          <w:bCs/>
          <w:sz w:val="24"/>
        </w:rPr>
      </w:pPr>
      <w:r>
        <w:rPr>
          <w:rFonts w:hint="eastAsia" w:ascii="宋体" w:hAnsi="宋体"/>
          <w:b/>
          <w:bCs/>
          <w:sz w:val="24"/>
        </w:rPr>
        <w:t>法定代表人/单位负责人或授权代表（签字或加盖个人名章）：XXXX。</w:t>
      </w:r>
    </w:p>
    <w:p>
      <w:pPr>
        <w:widowControl/>
        <w:adjustRightInd w:val="0"/>
        <w:snapToGrid w:val="0"/>
        <w:spacing w:line="360" w:lineRule="auto"/>
        <w:ind w:firstLine="472" w:firstLineChars="196"/>
        <w:jc w:val="left"/>
        <w:rPr>
          <w:rFonts w:hint="eastAsia" w:ascii="宋体"/>
          <w:b/>
          <w:bCs/>
          <w:sz w:val="24"/>
        </w:rPr>
      </w:pPr>
      <w:r>
        <w:rPr>
          <w:rFonts w:hint="eastAsia" w:ascii="宋体"/>
          <w:b/>
          <w:bCs/>
          <w:sz w:val="24"/>
        </w:rPr>
        <w:t>包件号：</w:t>
      </w:r>
    </w:p>
    <w:p>
      <w:pPr>
        <w:widowControl/>
        <w:adjustRightInd w:val="0"/>
        <w:snapToGrid w:val="0"/>
        <w:spacing w:line="360" w:lineRule="auto"/>
        <w:ind w:firstLine="472" w:firstLineChars="196"/>
        <w:jc w:val="left"/>
        <w:rPr>
          <w:rFonts w:hint="eastAsia" w:ascii="宋体" w:hAnsi="宋体"/>
          <w:b/>
          <w:bCs/>
          <w:sz w:val="24"/>
        </w:rPr>
      </w:pPr>
      <w:r>
        <w:rPr>
          <w:rFonts w:hint="eastAsia" w:ascii="宋体" w:hAnsi="宋体"/>
          <w:b/>
          <w:bCs/>
          <w:sz w:val="24"/>
        </w:rPr>
        <w:t>投标日期: XXXX。</w:t>
      </w:r>
    </w:p>
    <w:p>
      <w:pPr>
        <w:spacing w:line="360" w:lineRule="auto"/>
        <w:rPr>
          <w:rFonts w:hint="eastAsia" w:ascii="宋体" w:hAnsi="宋体"/>
          <w:b/>
          <w:sz w:val="32"/>
          <w:szCs w:val="32"/>
        </w:rPr>
      </w:pPr>
      <w:r>
        <w:rPr>
          <w:rFonts w:hint="eastAsia" w:ascii="宋体" w:hAnsi="宋体"/>
          <w:sz w:val="24"/>
        </w:rPr>
        <w:br w:type="page"/>
      </w:r>
      <w:r>
        <w:rPr>
          <w:rFonts w:hint="eastAsia" w:ascii="宋体" w:hAnsi="宋体"/>
          <w:b/>
          <w:sz w:val="32"/>
          <w:szCs w:val="32"/>
        </w:rPr>
        <w:t>格式2-7</w:t>
      </w:r>
    </w:p>
    <w:p>
      <w:pPr>
        <w:widowControl/>
        <w:adjustRightInd w:val="0"/>
        <w:snapToGrid w:val="0"/>
        <w:jc w:val="center"/>
        <w:outlineLvl w:val="2"/>
        <w:rPr>
          <w:rFonts w:hint="eastAsia" w:hAnsi="宋体"/>
          <w:b/>
          <w:sz w:val="32"/>
          <w:szCs w:val="32"/>
        </w:rPr>
      </w:pPr>
      <w:r>
        <w:rPr>
          <w:rFonts w:hAnsi="宋体"/>
          <w:b/>
          <w:sz w:val="32"/>
          <w:szCs w:val="32"/>
        </w:rPr>
        <w:t>六</w:t>
      </w:r>
      <w:r>
        <w:rPr>
          <w:rFonts w:hint="eastAsia" w:hAnsi="宋体"/>
          <w:b/>
          <w:sz w:val="32"/>
          <w:szCs w:val="32"/>
        </w:rPr>
        <w:t>、商务、技术、服务应答附表</w:t>
      </w:r>
    </w:p>
    <w:p>
      <w:pPr>
        <w:widowControl/>
        <w:adjustRightInd w:val="0"/>
        <w:snapToGrid w:val="0"/>
        <w:jc w:val="center"/>
        <w:rPr>
          <w:rFonts w:hint="eastAsia" w:ascii="宋体" w:hAnsi="宋体"/>
          <w:b/>
          <w:sz w:val="32"/>
          <w:szCs w:val="32"/>
        </w:rPr>
      </w:pPr>
      <w:r>
        <w:rPr>
          <w:rFonts w:hint="eastAsia" w:ascii="宋体" w:hAnsi="宋体"/>
          <w:b/>
          <w:sz w:val="32"/>
          <w:szCs w:val="32"/>
        </w:rPr>
        <w:t>（仅用于中标、成交结果公告，此表不作为评审内容）</w:t>
      </w:r>
    </w:p>
    <w:p>
      <w:pPr>
        <w:widowControl/>
        <w:adjustRightInd w:val="0"/>
        <w:snapToGrid w:val="0"/>
        <w:ind w:firstLine="480"/>
        <w:jc w:val="left"/>
        <w:rPr>
          <w:rFonts w:hint="eastAsia" w:ascii="宋体" w:hAnsi="宋体" w:cs="宋体"/>
          <w:bCs/>
          <w:sz w:val="24"/>
        </w:rPr>
      </w:pPr>
      <w:r>
        <w:rPr>
          <w:rFonts w:hint="eastAsia" w:ascii="宋体" w:hAnsi="宋体" w:cs="宋体"/>
          <w:bCs/>
          <w:sz w:val="24"/>
        </w:rPr>
        <w:t>根据《中华人民共和国政府采购法实施条例》第四十三条第三款要求，中标、成交结果公告应当公告中标（成交）投标人的相关内容，请投标人根据响应情况如实完善以下内容，结果公告时公布中标（成交）投标人的相关信息。</w:t>
      </w:r>
    </w:p>
    <w:tbl>
      <w:tblPr>
        <w:tblStyle w:val="23"/>
        <w:tblW w:w="9600" w:type="dxa"/>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11"/>
        <w:gridCol w:w="870"/>
        <w:gridCol w:w="1961"/>
        <w:gridCol w:w="748"/>
        <w:gridCol w:w="530"/>
        <w:gridCol w:w="521"/>
        <w:gridCol w:w="2156"/>
        <w:gridCol w:w="1303"/>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41" w:hRule="atLeast"/>
          <w:jc w:val="center"/>
        </w:trPr>
        <w:tc>
          <w:tcPr>
            <w:tcW w:w="9600" w:type="dxa"/>
            <w:gridSpan w:val="8"/>
            <w:vAlign w:val="center"/>
          </w:tcPr>
          <w:p>
            <w:pPr>
              <w:widowControl/>
              <w:adjustRightInd w:val="0"/>
              <w:snapToGrid w:val="0"/>
              <w:jc w:val="center"/>
              <w:outlineLvl w:val="1"/>
              <w:rPr>
                <w:rFonts w:hint="eastAsia" w:ascii="宋体" w:hAnsi="宋体"/>
                <w:sz w:val="24"/>
              </w:rPr>
            </w:pPr>
            <w:bookmarkStart w:id="191" w:name="_Toc503862922"/>
            <w:r>
              <w:rPr>
                <w:rFonts w:hint="eastAsia" w:ascii="宋体" w:hAnsi="宋体" w:cs="宋体"/>
                <w:b/>
                <w:kern w:val="0"/>
                <w:sz w:val="24"/>
              </w:rPr>
              <w:t>中标（成交）投标人的相关信息</w:t>
            </w:r>
            <w:bookmarkEnd w:id="191"/>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98" w:hRule="atLeast"/>
          <w:jc w:val="center"/>
        </w:trPr>
        <w:tc>
          <w:tcPr>
            <w:tcW w:w="2381" w:type="dxa"/>
            <w:gridSpan w:val="2"/>
            <w:vAlign w:val="center"/>
          </w:tcPr>
          <w:p>
            <w:pPr>
              <w:widowControl/>
              <w:adjustRightInd w:val="0"/>
              <w:snapToGrid w:val="0"/>
              <w:jc w:val="left"/>
              <w:outlineLvl w:val="1"/>
              <w:rPr>
                <w:rFonts w:hint="eastAsia" w:ascii="宋体" w:hAnsi="宋体"/>
                <w:sz w:val="24"/>
              </w:rPr>
            </w:pPr>
            <w:bookmarkStart w:id="192" w:name="_Toc503862923"/>
            <w:r>
              <w:rPr>
                <w:rFonts w:hint="eastAsia" w:ascii="宋体" w:hAnsi="宋体"/>
                <w:sz w:val="24"/>
              </w:rPr>
              <w:t>“★”项目名称</w:t>
            </w:r>
            <w:bookmarkEnd w:id="192"/>
          </w:p>
        </w:tc>
        <w:tc>
          <w:tcPr>
            <w:tcW w:w="7219" w:type="dxa"/>
            <w:gridSpan w:val="6"/>
            <w:vAlign w:val="center"/>
          </w:tcPr>
          <w:p>
            <w:pPr>
              <w:widowControl/>
              <w:adjustRightInd w:val="0"/>
              <w:snapToGrid w:val="0"/>
              <w:ind w:firstLine="470" w:firstLineChars="196"/>
              <w:jc w:val="left"/>
              <w:rPr>
                <w:rFonts w:hint="eastAsia" w:ascii="宋体" w:hAnsi="宋体"/>
                <w:sz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386" w:hRule="atLeast"/>
          <w:jc w:val="center"/>
        </w:trPr>
        <w:tc>
          <w:tcPr>
            <w:tcW w:w="2381" w:type="dxa"/>
            <w:gridSpan w:val="2"/>
            <w:vAlign w:val="center"/>
          </w:tcPr>
          <w:p>
            <w:pPr>
              <w:widowControl/>
              <w:adjustRightInd w:val="0"/>
              <w:snapToGrid w:val="0"/>
              <w:jc w:val="left"/>
              <w:outlineLvl w:val="1"/>
              <w:rPr>
                <w:rFonts w:hint="eastAsia" w:ascii="宋体" w:hAnsi="宋体"/>
                <w:sz w:val="24"/>
              </w:rPr>
            </w:pPr>
            <w:bookmarkStart w:id="193" w:name="_Toc503862924"/>
            <w:r>
              <w:rPr>
                <w:rFonts w:hint="eastAsia" w:ascii="宋体" w:hAnsi="宋体"/>
                <w:sz w:val="24"/>
              </w:rPr>
              <w:t>“★”投标人名称</w:t>
            </w:r>
            <w:bookmarkEnd w:id="193"/>
          </w:p>
        </w:tc>
        <w:tc>
          <w:tcPr>
            <w:tcW w:w="7219" w:type="dxa"/>
            <w:gridSpan w:val="6"/>
            <w:vAlign w:val="center"/>
          </w:tcPr>
          <w:p>
            <w:pPr>
              <w:widowControl/>
              <w:adjustRightInd w:val="0"/>
              <w:snapToGrid w:val="0"/>
              <w:ind w:firstLine="470" w:firstLineChars="196"/>
              <w:jc w:val="left"/>
              <w:rPr>
                <w:rFonts w:hint="eastAsia" w:ascii="宋体" w:hAnsi="宋体"/>
                <w:sz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36" w:hRule="atLeast"/>
          <w:jc w:val="center"/>
        </w:trPr>
        <w:tc>
          <w:tcPr>
            <w:tcW w:w="2381" w:type="dxa"/>
            <w:gridSpan w:val="2"/>
            <w:vAlign w:val="center"/>
          </w:tcPr>
          <w:p>
            <w:pPr>
              <w:widowControl/>
              <w:adjustRightInd w:val="0"/>
              <w:snapToGrid w:val="0"/>
              <w:jc w:val="left"/>
              <w:outlineLvl w:val="1"/>
              <w:rPr>
                <w:rFonts w:hint="eastAsia" w:ascii="宋体" w:hAnsi="宋体"/>
                <w:sz w:val="24"/>
              </w:rPr>
            </w:pPr>
            <w:bookmarkStart w:id="194" w:name="_Toc503862925"/>
            <w:r>
              <w:rPr>
                <w:rFonts w:hint="eastAsia" w:ascii="宋体" w:hAnsi="宋体"/>
                <w:sz w:val="24"/>
              </w:rPr>
              <w:t>“★”注册地址</w:t>
            </w:r>
            <w:bookmarkEnd w:id="194"/>
          </w:p>
        </w:tc>
        <w:tc>
          <w:tcPr>
            <w:tcW w:w="3239" w:type="dxa"/>
            <w:gridSpan w:val="3"/>
            <w:tcBorders>
              <w:right w:val="single" w:color="auto" w:sz="4" w:space="0"/>
            </w:tcBorders>
            <w:vAlign w:val="center"/>
          </w:tcPr>
          <w:p>
            <w:pPr>
              <w:widowControl/>
              <w:adjustRightInd w:val="0"/>
              <w:snapToGrid w:val="0"/>
              <w:jc w:val="left"/>
              <w:rPr>
                <w:rFonts w:hint="eastAsia" w:ascii="宋体" w:hAnsi="宋体"/>
                <w:sz w:val="24"/>
              </w:rPr>
            </w:pPr>
          </w:p>
        </w:tc>
        <w:tc>
          <w:tcPr>
            <w:tcW w:w="2677" w:type="dxa"/>
            <w:gridSpan w:val="2"/>
            <w:tcBorders>
              <w:left w:val="single" w:color="auto" w:sz="4" w:space="0"/>
              <w:right w:val="single" w:color="auto" w:sz="4" w:space="0"/>
            </w:tcBorders>
            <w:vAlign w:val="center"/>
          </w:tcPr>
          <w:p>
            <w:pPr>
              <w:widowControl/>
              <w:adjustRightInd w:val="0"/>
              <w:snapToGrid w:val="0"/>
              <w:jc w:val="left"/>
              <w:outlineLvl w:val="1"/>
              <w:rPr>
                <w:rFonts w:hint="eastAsia" w:ascii="宋体" w:hAnsi="宋体"/>
                <w:sz w:val="24"/>
              </w:rPr>
            </w:pPr>
            <w:bookmarkStart w:id="195" w:name="_Toc503862926"/>
            <w:r>
              <w:rPr>
                <w:rFonts w:hint="eastAsia" w:ascii="宋体" w:hAnsi="宋体"/>
                <w:sz w:val="24"/>
              </w:rPr>
              <w:t>“★”行政区域</w:t>
            </w:r>
            <w:bookmarkEnd w:id="195"/>
          </w:p>
        </w:tc>
        <w:tc>
          <w:tcPr>
            <w:tcW w:w="1303" w:type="dxa"/>
            <w:tcBorders>
              <w:left w:val="single" w:color="auto" w:sz="4" w:space="0"/>
            </w:tcBorders>
            <w:vAlign w:val="center"/>
          </w:tcPr>
          <w:p>
            <w:pPr>
              <w:widowControl/>
              <w:adjustRightInd w:val="0"/>
              <w:snapToGrid w:val="0"/>
              <w:ind w:firstLine="470" w:firstLineChars="196"/>
              <w:jc w:val="left"/>
              <w:rPr>
                <w:rFonts w:hint="eastAsia" w:ascii="宋体" w:hAnsi="宋体"/>
                <w:sz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68" w:hRule="atLeast"/>
          <w:jc w:val="center"/>
        </w:trPr>
        <w:tc>
          <w:tcPr>
            <w:tcW w:w="2381" w:type="dxa"/>
            <w:gridSpan w:val="2"/>
            <w:vAlign w:val="center"/>
          </w:tcPr>
          <w:p>
            <w:pPr>
              <w:widowControl/>
              <w:adjustRightInd w:val="0"/>
              <w:snapToGrid w:val="0"/>
              <w:jc w:val="left"/>
              <w:outlineLvl w:val="1"/>
              <w:rPr>
                <w:rFonts w:hint="eastAsia" w:ascii="宋体" w:hAnsi="宋体"/>
                <w:sz w:val="24"/>
              </w:rPr>
            </w:pPr>
            <w:bookmarkStart w:id="196" w:name="_Toc503862927"/>
            <w:r>
              <w:rPr>
                <w:rFonts w:hint="eastAsia" w:ascii="宋体" w:hAnsi="宋体"/>
                <w:sz w:val="24"/>
              </w:rPr>
              <w:t>“★”投标人规模</w:t>
            </w:r>
            <w:bookmarkEnd w:id="196"/>
          </w:p>
        </w:tc>
        <w:tc>
          <w:tcPr>
            <w:tcW w:w="7219" w:type="dxa"/>
            <w:gridSpan w:val="6"/>
            <w:vAlign w:val="center"/>
          </w:tcPr>
          <w:p>
            <w:pPr>
              <w:widowControl/>
              <w:adjustRightInd w:val="0"/>
              <w:snapToGrid w:val="0"/>
              <w:jc w:val="center"/>
              <w:outlineLvl w:val="1"/>
              <w:rPr>
                <w:rFonts w:hint="eastAsia" w:ascii="宋体" w:hAnsi="宋体"/>
                <w:sz w:val="24"/>
              </w:rPr>
            </w:pPr>
            <w:bookmarkStart w:id="197" w:name="_Toc503862928"/>
            <w:r>
              <w:rPr>
                <w:rFonts w:hint="eastAsia" w:ascii="宋体" w:hAnsi="宋体" w:cs="黑体"/>
                <w:szCs w:val="21"/>
              </w:rPr>
              <w:t>□</w:t>
            </w:r>
            <w:r>
              <w:rPr>
                <w:rFonts w:hint="eastAsia" w:ascii="宋体" w:hAnsi="宋体"/>
                <w:szCs w:val="21"/>
              </w:rPr>
              <w:t xml:space="preserve">大型企业   </w:t>
            </w:r>
            <w:r>
              <w:rPr>
                <w:rFonts w:hint="eastAsia" w:ascii="宋体" w:hAnsi="宋体" w:cs="黑体"/>
                <w:szCs w:val="21"/>
              </w:rPr>
              <w:t>□</w:t>
            </w:r>
            <w:r>
              <w:rPr>
                <w:rFonts w:hint="eastAsia" w:ascii="宋体" w:hAnsi="宋体"/>
                <w:szCs w:val="21"/>
              </w:rPr>
              <w:t xml:space="preserve">中型企业   </w:t>
            </w:r>
            <w:r>
              <w:rPr>
                <w:rFonts w:hint="eastAsia" w:ascii="宋体" w:hAnsi="宋体" w:cs="黑体"/>
                <w:szCs w:val="21"/>
              </w:rPr>
              <w:t>□</w:t>
            </w:r>
            <w:r>
              <w:rPr>
                <w:rFonts w:hint="eastAsia" w:ascii="宋体" w:hAnsi="宋体"/>
                <w:szCs w:val="21"/>
              </w:rPr>
              <w:t>小微型企业（对应处打“</w:t>
            </w:r>
            <w:r>
              <w:rPr>
                <w:rFonts w:hint="eastAsia" w:ascii="宋体" w:hAnsi="宋体" w:cs="宋体"/>
                <w:szCs w:val="21"/>
              </w:rPr>
              <w:t>√”</w:t>
            </w:r>
            <w:r>
              <w:rPr>
                <w:rFonts w:hint="eastAsia" w:ascii="宋体" w:hAnsi="宋体"/>
                <w:szCs w:val="21"/>
              </w:rPr>
              <w:t>）</w:t>
            </w:r>
            <w:bookmarkEnd w:id="197"/>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99" w:hRule="atLeast"/>
          <w:jc w:val="center"/>
        </w:trPr>
        <w:tc>
          <w:tcPr>
            <w:tcW w:w="2381" w:type="dxa"/>
            <w:gridSpan w:val="2"/>
            <w:vMerge w:val="restart"/>
            <w:vAlign w:val="center"/>
          </w:tcPr>
          <w:p>
            <w:pPr>
              <w:widowControl/>
              <w:adjustRightInd w:val="0"/>
              <w:snapToGrid w:val="0"/>
              <w:jc w:val="left"/>
              <w:outlineLvl w:val="1"/>
              <w:rPr>
                <w:rFonts w:hint="eastAsia" w:ascii="宋体" w:hAnsi="宋体"/>
                <w:sz w:val="24"/>
              </w:rPr>
            </w:pPr>
            <w:bookmarkStart w:id="198" w:name="_Toc503862929"/>
            <w:r>
              <w:rPr>
                <w:rFonts w:hint="eastAsia" w:ascii="宋体" w:hAnsi="宋体"/>
                <w:sz w:val="24"/>
              </w:rPr>
              <w:t>“★”单位联系方式</w:t>
            </w:r>
            <w:bookmarkEnd w:id="198"/>
          </w:p>
        </w:tc>
        <w:tc>
          <w:tcPr>
            <w:tcW w:w="2709" w:type="dxa"/>
            <w:gridSpan w:val="2"/>
            <w:vAlign w:val="center"/>
          </w:tcPr>
          <w:p>
            <w:pPr>
              <w:widowControl/>
              <w:adjustRightInd w:val="0"/>
              <w:snapToGrid w:val="0"/>
              <w:jc w:val="left"/>
              <w:outlineLvl w:val="1"/>
              <w:rPr>
                <w:rFonts w:hint="eastAsia" w:ascii="宋体" w:hAnsi="宋体"/>
                <w:sz w:val="24"/>
              </w:rPr>
            </w:pPr>
            <w:bookmarkStart w:id="199" w:name="_Toc503862930"/>
            <w:r>
              <w:rPr>
                <w:rFonts w:hint="eastAsia" w:ascii="宋体" w:hAnsi="宋体"/>
                <w:sz w:val="24"/>
              </w:rPr>
              <w:t>“★”单位联系人</w:t>
            </w:r>
            <w:bookmarkEnd w:id="199"/>
          </w:p>
        </w:tc>
        <w:tc>
          <w:tcPr>
            <w:tcW w:w="1051" w:type="dxa"/>
            <w:gridSpan w:val="2"/>
            <w:vAlign w:val="center"/>
          </w:tcPr>
          <w:p>
            <w:pPr>
              <w:widowControl/>
              <w:adjustRightInd w:val="0"/>
              <w:snapToGrid w:val="0"/>
              <w:ind w:firstLine="470" w:firstLineChars="196"/>
              <w:jc w:val="left"/>
              <w:rPr>
                <w:rFonts w:hint="eastAsia" w:ascii="宋体" w:hAnsi="宋体"/>
                <w:sz w:val="24"/>
              </w:rPr>
            </w:pPr>
          </w:p>
        </w:tc>
        <w:tc>
          <w:tcPr>
            <w:tcW w:w="2156" w:type="dxa"/>
            <w:vAlign w:val="center"/>
          </w:tcPr>
          <w:p>
            <w:pPr>
              <w:widowControl/>
              <w:adjustRightInd w:val="0"/>
              <w:snapToGrid w:val="0"/>
              <w:jc w:val="left"/>
              <w:outlineLvl w:val="1"/>
              <w:rPr>
                <w:rFonts w:hint="eastAsia" w:ascii="宋体" w:hAnsi="宋体"/>
                <w:sz w:val="24"/>
              </w:rPr>
            </w:pPr>
            <w:bookmarkStart w:id="200" w:name="_Toc503862931"/>
            <w:r>
              <w:rPr>
                <w:rFonts w:hint="eastAsia" w:ascii="宋体" w:hAnsi="宋体"/>
                <w:sz w:val="24"/>
              </w:rPr>
              <w:t>“★”单位电话</w:t>
            </w:r>
            <w:bookmarkEnd w:id="200"/>
          </w:p>
        </w:tc>
        <w:tc>
          <w:tcPr>
            <w:tcW w:w="1303" w:type="dxa"/>
            <w:vAlign w:val="center"/>
          </w:tcPr>
          <w:p>
            <w:pPr>
              <w:widowControl/>
              <w:adjustRightInd w:val="0"/>
              <w:snapToGrid w:val="0"/>
              <w:ind w:firstLine="470" w:firstLineChars="196"/>
              <w:jc w:val="left"/>
              <w:rPr>
                <w:rFonts w:hint="eastAsia" w:ascii="宋体" w:hAnsi="宋体"/>
                <w:sz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68" w:hRule="atLeast"/>
          <w:jc w:val="center"/>
        </w:trPr>
        <w:tc>
          <w:tcPr>
            <w:tcW w:w="2381" w:type="dxa"/>
            <w:gridSpan w:val="2"/>
            <w:vMerge w:val="continue"/>
            <w:vAlign w:val="center"/>
          </w:tcPr>
          <w:p>
            <w:pPr>
              <w:adjustRightInd w:val="0"/>
              <w:snapToGrid w:val="0"/>
              <w:rPr>
                <w:rFonts w:ascii="宋体" w:hAnsi="宋体"/>
              </w:rPr>
            </w:pPr>
          </w:p>
        </w:tc>
        <w:tc>
          <w:tcPr>
            <w:tcW w:w="2709" w:type="dxa"/>
            <w:gridSpan w:val="2"/>
            <w:vAlign w:val="center"/>
          </w:tcPr>
          <w:p>
            <w:pPr>
              <w:widowControl/>
              <w:adjustRightInd w:val="0"/>
              <w:snapToGrid w:val="0"/>
              <w:jc w:val="left"/>
              <w:outlineLvl w:val="1"/>
              <w:rPr>
                <w:rFonts w:hint="eastAsia" w:ascii="宋体" w:hAnsi="宋体"/>
                <w:sz w:val="24"/>
              </w:rPr>
            </w:pPr>
            <w:bookmarkStart w:id="201" w:name="_Toc503862932"/>
            <w:r>
              <w:rPr>
                <w:rFonts w:hint="eastAsia" w:ascii="宋体" w:hAnsi="宋体"/>
                <w:sz w:val="24"/>
              </w:rPr>
              <w:t>“★”单位邮箱</w:t>
            </w:r>
            <w:bookmarkEnd w:id="201"/>
          </w:p>
        </w:tc>
        <w:tc>
          <w:tcPr>
            <w:tcW w:w="4510" w:type="dxa"/>
            <w:gridSpan w:val="4"/>
            <w:vAlign w:val="center"/>
          </w:tcPr>
          <w:p>
            <w:pPr>
              <w:widowControl/>
              <w:adjustRightInd w:val="0"/>
              <w:snapToGrid w:val="0"/>
              <w:ind w:firstLine="470" w:firstLineChars="196"/>
              <w:jc w:val="left"/>
              <w:rPr>
                <w:rFonts w:hint="eastAsia" w:ascii="宋体" w:hAnsi="宋体"/>
                <w:sz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34" w:hRule="atLeast"/>
          <w:jc w:val="center"/>
        </w:trPr>
        <w:tc>
          <w:tcPr>
            <w:tcW w:w="9600" w:type="dxa"/>
            <w:gridSpan w:val="8"/>
            <w:vAlign w:val="center"/>
          </w:tcPr>
          <w:p>
            <w:pPr>
              <w:widowControl/>
              <w:adjustRightInd w:val="0"/>
              <w:snapToGrid w:val="0"/>
              <w:ind w:firstLine="472" w:firstLineChars="196"/>
              <w:jc w:val="left"/>
              <w:outlineLvl w:val="1"/>
              <w:rPr>
                <w:rFonts w:hint="eastAsia" w:ascii="宋体" w:hAnsi="宋体"/>
                <w:sz w:val="24"/>
              </w:rPr>
            </w:pPr>
            <w:bookmarkStart w:id="202" w:name="_Toc503862933"/>
            <w:r>
              <w:rPr>
                <w:rFonts w:hint="eastAsia" w:ascii="宋体" w:hAnsi="宋体"/>
                <w:b/>
                <w:bCs/>
                <w:sz w:val="24"/>
              </w:rPr>
              <w:t>注：以上“★”号项信息投标人须如实填写，信息将录入四川省政府采购计划执行系统，若因投标人提供错误信息造成的问题，由其自身承担。</w:t>
            </w:r>
            <w:bookmarkEnd w:id="202"/>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7" w:hRule="atLeast"/>
          <w:jc w:val="center"/>
        </w:trPr>
        <w:tc>
          <w:tcPr>
            <w:tcW w:w="1511" w:type="dxa"/>
            <w:vMerge w:val="restart"/>
            <w:tcBorders>
              <w:right w:val="single" w:color="auto" w:sz="4" w:space="0"/>
            </w:tcBorders>
            <w:vAlign w:val="center"/>
          </w:tcPr>
          <w:p>
            <w:pPr>
              <w:widowControl/>
              <w:adjustRightInd w:val="0"/>
              <w:snapToGrid w:val="0"/>
              <w:spacing w:line="192" w:lineRule="auto"/>
              <w:jc w:val="left"/>
              <w:outlineLvl w:val="1"/>
              <w:rPr>
                <w:rFonts w:hint="eastAsia" w:ascii="宋体" w:hAnsi="宋体"/>
                <w:b/>
                <w:bCs/>
                <w:sz w:val="24"/>
              </w:rPr>
            </w:pPr>
            <w:bookmarkStart w:id="203" w:name="_Toc503862934"/>
            <w:r>
              <w:rPr>
                <w:rFonts w:hint="eastAsia" w:ascii="宋体" w:hAnsi="宋体"/>
                <w:b/>
                <w:bCs/>
                <w:sz w:val="24"/>
              </w:rPr>
              <w:t>投标人应答“采购文件”的主要内容</w:t>
            </w:r>
            <w:bookmarkEnd w:id="203"/>
          </w:p>
        </w:tc>
        <w:tc>
          <w:tcPr>
            <w:tcW w:w="2831" w:type="dxa"/>
            <w:gridSpan w:val="2"/>
            <w:vMerge w:val="restart"/>
            <w:tcBorders>
              <w:left w:val="single" w:color="auto" w:sz="4" w:space="0"/>
              <w:right w:val="single" w:color="auto" w:sz="4" w:space="0"/>
            </w:tcBorders>
            <w:vAlign w:val="center"/>
          </w:tcPr>
          <w:p>
            <w:pPr>
              <w:adjustRightInd w:val="0"/>
              <w:snapToGrid w:val="0"/>
              <w:spacing w:line="192" w:lineRule="auto"/>
              <w:jc w:val="left"/>
              <w:rPr>
                <w:rFonts w:hint="eastAsia" w:ascii="宋体" w:hAnsi="宋体"/>
                <w:b/>
                <w:bCs/>
                <w:sz w:val="24"/>
              </w:rPr>
            </w:pPr>
            <w:r>
              <w:rPr>
                <w:rFonts w:hint="eastAsia" w:ascii="宋体" w:hAnsi="宋体" w:cs="宋体"/>
                <w:bCs/>
                <w:kern w:val="0"/>
                <w:sz w:val="24"/>
              </w:rPr>
              <w:t>主要中标或者成交标的的名称</w:t>
            </w:r>
          </w:p>
        </w:tc>
        <w:tc>
          <w:tcPr>
            <w:tcW w:w="5258" w:type="dxa"/>
            <w:gridSpan w:val="5"/>
            <w:tcBorders>
              <w:left w:val="single" w:color="auto" w:sz="4" w:space="0"/>
            </w:tcBorders>
            <w:vAlign w:val="center"/>
          </w:tcPr>
          <w:p>
            <w:pPr>
              <w:adjustRightInd w:val="0"/>
              <w:snapToGrid w:val="0"/>
              <w:spacing w:line="192" w:lineRule="auto"/>
              <w:jc w:val="left"/>
              <w:rPr>
                <w:rFonts w:hint="eastAsia" w:ascii="宋体" w:hAnsi="宋体"/>
                <w:b/>
                <w:bCs/>
                <w:sz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65" w:hRule="atLeast"/>
          <w:jc w:val="center"/>
        </w:trPr>
        <w:tc>
          <w:tcPr>
            <w:tcW w:w="1511" w:type="dxa"/>
            <w:vMerge w:val="continue"/>
            <w:tcBorders>
              <w:right w:val="single" w:color="auto" w:sz="4" w:space="0"/>
            </w:tcBorders>
            <w:vAlign w:val="center"/>
          </w:tcPr>
          <w:p>
            <w:pPr>
              <w:widowControl/>
              <w:adjustRightInd w:val="0"/>
              <w:snapToGrid w:val="0"/>
              <w:spacing w:line="192" w:lineRule="auto"/>
              <w:ind w:firstLine="472" w:firstLineChars="196"/>
              <w:jc w:val="left"/>
              <w:rPr>
                <w:rFonts w:hint="eastAsia" w:ascii="宋体" w:hAnsi="宋体"/>
                <w:b/>
                <w:bCs/>
                <w:sz w:val="24"/>
              </w:rPr>
            </w:pPr>
          </w:p>
        </w:tc>
        <w:tc>
          <w:tcPr>
            <w:tcW w:w="2831" w:type="dxa"/>
            <w:gridSpan w:val="2"/>
            <w:tcBorders>
              <w:left w:val="single" w:color="auto" w:sz="4" w:space="0"/>
              <w:right w:val="single" w:color="auto" w:sz="4" w:space="0"/>
            </w:tcBorders>
            <w:vAlign w:val="center"/>
          </w:tcPr>
          <w:p>
            <w:pPr>
              <w:adjustRightInd w:val="0"/>
              <w:snapToGrid w:val="0"/>
              <w:spacing w:line="192" w:lineRule="auto"/>
              <w:jc w:val="left"/>
              <w:rPr>
                <w:rFonts w:hint="eastAsia" w:ascii="宋体" w:hAnsi="宋体"/>
                <w:b/>
                <w:bCs/>
                <w:sz w:val="24"/>
              </w:rPr>
            </w:pPr>
            <w:r>
              <w:rPr>
                <w:rFonts w:hint="eastAsia" w:ascii="宋体" w:hAnsi="宋体" w:cs="宋体"/>
                <w:bCs/>
                <w:kern w:val="0"/>
                <w:sz w:val="24"/>
              </w:rPr>
              <w:t>主要中标或者成交标的的单价</w:t>
            </w:r>
          </w:p>
        </w:tc>
        <w:tc>
          <w:tcPr>
            <w:tcW w:w="5258" w:type="dxa"/>
            <w:gridSpan w:val="5"/>
            <w:tcBorders>
              <w:left w:val="single" w:color="auto" w:sz="4" w:space="0"/>
            </w:tcBorders>
            <w:vAlign w:val="center"/>
          </w:tcPr>
          <w:p>
            <w:pPr>
              <w:adjustRightInd w:val="0"/>
              <w:snapToGrid w:val="0"/>
              <w:spacing w:line="192" w:lineRule="auto"/>
              <w:jc w:val="left"/>
              <w:rPr>
                <w:rFonts w:hint="eastAsia" w:ascii="宋体" w:hAnsi="宋体"/>
                <w:b/>
                <w:bCs/>
                <w:sz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291" w:hRule="atLeast"/>
          <w:jc w:val="center"/>
        </w:trPr>
        <w:tc>
          <w:tcPr>
            <w:tcW w:w="1511" w:type="dxa"/>
            <w:vMerge w:val="continue"/>
            <w:tcBorders>
              <w:right w:val="single" w:color="auto" w:sz="4" w:space="0"/>
            </w:tcBorders>
            <w:vAlign w:val="center"/>
          </w:tcPr>
          <w:p>
            <w:pPr>
              <w:widowControl/>
              <w:adjustRightInd w:val="0"/>
              <w:snapToGrid w:val="0"/>
              <w:spacing w:line="192" w:lineRule="auto"/>
              <w:ind w:firstLine="472" w:firstLineChars="196"/>
              <w:jc w:val="left"/>
              <w:rPr>
                <w:rFonts w:hint="eastAsia" w:ascii="宋体" w:hAnsi="宋体"/>
                <w:b/>
                <w:bCs/>
                <w:sz w:val="24"/>
              </w:rPr>
            </w:pPr>
          </w:p>
        </w:tc>
        <w:tc>
          <w:tcPr>
            <w:tcW w:w="2831" w:type="dxa"/>
            <w:gridSpan w:val="2"/>
            <w:tcBorders>
              <w:left w:val="single" w:color="auto" w:sz="4" w:space="0"/>
              <w:right w:val="single" w:color="auto" w:sz="4" w:space="0"/>
            </w:tcBorders>
            <w:vAlign w:val="center"/>
          </w:tcPr>
          <w:p>
            <w:pPr>
              <w:adjustRightInd w:val="0"/>
              <w:snapToGrid w:val="0"/>
              <w:spacing w:line="192" w:lineRule="auto"/>
              <w:jc w:val="left"/>
              <w:rPr>
                <w:rFonts w:hint="eastAsia" w:ascii="宋体" w:hAnsi="宋体"/>
                <w:b/>
                <w:bCs/>
                <w:sz w:val="24"/>
              </w:rPr>
            </w:pPr>
            <w:r>
              <w:rPr>
                <w:rFonts w:hint="eastAsia" w:ascii="宋体" w:hAnsi="宋体" w:cs="宋体"/>
                <w:bCs/>
                <w:kern w:val="0"/>
                <w:sz w:val="24"/>
              </w:rPr>
              <w:t>主要中标或者成交标的的服务要求</w:t>
            </w:r>
          </w:p>
        </w:tc>
        <w:tc>
          <w:tcPr>
            <w:tcW w:w="5258" w:type="dxa"/>
            <w:gridSpan w:val="5"/>
            <w:tcBorders>
              <w:left w:val="single" w:color="auto" w:sz="4" w:space="0"/>
            </w:tcBorders>
            <w:vAlign w:val="center"/>
          </w:tcPr>
          <w:p>
            <w:pPr>
              <w:numPr>
                <w:ilvl w:val="0"/>
                <w:numId w:val="3"/>
              </w:numPr>
              <w:adjustRightInd w:val="0"/>
              <w:snapToGrid w:val="0"/>
              <w:spacing w:line="192" w:lineRule="auto"/>
              <w:jc w:val="left"/>
              <w:rPr>
                <w:rFonts w:hint="eastAsia" w:ascii="宋体" w:hAnsi="宋体" w:cs="宋体"/>
                <w:bCs/>
                <w:sz w:val="24"/>
              </w:rPr>
            </w:pPr>
            <w:r>
              <w:rPr>
                <w:rFonts w:hint="eastAsia" w:ascii="宋体" w:hAnsi="宋体" w:cs="宋体"/>
                <w:bCs/>
                <w:sz w:val="24"/>
              </w:rPr>
              <w:t>....</w:t>
            </w:r>
          </w:p>
          <w:p>
            <w:pPr>
              <w:numPr>
                <w:ilvl w:val="0"/>
                <w:numId w:val="3"/>
              </w:numPr>
              <w:adjustRightInd w:val="0"/>
              <w:snapToGrid w:val="0"/>
              <w:spacing w:line="192" w:lineRule="auto"/>
              <w:jc w:val="left"/>
              <w:rPr>
                <w:rFonts w:hint="eastAsia" w:ascii="宋体" w:hAnsi="宋体" w:cs="宋体"/>
                <w:bCs/>
                <w:sz w:val="24"/>
              </w:rPr>
            </w:pPr>
            <w:r>
              <w:rPr>
                <w:rFonts w:hint="eastAsia" w:ascii="宋体" w:hAnsi="宋体" w:cs="宋体"/>
                <w:bCs/>
                <w:sz w:val="24"/>
              </w:rPr>
              <w:t>....</w:t>
            </w:r>
          </w:p>
          <w:p>
            <w:pPr>
              <w:numPr>
                <w:ilvl w:val="0"/>
                <w:numId w:val="3"/>
              </w:numPr>
              <w:adjustRightInd w:val="0"/>
              <w:snapToGrid w:val="0"/>
              <w:spacing w:line="192" w:lineRule="auto"/>
              <w:jc w:val="left"/>
              <w:rPr>
                <w:rFonts w:hint="eastAsia" w:ascii="宋体" w:hAnsi="宋体" w:cs="宋体"/>
                <w:bCs/>
                <w:sz w:val="24"/>
              </w:rPr>
            </w:pPr>
            <w:r>
              <w:rPr>
                <w:rFonts w:hint="eastAsia" w:ascii="宋体" w:hAnsi="宋体" w:cs="宋体"/>
                <w:bCs/>
                <w:sz w:val="24"/>
              </w:rPr>
              <w:t>....</w:t>
            </w:r>
          </w:p>
          <w:p>
            <w:pPr>
              <w:adjustRightInd w:val="0"/>
              <w:snapToGrid w:val="0"/>
              <w:spacing w:line="192" w:lineRule="auto"/>
              <w:jc w:val="left"/>
              <w:rPr>
                <w:rFonts w:hint="eastAsia" w:ascii="宋体" w:hAnsi="宋体"/>
                <w:b/>
                <w:bCs/>
                <w:sz w:val="24"/>
              </w:rPr>
            </w:pPr>
            <w:r>
              <w:rPr>
                <w:rFonts w:hint="eastAsia" w:ascii="宋体" w:hAnsi="宋体" w:cs="宋体"/>
                <w:bCs/>
                <w:sz w:val="24"/>
              </w:rPr>
              <w:t>......</w:t>
            </w:r>
          </w:p>
        </w:tc>
      </w:tr>
    </w:tbl>
    <w:p>
      <w:pPr>
        <w:adjustRightInd w:val="0"/>
        <w:snapToGrid w:val="0"/>
        <w:rPr>
          <w:rFonts w:hint="eastAsia" w:ascii="宋体" w:hAnsi="宋体"/>
          <w:sz w:val="24"/>
        </w:rPr>
      </w:pPr>
      <w:r>
        <w:rPr>
          <w:rFonts w:hint="eastAsia" w:ascii="宋体" w:hAnsi="宋体"/>
          <w:sz w:val="24"/>
        </w:rPr>
        <w:t>注：</w:t>
      </w:r>
    </w:p>
    <w:p>
      <w:pPr>
        <w:numPr>
          <w:ilvl w:val="0"/>
          <w:numId w:val="4"/>
        </w:numPr>
        <w:adjustRightInd w:val="0"/>
        <w:snapToGrid w:val="0"/>
        <w:rPr>
          <w:rFonts w:hint="eastAsia" w:ascii="宋体" w:hAnsi="宋体"/>
          <w:sz w:val="24"/>
        </w:rPr>
      </w:pPr>
      <w:r>
        <w:rPr>
          <w:rFonts w:hint="eastAsia" w:ascii="宋体" w:hAnsi="宋体"/>
          <w:sz w:val="24"/>
        </w:rPr>
        <w:t>投标人需如实完善表格内容。</w:t>
      </w:r>
    </w:p>
    <w:p>
      <w:pPr>
        <w:numPr>
          <w:ilvl w:val="0"/>
          <w:numId w:val="4"/>
        </w:numPr>
        <w:adjustRightInd w:val="0"/>
        <w:snapToGrid w:val="0"/>
        <w:rPr>
          <w:rFonts w:hint="eastAsia" w:ascii="宋体" w:hAnsi="宋体"/>
          <w:sz w:val="24"/>
        </w:rPr>
      </w:pPr>
      <w:r>
        <w:rPr>
          <w:rFonts w:hint="eastAsia" w:ascii="宋体" w:hAnsi="宋体"/>
          <w:sz w:val="24"/>
        </w:rPr>
        <w:t>投标人应答的主要内容应与投标文件一致，可以进行简要概括性表述。</w:t>
      </w:r>
    </w:p>
    <w:p>
      <w:pPr>
        <w:numPr>
          <w:ilvl w:val="0"/>
          <w:numId w:val="4"/>
        </w:numPr>
        <w:adjustRightInd w:val="0"/>
        <w:snapToGrid w:val="0"/>
        <w:rPr>
          <w:rFonts w:hint="eastAsia" w:ascii="宋体" w:hAnsi="宋体"/>
          <w:sz w:val="24"/>
        </w:rPr>
      </w:pPr>
      <w:r>
        <w:rPr>
          <w:rFonts w:hint="eastAsia" w:ascii="宋体" w:hAnsi="宋体"/>
          <w:sz w:val="24"/>
        </w:rPr>
        <w:t>投标人应答的主要内容仅用于结果公告，投标人自行完善的内容视为不涉及投标人商业秘密。若投标人没有填写或没有递交此表，视为允许采购代理机构将投标人投标文件中所有相关的应答内容进行公告。</w:t>
      </w:r>
    </w:p>
    <w:p>
      <w:pPr>
        <w:widowControl/>
        <w:adjustRightInd w:val="0"/>
        <w:snapToGrid w:val="0"/>
        <w:spacing w:line="360" w:lineRule="auto"/>
        <w:ind w:firstLine="472" w:firstLineChars="196"/>
        <w:jc w:val="left"/>
        <w:rPr>
          <w:rFonts w:hint="eastAsia" w:ascii="宋体" w:hAnsi="宋体"/>
          <w:b/>
          <w:bCs/>
          <w:sz w:val="24"/>
        </w:rPr>
      </w:pPr>
      <w:r>
        <w:rPr>
          <w:rFonts w:hint="eastAsia" w:ascii="宋体" w:hAnsi="宋体"/>
          <w:b/>
          <w:bCs/>
          <w:sz w:val="24"/>
        </w:rPr>
        <w:t>投标人名称：XXXX（单位盖章）。</w:t>
      </w:r>
    </w:p>
    <w:p>
      <w:pPr>
        <w:widowControl/>
        <w:spacing w:line="360" w:lineRule="auto"/>
        <w:ind w:left="489" w:leftChars="228" w:hanging="10" w:hangingChars="4"/>
        <w:jc w:val="left"/>
        <w:rPr>
          <w:rFonts w:hint="eastAsia"/>
        </w:rPr>
      </w:pPr>
      <w:r>
        <w:rPr>
          <w:rFonts w:hint="eastAsia" w:ascii="宋体" w:hAnsi="宋体"/>
          <w:b/>
          <w:bCs/>
          <w:sz w:val="24"/>
        </w:rPr>
        <w:t>法定代表人/单位负责人或授权代表（签字或加盖个人名章）：XXXX。</w:t>
      </w:r>
      <w:r>
        <w:rPr>
          <w:rFonts w:hint="eastAsia" w:ascii="宋体" w:hAnsi="宋体"/>
          <w:b/>
          <w:bCs/>
          <w:sz w:val="24"/>
        </w:rPr>
        <w:br w:type="textWrapping"/>
      </w:r>
      <w:r>
        <w:rPr>
          <w:rFonts w:hint="eastAsia" w:ascii="宋体"/>
          <w:b/>
          <w:bCs/>
          <w:sz w:val="24"/>
        </w:rPr>
        <w:t>包件号：</w:t>
      </w:r>
      <w:r>
        <w:rPr>
          <w:rFonts w:hint="eastAsia" w:ascii="宋体"/>
          <w:b/>
          <w:bCs/>
          <w:sz w:val="24"/>
          <w:u w:val="single"/>
        </w:rPr>
        <w:t xml:space="preserve">                                      </w:t>
      </w:r>
    </w:p>
    <w:p>
      <w:pPr>
        <w:widowControl/>
        <w:adjustRightInd w:val="0"/>
        <w:snapToGrid w:val="0"/>
        <w:ind w:firstLine="482" w:firstLineChars="200"/>
        <w:jc w:val="left"/>
        <w:rPr>
          <w:rFonts w:hint="eastAsia" w:ascii="宋体" w:hAnsi="宋体"/>
          <w:b/>
          <w:bCs/>
          <w:sz w:val="24"/>
        </w:rPr>
      </w:pPr>
      <w:r>
        <w:rPr>
          <w:rFonts w:hint="eastAsia" w:ascii="宋体" w:hAnsi="宋体"/>
          <w:b/>
          <w:bCs/>
          <w:sz w:val="24"/>
        </w:rPr>
        <w:t>投标日期: XXXX。</w:t>
      </w:r>
    </w:p>
    <w:p>
      <w:pPr>
        <w:spacing w:line="360" w:lineRule="auto"/>
        <w:rPr>
          <w:rFonts w:hint="eastAsia" w:ascii="宋体" w:hAnsi="宋体"/>
          <w:b/>
          <w:sz w:val="32"/>
          <w:szCs w:val="32"/>
        </w:rPr>
      </w:pPr>
      <w:r>
        <w:rPr>
          <w:rFonts w:hint="eastAsia" w:ascii="宋体" w:hAnsi="宋体"/>
          <w:b/>
          <w:sz w:val="32"/>
          <w:szCs w:val="32"/>
        </w:rPr>
        <w:br w:type="page"/>
      </w:r>
      <w:r>
        <w:rPr>
          <w:rFonts w:hint="eastAsia" w:ascii="宋体" w:hAnsi="宋体"/>
          <w:b/>
          <w:sz w:val="32"/>
          <w:szCs w:val="32"/>
        </w:rPr>
        <w:t>格式2-8</w:t>
      </w:r>
    </w:p>
    <w:p>
      <w:pPr>
        <w:widowControl/>
        <w:spacing w:line="360" w:lineRule="auto"/>
        <w:jc w:val="center"/>
        <w:outlineLvl w:val="2"/>
        <w:rPr>
          <w:rFonts w:hint="eastAsia" w:hAnsi="宋体"/>
          <w:b/>
          <w:sz w:val="32"/>
          <w:szCs w:val="32"/>
        </w:rPr>
      </w:pPr>
      <w:bookmarkStart w:id="204" w:name="_Toc503862938"/>
      <w:r>
        <w:rPr>
          <w:rFonts w:hAnsi="宋体"/>
          <w:b/>
          <w:sz w:val="32"/>
          <w:szCs w:val="32"/>
        </w:rPr>
        <w:t>七</w:t>
      </w:r>
      <w:r>
        <w:rPr>
          <w:rFonts w:hint="eastAsia" w:hAnsi="宋体"/>
          <w:b/>
          <w:sz w:val="32"/>
          <w:szCs w:val="32"/>
        </w:rPr>
        <w:t>、投标人基本情况表</w:t>
      </w:r>
      <w:bookmarkEnd w:id="204"/>
    </w:p>
    <w:tbl>
      <w:tblPr>
        <w:tblStyle w:val="23"/>
        <w:tblW w:w="9120" w:type="dxa"/>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824"/>
        <w:gridCol w:w="1368"/>
        <w:gridCol w:w="946"/>
        <w:gridCol w:w="1367"/>
        <w:gridCol w:w="1266"/>
        <w:gridCol w:w="801"/>
        <w:gridCol w:w="1548"/>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17" w:hRule="atLeast"/>
          <w:jc w:val="center"/>
        </w:trPr>
        <w:tc>
          <w:tcPr>
            <w:tcW w:w="1824" w:type="dxa"/>
            <w:vAlign w:val="center"/>
          </w:tcPr>
          <w:p>
            <w:pPr>
              <w:widowControl/>
              <w:jc w:val="center"/>
              <w:outlineLvl w:val="1"/>
              <w:rPr>
                <w:rFonts w:hint="eastAsia" w:ascii="宋体" w:hAnsi="宋体"/>
                <w:sz w:val="24"/>
              </w:rPr>
            </w:pPr>
            <w:bookmarkStart w:id="205" w:name="_Toc503862939"/>
            <w:r>
              <w:rPr>
                <w:rFonts w:hint="eastAsia" w:ascii="宋体" w:hAnsi="宋体"/>
                <w:sz w:val="24"/>
              </w:rPr>
              <w:t>投标人名称</w:t>
            </w:r>
            <w:bookmarkEnd w:id="205"/>
          </w:p>
        </w:tc>
        <w:tc>
          <w:tcPr>
            <w:tcW w:w="7296" w:type="dxa"/>
            <w:gridSpan w:val="6"/>
            <w:vAlign w:val="center"/>
          </w:tcPr>
          <w:p>
            <w:pPr>
              <w:widowControl/>
              <w:ind w:firstLine="470" w:firstLineChars="196"/>
              <w:jc w:val="center"/>
              <w:rPr>
                <w:rFonts w:hint="eastAsia" w:ascii="宋体" w:hAnsi="宋体"/>
                <w:sz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62" w:hRule="atLeast"/>
          <w:jc w:val="center"/>
        </w:trPr>
        <w:tc>
          <w:tcPr>
            <w:tcW w:w="1824" w:type="dxa"/>
            <w:vAlign w:val="center"/>
          </w:tcPr>
          <w:p>
            <w:pPr>
              <w:widowControl/>
              <w:jc w:val="center"/>
              <w:outlineLvl w:val="1"/>
              <w:rPr>
                <w:rFonts w:hint="eastAsia" w:ascii="宋体" w:hAnsi="宋体"/>
                <w:sz w:val="24"/>
              </w:rPr>
            </w:pPr>
            <w:bookmarkStart w:id="206" w:name="_Toc503862940"/>
            <w:r>
              <w:rPr>
                <w:rFonts w:hint="eastAsia" w:ascii="宋体" w:hAnsi="宋体"/>
                <w:sz w:val="24"/>
              </w:rPr>
              <w:t>注册地址</w:t>
            </w:r>
            <w:bookmarkEnd w:id="206"/>
          </w:p>
        </w:tc>
        <w:tc>
          <w:tcPr>
            <w:tcW w:w="3681" w:type="dxa"/>
            <w:gridSpan w:val="3"/>
            <w:vAlign w:val="center"/>
          </w:tcPr>
          <w:p>
            <w:pPr>
              <w:widowControl/>
              <w:ind w:firstLine="470" w:firstLineChars="196"/>
              <w:jc w:val="center"/>
              <w:rPr>
                <w:rFonts w:hint="eastAsia" w:ascii="宋体" w:hAnsi="宋体"/>
                <w:sz w:val="24"/>
              </w:rPr>
            </w:pPr>
          </w:p>
        </w:tc>
        <w:tc>
          <w:tcPr>
            <w:tcW w:w="1266" w:type="dxa"/>
            <w:vAlign w:val="center"/>
          </w:tcPr>
          <w:p>
            <w:pPr>
              <w:widowControl/>
              <w:jc w:val="center"/>
              <w:outlineLvl w:val="1"/>
              <w:rPr>
                <w:rFonts w:hint="eastAsia" w:ascii="宋体" w:hAnsi="宋体"/>
                <w:sz w:val="24"/>
              </w:rPr>
            </w:pPr>
            <w:bookmarkStart w:id="207" w:name="_Toc503862941"/>
            <w:r>
              <w:rPr>
                <w:rFonts w:hint="eastAsia" w:ascii="宋体" w:hAnsi="宋体"/>
                <w:sz w:val="24"/>
              </w:rPr>
              <w:t>邮政编码</w:t>
            </w:r>
            <w:bookmarkEnd w:id="207"/>
          </w:p>
        </w:tc>
        <w:tc>
          <w:tcPr>
            <w:tcW w:w="2349" w:type="dxa"/>
            <w:gridSpan w:val="2"/>
            <w:vAlign w:val="center"/>
          </w:tcPr>
          <w:p>
            <w:pPr>
              <w:widowControl/>
              <w:ind w:firstLine="470" w:firstLineChars="196"/>
              <w:jc w:val="center"/>
              <w:rPr>
                <w:rFonts w:hint="eastAsia" w:ascii="宋体" w:hAnsi="宋体"/>
                <w:sz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58" w:hRule="atLeast"/>
          <w:jc w:val="center"/>
        </w:trPr>
        <w:tc>
          <w:tcPr>
            <w:tcW w:w="1824" w:type="dxa"/>
            <w:vMerge w:val="restart"/>
            <w:vAlign w:val="center"/>
          </w:tcPr>
          <w:p>
            <w:pPr>
              <w:widowControl/>
              <w:jc w:val="center"/>
              <w:outlineLvl w:val="1"/>
              <w:rPr>
                <w:rFonts w:hint="eastAsia" w:ascii="宋体" w:hAnsi="宋体"/>
                <w:sz w:val="24"/>
              </w:rPr>
            </w:pPr>
            <w:bookmarkStart w:id="208" w:name="_Toc503862942"/>
            <w:r>
              <w:rPr>
                <w:rFonts w:hint="eastAsia" w:ascii="宋体" w:hAnsi="宋体"/>
                <w:sz w:val="24"/>
              </w:rPr>
              <w:t>联系方式</w:t>
            </w:r>
            <w:bookmarkEnd w:id="208"/>
          </w:p>
        </w:tc>
        <w:tc>
          <w:tcPr>
            <w:tcW w:w="1368" w:type="dxa"/>
            <w:vAlign w:val="center"/>
          </w:tcPr>
          <w:p>
            <w:pPr>
              <w:widowControl/>
              <w:jc w:val="center"/>
              <w:outlineLvl w:val="1"/>
              <w:rPr>
                <w:rFonts w:hint="eastAsia" w:ascii="宋体" w:hAnsi="宋体"/>
                <w:sz w:val="24"/>
              </w:rPr>
            </w:pPr>
            <w:bookmarkStart w:id="209" w:name="_Toc503862943"/>
            <w:r>
              <w:rPr>
                <w:rFonts w:hint="eastAsia" w:ascii="宋体" w:hAnsi="宋体"/>
                <w:sz w:val="24"/>
              </w:rPr>
              <w:t>联系人</w:t>
            </w:r>
            <w:bookmarkEnd w:id="209"/>
          </w:p>
        </w:tc>
        <w:tc>
          <w:tcPr>
            <w:tcW w:w="2313" w:type="dxa"/>
            <w:gridSpan w:val="2"/>
            <w:vAlign w:val="center"/>
          </w:tcPr>
          <w:p>
            <w:pPr>
              <w:widowControl/>
              <w:ind w:firstLine="470" w:firstLineChars="196"/>
              <w:jc w:val="center"/>
              <w:rPr>
                <w:rFonts w:hint="eastAsia" w:ascii="宋体" w:hAnsi="宋体"/>
                <w:sz w:val="24"/>
              </w:rPr>
            </w:pPr>
          </w:p>
        </w:tc>
        <w:tc>
          <w:tcPr>
            <w:tcW w:w="1266" w:type="dxa"/>
            <w:vAlign w:val="center"/>
          </w:tcPr>
          <w:p>
            <w:pPr>
              <w:widowControl/>
              <w:outlineLvl w:val="1"/>
              <w:rPr>
                <w:rFonts w:hint="eastAsia" w:ascii="宋体" w:hAnsi="宋体"/>
                <w:sz w:val="24"/>
              </w:rPr>
            </w:pPr>
            <w:bookmarkStart w:id="210" w:name="_Toc503862944"/>
            <w:r>
              <w:rPr>
                <w:rFonts w:hint="eastAsia" w:ascii="宋体" w:hAnsi="宋体"/>
                <w:sz w:val="24"/>
              </w:rPr>
              <w:t>电话</w:t>
            </w:r>
            <w:bookmarkEnd w:id="210"/>
          </w:p>
        </w:tc>
        <w:tc>
          <w:tcPr>
            <w:tcW w:w="2349" w:type="dxa"/>
            <w:gridSpan w:val="2"/>
            <w:vAlign w:val="center"/>
          </w:tcPr>
          <w:p>
            <w:pPr>
              <w:widowControl/>
              <w:ind w:firstLine="470" w:firstLineChars="196"/>
              <w:jc w:val="center"/>
              <w:rPr>
                <w:rFonts w:hint="eastAsia" w:ascii="宋体" w:hAnsi="宋体"/>
                <w:sz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60" w:hRule="atLeast"/>
          <w:jc w:val="center"/>
        </w:trPr>
        <w:tc>
          <w:tcPr>
            <w:tcW w:w="1824" w:type="dxa"/>
            <w:vMerge w:val="continue"/>
            <w:vAlign w:val="center"/>
          </w:tcPr>
          <w:p>
            <w:pPr>
              <w:jc w:val="center"/>
              <w:rPr>
                <w:rFonts w:ascii="宋体" w:hAnsi="宋体"/>
              </w:rPr>
            </w:pPr>
          </w:p>
        </w:tc>
        <w:tc>
          <w:tcPr>
            <w:tcW w:w="1368" w:type="dxa"/>
            <w:vAlign w:val="center"/>
          </w:tcPr>
          <w:p>
            <w:pPr>
              <w:widowControl/>
              <w:jc w:val="center"/>
              <w:outlineLvl w:val="1"/>
              <w:rPr>
                <w:rFonts w:hint="eastAsia" w:ascii="宋体" w:hAnsi="宋体"/>
                <w:sz w:val="24"/>
              </w:rPr>
            </w:pPr>
            <w:bookmarkStart w:id="211" w:name="_Toc503862945"/>
            <w:r>
              <w:rPr>
                <w:rFonts w:hint="eastAsia" w:ascii="宋体" w:hAnsi="宋体"/>
                <w:sz w:val="24"/>
              </w:rPr>
              <w:t>传真</w:t>
            </w:r>
            <w:bookmarkEnd w:id="211"/>
          </w:p>
        </w:tc>
        <w:tc>
          <w:tcPr>
            <w:tcW w:w="2313" w:type="dxa"/>
            <w:gridSpan w:val="2"/>
            <w:vAlign w:val="center"/>
          </w:tcPr>
          <w:p>
            <w:pPr>
              <w:widowControl/>
              <w:ind w:firstLine="470" w:firstLineChars="196"/>
              <w:jc w:val="center"/>
              <w:rPr>
                <w:rFonts w:hint="eastAsia" w:ascii="宋体" w:hAnsi="宋体"/>
                <w:sz w:val="24"/>
              </w:rPr>
            </w:pPr>
          </w:p>
        </w:tc>
        <w:tc>
          <w:tcPr>
            <w:tcW w:w="1266" w:type="dxa"/>
            <w:vAlign w:val="center"/>
          </w:tcPr>
          <w:p>
            <w:pPr>
              <w:widowControl/>
              <w:outlineLvl w:val="1"/>
              <w:rPr>
                <w:rFonts w:hint="eastAsia" w:ascii="宋体" w:hAnsi="宋体"/>
                <w:sz w:val="24"/>
              </w:rPr>
            </w:pPr>
            <w:bookmarkStart w:id="212" w:name="_Toc503862946"/>
            <w:r>
              <w:rPr>
                <w:rFonts w:hint="eastAsia" w:ascii="宋体" w:hAnsi="宋体"/>
                <w:sz w:val="24"/>
              </w:rPr>
              <w:t>网址</w:t>
            </w:r>
            <w:bookmarkEnd w:id="212"/>
          </w:p>
        </w:tc>
        <w:tc>
          <w:tcPr>
            <w:tcW w:w="2349" w:type="dxa"/>
            <w:gridSpan w:val="2"/>
            <w:vAlign w:val="center"/>
          </w:tcPr>
          <w:p>
            <w:pPr>
              <w:widowControl/>
              <w:ind w:firstLine="470" w:firstLineChars="196"/>
              <w:jc w:val="center"/>
              <w:rPr>
                <w:rFonts w:hint="eastAsia" w:ascii="宋体" w:hAnsi="宋体"/>
                <w:sz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97" w:hRule="atLeast"/>
          <w:jc w:val="center"/>
        </w:trPr>
        <w:tc>
          <w:tcPr>
            <w:tcW w:w="1824" w:type="dxa"/>
            <w:vAlign w:val="center"/>
          </w:tcPr>
          <w:p>
            <w:pPr>
              <w:widowControl/>
              <w:jc w:val="center"/>
              <w:outlineLvl w:val="1"/>
              <w:rPr>
                <w:rFonts w:hint="eastAsia" w:ascii="宋体" w:hAnsi="宋体"/>
                <w:sz w:val="24"/>
              </w:rPr>
            </w:pPr>
            <w:bookmarkStart w:id="213" w:name="_Toc503862947"/>
            <w:r>
              <w:rPr>
                <w:rFonts w:hint="eastAsia" w:ascii="宋体" w:hAnsi="宋体"/>
                <w:sz w:val="24"/>
              </w:rPr>
              <w:t>组织结构</w:t>
            </w:r>
            <w:bookmarkEnd w:id="213"/>
          </w:p>
        </w:tc>
        <w:tc>
          <w:tcPr>
            <w:tcW w:w="7296" w:type="dxa"/>
            <w:gridSpan w:val="6"/>
            <w:vAlign w:val="center"/>
          </w:tcPr>
          <w:p>
            <w:pPr>
              <w:widowControl/>
              <w:ind w:firstLine="470" w:firstLineChars="196"/>
              <w:jc w:val="center"/>
              <w:rPr>
                <w:rFonts w:hint="eastAsia" w:ascii="宋体" w:hAnsi="宋体"/>
                <w:sz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597" w:hRule="atLeast"/>
          <w:jc w:val="center"/>
        </w:trPr>
        <w:tc>
          <w:tcPr>
            <w:tcW w:w="1824" w:type="dxa"/>
            <w:vAlign w:val="center"/>
          </w:tcPr>
          <w:p>
            <w:pPr>
              <w:widowControl/>
              <w:jc w:val="center"/>
              <w:outlineLvl w:val="1"/>
              <w:rPr>
                <w:rFonts w:hint="eastAsia" w:ascii="宋体" w:hAnsi="宋体"/>
                <w:sz w:val="24"/>
              </w:rPr>
            </w:pPr>
            <w:bookmarkStart w:id="214" w:name="_Toc503862948"/>
            <w:r>
              <w:rPr>
                <w:rFonts w:hint="eastAsia" w:ascii="宋体" w:hAnsi="宋体"/>
                <w:sz w:val="24"/>
              </w:rPr>
              <w:t>法定代表人/单位负责人</w:t>
            </w:r>
            <w:bookmarkEnd w:id="214"/>
          </w:p>
        </w:tc>
        <w:tc>
          <w:tcPr>
            <w:tcW w:w="1368" w:type="dxa"/>
            <w:vAlign w:val="center"/>
          </w:tcPr>
          <w:p>
            <w:pPr>
              <w:widowControl/>
              <w:jc w:val="center"/>
              <w:outlineLvl w:val="1"/>
              <w:rPr>
                <w:rFonts w:hint="eastAsia" w:ascii="宋体" w:hAnsi="宋体"/>
                <w:sz w:val="24"/>
              </w:rPr>
            </w:pPr>
            <w:bookmarkStart w:id="215" w:name="_Toc503862949"/>
            <w:r>
              <w:rPr>
                <w:rFonts w:hint="eastAsia" w:ascii="宋体" w:hAnsi="宋体"/>
                <w:sz w:val="24"/>
              </w:rPr>
              <w:t>姓名</w:t>
            </w:r>
            <w:bookmarkEnd w:id="215"/>
          </w:p>
        </w:tc>
        <w:tc>
          <w:tcPr>
            <w:tcW w:w="946" w:type="dxa"/>
            <w:vAlign w:val="center"/>
          </w:tcPr>
          <w:p>
            <w:pPr>
              <w:widowControl/>
              <w:ind w:firstLine="470" w:firstLineChars="196"/>
              <w:jc w:val="center"/>
              <w:rPr>
                <w:rFonts w:hint="eastAsia" w:ascii="宋体" w:hAnsi="宋体"/>
                <w:sz w:val="24"/>
              </w:rPr>
            </w:pPr>
          </w:p>
        </w:tc>
        <w:tc>
          <w:tcPr>
            <w:tcW w:w="1367" w:type="dxa"/>
            <w:vAlign w:val="center"/>
          </w:tcPr>
          <w:p>
            <w:pPr>
              <w:widowControl/>
              <w:jc w:val="center"/>
              <w:outlineLvl w:val="1"/>
              <w:rPr>
                <w:rFonts w:hint="eastAsia" w:ascii="宋体" w:hAnsi="宋体"/>
                <w:sz w:val="24"/>
              </w:rPr>
            </w:pPr>
            <w:bookmarkStart w:id="216" w:name="_Toc503862950"/>
            <w:r>
              <w:rPr>
                <w:rFonts w:hint="eastAsia" w:ascii="宋体" w:hAnsi="宋体"/>
                <w:sz w:val="24"/>
              </w:rPr>
              <w:t>技术职称</w:t>
            </w:r>
            <w:bookmarkEnd w:id="216"/>
          </w:p>
        </w:tc>
        <w:tc>
          <w:tcPr>
            <w:tcW w:w="1266" w:type="dxa"/>
            <w:vAlign w:val="center"/>
          </w:tcPr>
          <w:p>
            <w:pPr>
              <w:widowControl/>
              <w:ind w:firstLine="470" w:firstLineChars="196"/>
              <w:jc w:val="center"/>
              <w:rPr>
                <w:rFonts w:hint="eastAsia" w:ascii="宋体" w:hAnsi="宋体"/>
                <w:sz w:val="24"/>
              </w:rPr>
            </w:pPr>
          </w:p>
        </w:tc>
        <w:tc>
          <w:tcPr>
            <w:tcW w:w="801" w:type="dxa"/>
            <w:vAlign w:val="center"/>
          </w:tcPr>
          <w:p>
            <w:pPr>
              <w:widowControl/>
              <w:jc w:val="center"/>
              <w:outlineLvl w:val="1"/>
              <w:rPr>
                <w:rFonts w:hint="eastAsia" w:ascii="宋体" w:hAnsi="宋体"/>
                <w:sz w:val="24"/>
              </w:rPr>
            </w:pPr>
            <w:bookmarkStart w:id="217" w:name="_Toc503862951"/>
            <w:r>
              <w:rPr>
                <w:rFonts w:hint="eastAsia" w:ascii="宋体" w:hAnsi="宋体"/>
                <w:sz w:val="24"/>
              </w:rPr>
              <w:t>电话</w:t>
            </w:r>
            <w:bookmarkEnd w:id="217"/>
          </w:p>
        </w:tc>
        <w:tc>
          <w:tcPr>
            <w:tcW w:w="1548" w:type="dxa"/>
            <w:vAlign w:val="center"/>
          </w:tcPr>
          <w:p>
            <w:pPr>
              <w:widowControl/>
              <w:ind w:firstLine="470" w:firstLineChars="196"/>
              <w:jc w:val="center"/>
              <w:rPr>
                <w:rFonts w:hint="eastAsia" w:ascii="宋体" w:hAnsi="宋体"/>
                <w:sz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26" w:hRule="atLeast"/>
          <w:jc w:val="center"/>
        </w:trPr>
        <w:tc>
          <w:tcPr>
            <w:tcW w:w="1824" w:type="dxa"/>
            <w:vAlign w:val="center"/>
          </w:tcPr>
          <w:p>
            <w:pPr>
              <w:widowControl/>
              <w:jc w:val="center"/>
              <w:outlineLvl w:val="1"/>
              <w:rPr>
                <w:rFonts w:hint="eastAsia" w:ascii="宋体" w:hAnsi="宋体"/>
                <w:sz w:val="24"/>
              </w:rPr>
            </w:pPr>
            <w:bookmarkStart w:id="218" w:name="_Toc503862952"/>
            <w:r>
              <w:rPr>
                <w:rFonts w:hint="eastAsia" w:ascii="宋体" w:hAnsi="宋体"/>
                <w:sz w:val="24"/>
              </w:rPr>
              <w:t>技术负责人</w:t>
            </w:r>
            <w:bookmarkEnd w:id="218"/>
          </w:p>
        </w:tc>
        <w:tc>
          <w:tcPr>
            <w:tcW w:w="1368" w:type="dxa"/>
            <w:vAlign w:val="center"/>
          </w:tcPr>
          <w:p>
            <w:pPr>
              <w:widowControl/>
              <w:jc w:val="center"/>
              <w:outlineLvl w:val="1"/>
              <w:rPr>
                <w:rFonts w:hint="eastAsia" w:ascii="宋体" w:hAnsi="宋体"/>
                <w:sz w:val="24"/>
              </w:rPr>
            </w:pPr>
            <w:bookmarkStart w:id="219" w:name="_Toc503862953"/>
            <w:r>
              <w:rPr>
                <w:rFonts w:hint="eastAsia" w:ascii="宋体" w:hAnsi="宋体"/>
                <w:sz w:val="24"/>
              </w:rPr>
              <w:t>姓名</w:t>
            </w:r>
            <w:bookmarkEnd w:id="219"/>
          </w:p>
        </w:tc>
        <w:tc>
          <w:tcPr>
            <w:tcW w:w="946" w:type="dxa"/>
            <w:vAlign w:val="center"/>
          </w:tcPr>
          <w:p>
            <w:pPr>
              <w:widowControl/>
              <w:ind w:firstLine="470" w:firstLineChars="196"/>
              <w:jc w:val="center"/>
              <w:rPr>
                <w:rFonts w:hint="eastAsia" w:ascii="宋体" w:hAnsi="宋体"/>
                <w:sz w:val="24"/>
              </w:rPr>
            </w:pPr>
          </w:p>
        </w:tc>
        <w:tc>
          <w:tcPr>
            <w:tcW w:w="1367" w:type="dxa"/>
            <w:vAlign w:val="center"/>
          </w:tcPr>
          <w:p>
            <w:pPr>
              <w:widowControl/>
              <w:jc w:val="center"/>
              <w:outlineLvl w:val="1"/>
              <w:rPr>
                <w:rFonts w:hint="eastAsia" w:ascii="宋体" w:hAnsi="宋体"/>
                <w:sz w:val="24"/>
              </w:rPr>
            </w:pPr>
            <w:bookmarkStart w:id="220" w:name="_Toc503862954"/>
            <w:r>
              <w:rPr>
                <w:rFonts w:hint="eastAsia" w:ascii="宋体" w:hAnsi="宋体"/>
                <w:sz w:val="24"/>
              </w:rPr>
              <w:t>技术职称</w:t>
            </w:r>
            <w:bookmarkEnd w:id="220"/>
          </w:p>
        </w:tc>
        <w:tc>
          <w:tcPr>
            <w:tcW w:w="1266" w:type="dxa"/>
            <w:vAlign w:val="center"/>
          </w:tcPr>
          <w:p>
            <w:pPr>
              <w:widowControl/>
              <w:ind w:firstLine="470" w:firstLineChars="196"/>
              <w:jc w:val="center"/>
              <w:rPr>
                <w:rFonts w:hint="eastAsia" w:ascii="宋体" w:hAnsi="宋体"/>
                <w:sz w:val="24"/>
              </w:rPr>
            </w:pPr>
          </w:p>
        </w:tc>
        <w:tc>
          <w:tcPr>
            <w:tcW w:w="801" w:type="dxa"/>
            <w:vAlign w:val="center"/>
          </w:tcPr>
          <w:p>
            <w:pPr>
              <w:widowControl/>
              <w:jc w:val="center"/>
              <w:outlineLvl w:val="1"/>
              <w:rPr>
                <w:rFonts w:hint="eastAsia" w:ascii="宋体" w:hAnsi="宋体"/>
                <w:sz w:val="24"/>
              </w:rPr>
            </w:pPr>
            <w:bookmarkStart w:id="221" w:name="_Toc503862955"/>
            <w:r>
              <w:rPr>
                <w:rFonts w:hint="eastAsia" w:ascii="宋体" w:hAnsi="宋体"/>
                <w:sz w:val="24"/>
              </w:rPr>
              <w:t>电话</w:t>
            </w:r>
            <w:bookmarkEnd w:id="221"/>
          </w:p>
        </w:tc>
        <w:tc>
          <w:tcPr>
            <w:tcW w:w="1548" w:type="dxa"/>
            <w:vAlign w:val="center"/>
          </w:tcPr>
          <w:p>
            <w:pPr>
              <w:widowControl/>
              <w:ind w:firstLine="470" w:firstLineChars="196"/>
              <w:jc w:val="center"/>
              <w:rPr>
                <w:rFonts w:hint="eastAsia" w:ascii="宋体" w:hAnsi="宋体"/>
                <w:sz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0" w:hRule="atLeast"/>
          <w:jc w:val="center"/>
        </w:trPr>
        <w:tc>
          <w:tcPr>
            <w:tcW w:w="1824" w:type="dxa"/>
            <w:vAlign w:val="center"/>
          </w:tcPr>
          <w:p>
            <w:pPr>
              <w:widowControl/>
              <w:jc w:val="center"/>
              <w:outlineLvl w:val="1"/>
              <w:rPr>
                <w:rFonts w:hint="eastAsia" w:ascii="宋体" w:hAnsi="宋体"/>
                <w:sz w:val="24"/>
              </w:rPr>
            </w:pPr>
            <w:bookmarkStart w:id="222" w:name="_Toc503862956"/>
            <w:r>
              <w:rPr>
                <w:rFonts w:hint="eastAsia" w:ascii="宋体" w:hAnsi="宋体"/>
                <w:sz w:val="24"/>
              </w:rPr>
              <w:t>成立时间</w:t>
            </w:r>
            <w:bookmarkEnd w:id="222"/>
          </w:p>
        </w:tc>
        <w:tc>
          <w:tcPr>
            <w:tcW w:w="2314" w:type="dxa"/>
            <w:gridSpan w:val="2"/>
            <w:vAlign w:val="center"/>
          </w:tcPr>
          <w:p>
            <w:pPr>
              <w:widowControl/>
              <w:ind w:firstLine="470" w:firstLineChars="196"/>
              <w:jc w:val="center"/>
              <w:rPr>
                <w:rFonts w:hint="eastAsia" w:ascii="宋体" w:hAnsi="宋体"/>
                <w:sz w:val="24"/>
              </w:rPr>
            </w:pPr>
          </w:p>
        </w:tc>
        <w:tc>
          <w:tcPr>
            <w:tcW w:w="4982" w:type="dxa"/>
            <w:gridSpan w:val="4"/>
            <w:vAlign w:val="center"/>
          </w:tcPr>
          <w:p>
            <w:pPr>
              <w:widowControl/>
              <w:jc w:val="left"/>
              <w:outlineLvl w:val="1"/>
              <w:rPr>
                <w:rFonts w:hint="eastAsia" w:ascii="宋体" w:hAnsi="宋体"/>
                <w:sz w:val="24"/>
              </w:rPr>
            </w:pPr>
            <w:bookmarkStart w:id="223" w:name="_Toc503862957"/>
            <w:r>
              <w:rPr>
                <w:rFonts w:hint="eastAsia" w:ascii="宋体" w:hAnsi="宋体"/>
                <w:sz w:val="24"/>
              </w:rPr>
              <w:t>员工总人数：</w:t>
            </w:r>
            <w:bookmarkEnd w:id="223"/>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44" w:hRule="atLeast"/>
          <w:jc w:val="center"/>
        </w:trPr>
        <w:tc>
          <w:tcPr>
            <w:tcW w:w="1824" w:type="dxa"/>
            <w:vAlign w:val="center"/>
          </w:tcPr>
          <w:p>
            <w:pPr>
              <w:widowControl/>
              <w:jc w:val="center"/>
              <w:outlineLvl w:val="1"/>
              <w:rPr>
                <w:rFonts w:hint="eastAsia" w:ascii="宋体" w:hAnsi="宋体"/>
                <w:sz w:val="24"/>
              </w:rPr>
            </w:pPr>
            <w:bookmarkStart w:id="224" w:name="_Toc503862958"/>
            <w:r>
              <w:rPr>
                <w:rFonts w:hint="eastAsia" w:ascii="宋体" w:hAnsi="宋体"/>
                <w:sz w:val="24"/>
              </w:rPr>
              <w:t>企业资质等级</w:t>
            </w:r>
            <w:bookmarkEnd w:id="224"/>
          </w:p>
        </w:tc>
        <w:tc>
          <w:tcPr>
            <w:tcW w:w="7296" w:type="dxa"/>
            <w:gridSpan w:val="6"/>
            <w:vAlign w:val="center"/>
          </w:tcPr>
          <w:p>
            <w:pPr>
              <w:widowControl/>
              <w:ind w:firstLine="470" w:firstLineChars="196"/>
              <w:jc w:val="center"/>
              <w:rPr>
                <w:rFonts w:hint="eastAsia" w:ascii="宋体" w:hAnsi="宋体"/>
                <w:sz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0" w:hRule="atLeast"/>
          <w:jc w:val="center"/>
        </w:trPr>
        <w:tc>
          <w:tcPr>
            <w:tcW w:w="1824" w:type="dxa"/>
            <w:vAlign w:val="center"/>
          </w:tcPr>
          <w:p>
            <w:pPr>
              <w:widowControl/>
              <w:jc w:val="center"/>
              <w:outlineLvl w:val="1"/>
              <w:rPr>
                <w:rFonts w:hint="eastAsia" w:ascii="宋体" w:hAnsi="宋体"/>
                <w:sz w:val="24"/>
              </w:rPr>
            </w:pPr>
            <w:bookmarkStart w:id="225" w:name="_Toc503862961"/>
            <w:r>
              <w:rPr>
                <w:rFonts w:hint="eastAsia" w:ascii="宋体" w:hAnsi="宋体"/>
                <w:sz w:val="24"/>
              </w:rPr>
              <w:t>营业执照号</w:t>
            </w:r>
            <w:bookmarkEnd w:id="225"/>
          </w:p>
        </w:tc>
        <w:tc>
          <w:tcPr>
            <w:tcW w:w="7296" w:type="dxa"/>
            <w:gridSpan w:val="6"/>
            <w:vAlign w:val="center"/>
          </w:tcPr>
          <w:p>
            <w:pPr>
              <w:widowControl/>
              <w:ind w:firstLine="470" w:firstLineChars="196"/>
              <w:jc w:val="center"/>
              <w:rPr>
                <w:rFonts w:hint="eastAsia" w:ascii="宋体" w:hAnsi="宋体"/>
                <w:sz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97" w:hRule="atLeast"/>
          <w:jc w:val="center"/>
        </w:trPr>
        <w:tc>
          <w:tcPr>
            <w:tcW w:w="1824" w:type="dxa"/>
            <w:vAlign w:val="center"/>
          </w:tcPr>
          <w:p>
            <w:pPr>
              <w:widowControl/>
              <w:jc w:val="center"/>
              <w:outlineLvl w:val="1"/>
              <w:rPr>
                <w:rFonts w:hint="eastAsia" w:ascii="宋体" w:hAnsi="宋体"/>
                <w:sz w:val="24"/>
              </w:rPr>
            </w:pPr>
            <w:bookmarkStart w:id="226" w:name="_Toc503862963"/>
            <w:r>
              <w:rPr>
                <w:rFonts w:hint="eastAsia" w:ascii="宋体" w:hAnsi="宋体"/>
                <w:sz w:val="24"/>
              </w:rPr>
              <w:t>注册资金</w:t>
            </w:r>
            <w:bookmarkEnd w:id="226"/>
          </w:p>
        </w:tc>
        <w:tc>
          <w:tcPr>
            <w:tcW w:w="7296" w:type="dxa"/>
            <w:gridSpan w:val="6"/>
            <w:vAlign w:val="center"/>
          </w:tcPr>
          <w:p>
            <w:pPr>
              <w:widowControl/>
              <w:ind w:firstLine="470" w:firstLineChars="196"/>
              <w:jc w:val="center"/>
              <w:rPr>
                <w:rFonts w:hint="eastAsia" w:ascii="宋体" w:hAnsi="宋体"/>
                <w:sz w:val="24"/>
              </w:rPr>
            </w:pPr>
          </w:p>
          <w:p>
            <w:pPr>
              <w:widowControl/>
              <w:ind w:firstLine="470" w:firstLineChars="196"/>
              <w:jc w:val="center"/>
              <w:rPr>
                <w:rFonts w:hint="eastAsia" w:ascii="宋体" w:hAnsi="宋体"/>
                <w:sz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02" w:hRule="atLeast"/>
          <w:jc w:val="center"/>
        </w:trPr>
        <w:tc>
          <w:tcPr>
            <w:tcW w:w="1824" w:type="dxa"/>
            <w:vAlign w:val="center"/>
          </w:tcPr>
          <w:p>
            <w:pPr>
              <w:widowControl/>
              <w:jc w:val="center"/>
              <w:outlineLvl w:val="1"/>
              <w:rPr>
                <w:rFonts w:hint="eastAsia" w:ascii="宋体" w:hAnsi="宋体"/>
                <w:sz w:val="24"/>
              </w:rPr>
            </w:pPr>
            <w:bookmarkStart w:id="227" w:name="_Toc503862965"/>
            <w:r>
              <w:rPr>
                <w:rFonts w:hint="eastAsia" w:ascii="宋体" w:hAnsi="宋体"/>
                <w:sz w:val="24"/>
              </w:rPr>
              <w:t>开户银行</w:t>
            </w:r>
            <w:bookmarkEnd w:id="227"/>
          </w:p>
        </w:tc>
        <w:tc>
          <w:tcPr>
            <w:tcW w:w="7296" w:type="dxa"/>
            <w:gridSpan w:val="6"/>
            <w:vAlign w:val="center"/>
          </w:tcPr>
          <w:p>
            <w:pPr>
              <w:widowControl/>
              <w:ind w:firstLine="470" w:firstLineChars="196"/>
              <w:jc w:val="center"/>
              <w:rPr>
                <w:rFonts w:hint="eastAsia" w:ascii="宋体" w:hAnsi="宋体"/>
                <w:sz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36" w:hRule="atLeast"/>
          <w:jc w:val="center"/>
        </w:trPr>
        <w:tc>
          <w:tcPr>
            <w:tcW w:w="1824" w:type="dxa"/>
            <w:vAlign w:val="center"/>
          </w:tcPr>
          <w:p>
            <w:pPr>
              <w:widowControl/>
              <w:ind w:firstLine="470" w:firstLineChars="196"/>
              <w:outlineLvl w:val="1"/>
              <w:rPr>
                <w:rFonts w:hint="eastAsia" w:ascii="宋体" w:hAnsi="宋体"/>
                <w:sz w:val="24"/>
              </w:rPr>
            </w:pPr>
            <w:bookmarkStart w:id="228" w:name="_Toc503862967"/>
            <w:r>
              <w:rPr>
                <w:rFonts w:hint="eastAsia" w:ascii="宋体" w:hAnsi="宋体"/>
                <w:sz w:val="24"/>
              </w:rPr>
              <w:t>账号</w:t>
            </w:r>
            <w:bookmarkEnd w:id="228"/>
          </w:p>
        </w:tc>
        <w:tc>
          <w:tcPr>
            <w:tcW w:w="7296" w:type="dxa"/>
            <w:gridSpan w:val="6"/>
            <w:vAlign w:val="center"/>
          </w:tcPr>
          <w:p>
            <w:pPr>
              <w:widowControl/>
              <w:ind w:firstLine="470" w:firstLineChars="196"/>
              <w:jc w:val="center"/>
              <w:rPr>
                <w:rFonts w:hint="eastAsia" w:ascii="宋体" w:hAnsi="宋体"/>
                <w:sz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398" w:hRule="atLeast"/>
          <w:jc w:val="center"/>
        </w:trPr>
        <w:tc>
          <w:tcPr>
            <w:tcW w:w="1824" w:type="dxa"/>
            <w:vAlign w:val="center"/>
          </w:tcPr>
          <w:p>
            <w:pPr>
              <w:widowControl/>
              <w:jc w:val="center"/>
              <w:outlineLvl w:val="1"/>
              <w:rPr>
                <w:rFonts w:hint="eastAsia" w:ascii="宋体" w:hAnsi="宋体"/>
                <w:sz w:val="24"/>
              </w:rPr>
            </w:pPr>
            <w:bookmarkStart w:id="229" w:name="_Toc503862969"/>
            <w:r>
              <w:rPr>
                <w:rFonts w:hint="eastAsia" w:ascii="宋体" w:hAnsi="宋体"/>
                <w:sz w:val="24"/>
              </w:rPr>
              <w:t>经营范围</w:t>
            </w:r>
            <w:bookmarkEnd w:id="229"/>
          </w:p>
        </w:tc>
        <w:tc>
          <w:tcPr>
            <w:tcW w:w="7296" w:type="dxa"/>
            <w:gridSpan w:val="6"/>
            <w:vAlign w:val="center"/>
          </w:tcPr>
          <w:p>
            <w:pPr>
              <w:widowControl/>
              <w:ind w:firstLine="470" w:firstLineChars="196"/>
              <w:jc w:val="center"/>
              <w:rPr>
                <w:rFonts w:hint="eastAsia" w:ascii="宋体" w:hAnsi="宋体"/>
                <w:sz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71" w:hRule="atLeast"/>
          <w:jc w:val="center"/>
        </w:trPr>
        <w:tc>
          <w:tcPr>
            <w:tcW w:w="1824" w:type="dxa"/>
            <w:vAlign w:val="center"/>
          </w:tcPr>
          <w:p>
            <w:pPr>
              <w:widowControl/>
              <w:ind w:firstLine="470" w:firstLineChars="196"/>
              <w:jc w:val="center"/>
              <w:outlineLvl w:val="1"/>
              <w:rPr>
                <w:rFonts w:hint="eastAsia" w:ascii="宋体" w:hAnsi="宋体"/>
                <w:sz w:val="24"/>
              </w:rPr>
            </w:pPr>
            <w:bookmarkStart w:id="230" w:name="_Toc503862970"/>
            <w:r>
              <w:rPr>
                <w:rFonts w:hint="eastAsia" w:ascii="宋体" w:hAnsi="宋体"/>
                <w:sz w:val="24"/>
              </w:rPr>
              <w:t>备注</w:t>
            </w:r>
            <w:bookmarkEnd w:id="230"/>
          </w:p>
        </w:tc>
        <w:tc>
          <w:tcPr>
            <w:tcW w:w="7296" w:type="dxa"/>
            <w:gridSpan w:val="6"/>
            <w:vAlign w:val="center"/>
          </w:tcPr>
          <w:p>
            <w:pPr>
              <w:widowControl/>
              <w:ind w:firstLine="470" w:firstLineChars="196"/>
              <w:jc w:val="center"/>
              <w:rPr>
                <w:rFonts w:hint="eastAsia" w:ascii="宋体" w:hAnsi="宋体"/>
                <w:sz w:val="24"/>
              </w:rPr>
            </w:pPr>
          </w:p>
        </w:tc>
      </w:tr>
    </w:tbl>
    <w:p>
      <w:pPr>
        <w:widowControl/>
        <w:adjustRightInd w:val="0"/>
        <w:snapToGrid w:val="0"/>
        <w:spacing w:line="360" w:lineRule="auto"/>
        <w:jc w:val="left"/>
        <w:rPr>
          <w:rFonts w:hint="eastAsia" w:ascii="宋体" w:hAnsi="宋体"/>
          <w:b/>
          <w:bCs/>
          <w:sz w:val="24"/>
        </w:rPr>
      </w:pPr>
    </w:p>
    <w:p>
      <w:pPr>
        <w:widowControl/>
        <w:adjustRightInd w:val="0"/>
        <w:snapToGrid w:val="0"/>
        <w:spacing w:line="360" w:lineRule="auto"/>
        <w:ind w:firstLine="472" w:firstLineChars="196"/>
        <w:jc w:val="left"/>
        <w:rPr>
          <w:rFonts w:hint="eastAsia" w:ascii="宋体" w:hAnsi="宋体"/>
          <w:b/>
          <w:bCs/>
          <w:sz w:val="24"/>
        </w:rPr>
      </w:pPr>
      <w:r>
        <w:rPr>
          <w:rFonts w:hint="eastAsia" w:ascii="宋体" w:hAnsi="宋体"/>
          <w:b/>
          <w:bCs/>
          <w:sz w:val="24"/>
        </w:rPr>
        <w:t>投标人名称：XXXX（单位盖章）。</w:t>
      </w:r>
    </w:p>
    <w:p>
      <w:pPr>
        <w:widowControl/>
        <w:adjustRightInd w:val="0"/>
        <w:snapToGrid w:val="0"/>
        <w:spacing w:line="360" w:lineRule="auto"/>
        <w:ind w:firstLine="472" w:firstLineChars="196"/>
        <w:jc w:val="left"/>
        <w:rPr>
          <w:rFonts w:hint="eastAsia" w:ascii="宋体" w:hAnsi="宋体"/>
          <w:b/>
          <w:bCs/>
          <w:sz w:val="24"/>
        </w:rPr>
      </w:pPr>
      <w:r>
        <w:rPr>
          <w:rFonts w:hint="eastAsia" w:ascii="宋体" w:hAnsi="宋体"/>
          <w:b/>
          <w:bCs/>
          <w:sz w:val="24"/>
        </w:rPr>
        <w:t>法定代表人/单位负责人或授权代表（签字或加盖个人名章）：XXXX。</w:t>
      </w:r>
    </w:p>
    <w:p>
      <w:pPr>
        <w:widowControl/>
        <w:adjustRightInd w:val="0"/>
        <w:snapToGrid w:val="0"/>
        <w:spacing w:line="360" w:lineRule="auto"/>
        <w:ind w:firstLine="472" w:firstLineChars="196"/>
        <w:jc w:val="left"/>
        <w:rPr>
          <w:rFonts w:hint="eastAsia" w:ascii="宋体"/>
          <w:b/>
          <w:bCs/>
          <w:sz w:val="24"/>
        </w:rPr>
      </w:pPr>
      <w:r>
        <w:rPr>
          <w:rFonts w:hint="eastAsia" w:ascii="宋体"/>
          <w:b/>
          <w:bCs/>
          <w:sz w:val="24"/>
        </w:rPr>
        <w:t>包件号：</w:t>
      </w:r>
    </w:p>
    <w:p>
      <w:pPr>
        <w:widowControl/>
        <w:adjustRightInd w:val="0"/>
        <w:snapToGrid w:val="0"/>
        <w:spacing w:line="360" w:lineRule="auto"/>
        <w:ind w:firstLine="472" w:firstLineChars="196"/>
        <w:jc w:val="left"/>
        <w:rPr>
          <w:rFonts w:hint="eastAsia" w:ascii="宋体" w:hAnsi="宋体"/>
          <w:b/>
          <w:bCs/>
          <w:sz w:val="24"/>
        </w:rPr>
      </w:pPr>
      <w:r>
        <w:rPr>
          <w:rFonts w:hint="eastAsia" w:ascii="宋体" w:hAnsi="宋体"/>
          <w:b/>
          <w:bCs/>
          <w:sz w:val="24"/>
        </w:rPr>
        <w:t>投标日期: XXXX。</w:t>
      </w:r>
    </w:p>
    <w:p>
      <w:pPr>
        <w:spacing w:line="360" w:lineRule="auto"/>
        <w:rPr>
          <w:rFonts w:hint="eastAsia" w:ascii="宋体" w:hAnsi="宋体"/>
          <w:b/>
          <w:sz w:val="32"/>
          <w:szCs w:val="32"/>
        </w:rPr>
      </w:pPr>
      <w:r>
        <w:rPr>
          <w:rFonts w:hint="eastAsia" w:ascii="宋体" w:hAnsi="宋体"/>
          <w:b/>
          <w:sz w:val="32"/>
          <w:szCs w:val="32"/>
        </w:rPr>
        <w:br w:type="page"/>
      </w:r>
      <w:r>
        <w:rPr>
          <w:rFonts w:hint="eastAsia" w:ascii="宋体" w:hAnsi="宋体"/>
          <w:b/>
          <w:sz w:val="32"/>
          <w:szCs w:val="32"/>
        </w:rPr>
        <w:t>格式2-9</w:t>
      </w:r>
    </w:p>
    <w:p>
      <w:pPr>
        <w:widowControl/>
        <w:spacing w:line="360" w:lineRule="auto"/>
        <w:jc w:val="center"/>
        <w:outlineLvl w:val="2"/>
        <w:rPr>
          <w:rFonts w:hint="eastAsia" w:hAnsi="宋体"/>
          <w:b/>
          <w:sz w:val="32"/>
          <w:szCs w:val="32"/>
        </w:rPr>
      </w:pPr>
      <w:bookmarkStart w:id="231" w:name="_Toc503862974"/>
      <w:r>
        <w:rPr>
          <w:rFonts w:hAnsi="宋体"/>
          <w:b/>
          <w:sz w:val="32"/>
          <w:szCs w:val="32"/>
        </w:rPr>
        <w:t>八</w:t>
      </w:r>
      <w:r>
        <w:rPr>
          <w:rFonts w:hint="eastAsia" w:hAnsi="宋体"/>
          <w:b/>
          <w:sz w:val="32"/>
          <w:szCs w:val="32"/>
        </w:rPr>
        <w:t>、类似项目业绩一览表</w:t>
      </w:r>
      <w:bookmarkEnd w:id="231"/>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54" w:type="dxa"/>
          <w:bottom w:w="0" w:type="dxa"/>
          <w:right w:w="54" w:type="dxa"/>
        </w:tblCellMar>
      </w:tblPr>
      <w:tblGrid>
        <w:gridCol w:w="1578"/>
        <w:gridCol w:w="1970"/>
        <w:gridCol w:w="1881"/>
        <w:gridCol w:w="1895"/>
        <w:gridCol w:w="1199"/>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00" w:hRule="atLeast"/>
          <w:jc w:val="center"/>
        </w:trPr>
        <w:tc>
          <w:tcPr>
            <w:tcW w:w="1578" w:type="dxa"/>
            <w:tcBorders>
              <w:top w:val="single" w:color="auto" w:sz="4" w:space="0"/>
            </w:tcBorders>
            <w:vAlign w:val="center"/>
          </w:tcPr>
          <w:p>
            <w:pPr>
              <w:widowControl/>
              <w:spacing w:line="360" w:lineRule="atLeast"/>
              <w:jc w:val="center"/>
              <w:rPr>
                <w:rFonts w:hint="eastAsia" w:ascii="宋体" w:hAnsi="宋体"/>
                <w:b/>
                <w:bCs/>
                <w:sz w:val="24"/>
              </w:rPr>
            </w:pPr>
            <w:bookmarkStart w:id="232" w:name="_Toc503862975"/>
            <w:r>
              <w:rPr>
                <w:rFonts w:hint="eastAsia" w:ascii="宋体" w:hAnsi="宋体"/>
                <w:b/>
                <w:bCs/>
                <w:sz w:val="24"/>
              </w:rPr>
              <w:t>年</w:t>
            </w:r>
            <w:r>
              <w:rPr>
                <w:rFonts w:ascii="宋体" w:hAnsi="宋体"/>
                <w:b/>
                <w:bCs/>
                <w:sz w:val="24"/>
              </w:rPr>
              <w:t xml:space="preserve">  </w:t>
            </w:r>
            <w:r>
              <w:rPr>
                <w:rFonts w:hint="eastAsia" w:ascii="宋体" w:hAnsi="宋体"/>
                <w:b/>
                <w:bCs/>
                <w:sz w:val="24"/>
              </w:rPr>
              <w:t>份</w:t>
            </w:r>
            <w:bookmarkEnd w:id="232"/>
          </w:p>
        </w:tc>
        <w:tc>
          <w:tcPr>
            <w:tcW w:w="1970" w:type="dxa"/>
            <w:vAlign w:val="center"/>
          </w:tcPr>
          <w:p>
            <w:pPr>
              <w:widowControl/>
              <w:spacing w:line="360" w:lineRule="atLeast"/>
              <w:jc w:val="center"/>
              <w:rPr>
                <w:rFonts w:hint="eastAsia" w:ascii="宋体" w:hAnsi="宋体"/>
                <w:b/>
                <w:bCs/>
                <w:sz w:val="24"/>
              </w:rPr>
            </w:pPr>
            <w:bookmarkStart w:id="233" w:name="_Toc503862976"/>
            <w:r>
              <w:rPr>
                <w:rFonts w:hint="eastAsia" w:ascii="宋体" w:hAnsi="宋体"/>
                <w:b/>
                <w:bCs/>
                <w:sz w:val="24"/>
              </w:rPr>
              <w:t>用户名称</w:t>
            </w:r>
            <w:bookmarkEnd w:id="233"/>
          </w:p>
        </w:tc>
        <w:tc>
          <w:tcPr>
            <w:tcW w:w="1881" w:type="dxa"/>
            <w:vAlign w:val="center"/>
          </w:tcPr>
          <w:p>
            <w:pPr>
              <w:widowControl/>
              <w:spacing w:line="360" w:lineRule="atLeast"/>
              <w:jc w:val="center"/>
              <w:rPr>
                <w:rFonts w:hint="eastAsia" w:ascii="宋体" w:hAnsi="宋体"/>
                <w:b/>
                <w:bCs/>
                <w:sz w:val="24"/>
              </w:rPr>
            </w:pPr>
            <w:bookmarkStart w:id="234" w:name="_Toc503862977"/>
            <w:r>
              <w:rPr>
                <w:rFonts w:hint="eastAsia" w:ascii="宋体" w:hAnsi="宋体"/>
                <w:b/>
                <w:bCs/>
                <w:sz w:val="24"/>
              </w:rPr>
              <w:t>项目名称</w:t>
            </w:r>
            <w:bookmarkEnd w:id="234"/>
          </w:p>
        </w:tc>
        <w:tc>
          <w:tcPr>
            <w:tcW w:w="1895" w:type="dxa"/>
            <w:vAlign w:val="center"/>
          </w:tcPr>
          <w:p>
            <w:pPr>
              <w:widowControl/>
              <w:spacing w:line="360" w:lineRule="atLeast"/>
              <w:jc w:val="center"/>
              <w:rPr>
                <w:rFonts w:hint="eastAsia" w:ascii="宋体" w:hAnsi="宋体"/>
                <w:b/>
                <w:bCs/>
                <w:sz w:val="24"/>
              </w:rPr>
            </w:pPr>
            <w:bookmarkStart w:id="235" w:name="_Toc503862979"/>
            <w:r>
              <w:rPr>
                <w:rFonts w:hint="eastAsia" w:ascii="宋体" w:hAnsi="宋体"/>
                <w:b/>
                <w:bCs/>
                <w:sz w:val="24"/>
              </w:rPr>
              <w:t>合同金额</w:t>
            </w:r>
            <w:bookmarkEnd w:id="235"/>
          </w:p>
        </w:tc>
        <w:tc>
          <w:tcPr>
            <w:tcW w:w="1199" w:type="dxa"/>
            <w:vAlign w:val="center"/>
          </w:tcPr>
          <w:p>
            <w:pPr>
              <w:widowControl/>
              <w:spacing w:line="360" w:lineRule="atLeast"/>
              <w:jc w:val="center"/>
              <w:rPr>
                <w:rFonts w:hint="eastAsia" w:ascii="宋体" w:hAnsi="宋体"/>
                <w:b/>
                <w:bCs/>
                <w:sz w:val="24"/>
              </w:rPr>
            </w:pPr>
            <w:bookmarkStart w:id="236" w:name="_Toc503862981"/>
            <w:r>
              <w:rPr>
                <w:rFonts w:hint="eastAsia" w:ascii="宋体" w:hAnsi="宋体"/>
                <w:b/>
                <w:bCs/>
                <w:sz w:val="24"/>
              </w:rPr>
              <w:t>备注</w:t>
            </w:r>
            <w:bookmarkEnd w:id="236"/>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00" w:hRule="atLeast"/>
          <w:jc w:val="center"/>
        </w:trPr>
        <w:tc>
          <w:tcPr>
            <w:tcW w:w="1578" w:type="dxa"/>
            <w:vAlign w:val="center"/>
          </w:tcPr>
          <w:p>
            <w:pPr>
              <w:widowControl/>
              <w:spacing w:line="360" w:lineRule="atLeast"/>
              <w:ind w:firstLine="470" w:firstLineChars="196"/>
              <w:jc w:val="left"/>
              <w:rPr>
                <w:rFonts w:hint="eastAsia" w:ascii="宋体" w:hAnsi="宋体"/>
                <w:sz w:val="24"/>
              </w:rPr>
            </w:pPr>
          </w:p>
        </w:tc>
        <w:tc>
          <w:tcPr>
            <w:tcW w:w="1970" w:type="dxa"/>
            <w:vAlign w:val="center"/>
          </w:tcPr>
          <w:p>
            <w:pPr>
              <w:widowControl/>
              <w:spacing w:line="360" w:lineRule="atLeast"/>
              <w:ind w:firstLine="470" w:firstLineChars="196"/>
              <w:jc w:val="left"/>
              <w:rPr>
                <w:rFonts w:hint="eastAsia" w:ascii="宋体" w:hAnsi="宋体"/>
                <w:sz w:val="24"/>
              </w:rPr>
            </w:pPr>
          </w:p>
        </w:tc>
        <w:tc>
          <w:tcPr>
            <w:tcW w:w="1881" w:type="dxa"/>
            <w:vAlign w:val="center"/>
          </w:tcPr>
          <w:p>
            <w:pPr>
              <w:widowControl/>
              <w:spacing w:line="360" w:lineRule="atLeast"/>
              <w:ind w:firstLine="470" w:firstLineChars="196"/>
              <w:jc w:val="left"/>
              <w:rPr>
                <w:rFonts w:hint="eastAsia" w:ascii="宋体" w:hAnsi="宋体"/>
                <w:sz w:val="24"/>
              </w:rPr>
            </w:pPr>
          </w:p>
        </w:tc>
        <w:tc>
          <w:tcPr>
            <w:tcW w:w="1895" w:type="dxa"/>
            <w:vAlign w:val="center"/>
          </w:tcPr>
          <w:p>
            <w:pPr>
              <w:widowControl/>
              <w:spacing w:line="360" w:lineRule="atLeast"/>
              <w:ind w:firstLine="470" w:firstLineChars="196"/>
              <w:jc w:val="left"/>
              <w:rPr>
                <w:rFonts w:hint="eastAsia" w:ascii="宋体" w:hAnsi="宋体"/>
                <w:sz w:val="24"/>
              </w:rPr>
            </w:pPr>
          </w:p>
        </w:tc>
        <w:tc>
          <w:tcPr>
            <w:tcW w:w="1199" w:type="dxa"/>
            <w:vAlign w:val="center"/>
          </w:tcPr>
          <w:p>
            <w:pPr>
              <w:widowControl/>
              <w:spacing w:line="360" w:lineRule="atLeast"/>
              <w:ind w:firstLine="470" w:firstLineChars="196"/>
              <w:jc w:val="left"/>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00" w:hRule="atLeast"/>
          <w:jc w:val="center"/>
        </w:trPr>
        <w:tc>
          <w:tcPr>
            <w:tcW w:w="1578" w:type="dxa"/>
            <w:vAlign w:val="center"/>
          </w:tcPr>
          <w:p>
            <w:pPr>
              <w:widowControl/>
              <w:spacing w:line="360" w:lineRule="atLeast"/>
              <w:ind w:firstLine="470" w:firstLineChars="196"/>
              <w:jc w:val="left"/>
              <w:rPr>
                <w:rFonts w:hint="eastAsia" w:ascii="宋体" w:hAnsi="宋体"/>
                <w:sz w:val="24"/>
              </w:rPr>
            </w:pPr>
          </w:p>
        </w:tc>
        <w:tc>
          <w:tcPr>
            <w:tcW w:w="1970" w:type="dxa"/>
            <w:vAlign w:val="center"/>
          </w:tcPr>
          <w:p>
            <w:pPr>
              <w:widowControl/>
              <w:spacing w:line="360" w:lineRule="atLeast"/>
              <w:ind w:firstLine="470" w:firstLineChars="196"/>
              <w:jc w:val="left"/>
              <w:rPr>
                <w:rFonts w:hint="eastAsia" w:ascii="宋体" w:hAnsi="宋体"/>
                <w:sz w:val="24"/>
              </w:rPr>
            </w:pPr>
          </w:p>
        </w:tc>
        <w:tc>
          <w:tcPr>
            <w:tcW w:w="1881" w:type="dxa"/>
            <w:vAlign w:val="center"/>
          </w:tcPr>
          <w:p>
            <w:pPr>
              <w:widowControl/>
              <w:spacing w:line="360" w:lineRule="atLeast"/>
              <w:ind w:firstLine="470" w:firstLineChars="196"/>
              <w:jc w:val="left"/>
              <w:rPr>
                <w:rFonts w:hint="eastAsia" w:ascii="宋体" w:hAnsi="宋体"/>
                <w:sz w:val="24"/>
              </w:rPr>
            </w:pPr>
          </w:p>
        </w:tc>
        <w:tc>
          <w:tcPr>
            <w:tcW w:w="1895" w:type="dxa"/>
            <w:vAlign w:val="center"/>
          </w:tcPr>
          <w:p>
            <w:pPr>
              <w:widowControl/>
              <w:spacing w:line="360" w:lineRule="atLeast"/>
              <w:ind w:firstLine="470" w:firstLineChars="196"/>
              <w:jc w:val="left"/>
              <w:rPr>
                <w:rFonts w:hint="eastAsia" w:ascii="宋体" w:hAnsi="宋体"/>
                <w:sz w:val="24"/>
              </w:rPr>
            </w:pPr>
          </w:p>
        </w:tc>
        <w:tc>
          <w:tcPr>
            <w:tcW w:w="1199" w:type="dxa"/>
            <w:vAlign w:val="center"/>
          </w:tcPr>
          <w:p>
            <w:pPr>
              <w:widowControl/>
              <w:spacing w:line="360" w:lineRule="atLeast"/>
              <w:ind w:firstLine="470" w:firstLineChars="196"/>
              <w:jc w:val="left"/>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00" w:hRule="atLeast"/>
          <w:jc w:val="center"/>
        </w:trPr>
        <w:tc>
          <w:tcPr>
            <w:tcW w:w="1578" w:type="dxa"/>
            <w:vAlign w:val="center"/>
          </w:tcPr>
          <w:p>
            <w:pPr>
              <w:widowControl/>
              <w:spacing w:line="360" w:lineRule="atLeast"/>
              <w:ind w:firstLine="470" w:firstLineChars="196"/>
              <w:jc w:val="left"/>
              <w:rPr>
                <w:rFonts w:hint="eastAsia" w:ascii="宋体" w:hAnsi="宋体"/>
                <w:sz w:val="24"/>
              </w:rPr>
            </w:pPr>
          </w:p>
        </w:tc>
        <w:tc>
          <w:tcPr>
            <w:tcW w:w="1970" w:type="dxa"/>
            <w:vAlign w:val="center"/>
          </w:tcPr>
          <w:p>
            <w:pPr>
              <w:widowControl/>
              <w:spacing w:line="360" w:lineRule="atLeast"/>
              <w:ind w:firstLine="470" w:firstLineChars="196"/>
              <w:jc w:val="left"/>
              <w:rPr>
                <w:rFonts w:hint="eastAsia" w:ascii="宋体" w:hAnsi="宋体"/>
                <w:sz w:val="24"/>
              </w:rPr>
            </w:pPr>
          </w:p>
        </w:tc>
        <w:tc>
          <w:tcPr>
            <w:tcW w:w="1881" w:type="dxa"/>
            <w:vAlign w:val="center"/>
          </w:tcPr>
          <w:p>
            <w:pPr>
              <w:widowControl/>
              <w:spacing w:line="360" w:lineRule="atLeast"/>
              <w:ind w:firstLine="470" w:firstLineChars="196"/>
              <w:jc w:val="left"/>
              <w:rPr>
                <w:rFonts w:hint="eastAsia" w:ascii="宋体" w:hAnsi="宋体"/>
                <w:sz w:val="24"/>
              </w:rPr>
            </w:pPr>
          </w:p>
        </w:tc>
        <w:tc>
          <w:tcPr>
            <w:tcW w:w="1895" w:type="dxa"/>
            <w:vAlign w:val="center"/>
          </w:tcPr>
          <w:p>
            <w:pPr>
              <w:widowControl/>
              <w:spacing w:line="360" w:lineRule="atLeast"/>
              <w:ind w:firstLine="470" w:firstLineChars="196"/>
              <w:jc w:val="left"/>
              <w:rPr>
                <w:rFonts w:hint="eastAsia" w:ascii="宋体" w:hAnsi="宋体"/>
                <w:sz w:val="24"/>
              </w:rPr>
            </w:pPr>
          </w:p>
        </w:tc>
        <w:tc>
          <w:tcPr>
            <w:tcW w:w="1199" w:type="dxa"/>
            <w:vAlign w:val="center"/>
          </w:tcPr>
          <w:p>
            <w:pPr>
              <w:widowControl/>
              <w:spacing w:line="360" w:lineRule="atLeast"/>
              <w:ind w:firstLine="470" w:firstLineChars="196"/>
              <w:jc w:val="left"/>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00" w:hRule="atLeast"/>
          <w:jc w:val="center"/>
        </w:trPr>
        <w:tc>
          <w:tcPr>
            <w:tcW w:w="1578" w:type="dxa"/>
            <w:vAlign w:val="center"/>
          </w:tcPr>
          <w:p>
            <w:pPr>
              <w:widowControl/>
              <w:spacing w:line="360" w:lineRule="atLeast"/>
              <w:ind w:firstLine="470" w:firstLineChars="196"/>
              <w:jc w:val="left"/>
              <w:rPr>
                <w:rFonts w:hint="eastAsia" w:ascii="宋体" w:hAnsi="宋体"/>
                <w:sz w:val="24"/>
              </w:rPr>
            </w:pPr>
          </w:p>
        </w:tc>
        <w:tc>
          <w:tcPr>
            <w:tcW w:w="1970" w:type="dxa"/>
            <w:tcBorders>
              <w:right w:val="single" w:color="auto" w:sz="4" w:space="0"/>
            </w:tcBorders>
            <w:vAlign w:val="center"/>
          </w:tcPr>
          <w:p>
            <w:pPr>
              <w:widowControl/>
              <w:spacing w:line="360" w:lineRule="atLeast"/>
              <w:ind w:firstLine="470" w:firstLineChars="196"/>
              <w:jc w:val="left"/>
              <w:rPr>
                <w:rFonts w:hint="eastAsia" w:ascii="宋体" w:hAnsi="宋体"/>
                <w:sz w:val="24"/>
              </w:rPr>
            </w:pPr>
          </w:p>
        </w:tc>
        <w:tc>
          <w:tcPr>
            <w:tcW w:w="1881" w:type="dxa"/>
            <w:tcBorders>
              <w:left w:val="single" w:color="auto" w:sz="4" w:space="0"/>
            </w:tcBorders>
            <w:vAlign w:val="center"/>
          </w:tcPr>
          <w:p>
            <w:pPr>
              <w:widowControl/>
              <w:spacing w:line="360" w:lineRule="atLeast"/>
              <w:ind w:firstLine="470" w:firstLineChars="196"/>
              <w:jc w:val="left"/>
              <w:rPr>
                <w:rFonts w:hint="eastAsia" w:ascii="宋体" w:hAnsi="宋体"/>
                <w:sz w:val="24"/>
              </w:rPr>
            </w:pPr>
          </w:p>
        </w:tc>
        <w:tc>
          <w:tcPr>
            <w:tcW w:w="1895" w:type="dxa"/>
            <w:vAlign w:val="center"/>
          </w:tcPr>
          <w:p>
            <w:pPr>
              <w:widowControl/>
              <w:spacing w:line="360" w:lineRule="atLeast"/>
              <w:ind w:firstLine="470" w:firstLineChars="196"/>
              <w:jc w:val="left"/>
              <w:rPr>
                <w:rFonts w:hint="eastAsia" w:ascii="宋体" w:hAnsi="宋体"/>
                <w:sz w:val="24"/>
              </w:rPr>
            </w:pPr>
          </w:p>
        </w:tc>
        <w:tc>
          <w:tcPr>
            <w:tcW w:w="1199" w:type="dxa"/>
            <w:vAlign w:val="center"/>
          </w:tcPr>
          <w:p>
            <w:pPr>
              <w:widowControl/>
              <w:spacing w:line="360" w:lineRule="atLeast"/>
              <w:ind w:firstLine="470" w:firstLineChars="196"/>
              <w:jc w:val="left"/>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00" w:hRule="atLeast"/>
          <w:jc w:val="center"/>
        </w:trPr>
        <w:tc>
          <w:tcPr>
            <w:tcW w:w="1578" w:type="dxa"/>
            <w:tcBorders>
              <w:right w:val="single" w:color="auto" w:sz="4" w:space="0"/>
            </w:tcBorders>
            <w:vAlign w:val="center"/>
          </w:tcPr>
          <w:p>
            <w:pPr>
              <w:widowControl/>
              <w:spacing w:line="360" w:lineRule="atLeast"/>
              <w:ind w:firstLine="470" w:firstLineChars="196"/>
              <w:jc w:val="left"/>
              <w:rPr>
                <w:rFonts w:hint="eastAsia" w:ascii="宋体" w:hAnsi="宋体"/>
                <w:sz w:val="24"/>
              </w:rPr>
            </w:pPr>
          </w:p>
        </w:tc>
        <w:tc>
          <w:tcPr>
            <w:tcW w:w="1970" w:type="dxa"/>
            <w:tcBorders>
              <w:left w:val="single" w:color="auto" w:sz="4" w:space="0"/>
              <w:right w:val="single" w:color="auto" w:sz="4" w:space="0"/>
            </w:tcBorders>
            <w:vAlign w:val="center"/>
          </w:tcPr>
          <w:p>
            <w:pPr>
              <w:widowControl/>
              <w:spacing w:line="360" w:lineRule="atLeast"/>
              <w:ind w:firstLine="470" w:firstLineChars="196"/>
              <w:jc w:val="left"/>
              <w:rPr>
                <w:rFonts w:hint="eastAsia" w:ascii="宋体" w:hAnsi="宋体"/>
                <w:sz w:val="24"/>
              </w:rPr>
            </w:pPr>
          </w:p>
        </w:tc>
        <w:tc>
          <w:tcPr>
            <w:tcW w:w="1881" w:type="dxa"/>
            <w:tcBorders>
              <w:left w:val="single" w:color="auto" w:sz="4" w:space="0"/>
              <w:right w:val="single" w:color="auto" w:sz="4" w:space="0"/>
            </w:tcBorders>
            <w:vAlign w:val="center"/>
          </w:tcPr>
          <w:p>
            <w:pPr>
              <w:widowControl/>
              <w:spacing w:line="360" w:lineRule="atLeast"/>
              <w:ind w:firstLine="470" w:firstLineChars="196"/>
              <w:jc w:val="left"/>
              <w:rPr>
                <w:rFonts w:hint="eastAsia" w:ascii="宋体" w:hAnsi="宋体"/>
                <w:sz w:val="24"/>
              </w:rPr>
            </w:pPr>
          </w:p>
        </w:tc>
        <w:tc>
          <w:tcPr>
            <w:tcW w:w="1895" w:type="dxa"/>
            <w:tcBorders>
              <w:left w:val="single" w:color="auto" w:sz="4" w:space="0"/>
              <w:right w:val="single" w:color="auto" w:sz="4" w:space="0"/>
            </w:tcBorders>
            <w:vAlign w:val="center"/>
          </w:tcPr>
          <w:p>
            <w:pPr>
              <w:widowControl/>
              <w:spacing w:line="360" w:lineRule="atLeast"/>
              <w:ind w:firstLine="470" w:firstLineChars="196"/>
              <w:jc w:val="left"/>
              <w:rPr>
                <w:rFonts w:hint="eastAsia" w:ascii="宋体" w:hAnsi="宋体"/>
                <w:sz w:val="24"/>
              </w:rPr>
            </w:pPr>
          </w:p>
        </w:tc>
        <w:tc>
          <w:tcPr>
            <w:tcW w:w="1199" w:type="dxa"/>
            <w:tcBorders>
              <w:left w:val="single" w:color="auto" w:sz="4" w:space="0"/>
            </w:tcBorders>
            <w:vAlign w:val="center"/>
          </w:tcPr>
          <w:p>
            <w:pPr>
              <w:widowControl/>
              <w:spacing w:line="360" w:lineRule="atLeast"/>
              <w:ind w:firstLine="470" w:firstLineChars="196"/>
              <w:jc w:val="left"/>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00" w:hRule="atLeast"/>
          <w:jc w:val="center"/>
        </w:trPr>
        <w:tc>
          <w:tcPr>
            <w:tcW w:w="1578" w:type="dxa"/>
            <w:vAlign w:val="center"/>
          </w:tcPr>
          <w:p>
            <w:pPr>
              <w:widowControl/>
              <w:spacing w:line="360" w:lineRule="atLeast"/>
              <w:ind w:firstLine="470" w:firstLineChars="196"/>
              <w:jc w:val="left"/>
              <w:rPr>
                <w:rFonts w:hint="eastAsia" w:ascii="宋体" w:hAnsi="宋体"/>
                <w:sz w:val="24"/>
              </w:rPr>
            </w:pPr>
          </w:p>
        </w:tc>
        <w:tc>
          <w:tcPr>
            <w:tcW w:w="1970" w:type="dxa"/>
            <w:vAlign w:val="center"/>
          </w:tcPr>
          <w:p>
            <w:pPr>
              <w:widowControl/>
              <w:spacing w:line="360" w:lineRule="atLeast"/>
              <w:ind w:firstLine="470" w:firstLineChars="196"/>
              <w:jc w:val="left"/>
              <w:rPr>
                <w:rFonts w:hint="eastAsia" w:ascii="宋体" w:hAnsi="宋体"/>
                <w:sz w:val="24"/>
              </w:rPr>
            </w:pPr>
          </w:p>
        </w:tc>
        <w:tc>
          <w:tcPr>
            <w:tcW w:w="1881" w:type="dxa"/>
            <w:vAlign w:val="center"/>
          </w:tcPr>
          <w:p>
            <w:pPr>
              <w:widowControl/>
              <w:spacing w:line="360" w:lineRule="atLeast"/>
              <w:ind w:firstLine="470" w:firstLineChars="196"/>
              <w:jc w:val="left"/>
              <w:rPr>
                <w:rFonts w:hint="eastAsia" w:ascii="宋体" w:hAnsi="宋体"/>
                <w:sz w:val="24"/>
              </w:rPr>
            </w:pPr>
          </w:p>
        </w:tc>
        <w:tc>
          <w:tcPr>
            <w:tcW w:w="1895" w:type="dxa"/>
            <w:tcBorders>
              <w:right w:val="single" w:color="auto" w:sz="4" w:space="0"/>
            </w:tcBorders>
            <w:vAlign w:val="center"/>
          </w:tcPr>
          <w:p>
            <w:pPr>
              <w:widowControl/>
              <w:spacing w:line="360" w:lineRule="atLeast"/>
              <w:ind w:firstLine="470" w:firstLineChars="196"/>
              <w:jc w:val="left"/>
              <w:rPr>
                <w:rFonts w:hint="eastAsia" w:ascii="宋体" w:hAnsi="宋体"/>
                <w:sz w:val="24"/>
              </w:rPr>
            </w:pPr>
          </w:p>
        </w:tc>
        <w:tc>
          <w:tcPr>
            <w:tcW w:w="1199" w:type="dxa"/>
            <w:tcBorders>
              <w:left w:val="single" w:color="auto" w:sz="4" w:space="0"/>
            </w:tcBorders>
            <w:vAlign w:val="center"/>
          </w:tcPr>
          <w:p>
            <w:pPr>
              <w:widowControl/>
              <w:spacing w:line="360" w:lineRule="atLeast"/>
              <w:ind w:firstLine="470" w:firstLineChars="196"/>
              <w:jc w:val="left"/>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00" w:hRule="atLeast"/>
          <w:jc w:val="center"/>
        </w:trPr>
        <w:tc>
          <w:tcPr>
            <w:tcW w:w="1578" w:type="dxa"/>
            <w:vAlign w:val="center"/>
          </w:tcPr>
          <w:p>
            <w:pPr>
              <w:widowControl/>
              <w:spacing w:line="360" w:lineRule="atLeast"/>
              <w:ind w:firstLine="470" w:firstLineChars="196"/>
              <w:jc w:val="left"/>
              <w:rPr>
                <w:rFonts w:hint="eastAsia" w:ascii="宋体" w:hAnsi="宋体"/>
                <w:sz w:val="24"/>
              </w:rPr>
            </w:pPr>
          </w:p>
        </w:tc>
        <w:tc>
          <w:tcPr>
            <w:tcW w:w="1970" w:type="dxa"/>
            <w:vAlign w:val="center"/>
          </w:tcPr>
          <w:p>
            <w:pPr>
              <w:widowControl/>
              <w:spacing w:line="360" w:lineRule="atLeast"/>
              <w:ind w:firstLine="470" w:firstLineChars="196"/>
              <w:jc w:val="left"/>
              <w:rPr>
                <w:rFonts w:hint="eastAsia" w:ascii="宋体" w:hAnsi="宋体"/>
                <w:sz w:val="24"/>
              </w:rPr>
            </w:pPr>
          </w:p>
        </w:tc>
        <w:tc>
          <w:tcPr>
            <w:tcW w:w="1881" w:type="dxa"/>
            <w:vAlign w:val="center"/>
          </w:tcPr>
          <w:p>
            <w:pPr>
              <w:widowControl/>
              <w:spacing w:line="360" w:lineRule="atLeast"/>
              <w:ind w:firstLine="470" w:firstLineChars="196"/>
              <w:jc w:val="left"/>
              <w:rPr>
                <w:rFonts w:hint="eastAsia" w:ascii="宋体" w:hAnsi="宋体"/>
                <w:sz w:val="24"/>
              </w:rPr>
            </w:pPr>
          </w:p>
        </w:tc>
        <w:tc>
          <w:tcPr>
            <w:tcW w:w="1895" w:type="dxa"/>
            <w:tcBorders>
              <w:right w:val="single" w:color="auto" w:sz="4" w:space="0"/>
            </w:tcBorders>
            <w:vAlign w:val="center"/>
          </w:tcPr>
          <w:p>
            <w:pPr>
              <w:widowControl/>
              <w:spacing w:line="360" w:lineRule="atLeast"/>
              <w:ind w:firstLine="470" w:firstLineChars="196"/>
              <w:jc w:val="left"/>
              <w:rPr>
                <w:rFonts w:hint="eastAsia" w:ascii="宋体" w:hAnsi="宋体"/>
                <w:sz w:val="24"/>
              </w:rPr>
            </w:pPr>
          </w:p>
        </w:tc>
        <w:tc>
          <w:tcPr>
            <w:tcW w:w="1199" w:type="dxa"/>
            <w:tcBorders>
              <w:left w:val="single" w:color="auto" w:sz="4" w:space="0"/>
            </w:tcBorders>
            <w:vAlign w:val="center"/>
          </w:tcPr>
          <w:p>
            <w:pPr>
              <w:widowControl/>
              <w:spacing w:line="360" w:lineRule="atLeast"/>
              <w:ind w:firstLine="470" w:firstLineChars="196"/>
              <w:jc w:val="left"/>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00" w:hRule="atLeast"/>
          <w:jc w:val="center"/>
        </w:trPr>
        <w:tc>
          <w:tcPr>
            <w:tcW w:w="1578" w:type="dxa"/>
            <w:vAlign w:val="center"/>
          </w:tcPr>
          <w:p>
            <w:pPr>
              <w:widowControl/>
              <w:spacing w:line="360" w:lineRule="atLeast"/>
              <w:ind w:firstLine="470" w:firstLineChars="196"/>
              <w:jc w:val="left"/>
              <w:rPr>
                <w:rFonts w:hint="eastAsia" w:ascii="宋体" w:hAnsi="宋体"/>
                <w:sz w:val="24"/>
              </w:rPr>
            </w:pPr>
          </w:p>
        </w:tc>
        <w:tc>
          <w:tcPr>
            <w:tcW w:w="1970" w:type="dxa"/>
            <w:vAlign w:val="center"/>
          </w:tcPr>
          <w:p>
            <w:pPr>
              <w:widowControl/>
              <w:spacing w:line="360" w:lineRule="atLeast"/>
              <w:ind w:firstLine="470" w:firstLineChars="196"/>
              <w:jc w:val="left"/>
              <w:rPr>
                <w:rFonts w:hint="eastAsia" w:ascii="宋体" w:hAnsi="宋体"/>
                <w:sz w:val="24"/>
              </w:rPr>
            </w:pPr>
          </w:p>
        </w:tc>
        <w:tc>
          <w:tcPr>
            <w:tcW w:w="1881" w:type="dxa"/>
            <w:vAlign w:val="center"/>
          </w:tcPr>
          <w:p>
            <w:pPr>
              <w:widowControl/>
              <w:spacing w:line="360" w:lineRule="atLeast"/>
              <w:ind w:firstLine="470" w:firstLineChars="196"/>
              <w:jc w:val="left"/>
              <w:rPr>
                <w:rFonts w:hint="eastAsia" w:ascii="宋体" w:hAnsi="宋体"/>
                <w:sz w:val="24"/>
              </w:rPr>
            </w:pPr>
          </w:p>
        </w:tc>
        <w:tc>
          <w:tcPr>
            <w:tcW w:w="1895" w:type="dxa"/>
            <w:tcBorders>
              <w:right w:val="single" w:color="auto" w:sz="4" w:space="0"/>
            </w:tcBorders>
            <w:vAlign w:val="center"/>
          </w:tcPr>
          <w:p>
            <w:pPr>
              <w:widowControl/>
              <w:spacing w:line="360" w:lineRule="atLeast"/>
              <w:ind w:firstLine="470" w:firstLineChars="196"/>
              <w:jc w:val="left"/>
              <w:rPr>
                <w:rFonts w:hint="eastAsia" w:ascii="宋体" w:hAnsi="宋体"/>
                <w:sz w:val="24"/>
              </w:rPr>
            </w:pPr>
          </w:p>
        </w:tc>
        <w:tc>
          <w:tcPr>
            <w:tcW w:w="1199" w:type="dxa"/>
            <w:tcBorders>
              <w:left w:val="single" w:color="auto" w:sz="4" w:space="0"/>
            </w:tcBorders>
            <w:vAlign w:val="center"/>
          </w:tcPr>
          <w:p>
            <w:pPr>
              <w:widowControl/>
              <w:spacing w:line="360" w:lineRule="atLeast"/>
              <w:ind w:firstLine="470" w:firstLineChars="196"/>
              <w:jc w:val="left"/>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510" w:hRule="atLeast"/>
          <w:jc w:val="center"/>
        </w:trPr>
        <w:tc>
          <w:tcPr>
            <w:tcW w:w="1578" w:type="dxa"/>
            <w:tcBorders>
              <w:bottom w:val="single" w:color="auto" w:sz="4" w:space="0"/>
            </w:tcBorders>
            <w:vAlign w:val="center"/>
          </w:tcPr>
          <w:p>
            <w:pPr>
              <w:widowControl/>
              <w:spacing w:line="360" w:lineRule="atLeast"/>
              <w:ind w:firstLine="470" w:firstLineChars="196"/>
              <w:jc w:val="left"/>
              <w:rPr>
                <w:rFonts w:hint="eastAsia" w:ascii="宋体" w:hAnsi="宋体"/>
                <w:sz w:val="24"/>
              </w:rPr>
            </w:pPr>
          </w:p>
        </w:tc>
        <w:tc>
          <w:tcPr>
            <w:tcW w:w="1970" w:type="dxa"/>
            <w:tcBorders>
              <w:bottom w:val="single" w:color="auto" w:sz="4" w:space="0"/>
            </w:tcBorders>
            <w:vAlign w:val="center"/>
          </w:tcPr>
          <w:p>
            <w:pPr>
              <w:widowControl/>
              <w:spacing w:line="360" w:lineRule="atLeast"/>
              <w:ind w:firstLine="470" w:firstLineChars="196"/>
              <w:jc w:val="left"/>
              <w:rPr>
                <w:rFonts w:hint="eastAsia" w:ascii="宋体" w:hAnsi="宋体"/>
                <w:sz w:val="24"/>
              </w:rPr>
            </w:pPr>
          </w:p>
        </w:tc>
        <w:tc>
          <w:tcPr>
            <w:tcW w:w="1881" w:type="dxa"/>
            <w:tcBorders>
              <w:bottom w:val="single" w:color="auto" w:sz="4" w:space="0"/>
            </w:tcBorders>
            <w:vAlign w:val="center"/>
          </w:tcPr>
          <w:p>
            <w:pPr>
              <w:widowControl/>
              <w:spacing w:line="360" w:lineRule="atLeast"/>
              <w:ind w:firstLine="470" w:firstLineChars="196"/>
              <w:jc w:val="left"/>
              <w:rPr>
                <w:rFonts w:hint="eastAsia" w:ascii="宋体" w:hAnsi="宋体"/>
                <w:sz w:val="24"/>
              </w:rPr>
            </w:pPr>
          </w:p>
        </w:tc>
        <w:tc>
          <w:tcPr>
            <w:tcW w:w="1895" w:type="dxa"/>
            <w:tcBorders>
              <w:bottom w:val="single" w:color="auto" w:sz="4" w:space="0"/>
              <w:right w:val="single" w:color="auto" w:sz="4" w:space="0"/>
            </w:tcBorders>
            <w:vAlign w:val="center"/>
          </w:tcPr>
          <w:p>
            <w:pPr>
              <w:widowControl/>
              <w:spacing w:line="360" w:lineRule="atLeast"/>
              <w:ind w:firstLine="470" w:firstLineChars="196"/>
              <w:jc w:val="left"/>
              <w:rPr>
                <w:rFonts w:hint="eastAsia" w:ascii="宋体" w:hAnsi="宋体"/>
                <w:sz w:val="24"/>
              </w:rPr>
            </w:pPr>
          </w:p>
        </w:tc>
        <w:tc>
          <w:tcPr>
            <w:tcW w:w="1199" w:type="dxa"/>
            <w:tcBorders>
              <w:left w:val="single" w:color="auto" w:sz="4" w:space="0"/>
              <w:bottom w:val="single" w:color="auto" w:sz="4" w:space="0"/>
            </w:tcBorders>
            <w:vAlign w:val="center"/>
          </w:tcPr>
          <w:p>
            <w:pPr>
              <w:widowControl/>
              <w:spacing w:line="360" w:lineRule="atLeast"/>
              <w:ind w:firstLine="470" w:firstLineChars="196"/>
              <w:jc w:val="left"/>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15" w:hRule="atLeast"/>
          <w:jc w:val="center"/>
        </w:trPr>
        <w:tc>
          <w:tcPr>
            <w:tcW w:w="1578" w:type="dxa"/>
            <w:tcBorders>
              <w:top w:val="single" w:color="auto" w:sz="4" w:space="0"/>
              <w:bottom w:val="single" w:color="auto" w:sz="4" w:space="0"/>
            </w:tcBorders>
            <w:vAlign w:val="center"/>
          </w:tcPr>
          <w:p>
            <w:pPr>
              <w:widowControl/>
              <w:spacing w:line="360" w:lineRule="atLeast"/>
              <w:ind w:firstLine="470" w:firstLineChars="196"/>
              <w:jc w:val="left"/>
              <w:rPr>
                <w:rFonts w:hint="eastAsia" w:ascii="宋体" w:hAnsi="宋体"/>
                <w:sz w:val="24"/>
              </w:rPr>
            </w:pPr>
          </w:p>
        </w:tc>
        <w:tc>
          <w:tcPr>
            <w:tcW w:w="1970" w:type="dxa"/>
            <w:tcBorders>
              <w:top w:val="single" w:color="auto" w:sz="4" w:space="0"/>
              <w:bottom w:val="single" w:color="auto" w:sz="4" w:space="0"/>
            </w:tcBorders>
            <w:vAlign w:val="center"/>
          </w:tcPr>
          <w:p>
            <w:pPr>
              <w:widowControl/>
              <w:spacing w:line="360" w:lineRule="atLeast"/>
              <w:ind w:firstLine="470" w:firstLineChars="196"/>
              <w:jc w:val="left"/>
              <w:rPr>
                <w:rFonts w:hint="eastAsia" w:ascii="宋体" w:hAnsi="宋体"/>
                <w:sz w:val="24"/>
              </w:rPr>
            </w:pPr>
          </w:p>
        </w:tc>
        <w:tc>
          <w:tcPr>
            <w:tcW w:w="1881" w:type="dxa"/>
            <w:tcBorders>
              <w:top w:val="single" w:color="auto" w:sz="4" w:space="0"/>
              <w:bottom w:val="single" w:color="auto" w:sz="4" w:space="0"/>
            </w:tcBorders>
            <w:vAlign w:val="center"/>
          </w:tcPr>
          <w:p>
            <w:pPr>
              <w:widowControl/>
              <w:spacing w:line="360" w:lineRule="atLeast"/>
              <w:ind w:firstLine="470" w:firstLineChars="196"/>
              <w:jc w:val="left"/>
              <w:rPr>
                <w:rFonts w:hint="eastAsia" w:ascii="宋体" w:hAnsi="宋体"/>
                <w:sz w:val="24"/>
              </w:rPr>
            </w:pPr>
          </w:p>
        </w:tc>
        <w:tc>
          <w:tcPr>
            <w:tcW w:w="1895" w:type="dxa"/>
            <w:tcBorders>
              <w:top w:val="single" w:color="auto" w:sz="4" w:space="0"/>
              <w:bottom w:val="single" w:color="auto" w:sz="4" w:space="0"/>
              <w:right w:val="single" w:color="auto" w:sz="4" w:space="0"/>
            </w:tcBorders>
            <w:vAlign w:val="center"/>
          </w:tcPr>
          <w:p>
            <w:pPr>
              <w:widowControl/>
              <w:spacing w:line="360" w:lineRule="atLeast"/>
              <w:ind w:firstLine="470" w:firstLineChars="196"/>
              <w:jc w:val="left"/>
              <w:rPr>
                <w:rFonts w:hint="eastAsia" w:ascii="宋体" w:hAnsi="宋体"/>
                <w:sz w:val="24"/>
              </w:rPr>
            </w:pPr>
          </w:p>
        </w:tc>
        <w:tc>
          <w:tcPr>
            <w:tcW w:w="1199" w:type="dxa"/>
            <w:tcBorders>
              <w:top w:val="single" w:color="auto" w:sz="4" w:space="0"/>
              <w:left w:val="single" w:color="auto" w:sz="4" w:space="0"/>
              <w:bottom w:val="single" w:color="auto" w:sz="4" w:space="0"/>
            </w:tcBorders>
            <w:vAlign w:val="center"/>
          </w:tcPr>
          <w:p>
            <w:pPr>
              <w:widowControl/>
              <w:spacing w:line="360" w:lineRule="atLeast"/>
              <w:ind w:firstLine="470" w:firstLineChars="196"/>
              <w:jc w:val="left"/>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15" w:hRule="atLeast"/>
          <w:jc w:val="center"/>
        </w:trPr>
        <w:tc>
          <w:tcPr>
            <w:tcW w:w="1578" w:type="dxa"/>
            <w:tcBorders>
              <w:top w:val="single" w:color="auto" w:sz="4" w:space="0"/>
              <w:bottom w:val="single" w:color="auto" w:sz="4" w:space="0"/>
            </w:tcBorders>
            <w:vAlign w:val="center"/>
          </w:tcPr>
          <w:p>
            <w:pPr>
              <w:widowControl/>
              <w:spacing w:line="360" w:lineRule="atLeast"/>
              <w:ind w:firstLine="470" w:firstLineChars="196"/>
              <w:jc w:val="left"/>
              <w:rPr>
                <w:rFonts w:hint="eastAsia" w:ascii="宋体" w:hAnsi="宋体"/>
                <w:sz w:val="24"/>
              </w:rPr>
            </w:pPr>
          </w:p>
        </w:tc>
        <w:tc>
          <w:tcPr>
            <w:tcW w:w="1970" w:type="dxa"/>
            <w:tcBorders>
              <w:top w:val="single" w:color="auto" w:sz="4" w:space="0"/>
              <w:bottom w:val="single" w:color="auto" w:sz="4" w:space="0"/>
            </w:tcBorders>
            <w:vAlign w:val="center"/>
          </w:tcPr>
          <w:p>
            <w:pPr>
              <w:widowControl/>
              <w:spacing w:line="360" w:lineRule="atLeast"/>
              <w:ind w:firstLine="470" w:firstLineChars="196"/>
              <w:jc w:val="left"/>
              <w:rPr>
                <w:rFonts w:hint="eastAsia" w:ascii="宋体" w:hAnsi="宋体"/>
                <w:sz w:val="24"/>
              </w:rPr>
            </w:pPr>
          </w:p>
        </w:tc>
        <w:tc>
          <w:tcPr>
            <w:tcW w:w="1881" w:type="dxa"/>
            <w:tcBorders>
              <w:top w:val="single" w:color="auto" w:sz="4" w:space="0"/>
              <w:bottom w:val="single" w:color="auto" w:sz="4" w:space="0"/>
            </w:tcBorders>
            <w:vAlign w:val="center"/>
          </w:tcPr>
          <w:p>
            <w:pPr>
              <w:widowControl/>
              <w:spacing w:line="360" w:lineRule="atLeast"/>
              <w:ind w:firstLine="470" w:firstLineChars="196"/>
              <w:jc w:val="left"/>
              <w:rPr>
                <w:rFonts w:hint="eastAsia" w:ascii="宋体" w:hAnsi="宋体"/>
                <w:sz w:val="24"/>
              </w:rPr>
            </w:pPr>
          </w:p>
        </w:tc>
        <w:tc>
          <w:tcPr>
            <w:tcW w:w="1895" w:type="dxa"/>
            <w:tcBorders>
              <w:top w:val="single" w:color="auto" w:sz="4" w:space="0"/>
              <w:bottom w:val="single" w:color="auto" w:sz="4" w:space="0"/>
              <w:right w:val="single" w:color="auto" w:sz="4" w:space="0"/>
            </w:tcBorders>
            <w:vAlign w:val="center"/>
          </w:tcPr>
          <w:p>
            <w:pPr>
              <w:widowControl/>
              <w:spacing w:line="360" w:lineRule="atLeast"/>
              <w:ind w:firstLine="470" w:firstLineChars="196"/>
              <w:jc w:val="left"/>
              <w:rPr>
                <w:rFonts w:hint="eastAsia" w:ascii="宋体" w:hAnsi="宋体"/>
                <w:sz w:val="24"/>
              </w:rPr>
            </w:pPr>
          </w:p>
        </w:tc>
        <w:tc>
          <w:tcPr>
            <w:tcW w:w="1199" w:type="dxa"/>
            <w:tcBorders>
              <w:top w:val="single" w:color="auto" w:sz="4" w:space="0"/>
              <w:left w:val="single" w:color="auto" w:sz="4" w:space="0"/>
              <w:bottom w:val="single" w:color="auto" w:sz="4" w:space="0"/>
            </w:tcBorders>
            <w:vAlign w:val="center"/>
          </w:tcPr>
          <w:p>
            <w:pPr>
              <w:widowControl/>
              <w:spacing w:line="360" w:lineRule="atLeast"/>
              <w:ind w:firstLine="470" w:firstLineChars="196"/>
              <w:jc w:val="left"/>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15" w:hRule="atLeast"/>
          <w:jc w:val="center"/>
        </w:trPr>
        <w:tc>
          <w:tcPr>
            <w:tcW w:w="1578" w:type="dxa"/>
            <w:tcBorders>
              <w:top w:val="single" w:color="auto" w:sz="4" w:space="0"/>
              <w:bottom w:val="single" w:color="auto" w:sz="4" w:space="0"/>
            </w:tcBorders>
            <w:vAlign w:val="center"/>
          </w:tcPr>
          <w:p>
            <w:pPr>
              <w:widowControl/>
              <w:spacing w:line="360" w:lineRule="atLeast"/>
              <w:ind w:firstLine="470" w:firstLineChars="196"/>
              <w:jc w:val="left"/>
              <w:rPr>
                <w:rFonts w:hint="eastAsia" w:ascii="宋体" w:hAnsi="宋体"/>
                <w:sz w:val="24"/>
              </w:rPr>
            </w:pPr>
          </w:p>
        </w:tc>
        <w:tc>
          <w:tcPr>
            <w:tcW w:w="1970" w:type="dxa"/>
            <w:tcBorders>
              <w:top w:val="single" w:color="auto" w:sz="4" w:space="0"/>
              <w:bottom w:val="single" w:color="auto" w:sz="4" w:space="0"/>
            </w:tcBorders>
            <w:vAlign w:val="center"/>
          </w:tcPr>
          <w:p>
            <w:pPr>
              <w:widowControl/>
              <w:spacing w:line="360" w:lineRule="atLeast"/>
              <w:ind w:firstLine="470" w:firstLineChars="196"/>
              <w:jc w:val="left"/>
              <w:rPr>
                <w:rFonts w:hint="eastAsia" w:ascii="宋体" w:hAnsi="宋体"/>
                <w:sz w:val="24"/>
              </w:rPr>
            </w:pPr>
          </w:p>
        </w:tc>
        <w:tc>
          <w:tcPr>
            <w:tcW w:w="1881" w:type="dxa"/>
            <w:tcBorders>
              <w:top w:val="single" w:color="auto" w:sz="4" w:space="0"/>
              <w:bottom w:val="single" w:color="auto" w:sz="4" w:space="0"/>
            </w:tcBorders>
            <w:vAlign w:val="center"/>
          </w:tcPr>
          <w:p>
            <w:pPr>
              <w:widowControl/>
              <w:spacing w:line="360" w:lineRule="atLeast"/>
              <w:ind w:firstLine="470" w:firstLineChars="196"/>
              <w:jc w:val="left"/>
              <w:rPr>
                <w:rFonts w:hint="eastAsia" w:ascii="宋体" w:hAnsi="宋体"/>
                <w:sz w:val="24"/>
              </w:rPr>
            </w:pPr>
          </w:p>
        </w:tc>
        <w:tc>
          <w:tcPr>
            <w:tcW w:w="1895" w:type="dxa"/>
            <w:tcBorders>
              <w:top w:val="single" w:color="auto" w:sz="4" w:space="0"/>
              <w:bottom w:val="single" w:color="auto" w:sz="4" w:space="0"/>
              <w:right w:val="single" w:color="auto" w:sz="4" w:space="0"/>
            </w:tcBorders>
            <w:vAlign w:val="center"/>
          </w:tcPr>
          <w:p>
            <w:pPr>
              <w:widowControl/>
              <w:spacing w:line="360" w:lineRule="atLeast"/>
              <w:ind w:firstLine="470" w:firstLineChars="196"/>
              <w:jc w:val="left"/>
              <w:rPr>
                <w:rFonts w:hint="eastAsia" w:ascii="宋体" w:hAnsi="宋体"/>
                <w:sz w:val="24"/>
              </w:rPr>
            </w:pPr>
          </w:p>
        </w:tc>
        <w:tc>
          <w:tcPr>
            <w:tcW w:w="1199" w:type="dxa"/>
            <w:tcBorders>
              <w:top w:val="single" w:color="auto" w:sz="4" w:space="0"/>
              <w:left w:val="single" w:color="auto" w:sz="4" w:space="0"/>
              <w:bottom w:val="single" w:color="auto" w:sz="4" w:space="0"/>
            </w:tcBorders>
            <w:vAlign w:val="center"/>
          </w:tcPr>
          <w:p>
            <w:pPr>
              <w:widowControl/>
              <w:spacing w:line="360" w:lineRule="atLeast"/>
              <w:ind w:firstLine="470" w:firstLineChars="196"/>
              <w:jc w:val="left"/>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15" w:hRule="atLeast"/>
          <w:jc w:val="center"/>
        </w:trPr>
        <w:tc>
          <w:tcPr>
            <w:tcW w:w="1578" w:type="dxa"/>
            <w:tcBorders>
              <w:top w:val="single" w:color="auto" w:sz="4" w:space="0"/>
              <w:bottom w:val="single" w:color="auto" w:sz="4" w:space="0"/>
            </w:tcBorders>
            <w:vAlign w:val="center"/>
          </w:tcPr>
          <w:p>
            <w:pPr>
              <w:widowControl/>
              <w:spacing w:line="360" w:lineRule="atLeast"/>
              <w:ind w:firstLine="470" w:firstLineChars="196"/>
              <w:jc w:val="left"/>
              <w:rPr>
                <w:rFonts w:hint="eastAsia" w:ascii="宋体" w:hAnsi="宋体"/>
                <w:sz w:val="24"/>
              </w:rPr>
            </w:pPr>
          </w:p>
        </w:tc>
        <w:tc>
          <w:tcPr>
            <w:tcW w:w="1970" w:type="dxa"/>
            <w:tcBorders>
              <w:top w:val="single" w:color="auto" w:sz="4" w:space="0"/>
              <w:bottom w:val="single" w:color="auto" w:sz="4" w:space="0"/>
            </w:tcBorders>
            <w:vAlign w:val="center"/>
          </w:tcPr>
          <w:p>
            <w:pPr>
              <w:widowControl/>
              <w:spacing w:line="360" w:lineRule="atLeast"/>
              <w:ind w:firstLine="470" w:firstLineChars="196"/>
              <w:jc w:val="left"/>
              <w:rPr>
                <w:rFonts w:hint="eastAsia" w:ascii="宋体" w:hAnsi="宋体"/>
                <w:sz w:val="24"/>
              </w:rPr>
            </w:pPr>
          </w:p>
        </w:tc>
        <w:tc>
          <w:tcPr>
            <w:tcW w:w="1881" w:type="dxa"/>
            <w:tcBorders>
              <w:top w:val="single" w:color="auto" w:sz="4" w:space="0"/>
              <w:bottom w:val="single" w:color="auto" w:sz="4" w:space="0"/>
            </w:tcBorders>
            <w:vAlign w:val="center"/>
          </w:tcPr>
          <w:p>
            <w:pPr>
              <w:widowControl/>
              <w:spacing w:line="360" w:lineRule="atLeast"/>
              <w:ind w:firstLine="470" w:firstLineChars="196"/>
              <w:jc w:val="left"/>
              <w:rPr>
                <w:rFonts w:hint="eastAsia" w:ascii="宋体" w:hAnsi="宋体"/>
                <w:sz w:val="24"/>
              </w:rPr>
            </w:pPr>
          </w:p>
        </w:tc>
        <w:tc>
          <w:tcPr>
            <w:tcW w:w="1895" w:type="dxa"/>
            <w:tcBorders>
              <w:top w:val="single" w:color="auto" w:sz="4" w:space="0"/>
              <w:bottom w:val="single" w:color="auto" w:sz="4" w:space="0"/>
              <w:right w:val="single" w:color="auto" w:sz="4" w:space="0"/>
            </w:tcBorders>
            <w:vAlign w:val="center"/>
          </w:tcPr>
          <w:p>
            <w:pPr>
              <w:widowControl/>
              <w:spacing w:line="360" w:lineRule="atLeast"/>
              <w:ind w:firstLine="470" w:firstLineChars="196"/>
              <w:jc w:val="left"/>
              <w:rPr>
                <w:rFonts w:hint="eastAsia" w:ascii="宋体" w:hAnsi="宋体"/>
                <w:sz w:val="24"/>
              </w:rPr>
            </w:pPr>
          </w:p>
        </w:tc>
        <w:tc>
          <w:tcPr>
            <w:tcW w:w="1199" w:type="dxa"/>
            <w:tcBorders>
              <w:top w:val="single" w:color="auto" w:sz="4" w:space="0"/>
              <w:left w:val="single" w:color="auto" w:sz="4" w:space="0"/>
              <w:bottom w:val="single" w:color="auto" w:sz="4" w:space="0"/>
            </w:tcBorders>
            <w:vAlign w:val="center"/>
          </w:tcPr>
          <w:p>
            <w:pPr>
              <w:widowControl/>
              <w:spacing w:line="360" w:lineRule="atLeast"/>
              <w:ind w:firstLine="470" w:firstLineChars="196"/>
              <w:jc w:val="left"/>
              <w:rPr>
                <w:rFonts w:hint="eastAsia" w:ascii="宋体" w:hAnsi="宋体"/>
                <w:sz w:val="24"/>
              </w:rPr>
            </w:pPr>
          </w:p>
        </w:tc>
      </w:tr>
    </w:tbl>
    <w:p>
      <w:pPr>
        <w:widowControl/>
        <w:spacing w:line="360" w:lineRule="atLeast"/>
        <w:ind w:firstLine="470" w:firstLineChars="196"/>
        <w:jc w:val="left"/>
        <w:rPr>
          <w:rFonts w:hint="eastAsia" w:ascii="宋体" w:hAnsi="宋体"/>
          <w:sz w:val="24"/>
        </w:rPr>
      </w:pPr>
    </w:p>
    <w:p>
      <w:pPr>
        <w:widowControl/>
        <w:spacing w:line="360" w:lineRule="atLeast"/>
        <w:ind w:firstLine="470" w:firstLineChars="196"/>
        <w:jc w:val="left"/>
        <w:rPr>
          <w:rFonts w:hint="eastAsia" w:ascii="宋体" w:hAnsi="宋体"/>
          <w:sz w:val="24"/>
        </w:rPr>
      </w:pPr>
      <w:bookmarkStart w:id="237" w:name="_Toc503862982"/>
      <w:r>
        <w:rPr>
          <w:rFonts w:hint="eastAsia" w:ascii="宋体" w:hAnsi="宋体"/>
          <w:sz w:val="24"/>
        </w:rPr>
        <w:t>注：以上业绩需</w:t>
      </w:r>
      <w:r>
        <w:rPr>
          <w:rFonts w:ascii="宋体" w:hAnsi="宋体"/>
          <w:sz w:val="24"/>
        </w:rPr>
        <w:t>根据综合评分表中的</w:t>
      </w:r>
      <w:r>
        <w:rPr>
          <w:rFonts w:hint="eastAsia" w:ascii="宋体" w:hAnsi="宋体"/>
          <w:sz w:val="24"/>
        </w:rPr>
        <w:t>要求</w:t>
      </w:r>
      <w:r>
        <w:rPr>
          <w:rFonts w:ascii="宋体" w:hAnsi="宋体"/>
          <w:sz w:val="24"/>
        </w:rPr>
        <w:t>提供</w:t>
      </w:r>
      <w:r>
        <w:rPr>
          <w:rFonts w:hint="eastAsia" w:ascii="宋体" w:hAnsi="宋体"/>
          <w:sz w:val="24"/>
        </w:rPr>
        <w:t>有关书面证明材料。</w:t>
      </w:r>
      <w:bookmarkEnd w:id="237"/>
    </w:p>
    <w:p>
      <w:pPr>
        <w:widowControl/>
        <w:spacing w:line="360" w:lineRule="atLeast"/>
        <w:ind w:firstLine="470" w:firstLineChars="196"/>
        <w:jc w:val="left"/>
        <w:rPr>
          <w:rFonts w:hint="eastAsia" w:ascii="宋体" w:hAnsi="宋体"/>
          <w:sz w:val="24"/>
        </w:rPr>
      </w:pPr>
    </w:p>
    <w:p>
      <w:pPr>
        <w:widowControl/>
        <w:adjustRightInd w:val="0"/>
        <w:snapToGrid w:val="0"/>
        <w:spacing w:line="360" w:lineRule="auto"/>
        <w:ind w:firstLine="472" w:firstLineChars="196"/>
        <w:jc w:val="left"/>
        <w:rPr>
          <w:rFonts w:hint="eastAsia" w:ascii="宋体" w:hAnsi="宋体"/>
          <w:b/>
          <w:bCs/>
          <w:sz w:val="24"/>
        </w:rPr>
      </w:pPr>
      <w:r>
        <w:rPr>
          <w:rFonts w:hint="eastAsia" w:ascii="宋体" w:hAnsi="宋体"/>
          <w:b/>
          <w:bCs/>
          <w:sz w:val="24"/>
        </w:rPr>
        <w:t>投标人名称：XXXX（单位盖章）。</w:t>
      </w:r>
    </w:p>
    <w:p>
      <w:pPr>
        <w:widowControl/>
        <w:adjustRightInd w:val="0"/>
        <w:snapToGrid w:val="0"/>
        <w:spacing w:line="360" w:lineRule="auto"/>
        <w:ind w:firstLine="472" w:firstLineChars="196"/>
        <w:jc w:val="left"/>
        <w:rPr>
          <w:rFonts w:hint="eastAsia" w:ascii="宋体" w:hAnsi="宋体"/>
          <w:b/>
          <w:bCs/>
          <w:sz w:val="24"/>
        </w:rPr>
      </w:pPr>
      <w:r>
        <w:rPr>
          <w:rFonts w:hint="eastAsia" w:ascii="宋体" w:hAnsi="宋体"/>
          <w:b/>
          <w:bCs/>
          <w:sz w:val="24"/>
        </w:rPr>
        <w:t>法定代表人/单位负责人或授权代表（签字或加盖个人名章）：XXXX。</w:t>
      </w:r>
    </w:p>
    <w:p>
      <w:pPr>
        <w:widowControl/>
        <w:adjustRightInd w:val="0"/>
        <w:snapToGrid w:val="0"/>
        <w:spacing w:line="360" w:lineRule="auto"/>
        <w:ind w:firstLine="472" w:firstLineChars="196"/>
        <w:jc w:val="left"/>
        <w:rPr>
          <w:rFonts w:hint="eastAsia" w:ascii="宋体"/>
          <w:b/>
          <w:bCs/>
          <w:sz w:val="24"/>
        </w:rPr>
      </w:pPr>
      <w:r>
        <w:rPr>
          <w:rFonts w:hint="eastAsia" w:ascii="宋体"/>
          <w:b/>
          <w:bCs/>
          <w:sz w:val="24"/>
        </w:rPr>
        <w:t>包件号：</w:t>
      </w:r>
    </w:p>
    <w:p>
      <w:pPr>
        <w:widowControl/>
        <w:adjustRightInd w:val="0"/>
        <w:snapToGrid w:val="0"/>
        <w:spacing w:line="360" w:lineRule="auto"/>
        <w:ind w:firstLine="472" w:firstLineChars="196"/>
        <w:jc w:val="left"/>
        <w:rPr>
          <w:rFonts w:hint="eastAsia" w:ascii="宋体" w:hAnsi="宋体"/>
          <w:b/>
          <w:bCs/>
          <w:sz w:val="24"/>
        </w:rPr>
      </w:pPr>
      <w:r>
        <w:rPr>
          <w:rFonts w:hint="eastAsia" w:ascii="宋体" w:hAnsi="宋体"/>
          <w:b/>
          <w:bCs/>
          <w:sz w:val="24"/>
        </w:rPr>
        <w:t>投标日期: XXXX。</w:t>
      </w:r>
    </w:p>
    <w:p>
      <w:pPr>
        <w:spacing w:line="360" w:lineRule="auto"/>
        <w:rPr>
          <w:rFonts w:ascii="宋体" w:hAnsi="宋体"/>
          <w:b/>
          <w:sz w:val="32"/>
          <w:szCs w:val="32"/>
        </w:rPr>
      </w:pPr>
      <w:r>
        <w:rPr>
          <w:rFonts w:hint="eastAsia" w:ascii="宋体" w:hAnsi="宋体"/>
          <w:b/>
          <w:sz w:val="32"/>
          <w:szCs w:val="32"/>
        </w:rPr>
        <w:br w:type="page"/>
      </w:r>
      <w:r>
        <w:rPr>
          <w:rFonts w:hint="eastAsia" w:ascii="宋体" w:hAnsi="宋体"/>
          <w:b/>
          <w:sz w:val="32"/>
          <w:szCs w:val="32"/>
        </w:rPr>
        <w:t>格式2-10</w:t>
      </w:r>
    </w:p>
    <w:p>
      <w:pPr>
        <w:widowControl/>
        <w:spacing w:line="360" w:lineRule="auto"/>
        <w:jc w:val="center"/>
        <w:outlineLvl w:val="2"/>
        <w:rPr>
          <w:rFonts w:hint="eastAsia" w:hAnsi="宋体"/>
          <w:b/>
          <w:sz w:val="32"/>
          <w:szCs w:val="32"/>
        </w:rPr>
      </w:pPr>
      <w:bookmarkStart w:id="238" w:name="_Toc503862999"/>
      <w:r>
        <w:rPr>
          <w:rFonts w:hAnsi="宋体"/>
          <w:b/>
          <w:sz w:val="32"/>
          <w:szCs w:val="32"/>
        </w:rPr>
        <w:t>九</w:t>
      </w:r>
      <w:r>
        <w:rPr>
          <w:rFonts w:hint="eastAsia" w:hAnsi="宋体"/>
          <w:b/>
          <w:sz w:val="32"/>
          <w:szCs w:val="32"/>
        </w:rPr>
        <w:t>、投标人本项目管理、服务人员情况表</w:t>
      </w:r>
      <w:bookmarkEnd w:id="238"/>
    </w:p>
    <w:p>
      <w:pPr>
        <w:widowControl/>
        <w:jc w:val="left"/>
        <w:rPr>
          <w:rFonts w:hint="eastAsia" w:ascii="宋体" w:hAnsi="宋体"/>
          <w:sz w:val="24"/>
        </w:rPr>
      </w:pP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4"/>
        <w:gridCol w:w="993"/>
        <w:gridCol w:w="994"/>
        <w:gridCol w:w="993"/>
        <w:gridCol w:w="993"/>
        <w:gridCol w:w="1047"/>
        <w:gridCol w:w="1182"/>
        <w:gridCol w:w="1043"/>
        <w:gridCol w:w="9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53" w:hRule="atLeast"/>
          <w:jc w:val="center"/>
        </w:trPr>
        <w:tc>
          <w:tcPr>
            <w:tcW w:w="1174" w:type="dxa"/>
            <w:vMerge w:val="restart"/>
            <w:vAlign w:val="center"/>
          </w:tcPr>
          <w:p>
            <w:pPr>
              <w:widowControl/>
              <w:spacing w:line="360" w:lineRule="atLeast"/>
              <w:jc w:val="center"/>
              <w:outlineLvl w:val="1"/>
              <w:rPr>
                <w:rFonts w:hint="eastAsia" w:ascii="宋体" w:hAnsi="宋体"/>
                <w:b/>
                <w:bCs/>
                <w:sz w:val="24"/>
              </w:rPr>
            </w:pPr>
            <w:bookmarkStart w:id="239" w:name="_Toc503863001"/>
            <w:r>
              <w:rPr>
                <w:rFonts w:hint="eastAsia" w:ascii="宋体" w:hAnsi="宋体"/>
                <w:b/>
                <w:bCs/>
                <w:sz w:val="24"/>
              </w:rPr>
              <w:t>类别</w:t>
            </w:r>
            <w:bookmarkEnd w:id="239"/>
          </w:p>
        </w:tc>
        <w:tc>
          <w:tcPr>
            <w:tcW w:w="993" w:type="dxa"/>
            <w:vMerge w:val="restart"/>
            <w:vAlign w:val="center"/>
          </w:tcPr>
          <w:p>
            <w:pPr>
              <w:widowControl/>
              <w:spacing w:line="360" w:lineRule="atLeast"/>
              <w:jc w:val="center"/>
              <w:outlineLvl w:val="1"/>
              <w:rPr>
                <w:rFonts w:hint="eastAsia" w:ascii="宋体" w:hAnsi="宋体"/>
                <w:b/>
                <w:bCs/>
                <w:sz w:val="24"/>
              </w:rPr>
            </w:pPr>
            <w:bookmarkStart w:id="240" w:name="_Toc503863002"/>
            <w:r>
              <w:rPr>
                <w:rFonts w:hint="eastAsia" w:ascii="宋体" w:hAnsi="宋体"/>
                <w:b/>
                <w:bCs/>
                <w:sz w:val="24"/>
              </w:rPr>
              <w:t>职务</w:t>
            </w:r>
            <w:bookmarkEnd w:id="240"/>
          </w:p>
        </w:tc>
        <w:tc>
          <w:tcPr>
            <w:tcW w:w="994" w:type="dxa"/>
            <w:vMerge w:val="restart"/>
            <w:vAlign w:val="center"/>
          </w:tcPr>
          <w:p>
            <w:pPr>
              <w:widowControl/>
              <w:spacing w:line="360" w:lineRule="atLeast"/>
              <w:jc w:val="center"/>
              <w:outlineLvl w:val="1"/>
              <w:rPr>
                <w:rFonts w:hint="eastAsia" w:ascii="宋体" w:hAnsi="宋体"/>
                <w:b/>
                <w:bCs/>
                <w:sz w:val="24"/>
              </w:rPr>
            </w:pPr>
            <w:bookmarkStart w:id="241" w:name="_Toc503863003"/>
            <w:r>
              <w:rPr>
                <w:rFonts w:hint="eastAsia" w:ascii="宋体" w:hAnsi="宋体"/>
                <w:b/>
                <w:bCs/>
                <w:sz w:val="24"/>
              </w:rPr>
              <w:t>姓名</w:t>
            </w:r>
            <w:bookmarkEnd w:id="241"/>
          </w:p>
        </w:tc>
        <w:tc>
          <w:tcPr>
            <w:tcW w:w="993" w:type="dxa"/>
            <w:vMerge w:val="restart"/>
            <w:vAlign w:val="center"/>
          </w:tcPr>
          <w:p>
            <w:pPr>
              <w:widowControl/>
              <w:spacing w:line="360" w:lineRule="atLeast"/>
              <w:jc w:val="center"/>
              <w:outlineLvl w:val="1"/>
              <w:rPr>
                <w:rFonts w:hint="eastAsia" w:ascii="宋体" w:hAnsi="宋体"/>
                <w:b/>
                <w:bCs/>
                <w:sz w:val="24"/>
              </w:rPr>
            </w:pPr>
            <w:bookmarkStart w:id="242" w:name="_Toc503863004"/>
            <w:r>
              <w:rPr>
                <w:rFonts w:hint="eastAsia" w:ascii="宋体" w:hAnsi="宋体"/>
                <w:b/>
                <w:bCs/>
                <w:sz w:val="24"/>
              </w:rPr>
              <w:t>职称</w:t>
            </w:r>
            <w:bookmarkEnd w:id="242"/>
          </w:p>
        </w:tc>
        <w:tc>
          <w:tcPr>
            <w:tcW w:w="993" w:type="dxa"/>
            <w:vMerge w:val="restart"/>
            <w:vAlign w:val="center"/>
          </w:tcPr>
          <w:p>
            <w:pPr>
              <w:widowControl/>
              <w:spacing w:line="360" w:lineRule="atLeast"/>
              <w:jc w:val="center"/>
              <w:outlineLvl w:val="1"/>
              <w:rPr>
                <w:rFonts w:hint="eastAsia" w:ascii="宋体" w:hAnsi="宋体"/>
                <w:b/>
                <w:bCs/>
                <w:sz w:val="24"/>
              </w:rPr>
            </w:pPr>
            <w:bookmarkStart w:id="243" w:name="_Toc503863005"/>
            <w:r>
              <w:rPr>
                <w:rFonts w:hint="eastAsia" w:ascii="宋体" w:hAnsi="宋体"/>
                <w:b/>
                <w:bCs/>
                <w:sz w:val="24"/>
              </w:rPr>
              <w:t>常住地</w:t>
            </w:r>
            <w:bookmarkEnd w:id="243"/>
          </w:p>
        </w:tc>
        <w:tc>
          <w:tcPr>
            <w:tcW w:w="4173" w:type="dxa"/>
            <w:gridSpan w:val="4"/>
            <w:vAlign w:val="center"/>
          </w:tcPr>
          <w:p>
            <w:pPr>
              <w:widowControl/>
              <w:spacing w:line="360" w:lineRule="atLeast"/>
              <w:ind w:firstLine="472" w:firstLineChars="196"/>
              <w:jc w:val="center"/>
              <w:outlineLvl w:val="1"/>
              <w:rPr>
                <w:rFonts w:hint="eastAsia" w:ascii="宋体" w:hAnsi="宋体"/>
                <w:b/>
                <w:bCs/>
                <w:sz w:val="24"/>
              </w:rPr>
            </w:pPr>
            <w:bookmarkStart w:id="244" w:name="_Toc503863006"/>
            <w:r>
              <w:rPr>
                <w:rFonts w:hint="eastAsia" w:ascii="宋体" w:hAnsi="宋体"/>
                <w:b/>
                <w:bCs/>
                <w:sz w:val="24"/>
              </w:rPr>
              <w:t>资格证明（附复印件）</w:t>
            </w:r>
            <w:bookmarkEnd w:id="244"/>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80" w:hRule="atLeast"/>
          <w:jc w:val="center"/>
        </w:trPr>
        <w:tc>
          <w:tcPr>
            <w:tcW w:w="1174" w:type="dxa"/>
            <w:vMerge w:val="continue"/>
            <w:vAlign w:val="center"/>
          </w:tcPr>
          <w:p>
            <w:pPr>
              <w:jc w:val="center"/>
              <w:rPr>
                <w:rFonts w:ascii="宋体" w:hAnsi="宋体"/>
                <w:b/>
                <w:bCs/>
              </w:rPr>
            </w:pPr>
          </w:p>
        </w:tc>
        <w:tc>
          <w:tcPr>
            <w:tcW w:w="993" w:type="dxa"/>
            <w:vMerge w:val="continue"/>
            <w:vAlign w:val="center"/>
          </w:tcPr>
          <w:p>
            <w:pPr>
              <w:rPr>
                <w:rFonts w:ascii="宋体" w:hAnsi="宋体"/>
                <w:b/>
                <w:bCs/>
              </w:rPr>
            </w:pPr>
          </w:p>
        </w:tc>
        <w:tc>
          <w:tcPr>
            <w:tcW w:w="994" w:type="dxa"/>
            <w:vMerge w:val="continue"/>
            <w:vAlign w:val="center"/>
          </w:tcPr>
          <w:p>
            <w:pPr>
              <w:rPr>
                <w:rFonts w:ascii="宋体" w:hAnsi="宋体"/>
                <w:b/>
                <w:bCs/>
              </w:rPr>
            </w:pPr>
          </w:p>
        </w:tc>
        <w:tc>
          <w:tcPr>
            <w:tcW w:w="993" w:type="dxa"/>
            <w:vMerge w:val="continue"/>
            <w:vAlign w:val="center"/>
          </w:tcPr>
          <w:p>
            <w:pPr>
              <w:rPr>
                <w:rFonts w:ascii="宋体" w:hAnsi="宋体"/>
                <w:b/>
                <w:bCs/>
              </w:rPr>
            </w:pPr>
          </w:p>
        </w:tc>
        <w:tc>
          <w:tcPr>
            <w:tcW w:w="993" w:type="dxa"/>
            <w:vMerge w:val="continue"/>
            <w:vAlign w:val="center"/>
          </w:tcPr>
          <w:p>
            <w:pPr>
              <w:rPr>
                <w:rFonts w:ascii="宋体" w:hAnsi="宋体"/>
                <w:b/>
                <w:bCs/>
              </w:rPr>
            </w:pPr>
          </w:p>
        </w:tc>
        <w:tc>
          <w:tcPr>
            <w:tcW w:w="1047" w:type="dxa"/>
            <w:vAlign w:val="center"/>
          </w:tcPr>
          <w:p>
            <w:pPr>
              <w:widowControl/>
              <w:spacing w:line="360" w:lineRule="atLeast"/>
              <w:jc w:val="center"/>
              <w:outlineLvl w:val="1"/>
              <w:rPr>
                <w:rFonts w:hint="eastAsia" w:ascii="宋体" w:hAnsi="宋体"/>
                <w:b/>
                <w:bCs/>
                <w:sz w:val="24"/>
              </w:rPr>
            </w:pPr>
            <w:bookmarkStart w:id="245" w:name="_Toc503863007"/>
            <w:r>
              <w:rPr>
                <w:rFonts w:hint="eastAsia" w:ascii="宋体" w:hAnsi="宋体"/>
                <w:b/>
                <w:bCs/>
                <w:sz w:val="24"/>
              </w:rPr>
              <w:t>证书</w:t>
            </w:r>
            <w:bookmarkEnd w:id="245"/>
          </w:p>
          <w:p>
            <w:pPr>
              <w:widowControl/>
              <w:spacing w:line="360" w:lineRule="atLeast"/>
              <w:jc w:val="center"/>
              <w:outlineLvl w:val="1"/>
              <w:rPr>
                <w:rFonts w:hint="eastAsia" w:ascii="宋体" w:hAnsi="宋体"/>
                <w:b/>
                <w:bCs/>
                <w:sz w:val="24"/>
              </w:rPr>
            </w:pPr>
            <w:bookmarkStart w:id="246" w:name="_Toc503863008"/>
            <w:r>
              <w:rPr>
                <w:rFonts w:hint="eastAsia" w:ascii="宋体" w:hAnsi="宋体"/>
                <w:b/>
                <w:bCs/>
                <w:sz w:val="24"/>
              </w:rPr>
              <w:t>名称</w:t>
            </w:r>
            <w:bookmarkEnd w:id="246"/>
          </w:p>
        </w:tc>
        <w:tc>
          <w:tcPr>
            <w:tcW w:w="1182" w:type="dxa"/>
            <w:vAlign w:val="center"/>
          </w:tcPr>
          <w:p>
            <w:pPr>
              <w:widowControl/>
              <w:spacing w:line="360" w:lineRule="atLeast"/>
              <w:jc w:val="center"/>
              <w:outlineLvl w:val="1"/>
              <w:rPr>
                <w:rFonts w:hint="eastAsia" w:ascii="宋体" w:hAnsi="宋体"/>
                <w:b/>
                <w:bCs/>
                <w:sz w:val="24"/>
              </w:rPr>
            </w:pPr>
            <w:bookmarkStart w:id="247" w:name="_Toc503863009"/>
            <w:r>
              <w:rPr>
                <w:rFonts w:hint="eastAsia" w:ascii="宋体" w:hAnsi="宋体"/>
                <w:b/>
                <w:bCs/>
                <w:sz w:val="24"/>
              </w:rPr>
              <w:t>级别</w:t>
            </w:r>
            <w:bookmarkEnd w:id="247"/>
          </w:p>
        </w:tc>
        <w:tc>
          <w:tcPr>
            <w:tcW w:w="1043" w:type="dxa"/>
            <w:vAlign w:val="center"/>
          </w:tcPr>
          <w:p>
            <w:pPr>
              <w:widowControl/>
              <w:spacing w:line="360" w:lineRule="atLeast"/>
              <w:jc w:val="center"/>
              <w:outlineLvl w:val="1"/>
              <w:rPr>
                <w:rFonts w:hint="eastAsia" w:ascii="宋体" w:hAnsi="宋体"/>
                <w:b/>
                <w:bCs/>
                <w:sz w:val="24"/>
              </w:rPr>
            </w:pPr>
            <w:bookmarkStart w:id="248" w:name="_Toc503863010"/>
            <w:r>
              <w:rPr>
                <w:rFonts w:hint="eastAsia" w:ascii="宋体" w:hAnsi="宋体"/>
                <w:b/>
                <w:bCs/>
                <w:sz w:val="24"/>
              </w:rPr>
              <w:t>证号</w:t>
            </w:r>
            <w:bookmarkEnd w:id="248"/>
          </w:p>
        </w:tc>
        <w:tc>
          <w:tcPr>
            <w:tcW w:w="901" w:type="dxa"/>
            <w:vAlign w:val="center"/>
          </w:tcPr>
          <w:p>
            <w:pPr>
              <w:widowControl/>
              <w:spacing w:line="360" w:lineRule="atLeast"/>
              <w:jc w:val="center"/>
              <w:outlineLvl w:val="1"/>
              <w:rPr>
                <w:rFonts w:hint="eastAsia" w:ascii="宋体" w:hAnsi="宋体"/>
                <w:b/>
                <w:bCs/>
                <w:sz w:val="24"/>
              </w:rPr>
            </w:pPr>
            <w:bookmarkStart w:id="249" w:name="_Toc503863011"/>
            <w:r>
              <w:rPr>
                <w:rFonts w:hint="eastAsia" w:ascii="宋体" w:hAnsi="宋体"/>
                <w:b/>
                <w:bCs/>
                <w:sz w:val="24"/>
              </w:rPr>
              <w:t>专业</w:t>
            </w:r>
            <w:bookmarkEnd w:id="249"/>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55" w:hRule="atLeast"/>
          <w:jc w:val="center"/>
        </w:trPr>
        <w:tc>
          <w:tcPr>
            <w:tcW w:w="1174" w:type="dxa"/>
            <w:vMerge w:val="restart"/>
            <w:vAlign w:val="center"/>
          </w:tcPr>
          <w:p>
            <w:pPr>
              <w:widowControl/>
              <w:spacing w:line="360" w:lineRule="atLeast"/>
              <w:jc w:val="center"/>
              <w:outlineLvl w:val="1"/>
              <w:rPr>
                <w:rFonts w:hint="eastAsia" w:ascii="宋体" w:hAnsi="宋体"/>
                <w:b/>
                <w:bCs/>
                <w:sz w:val="24"/>
              </w:rPr>
            </w:pPr>
            <w:bookmarkStart w:id="250" w:name="_Toc503863012"/>
            <w:r>
              <w:rPr>
                <w:rFonts w:hint="eastAsia" w:ascii="宋体" w:hAnsi="宋体"/>
                <w:b/>
                <w:bCs/>
                <w:sz w:val="24"/>
              </w:rPr>
              <w:t>管理</w:t>
            </w:r>
            <w:bookmarkEnd w:id="250"/>
          </w:p>
          <w:p>
            <w:pPr>
              <w:widowControl/>
              <w:spacing w:line="360" w:lineRule="atLeast"/>
              <w:jc w:val="center"/>
              <w:outlineLvl w:val="1"/>
              <w:rPr>
                <w:rFonts w:hint="eastAsia" w:ascii="宋体" w:hAnsi="宋体"/>
                <w:b/>
                <w:bCs/>
                <w:sz w:val="24"/>
              </w:rPr>
            </w:pPr>
            <w:bookmarkStart w:id="251" w:name="_Toc503863013"/>
            <w:r>
              <w:rPr>
                <w:rFonts w:hint="eastAsia" w:ascii="宋体" w:hAnsi="宋体"/>
                <w:b/>
                <w:bCs/>
                <w:sz w:val="24"/>
              </w:rPr>
              <w:t>人员</w:t>
            </w:r>
            <w:bookmarkEnd w:id="251"/>
          </w:p>
        </w:tc>
        <w:tc>
          <w:tcPr>
            <w:tcW w:w="993" w:type="dxa"/>
          </w:tcPr>
          <w:p>
            <w:pPr>
              <w:widowControl/>
              <w:spacing w:line="360" w:lineRule="atLeast"/>
              <w:ind w:firstLine="470" w:firstLineChars="196"/>
              <w:jc w:val="left"/>
              <w:rPr>
                <w:rFonts w:hint="eastAsia" w:ascii="宋体" w:hAnsi="宋体"/>
                <w:sz w:val="24"/>
              </w:rPr>
            </w:pPr>
          </w:p>
        </w:tc>
        <w:tc>
          <w:tcPr>
            <w:tcW w:w="994" w:type="dxa"/>
          </w:tcPr>
          <w:p>
            <w:pPr>
              <w:widowControl/>
              <w:spacing w:line="360" w:lineRule="atLeast"/>
              <w:ind w:firstLine="470" w:firstLineChars="196"/>
              <w:jc w:val="left"/>
              <w:rPr>
                <w:rFonts w:hint="eastAsia" w:ascii="宋体" w:hAnsi="宋体"/>
                <w:sz w:val="24"/>
              </w:rPr>
            </w:pPr>
          </w:p>
        </w:tc>
        <w:tc>
          <w:tcPr>
            <w:tcW w:w="993" w:type="dxa"/>
          </w:tcPr>
          <w:p>
            <w:pPr>
              <w:widowControl/>
              <w:spacing w:line="360" w:lineRule="atLeast"/>
              <w:ind w:firstLine="470" w:firstLineChars="196"/>
              <w:jc w:val="left"/>
              <w:rPr>
                <w:rFonts w:hint="eastAsia" w:ascii="宋体" w:hAnsi="宋体"/>
                <w:sz w:val="24"/>
              </w:rPr>
            </w:pPr>
          </w:p>
        </w:tc>
        <w:tc>
          <w:tcPr>
            <w:tcW w:w="993" w:type="dxa"/>
          </w:tcPr>
          <w:p>
            <w:pPr>
              <w:widowControl/>
              <w:spacing w:line="360" w:lineRule="atLeast"/>
              <w:ind w:firstLine="470" w:firstLineChars="196"/>
              <w:jc w:val="left"/>
              <w:rPr>
                <w:rFonts w:hint="eastAsia" w:ascii="宋体" w:hAnsi="宋体"/>
                <w:sz w:val="24"/>
              </w:rPr>
            </w:pPr>
          </w:p>
        </w:tc>
        <w:tc>
          <w:tcPr>
            <w:tcW w:w="1047" w:type="dxa"/>
          </w:tcPr>
          <w:p>
            <w:pPr>
              <w:widowControl/>
              <w:spacing w:line="360" w:lineRule="atLeast"/>
              <w:ind w:firstLine="470" w:firstLineChars="196"/>
              <w:jc w:val="left"/>
              <w:rPr>
                <w:rFonts w:hint="eastAsia" w:ascii="宋体" w:hAnsi="宋体"/>
                <w:sz w:val="24"/>
              </w:rPr>
            </w:pPr>
          </w:p>
        </w:tc>
        <w:tc>
          <w:tcPr>
            <w:tcW w:w="1182" w:type="dxa"/>
          </w:tcPr>
          <w:p>
            <w:pPr>
              <w:widowControl/>
              <w:spacing w:line="360" w:lineRule="atLeast"/>
              <w:ind w:firstLine="470" w:firstLineChars="196"/>
              <w:jc w:val="left"/>
              <w:rPr>
                <w:rFonts w:hint="eastAsia" w:ascii="宋体" w:hAnsi="宋体"/>
                <w:sz w:val="24"/>
              </w:rPr>
            </w:pPr>
          </w:p>
        </w:tc>
        <w:tc>
          <w:tcPr>
            <w:tcW w:w="1043" w:type="dxa"/>
          </w:tcPr>
          <w:p>
            <w:pPr>
              <w:widowControl/>
              <w:spacing w:line="360" w:lineRule="atLeast"/>
              <w:ind w:firstLine="470" w:firstLineChars="196"/>
              <w:jc w:val="left"/>
              <w:rPr>
                <w:rFonts w:hint="eastAsia" w:ascii="宋体" w:hAnsi="宋体"/>
                <w:sz w:val="24"/>
              </w:rPr>
            </w:pPr>
          </w:p>
        </w:tc>
        <w:tc>
          <w:tcPr>
            <w:tcW w:w="901" w:type="dxa"/>
          </w:tcPr>
          <w:p>
            <w:pPr>
              <w:widowControl/>
              <w:spacing w:line="360" w:lineRule="atLeast"/>
              <w:ind w:firstLine="470" w:firstLineChars="196"/>
              <w:jc w:val="left"/>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53" w:hRule="atLeast"/>
          <w:jc w:val="center"/>
        </w:trPr>
        <w:tc>
          <w:tcPr>
            <w:tcW w:w="1174" w:type="dxa"/>
            <w:vMerge w:val="continue"/>
            <w:vAlign w:val="center"/>
          </w:tcPr>
          <w:p>
            <w:pPr>
              <w:jc w:val="center"/>
              <w:rPr>
                <w:rFonts w:ascii="宋体" w:hAnsi="宋体"/>
                <w:b/>
                <w:bCs/>
              </w:rPr>
            </w:pPr>
          </w:p>
        </w:tc>
        <w:tc>
          <w:tcPr>
            <w:tcW w:w="993" w:type="dxa"/>
          </w:tcPr>
          <w:p>
            <w:pPr>
              <w:widowControl/>
              <w:spacing w:line="360" w:lineRule="atLeast"/>
              <w:ind w:firstLine="470" w:firstLineChars="196"/>
              <w:jc w:val="left"/>
              <w:rPr>
                <w:rFonts w:hint="eastAsia" w:ascii="宋体" w:hAnsi="宋体"/>
                <w:sz w:val="24"/>
              </w:rPr>
            </w:pPr>
          </w:p>
        </w:tc>
        <w:tc>
          <w:tcPr>
            <w:tcW w:w="994" w:type="dxa"/>
          </w:tcPr>
          <w:p>
            <w:pPr>
              <w:widowControl/>
              <w:spacing w:line="360" w:lineRule="atLeast"/>
              <w:ind w:firstLine="470" w:firstLineChars="196"/>
              <w:jc w:val="left"/>
              <w:rPr>
                <w:rFonts w:hint="eastAsia" w:ascii="宋体" w:hAnsi="宋体"/>
                <w:sz w:val="24"/>
              </w:rPr>
            </w:pPr>
          </w:p>
        </w:tc>
        <w:tc>
          <w:tcPr>
            <w:tcW w:w="993" w:type="dxa"/>
          </w:tcPr>
          <w:p>
            <w:pPr>
              <w:widowControl/>
              <w:spacing w:line="360" w:lineRule="atLeast"/>
              <w:ind w:firstLine="470" w:firstLineChars="196"/>
              <w:jc w:val="left"/>
              <w:rPr>
                <w:rFonts w:hint="eastAsia" w:ascii="宋体" w:hAnsi="宋体"/>
                <w:sz w:val="24"/>
              </w:rPr>
            </w:pPr>
          </w:p>
        </w:tc>
        <w:tc>
          <w:tcPr>
            <w:tcW w:w="993" w:type="dxa"/>
          </w:tcPr>
          <w:p>
            <w:pPr>
              <w:widowControl/>
              <w:spacing w:line="360" w:lineRule="atLeast"/>
              <w:ind w:firstLine="470" w:firstLineChars="196"/>
              <w:jc w:val="left"/>
              <w:rPr>
                <w:rFonts w:hint="eastAsia" w:ascii="宋体" w:hAnsi="宋体"/>
                <w:sz w:val="24"/>
              </w:rPr>
            </w:pPr>
          </w:p>
        </w:tc>
        <w:tc>
          <w:tcPr>
            <w:tcW w:w="1047" w:type="dxa"/>
          </w:tcPr>
          <w:p>
            <w:pPr>
              <w:widowControl/>
              <w:spacing w:line="360" w:lineRule="atLeast"/>
              <w:ind w:firstLine="470" w:firstLineChars="196"/>
              <w:jc w:val="left"/>
              <w:rPr>
                <w:rFonts w:hint="eastAsia" w:ascii="宋体" w:hAnsi="宋体"/>
                <w:sz w:val="24"/>
              </w:rPr>
            </w:pPr>
          </w:p>
        </w:tc>
        <w:tc>
          <w:tcPr>
            <w:tcW w:w="1182" w:type="dxa"/>
          </w:tcPr>
          <w:p>
            <w:pPr>
              <w:widowControl/>
              <w:spacing w:line="360" w:lineRule="atLeast"/>
              <w:ind w:firstLine="470" w:firstLineChars="196"/>
              <w:jc w:val="left"/>
              <w:rPr>
                <w:rFonts w:hint="eastAsia" w:ascii="宋体" w:hAnsi="宋体"/>
                <w:sz w:val="24"/>
              </w:rPr>
            </w:pPr>
          </w:p>
        </w:tc>
        <w:tc>
          <w:tcPr>
            <w:tcW w:w="1043" w:type="dxa"/>
          </w:tcPr>
          <w:p>
            <w:pPr>
              <w:widowControl/>
              <w:spacing w:line="360" w:lineRule="atLeast"/>
              <w:ind w:firstLine="470" w:firstLineChars="196"/>
              <w:jc w:val="left"/>
              <w:rPr>
                <w:rFonts w:hint="eastAsia" w:ascii="宋体" w:hAnsi="宋体"/>
                <w:sz w:val="24"/>
              </w:rPr>
            </w:pPr>
          </w:p>
        </w:tc>
        <w:tc>
          <w:tcPr>
            <w:tcW w:w="901" w:type="dxa"/>
          </w:tcPr>
          <w:p>
            <w:pPr>
              <w:widowControl/>
              <w:spacing w:line="360" w:lineRule="atLeast"/>
              <w:ind w:firstLine="470" w:firstLineChars="196"/>
              <w:jc w:val="left"/>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53" w:hRule="atLeast"/>
          <w:jc w:val="center"/>
        </w:trPr>
        <w:tc>
          <w:tcPr>
            <w:tcW w:w="1174" w:type="dxa"/>
            <w:vMerge w:val="continue"/>
            <w:vAlign w:val="center"/>
          </w:tcPr>
          <w:p>
            <w:pPr>
              <w:jc w:val="center"/>
              <w:rPr>
                <w:rFonts w:ascii="宋体" w:hAnsi="宋体"/>
                <w:b/>
                <w:bCs/>
              </w:rPr>
            </w:pPr>
          </w:p>
        </w:tc>
        <w:tc>
          <w:tcPr>
            <w:tcW w:w="993" w:type="dxa"/>
          </w:tcPr>
          <w:p>
            <w:pPr>
              <w:widowControl/>
              <w:spacing w:line="360" w:lineRule="atLeast"/>
              <w:ind w:firstLine="470" w:firstLineChars="196"/>
              <w:jc w:val="left"/>
              <w:rPr>
                <w:rFonts w:hint="eastAsia" w:ascii="宋体" w:hAnsi="宋体"/>
                <w:sz w:val="24"/>
              </w:rPr>
            </w:pPr>
          </w:p>
        </w:tc>
        <w:tc>
          <w:tcPr>
            <w:tcW w:w="994" w:type="dxa"/>
          </w:tcPr>
          <w:p>
            <w:pPr>
              <w:widowControl/>
              <w:spacing w:line="360" w:lineRule="atLeast"/>
              <w:ind w:firstLine="470" w:firstLineChars="196"/>
              <w:jc w:val="left"/>
              <w:rPr>
                <w:rFonts w:hint="eastAsia" w:ascii="宋体" w:hAnsi="宋体"/>
                <w:sz w:val="24"/>
              </w:rPr>
            </w:pPr>
          </w:p>
        </w:tc>
        <w:tc>
          <w:tcPr>
            <w:tcW w:w="993" w:type="dxa"/>
          </w:tcPr>
          <w:p>
            <w:pPr>
              <w:widowControl/>
              <w:spacing w:line="360" w:lineRule="atLeast"/>
              <w:ind w:firstLine="470" w:firstLineChars="196"/>
              <w:jc w:val="left"/>
              <w:rPr>
                <w:rFonts w:hint="eastAsia" w:ascii="宋体" w:hAnsi="宋体"/>
                <w:sz w:val="24"/>
              </w:rPr>
            </w:pPr>
          </w:p>
        </w:tc>
        <w:tc>
          <w:tcPr>
            <w:tcW w:w="993" w:type="dxa"/>
          </w:tcPr>
          <w:p>
            <w:pPr>
              <w:widowControl/>
              <w:spacing w:line="360" w:lineRule="atLeast"/>
              <w:ind w:firstLine="470" w:firstLineChars="196"/>
              <w:jc w:val="left"/>
              <w:rPr>
                <w:rFonts w:hint="eastAsia" w:ascii="宋体" w:hAnsi="宋体"/>
                <w:sz w:val="24"/>
              </w:rPr>
            </w:pPr>
          </w:p>
        </w:tc>
        <w:tc>
          <w:tcPr>
            <w:tcW w:w="1047" w:type="dxa"/>
          </w:tcPr>
          <w:p>
            <w:pPr>
              <w:widowControl/>
              <w:spacing w:line="360" w:lineRule="atLeast"/>
              <w:ind w:firstLine="470" w:firstLineChars="196"/>
              <w:jc w:val="left"/>
              <w:rPr>
                <w:rFonts w:hint="eastAsia" w:ascii="宋体" w:hAnsi="宋体"/>
                <w:sz w:val="24"/>
              </w:rPr>
            </w:pPr>
          </w:p>
        </w:tc>
        <w:tc>
          <w:tcPr>
            <w:tcW w:w="1182" w:type="dxa"/>
          </w:tcPr>
          <w:p>
            <w:pPr>
              <w:widowControl/>
              <w:spacing w:line="360" w:lineRule="atLeast"/>
              <w:ind w:firstLine="470" w:firstLineChars="196"/>
              <w:jc w:val="left"/>
              <w:rPr>
                <w:rFonts w:hint="eastAsia" w:ascii="宋体" w:hAnsi="宋体"/>
                <w:sz w:val="24"/>
              </w:rPr>
            </w:pPr>
          </w:p>
        </w:tc>
        <w:tc>
          <w:tcPr>
            <w:tcW w:w="1043" w:type="dxa"/>
          </w:tcPr>
          <w:p>
            <w:pPr>
              <w:widowControl/>
              <w:spacing w:line="360" w:lineRule="atLeast"/>
              <w:ind w:firstLine="470" w:firstLineChars="196"/>
              <w:jc w:val="left"/>
              <w:rPr>
                <w:rFonts w:hint="eastAsia" w:ascii="宋体" w:hAnsi="宋体"/>
                <w:sz w:val="24"/>
              </w:rPr>
            </w:pPr>
          </w:p>
        </w:tc>
        <w:tc>
          <w:tcPr>
            <w:tcW w:w="901" w:type="dxa"/>
          </w:tcPr>
          <w:p>
            <w:pPr>
              <w:widowControl/>
              <w:spacing w:line="360" w:lineRule="atLeast"/>
              <w:ind w:firstLine="470" w:firstLineChars="196"/>
              <w:jc w:val="left"/>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55" w:hRule="atLeast"/>
          <w:jc w:val="center"/>
        </w:trPr>
        <w:tc>
          <w:tcPr>
            <w:tcW w:w="1174" w:type="dxa"/>
            <w:vMerge w:val="continue"/>
            <w:vAlign w:val="center"/>
          </w:tcPr>
          <w:p>
            <w:pPr>
              <w:jc w:val="center"/>
              <w:rPr>
                <w:rFonts w:ascii="宋体" w:hAnsi="宋体"/>
                <w:b/>
                <w:bCs/>
              </w:rPr>
            </w:pPr>
          </w:p>
        </w:tc>
        <w:tc>
          <w:tcPr>
            <w:tcW w:w="993" w:type="dxa"/>
          </w:tcPr>
          <w:p>
            <w:pPr>
              <w:widowControl/>
              <w:spacing w:line="360" w:lineRule="atLeast"/>
              <w:ind w:firstLine="470" w:firstLineChars="196"/>
              <w:jc w:val="left"/>
              <w:rPr>
                <w:rFonts w:hint="eastAsia" w:ascii="宋体" w:hAnsi="宋体"/>
                <w:sz w:val="24"/>
              </w:rPr>
            </w:pPr>
          </w:p>
        </w:tc>
        <w:tc>
          <w:tcPr>
            <w:tcW w:w="994" w:type="dxa"/>
          </w:tcPr>
          <w:p>
            <w:pPr>
              <w:widowControl/>
              <w:spacing w:line="360" w:lineRule="atLeast"/>
              <w:ind w:firstLine="470" w:firstLineChars="196"/>
              <w:jc w:val="left"/>
              <w:rPr>
                <w:rFonts w:hint="eastAsia" w:ascii="宋体" w:hAnsi="宋体"/>
                <w:sz w:val="24"/>
              </w:rPr>
            </w:pPr>
          </w:p>
        </w:tc>
        <w:tc>
          <w:tcPr>
            <w:tcW w:w="993" w:type="dxa"/>
          </w:tcPr>
          <w:p>
            <w:pPr>
              <w:widowControl/>
              <w:spacing w:line="360" w:lineRule="atLeast"/>
              <w:ind w:firstLine="470" w:firstLineChars="196"/>
              <w:jc w:val="left"/>
              <w:rPr>
                <w:rFonts w:hint="eastAsia" w:ascii="宋体" w:hAnsi="宋体"/>
                <w:sz w:val="24"/>
              </w:rPr>
            </w:pPr>
          </w:p>
        </w:tc>
        <w:tc>
          <w:tcPr>
            <w:tcW w:w="993" w:type="dxa"/>
          </w:tcPr>
          <w:p>
            <w:pPr>
              <w:widowControl/>
              <w:spacing w:line="360" w:lineRule="atLeast"/>
              <w:ind w:firstLine="470" w:firstLineChars="196"/>
              <w:jc w:val="left"/>
              <w:rPr>
                <w:rFonts w:hint="eastAsia" w:ascii="宋体" w:hAnsi="宋体"/>
                <w:sz w:val="24"/>
              </w:rPr>
            </w:pPr>
          </w:p>
        </w:tc>
        <w:tc>
          <w:tcPr>
            <w:tcW w:w="1047" w:type="dxa"/>
          </w:tcPr>
          <w:p>
            <w:pPr>
              <w:widowControl/>
              <w:spacing w:line="360" w:lineRule="atLeast"/>
              <w:ind w:firstLine="470" w:firstLineChars="196"/>
              <w:jc w:val="left"/>
              <w:rPr>
                <w:rFonts w:hint="eastAsia" w:ascii="宋体" w:hAnsi="宋体"/>
                <w:sz w:val="24"/>
              </w:rPr>
            </w:pPr>
          </w:p>
        </w:tc>
        <w:tc>
          <w:tcPr>
            <w:tcW w:w="1182" w:type="dxa"/>
          </w:tcPr>
          <w:p>
            <w:pPr>
              <w:widowControl/>
              <w:spacing w:line="360" w:lineRule="atLeast"/>
              <w:ind w:firstLine="470" w:firstLineChars="196"/>
              <w:jc w:val="left"/>
              <w:rPr>
                <w:rFonts w:hint="eastAsia" w:ascii="宋体" w:hAnsi="宋体"/>
                <w:sz w:val="24"/>
              </w:rPr>
            </w:pPr>
          </w:p>
        </w:tc>
        <w:tc>
          <w:tcPr>
            <w:tcW w:w="1043" w:type="dxa"/>
          </w:tcPr>
          <w:p>
            <w:pPr>
              <w:widowControl/>
              <w:spacing w:line="360" w:lineRule="atLeast"/>
              <w:ind w:firstLine="470" w:firstLineChars="196"/>
              <w:jc w:val="left"/>
              <w:rPr>
                <w:rFonts w:hint="eastAsia" w:ascii="宋体" w:hAnsi="宋体"/>
                <w:sz w:val="24"/>
              </w:rPr>
            </w:pPr>
          </w:p>
        </w:tc>
        <w:tc>
          <w:tcPr>
            <w:tcW w:w="901" w:type="dxa"/>
          </w:tcPr>
          <w:p>
            <w:pPr>
              <w:widowControl/>
              <w:spacing w:line="360" w:lineRule="atLeast"/>
              <w:ind w:firstLine="470" w:firstLineChars="196"/>
              <w:jc w:val="left"/>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55" w:hRule="atLeast"/>
          <w:jc w:val="center"/>
        </w:trPr>
        <w:tc>
          <w:tcPr>
            <w:tcW w:w="1174" w:type="dxa"/>
            <w:vMerge w:val="restart"/>
            <w:vAlign w:val="center"/>
          </w:tcPr>
          <w:p>
            <w:pPr>
              <w:widowControl/>
              <w:spacing w:line="360" w:lineRule="atLeast"/>
              <w:jc w:val="center"/>
              <w:outlineLvl w:val="1"/>
              <w:rPr>
                <w:rFonts w:hint="eastAsia" w:ascii="宋体" w:hAnsi="宋体"/>
                <w:b/>
                <w:bCs/>
                <w:sz w:val="24"/>
              </w:rPr>
            </w:pPr>
            <w:bookmarkStart w:id="252" w:name="_Toc503863016"/>
            <w:r>
              <w:rPr>
                <w:rFonts w:ascii="宋体" w:hAnsi="宋体"/>
                <w:b/>
                <w:bCs/>
                <w:sz w:val="24"/>
              </w:rPr>
              <w:t>服</w:t>
            </w:r>
            <w:r>
              <w:rPr>
                <w:rFonts w:hint="eastAsia" w:ascii="宋体" w:hAnsi="宋体"/>
                <w:b/>
                <w:bCs/>
                <w:sz w:val="24"/>
              </w:rPr>
              <w:t>务人员</w:t>
            </w:r>
            <w:bookmarkEnd w:id="252"/>
          </w:p>
        </w:tc>
        <w:tc>
          <w:tcPr>
            <w:tcW w:w="993" w:type="dxa"/>
          </w:tcPr>
          <w:p>
            <w:pPr>
              <w:widowControl/>
              <w:spacing w:line="360" w:lineRule="atLeast"/>
              <w:ind w:firstLine="470" w:firstLineChars="196"/>
              <w:jc w:val="left"/>
              <w:rPr>
                <w:rFonts w:hint="eastAsia" w:ascii="宋体" w:hAnsi="宋体"/>
                <w:sz w:val="24"/>
              </w:rPr>
            </w:pPr>
          </w:p>
        </w:tc>
        <w:tc>
          <w:tcPr>
            <w:tcW w:w="994" w:type="dxa"/>
          </w:tcPr>
          <w:p>
            <w:pPr>
              <w:widowControl/>
              <w:spacing w:line="360" w:lineRule="atLeast"/>
              <w:ind w:firstLine="470" w:firstLineChars="196"/>
              <w:jc w:val="left"/>
              <w:rPr>
                <w:rFonts w:hint="eastAsia" w:ascii="宋体" w:hAnsi="宋体"/>
                <w:sz w:val="24"/>
              </w:rPr>
            </w:pPr>
          </w:p>
        </w:tc>
        <w:tc>
          <w:tcPr>
            <w:tcW w:w="993" w:type="dxa"/>
          </w:tcPr>
          <w:p>
            <w:pPr>
              <w:widowControl/>
              <w:spacing w:line="360" w:lineRule="atLeast"/>
              <w:ind w:firstLine="470" w:firstLineChars="196"/>
              <w:jc w:val="left"/>
              <w:rPr>
                <w:rFonts w:hint="eastAsia" w:ascii="宋体" w:hAnsi="宋体"/>
                <w:sz w:val="24"/>
              </w:rPr>
            </w:pPr>
          </w:p>
        </w:tc>
        <w:tc>
          <w:tcPr>
            <w:tcW w:w="993" w:type="dxa"/>
          </w:tcPr>
          <w:p>
            <w:pPr>
              <w:widowControl/>
              <w:spacing w:line="360" w:lineRule="atLeast"/>
              <w:ind w:firstLine="470" w:firstLineChars="196"/>
              <w:jc w:val="left"/>
              <w:rPr>
                <w:rFonts w:hint="eastAsia" w:ascii="宋体" w:hAnsi="宋体"/>
                <w:sz w:val="24"/>
              </w:rPr>
            </w:pPr>
          </w:p>
        </w:tc>
        <w:tc>
          <w:tcPr>
            <w:tcW w:w="1047" w:type="dxa"/>
          </w:tcPr>
          <w:p>
            <w:pPr>
              <w:widowControl/>
              <w:spacing w:line="360" w:lineRule="atLeast"/>
              <w:ind w:firstLine="470" w:firstLineChars="196"/>
              <w:jc w:val="left"/>
              <w:rPr>
                <w:rFonts w:hint="eastAsia" w:ascii="宋体" w:hAnsi="宋体"/>
                <w:sz w:val="24"/>
              </w:rPr>
            </w:pPr>
          </w:p>
        </w:tc>
        <w:tc>
          <w:tcPr>
            <w:tcW w:w="1182" w:type="dxa"/>
          </w:tcPr>
          <w:p>
            <w:pPr>
              <w:widowControl/>
              <w:spacing w:line="360" w:lineRule="atLeast"/>
              <w:ind w:firstLine="470" w:firstLineChars="196"/>
              <w:jc w:val="left"/>
              <w:rPr>
                <w:rFonts w:hint="eastAsia" w:ascii="宋体" w:hAnsi="宋体"/>
                <w:sz w:val="24"/>
              </w:rPr>
            </w:pPr>
          </w:p>
        </w:tc>
        <w:tc>
          <w:tcPr>
            <w:tcW w:w="1043" w:type="dxa"/>
          </w:tcPr>
          <w:p>
            <w:pPr>
              <w:widowControl/>
              <w:spacing w:line="360" w:lineRule="atLeast"/>
              <w:ind w:firstLine="470" w:firstLineChars="196"/>
              <w:jc w:val="left"/>
              <w:rPr>
                <w:rFonts w:hint="eastAsia" w:ascii="宋体" w:hAnsi="宋体"/>
                <w:sz w:val="24"/>
              </w:rPr>
            </w:pPr>
          </w:p>
        </w:tc>
        <w:tc>
          <w:tcPr>
            <w:tcW w:w="901" w:type="dxa"/>
          </w:tcPr>
          <w:p>
            <w:pPr>
              <w:widowControl/>
              <w:spacing w:line="360" w:lineRule="atLeast"/>
              <w:ind w:firstLine="470" w:firstLineChars="196"/>
              <w:jc w:val="left"/>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76" w:hRule="atLeast"/>
          <w:jc w:val="center"/>
        </w:trPr>
        <w:tc>
          <w:tcPr>
            <w:tcW w:w="1174" w:type="dxa"/>
            <w:vMerge w:val="continue"/>
          </w:tcPr>
          <w:p>
            <w:pPr>
              <w:rPr>
                <w:rFonts w:ascii="宋体" w:hAnsi="宋体"/>
              </w:rPr>
            </w:pPr>
          </w:p>
        </w:tc>
        <w:tc>
          <w:tcPr>
            <w:tcW w:w="993" w:type="dxa"/>
          </w:tcPr>
          <w:p>
            <w:pPr>
              <w:widowControl/>
              <w:spacing w:line="360" w:lineRule="atLeast"/>
              <w:ind w:firstLine="470" w:firstLineChars="196"/>
              <w:jc w:val="left"/>
              <w:rPr>
                <w:rFonts w:hint="eastAsia" w:ascii="宋体" w:hAnsi="宋体"/>
                <w:sz w:val="24"/>
              </w:rPr>
            </w:pPr>
          </w:p>
        </w:tc>
        <w:tc>
          <w:tcPr>
            <w:tcW w:w="994" w:type="dxa"/>
          </w:tcPr>
          <w:p>
            <w:pPr>
              <w:widowControl/>
              <w:spacing w:line="360" w:lineRule="atLeast"/>
              <w:ind w:firstLine="470" w:firstLineChars="196"/>
              <w:jc w:val="left"/>
              <w:rPr>
                <w:rFonts w:hint="eastAsia" w:ascii="宋体" w:hAnsi="宋体"/>
                <w:sz w:val="24"/>
              </w:rPr>
            </w:pPr>
          </w:p>
        </w:tc>
        <w:tc>
          <w:tcPr>
            <w:tcW w:w="993" w:type="dxa"/>
          </w:tcPr>
          <w:p>
            <w:pPr>
              <w:widowControl/>
              <w:spacing w:line="360" w:lineRule="atLeast"/>
              <w:ind w:firstLine="470" w:firstLineChars="196"/>
              <w:jc w:val="left"/>
              <w:rPr>
                <w:rFonts w:hint="eastAsia" w:ascii="宋体" w:hAnsi="宋体"/>
                <w:sz w:val="24"/>
              </w:rPr>
            </w:pPr>
          </w:p>
        </w:tc>
        <w:tc>
          <w:tcPr>
            <w:tcW w:w="993" w:type="dxa"/>
          </w:tcPr>
          <w:p>
            <w:pPr>
              <w:widowControl/>
              <w:spacing w:line="360" w:lineRule="atLeast"/>
              <w:ind w:firstLine="470" w:firstLineChars="196"/>
              <w:jc w:val="left"/>
              <w:rPr>
                <w:rFonts w:hint="eastAsia" w:ascii="宋体" w:hAnsi="宋体"/>
                <w:sz w:val="24"/>
              </w:rPr>
            </w:pPr>
          </w:p>
        </w:tc>
        <w:tc>
          <w:tcPr>
            <w:tcW w:w="1047" w:type="dxa"/>
          </w:tcPr>
          <w:p>
            <w:pPr>
              <w:widowControl/>
              <w:spacing w:line="360" w:lineRule="atLeast"/>
              <w:ind w:firstLine="470" w:firstLineChars="196"/>
              <w:jc w:val="left"/>
              <w:rPr>
                <w:rFonts w:hint="eastAsia" w:ascii="宋体" w:hAnsi="宋体"/>
                <w:sz w:val="24"/>
              </w:rPr>
            </w:pPr>
          </w:p>
        </w:tc>
        <w:tc>
          <w:tcPr>
            <w:tcW w:w="1182" w:type="dxa"/>
          </w:tcPr>
          <w:p>
            <w:pPr>
              <w:widowControl/>
              <w:spacing w:line="360" w:lineRule="atLeast"/>
              <w:ind w:firstLine="470" w:firstLineChars="196"/>
              <w:jc w:val="left"/>
              <w:rPr>
                <w:rFonts w:hint="eastAsia" w:ascii="宋体" w:hAnsi="宋体"/>
                <w:sz w:val="24"/>
              </w:rPr>
            </w:pPr>
          </w:p>
        </w:tc>
        <w:tc>
          <w:tcPr>
            <w:tcW w:w="1043" w:type="dxa"/>
          </w:tcPr>
          <w:p>
            <w:pPr>
              <w:widowControl/>
              <w:spacing w:line="360" w:lineRule="atLeast"/>
              <w:ind w:firstLine="470" w:firstLineChars="196"/>
              <w:jc w:val="left"/>
              <w:rPr>
                <w:rFonts w:hint="eastAsia" w:ascii="宋体" w:hAnsi="宋体"/>
                <w:sz w:val="24"/>
              </w:rPr>
            </w:pPr>
          </w:p>
        </w:tc>
        <w:tc>
          <w:tcPr>
            <w:tcW w:w="901" w:type="dxa"/>
          </w:tcPr>
          <w:p>
            <w:pPr>
              <w:widowControl/>
              <w:spacing w:line="360" w:lineRule="atLeast"/>
              <w:ind w:firstLine="470" w:firstLineChars="196"/>
              <w:jc w:val="left"/>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76" w:hRule="atLeast"/>
          <w:jc w:val="center"/>
        </w:trPr>
        <w:tc>
          <w:tcPr>
            <w:tcW w:w="1174" w:type="dxa"/>
            <w:vMerge w:val="continue"/>
          </w:tcPr>
          <w:p>
            <w:pPr>
              <w:rPr>
                <w:rFonts w:ascii="宋体" w:hAnsi="宋体"/>
              </w:rPr>
            </w:pPr>
          </w:p>
        </w:tc>
        <w:tc>
          <w:tcPr>
            <w:tcW w:w="993" w:type="dxa"/>
          </w:tcPr>
          <w:p>
            <w:pPr>
              <w:widowControl/>
              <w:spacing w:line="360" w:lineRule="atLeast"/>
              <w:ind w:firstLine="470" w:firstLineChars="196"/>
              <w:jc w:val="left"/>
              <w:rPr>
                <w:rFonts w:hint="eastAsia" w:ascii="宋体" w:hAnsi="宋体"/>
                <w:sz w:val="24"/>
              </w:rPr>
            </w:pPr>
          </w:p>
        </w:tc>
        <w:tc>
          <w:tcPr>
            <w:tcW w:w="994" w:type="dxa"/>
          </w:tcPr>
          <w:p>
            <w:pPr>
              <w:widowControl/>
              <w:spacing w:line="360" w:lineRule="atLeast"/>
              <w:ind w:firstLine="470" w:firstLineChars="196"/>
              <w:jc w:val="left"/>
              <w:rPr>
                <w:rFonts w:hint="eastAsia" w:ascii="宋体" w:hAnsi="宋体"/>
                <w:sz w:val="24"/>
              </w:rPr>
            </w:pPr>
          </w:p>
        </w:tc>
        <w:tc>
          <w:tcPr>
            <w:tcW w:w="993" w:type="dxa"/>
          </w:tcPr>
          <w:p>
            <w:pPr>
              <w:widowControl/>
              <w:spacing w:line="360" w:lineRule="atLeast"/>
              <w:ind w:firstLine="470" w:firstLineChars="196"/>
              <w:jc w:val="left"/>
              <w:rPr>
                <w:rFonts w:hint="eastAsia" w:ascii="宋体" w:hAnsi="宋体"/>
                <w:sz w:val="24"/>
              </w:rPr>
            </w:pPr>
          </w:p>
        </w:tc>
        <w:tc>
          <w:tcPr>
            <w:tcW w:w="993" w:type="dxa"/>
          </w:tcPr>
          <w:p>
            <w:pPr>
              <w:widowControl/>
              <w:spacing w:line="360" w:lineRule="atLeast"/>
              <w:ind w:firstLine="470" w:firstLineChars="196"/>
              <w:jc w:val="left"/>
              <w:rPr>
                <w:rFonts w:hint="eastAsia" w:ascii="宋体" w:hAnsi="宋体"/>
                <w:sz w:val="24"/>
              </w:rPr>
            </w:pPr>
          </w:p>
        </w:tc>
        <w:tc>
          <w:tcPr>
            <w:tcW w:w="1047" w:type="dxa"/>
          </w:tcPr>
          <w:p>
            <w:pPr>
              <w:widowControl/>
              <w:spacing w:line="360" w:lineRule="atLeast"/>
              <w:ind w:firstLine="470" w:firstLineChars="196"/>
              <w:jc w:val="left"/>
              <w:rPr>
                <w:rFonts w:hint="eastAsia" w:ascii="宋体" w:hAnsi="宋体"/>
                <w:sz w:val="24"/>
              </w:rPr>
            </w:pPr>
          </w:p>
        </w:tc>
        <w:tc>
          <w:tcPr>
            <w:tcW w:w="1182" w:type="dxa"/>
          </w:tcPr>
          <w:p>
            <w:pPr>
              <w:widowControl/>
              <w:spacing w:line="360" w:lineRule="atLeast"/>
              <w:ind w:firstLine="470" w:firstLineChars="196"/>
              <w:jc w:val="left"/>
              <w:rPr>
                <w:rFonts w:hint="eastAsia" w:ascii="宋体" w:hAnsi="宋体"/>
                <w:sz w:val="24"/>
              </w:rPr>
            </w:pPr>
          </w:p>
        </w:tc>
        <w:tc>
          <w:tcPr>
            <w:tcW w:w="1043" w:type="dxa"/>
          </w:tcPr>
          <w:p>
            <w:pPr>
              <w:widowControl/>
              <w:spacing w:line="360" w:lineRule="atLeast"/>
              <w:ind w:firstLine="470" w:firstLineChars="196"/>
              <w:jc w:val="left"/>
              <w:rPr>
                <w:rFonts w:hint="eastAsia" w:ascii="宋体" w:hAnsi="宋体"/>
                <w:sz w:val="24"/>
              </w:rPr>
            </w:pPr>
          </w:p>
        </w:tc>
        <w:tc>
          <w:tcPr>
            <w:tcW w:w="901" w:type="dxa"/>
          </w:tcPr>
          <w:p>
            <w:pPr>
              <w:widowControl/>
              <w:spacing w:line="360" w:lineRule="atLeast"/>
              <w:ind w:firstLine="470" w:firstLineChars="196"/>
              <w:jc w:val="left"/>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76" w:hRule="atLeast"/>
          <w:jc w:val="center"/>
        </w:trPr>
        <w:tc>
          <w:tcPr>
            <w:tcW w:w="1174" w:type="dxa"/>
            <w:vMerge w:val="continue"/>
          </w:tcPr>
          <w:p>
            <w:pPr>
              <w:rPr>
                <w:rFonts w:ascii="宋体" w:hAnsi="宋体"/>
              </w:rPr>
            </w:pPr>
          </w:p>
        </w:tc>
        <w:tc>
          <w:tcPr>
            <w:tcW w:w="993" w:type="dxa"/>
          </w:tcPr>
          <w:p>
            <w:pPr>
              <w:widowControl/>
              <w:spacing w:line="360" w:lineRule="atLeast"/>
              <w:ind w:firstLine="470" w:firstLineChars="196"/>
              <w:jc w:val="left"/>
              <w:rPr>
                <w:rFonts w:hint="eastAsia" w:ascii="宋体" w:hAnsi="宋体"/>
                <w:sz w:val="24"/>
              </w:rPr>
            </w:pPr>
          </w:p>
        </w:tc>
        <w:tc>
          <w:tcPr>
            <w:tcW w:w="994" w:type="dxa"/>
          </w:tcPr>
          <w:p>
            <w:pPr>
              <w:widowControl/>
              <w:spacing w:line="360" w:lineRule="atLeast"/>
              <w:ind w:firstLine="470" w:firstLineChars="196"/>
              <w:jc w:val="left"/>
              <w:rPr>
                <w:rFonts w:hint="eastAsia" w:ascii="宋体" w:hAnsi="宋体"/>
                <w:sz w:val="24"/>
              </w:rPr>
            </w:pPr>
          </w:p>
        </w:tc>
        <w:tc>
          <w:tcPr>
            <w:tcW w:w="993" w:type="dxa"/>
          </w:tcPr>
          <w:p>
            <w:pPr>
              <w:widowControl/>
              <w:spacing w:line="360" w:lineRule="atLeast"/>
              <w:ind w:firstLine="470" w:firstLineChars="196"/>
              <w:jc w:val="left"/>
              <w:rPr>
                <w:rFonts w:hint="eastAsia" w:ascii="宋体" w:hAnsi="宋体"/>
                <w:sz w:val="24"/>
              </w:rPr>
            </w:pPr>
          </w:p>
        </w:tc>
        <w:tc>
          <w:tcPr>
            <w:tcW w:w="993" w:type="dxa"/>
          </w:tcPr>
          <w:p>
            <w:pPr>
              <w:widowControl/>
              <w:spacing w:line="360" w:lineRule="atLeast"/>
              <w:ind w:firstLine="470" w:firstLineChars="196"/>
              <w:jc w:val="left"/>
              <w:rPr>
                <w:rFonts w:hint="eastAsia" w:ascii="宋体" w:hAnsi="宋体"/>
                <w:sz w:val="24"/>
              </w:rPr>
            </w:pPr>
          </w:p>
        </w:tc>
        <w:tc>
          <w:tcPr>
            <w:tcW w:w="1047" w:type="dxa"/>
          </w:tcPr>
          <w:p>
            <w:pPr>
              <w:widowControl/>
              <w:spacing w:line="360" w:lineRule="atLeast"/>
              <w:ind w:firstLine="470" w:firstLineChars="196"/>
              <w:jc w:val="left"/>
              <w:rPr>
                <w:rFonts w:hint="eastAsia" w:ascii="宋体" w:hAnsi="宋体"/>
                <w:sz w:val="24"/>
              </w:rPr>
            </w:pPr>
          </w:p>
        </w:tc>
        <w:tc>
          <w:tcPr>
            <w:tcW w:w="1182" w:type="dxa"/>
          </w:tcPr>
          <w:p>
            <w:pPr>
              <w:widowControl/>
              <w:spacing w:line="360" w:lineRule="atLeast"/>
              <w:ind w:firstLine="470" w:firstLineChars="196"/>
              <w:jc w:val="left"/>
              <w:rPr>
                <w:rFonts w:hint="eastAsia" w:ascii="宋体" w:hAnsi="宋体"/>
                <w:sz w:val="24"/>
              </w:rPr>
            </w:pPr>
          </w:p>
        </w:tc>
        <w:tc>
          <w:tcPr>
            <w:tcW w:w="1043" w:type="dxa"/>
          </w:tcPr>
          <w:p>
            <w:pPr>
              <w:widowControl/>
              <w:spacing w:line="360" w:lineRule="atLeast"/>
              <w:ind w:firstLine="470" w:firstLineChars="196"/>
              <w:jc w:val="left"/>
              <w:rPr>
                <w:rFonts w:hint="eastAsia" w:ascii="宋体" w:hAnsi="宋体"/>
                <w:sz w:val="24"/>
              </w:rPr>
            </w:pPr>
          </w:p>
        </w:tc>
        <w:tc>
          <w:tcPr>
            <w:tcW w:w="901" w:type="dxa"/>
          </w:tcPr>
          <w:p>
            <w:pPr>
              <w:widowControl/>
              <w:spacing w:line="360" w:lineRule="atLeast"/>
              <w:ind w:firstLine="470" w:firstLineChars="196"/>
              <w:jc w:val="left"/>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76" w:hRule="atLeast"/>
          <w:jc w:val="center"/>
        </w:trPr>
        <w:tc>
          <w:tcPr>
            <w:tcW w:w="1174" w:type="dxa"/>
            <w:vMerge w:val="continue"/>
          </w:tcPr>
          <w:p>
            <w:pPr>
              <w:rPr>
                <w:rFonts w:ascii="宋体" w:hAnsi="宋体"/>
              </w:rPr>
            </w:pPr>
          </w:p>
        </w:tc>
        <w:tc>
          <w:tcPr>
            <w:tcW w:w="993" w:type="dxa"/>
          </w:tcPr>
          <w:p>
            <w:pPr>
              <w:widowControl/>
              <w:spacing w:line="360" w:lineRule="atLeast"/>
              <w:ind w:firstLine="470" w:firstLineChars="196"/>
              <w:jc w:val="left"/>
              <w:rPr>
                <w:rFonts w:hint="eastAsia" w:ascii="宋体" w:hAnsi="宋体"/>
                <w:sz w:val="24"/>
              </w:rPr>
            </w:pPr>
          </w:p>
        </w:tc>
        <w:tc>
          <w:tcPr>
            <w:tcW w:w="994" w:type="dxa"/>
          </w:tcPr>
          <w:p>
            <w:pPr>
              <w:widowControl/>
              <w:spacing w:line="360" w:lineRule="atLeast"/>
              <w:ind w:firstLine="470" w:firstLineChars="196"/>
              <w:jc w:val="left"/>
              <w:rPr>
                <w:rFonts w:hint="eastAsia" w:ascii="宋体" w:hAnsi="宋体"/>
                <w:sz w:val="24"/>
              </w:rPr>
            </w:pPr>
          </w:p>
        </w:tc>
        <w:tc>
          <w:tcPr>
            <w:tcW w:w="993" w:type="dxa"/>
          </w:tcPr>
          <w:p>
            <w:pPr>
              <w:widowControl/>
              <w:spacing w:line="360" w:lineRule="atLeast"/>
              <w:ind w:firstLine="470" w:firstLineChars="196"/>
              <w:jc w:val="left"/>
              <w:rPr>
                <w:rFonts w:hint="eastAsia" w:ascii="宋体" w:hAnsi="宋体"/>
                <w:sz w:val="24"/>
              </w:rPr>
            </w:pPr>
          </w:p>
        </w:tc>
        <w:tc>
          <w:tcPr>
            <w:tcW w:w="993" w:type="dxa"/>
          </w:tcPr>
          <w:p>
            <w:pPr>
              <w:widowControl/>
              <w:spacing w:line="360" w:lineRule="atLeast"/>
              <w:ind w:firstLine="470" w:firstLineChars="196"/>
              <w:jc w:val="left"/>
              <w:rPr>
                <w:rFonts w:hint="eastAsia" w:ascii="宋体" w:hAnsi="宋体"/>
                <w:sz w:val="24"/>
              </w:rPr>
            </w:pPr>
          </w:p>
        </w:tc>
        <w:tc>
          <w:tcPr>
            <w:tcW w:w="1047" w:type="dxa"/>
          </w:tcPr>
          <w:p>
            <w:pPr>
              <w:widowControl/>
              <w:spacing w:line="360" w:lineRule="atLeast"/>
              <w:ind w:firstLine="470" w:firstLineChars="196"/>
              <w:jc w:val="left"/>
              <w:rPr>
                <w:rFonts w:hint="eastAsia" w:ascii="宋体" w:hAnsi="宋体"/>
                <w:sz w:val="24"/>
              </w:rPr>
            </w:pPr>
          </w:p>
        </w:tc>
        <w:tc>
          <w:tcPr>
            <w:tcW w:w="1182" w:type="dxa"/>
          </w:tcPr>
          <w:p>
            <w:pPr>
              <w:widowControl/>
              <w:spacing w:line="360" w:lineRule="atLeast"/>
              <w:ind w:firstLine="470" w:firstLineChars="196"/>
              <w:jc w:val="left"/>
              <w:rPr>
                <w:rFonts w:hint="eastAsia" w:ascii="宋体" w:hAnsi="宋体"/>
                <w:sz w:val="24"/>
              </w:rPr>
            </w:pPr>
          </w:p>
        </w:tc>
        <w:tc>
          <w:tcPr>
            <w:tcW w:w="1043" w:type="dxa"/>
          </w:tcPr>
          <w:p>
            <w:pPr>
              <w:widowControl/>
              <w:spacing w:line="360" w:lineRule="atLeast"/>
              <w:ind w:firstLine="470" w:firstLineChars="196"/>
              <w:jc w:val="left"/>
              <w:rPr>
                <w:rFonts w:hint="eastAsia" w:ascii="宋体" w:hAnsi="宋体"/>
                <w:sz w:val="24"/>
              </w:rPr>
            </w:pPr>
          </w:p>
        </w:tc>
        <w:tc>
          <w:tcPr>
            <w:tcW w:w="901" w:type="dxa"/>
          </w:tcPr>
          <w:p>
            <w:pPr>
              <w:widowControl/>
              <w:spacing w:line="360" w:lineRule="atLeast"/>
              <w:ind w:firstLine="470" w:firstLineChars="196"/>
              <w:jc w:val="left"/>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76" w:hRule="atLeast"/>
          <w:jc w:val="center"/>
        </w:trPr>
        <w:tc>
          <w:tcPr>
            <w:tcW w:w="1174" w:type="dxa"/>
            <w:tcBorders>
              <w:bottom w:val="single" w:color="auto" w:sz="4" w:space="0"/>
            </w:tcBorders>
            <w:vAlign w:val="center"/>
          </w:tcPr>
          <w:p>
            <w:pPr>
              <w:jc w:val="center"/>
              <w:rPr>
                <w:rFonts w:ascii="宋体" w:hAnsi="宋体"/>
              </w:rPr>
            </w:pPr>
            <w:r>
              <w:rPr>
                <w:rFonts w:hint="eastAsia" w:ascii="宋体" w:hAnsi="宋体"/>
              </w:rPr>
              <w:t>......</w:t>
            </w:r>
          </w:p>
        </w:tc>
        <w:tc>
          <w:tcPr>
            <w:tcW w:w="993" w:type="dxa"/>
            <w:tcBorders>
              <w:bottom w:val="single" w:color="auto" w:sz="4" w:space="0"/>
            </w:tcBorders>
          </w:tcPr>
          <w:p>
            <w:pPr>
              <w:widowControl/>
              <w:spacing w:line="360" w:lineRule="atLeast"/>
              <w:ind w:firstLine="470" w:firstLineChars="196"/>
              <w:jc w:val="left"/>
              <w:rPr>
                <w:rFonts w:hint="eastAsia" w:ascii="宋体" w:hAnsi="宋体"/>
                <w:sz w:val="24"/>
              </w:rPr>
            </w:pPr>
          </w:p>
        </w:tc>
        <w:tc>
          <w:tcPr>
            <w:tcW w:w="994" w:type="dxa"/>
          </w:tcPr>
          <w:p>
            <w:pPr>
              <w:widowControl/>
              <w:spacing w:line="360" w:lineRule="atLeast"/>
              <w:ind w:firstLine="470" w:firstLineChars="196"/>
              <w:jc w:val="left"/>
              <w:rPr>
                <w:rFonts w:hint="eastAsia" w:ascii="宋体" w:hAnsi="宋体"/>
                <w:sz w:val="24"/>
              </w:rPr>
            </w:pPr>
          </w:p>
        </w:tc>
        <w:tc>
          <w:tcPr>
            <w:tcW w:w="993" w:type="dxa"/>
          </w:tcPr>
          <w:p>
            <w:pPr>
              <w:widowControl/>
              <w:spacing w:line="360" w:lineRule="atLeast"/>
              <w:ind w:firstLine="470" w:firstLineChars="196"/>
              <w:jc w:val="left"/>
              <w:rPr>
                <w:rFonts w:hint="eastAsia" w:ascii="宋体" w:hAnsi="宋体"/>
                <w:sz w:val="24"/>
              </w:rPr>
            </w:pPr>
          </w:p>
        </w:tc>
        <w:tc>
          <w:tcPr>
            <w:tcW w:w="993" w:type="dxa"/>
          </w:tcPr>
          <w:p>
            <w:pPr>
              <w:widowControl/>
              <w:spacing w:line="360" w:lineRule="atLeast"/>
              <w:ind w:firstLine="470" w:firstLineChars="196"/>
              <w:jc w:val="left"/>
              <w:rPr>
                <w:rFonts w:hint="eastAsia" w:ascii="宋体" w:hAnsi="宋体"/>
                <w:sz w:val="24"/>
              </w:rPr>
            </w:pPr>
          </w:p>
        </w:tc>
        <w:tc>
          <w:tcPr>
            <w:tcW w:w="1047" w:type="dxa"/>
          </w:tcPr>
          <w:p>
            <w:pPr>
              <w:widowControl/>
              <w:spacing w:line="360" w:lineRule="atLeast"/>
              <w:ind w:firstLine="470" w:firstLineChars="196"/>
              <w:jc w:val="left"/>
              <w:rPr>
                <w:rFonts w:hint="eastAsia" w:ascii="宋体" w:hAnsi="宋体"/>
                <w:sz w:val="24"/>
              </w:rPr>
            </w:pPr>
          </w:p>
        </w:tc>
        <w:tc>
          <w:tcPr>
            <w:tcW w:w="1182" w:type="dxa"/>
          </w:tcPr>
          <w:p>
            <w:pPr>
              <w:widowControl/>
              <w:spacing w:line="360" w:lineRule="atLeast"/>
              <w:ind w:firstLine="470" w:firstLineChars="196"/>
              <w:jc w:val="left"/>
              <w:rPr>
                <w:rFonts w:hint="eastAsia" w:ascii="宋体" w:hAnsi="宋体"/>
                <w:sz w:val="24"/>
              </w:rPr>
            </w:pPr>
          </w:p>
        </w:tc>
        <w:tc>
          <w:tcPr>
            <w:tcW w:w="1043" w:type="dxa"/>
          </w:tcPr>
          <w:p>
            <w:pPr>
              <w:widowControl/>
              <w:spacing w:line="360" w:lineRule="atLeast"/>
              <w:ind w:firstLine="470" w:firstLineChars="196"/>
              <w:jc w:val="left"/>
              <w:rPr>
                <w:rFonts w:hint="eastAsia" w:ascii="宋体" w:hAnsi="宋体"/>
                <w:sz w:val="24"/>
              </w:rPr>
            </w:pPr>
          </w:p>
        </w:tc>
        <w:tc>
          <w:tcPr>
            <w:tcW w:w="901" w:type="dxa"/>
          </w:tcPr>
          <w:p>
            <w:pPr>
              <w:widowControl/>
              <w:spacing w:line="360" w:lineRule="atLeast"/>
              <w:ind w:firstLine="470" w:firstLineChars="196"/>
              <w:jc w:val="left"/>
              <w:rPr>
                <w:rFonts w:hint="eastAsia" w:ascii="宋体" w:hAnsi="宋体"/>
                <w:sz w:val="24"/>
              </w:rPr>
            </w:pPr>
          </w:p>
        </w:tc>
      </w:tr>
    </w:tbl>
    <w:p>
      <w:pPr>
        <w:widowControl/>
        <w:spacing w:line="360" w:lineRule="atLeast"/>
        <w:ind w:firstLine="470" w:firstLineChars="196"/>
        <w:jc w:val="left"/>
        <w:rPr>
          <w:rFonts w:hint="eastAsia" w:ascii="宋体" w:hAnsi="宋体"/>
          <w:sz w:val="24"/>
        </w:rPr>
      </w:pPr>
    </w:p>
    <w:p>
      <w:pPr>
        <w:pStyle w:val="11"/>
        <w:rPr>
          <w:rFonts w:hint="eastAsia"/>
        </w:rPr>
      </w:pPr>
      <w:r>
        <w:rPr>
          <w:rFonts w:hint="eastAsia" w:hAnsi="宋体"/>
          <w:sz w:val="24"/>
        </w:rPr>
        <w:t>注：投标人可根据项目实际情况自行调整本表。</w:t>
      </w:r>
    </w:p>
    <w:p>
      <w:pPr>
        <w:pStyle w:val="11"/>
        <w:rPr>
          <w:rFonts w:hint="eastAsia"/>
        </w:rPr>
      </w:pPr>
    </w:p>
    <w:p>
      <w:pPr>
        <w:widowControl/>
        <w:adjustRightInd w:val="0"/>
        <w:snapToGrid w:val="0"/>
        <w:spacing w:line="360" w:lineRule="auto"/>
        <w:ind w:firstLine="472" w:firstLineChars="196"/>
        <w:jc w:val="left"/>
        <w:rPr>
          <w:rFonts w:hint="eastAsia" w:ascii="宋体" w:hAnsi="宋体"/>
          <w:b/>
          <w:bCs/>
          <w:sz w:val="24"/>
        </w:rPr>
      </w:pPr>
      <w:r>
        <w:rPr>
          <w:rFonts w:hint="eastAsia" w:ascii="宋体" w:hAnsi="宋体"/>
          <w:b/>
          <w:bCs/>
          <w:sz w:val="24"/>
        </w:rPr>
        <w:t>投标人名称：XXXX（单位盖章）。</w:t>
      </w:r>
    </w:p>
    <w:p>
      <w:pPr>
        <w:widowControl/>
        <w:adjustRightInd w:val="0"/>
        <w:snapToGrid w:val="0"/>
        <w:spacing w:line="360" w:lineRule="auto"/>
        <w:ind w:firstLine="472" w:firstLineChars="196"/>
        <w:jc w:val="left"/>
        <w:rPr>
          <w:rFonts w:hint="eastAsia" w:ascii="宋体" w:hAnsi="宋体"/>
          <w:b/>
          <w:bCs/>
          <w:sz w:val="24"/>
        </w:rPr>
      </w:pPr>
      <w:r>
        <w:rPr>
          <w:rFonts w:hint="eastAsia" w:ascii="宋体" w:hAnsi="宋体"/>
          <w:b/>
          <w:bCs/>
          <w:sz w:val="24"/>
        </w:rPr>
        <w:t>法定代表人/单位负责人或授权代表（签字或加盖个人名章）：XXXX。</w:t>
      </w:r>
    </w:p>
    <w:p>
      <w:pPr>
        <w:widowControl/>
        <w:spacing w:line="360" w:lineRule="auto"/>
        <w:ind w:firstLine="472" w:firstLineChars="196"/>
        <w:jc w:val="left"/>
        <w:rPr>
          <w:rFonts w:hint="eastAsia"/>
        </w:rPr>
      </w:pPr>
      <w:r>
        <w:rPr>
          <w:rFonts w:hint="eastAsia" w:ascii="宋体"/>
          <w:b/>
          <w:bCs/>
          <w:sz w:val="24"/>
        </w:rPr>
        <w:t>包件号：</w:t>
      </w:r>
    </w:p>
    <w:p>
      <w:pPr>
        <w:widowControl/>
        <w:adjustRightInd w:val="0"/>
        <w:snapToGrid w:val="0"/>
        <w:spacing w:line="360" w:lineRule="auto"/>
        <w:ind w:firstLine="472" w:firstLineChars="196"/>
        <w:jc w:val="left"/>
        <w:rPr>
          <w:rFonts w:hint="eastAsia" w:ascii="宋体" w:hAnsi="宋体"/>
          <w:b/>
          <w:bCs/>
          <w:sz w:val="24"/>
        </w:rPr>
      </w:pPr>
      <w:r>
        <w:rPr>
          <w:rFonts w:hint="eastAsia" w:ascii="宋体" w:hAnsi="宋体"/>
          <w:b/>
          <w:bCs/>
          <w:sz w:val="24"/>
        </w:rPr>
        <w:t>投标日期: XXXX。</w:t>
      </w:r>
    </w:p>
    <w:p>
      <w:pPr>
        <w:widowControl/>
        <w:spacing w:line="360" w:lineRule="atLeast"/>
        <w:ind w:firstLine="472" w:firstLineChars="196"/>
        <w:jc w:val="left"/>
        <w:rPr>
          <w:rFonts w:hint="eastAsia" w:ascii="宋体" w:hAnsi="宋体"/>
          <w:b/>
          <w:sz w:val="24"/>
        </w:rPr>
      </w:pPr>
    </w:p>
    <w:p>
      <w:pPr>
        <w:rPr>
          <w:rFonts w:hint="eastAsia" w:ascii="宋体" w:hAnsi="宋体"/>
          <w:b/>
          <w:sz w:val="24"/>
        </w:rPr>
      </w:pPr>
      <w:r>
        <w:rPr>
          <w:rFonts w:hint="eastAsia" w:ascii="宋体" w:hAnsi="宋体"/>
          <w:b/>
          <w:sz w:val="24"/>
        </w:rPr>
        <w:br w:type="page"/>
      </w:r>
    </w:p>
    <w:p>
      <w:pPr>
        <w:spacing w:line="360" w:lineRule="auto"/>
        <w:rPr>
          <w:rFonts w:hint="eastAsia" w:ascii="宋体" w:hAnsi="宋体"/>
          <w:b/>
          <w:sz w:val="32"/>
          <w:szCs w:val="32"/>
        </w:rPr>
      </w:pPr>
      <w:r>
        <w:rPr>
          <w:rFonts w:hint="eastAsia" w:ascii="宋体" w:hAnsi="宋体"/>
          <w:b/>
          <w:sz w:val="32"/>
          <w:szCs w:val="32"/>
        </w:rPr>
        <w:t>格式2-11</w:t>
      </w:r>
    </w:p>
    <w:p>
      <w:pPr>
        <w:widowControl/>
        <w:spacing w:line="360" w:lineRule="auto"/>
        <w:jc w:val="center"/>
        <w:outlineLvl w:val="2"/>
        <w:rPr>
          <w:rFonts w:hint="eastAsia" w:hAnsi="宋体"/>
          <w:b/>
          <w:sz w:val="32"/>
          <w:szCs w:val="32"/>
        </w:rPr>
      </w:pPr>
      <w:r>
        <w:rPr>
          <w:rFonts w:hAnsi="宋体"/>
          <w:b/>
          <w:sz w:val="32"/>
          <w:szCs w:val="32"/>
        </w:rPr>
        <w:t>十</w:t>
      </w:r>
      <w:r>
        <w:rPr>
          <w:rFonts w:hint="eastAsia" w:hAnsi="宋体"/>
          <w:b/>
          <w:sz w:val="32"/>
          <w:szCs w:val="32"/>
        </w:rPr>
        <w:t>、</w:t>
      </w:r>
      <w:r>
        <w:rPr>
          <w:rFonts w:hAnsi="宋体"/>
          <w:b/>
          <w:sz w:val="32"/>
          <w:szCs w:val="32"/>
        </w:rPr>
        <w:t>服</w:t>
      </w:r>
      <w:r>
        <w:rPr>
          <w:rFonts w:hint="eastAsia" w:hAnsi="宋体"/>
          <w:b/>
          <w:sz w:val="32"/>
          <w:szCs w:val="32"/>
        </w:rPr>
        <w:t>务应答表</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9"/>
        <w:gridCol w:w="2537"/>
        <w:gridCol w:w="3299"/>
        <w:gridCol w:w="25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799" w:type="dxa"/>
            <w:vAlign w:val="center"/>
          </w:tcPr>
          <w:p>
            <w:pPr>
              <w:widowControl/>
              <w:spacing w:line="360" w:lineRule="atLeast"/>
              <w:jc w:val="center"/>
              <w:outlineLvl w:val="1"/>
              <w:rPr>
                <w:rFonts w:hint="eastAsia" w:ascii="宋体" w:hAnsi="宋体"/>
                <w:b/>
                <w:bCs/>
                <w:sz w:val="24"/>
              </w:rPr>
            </w:pPr>
            <w:r>
              <w:rPr>
                <w:rFonts w:hint="eastAsia" w:ascii="宋体" w:hAnsi="宋体"/>
                <w:b/>
                <w:bCs/>
                <w:sz w:val="24"/>
              </w:rPr>
              <w:t>序号</w:t>
            </w:r>
          </w:p>
        </w:tc>
        <w:tc>
          <w:tcPr>
            <w:tcW w:w="2537" w:type="dxa"/>
            <w:vAlign w:val="center"/>
          </w:tcPr>
          <w:p>
            <w:pPr>
              <w:widowControl/>
              <w:spacing w:line="360" w:lineRule="atLeast"/>
              <w:jc w:val="center"/>
              <w:outlineLvl w:val="1"/>
              <w:rPr>
                <w:rFonts w:hint="eastAsia" w:ascii="宋体" w:hAnsi="宋体"/>
                <w:b/>
                <w:bCs/>
                <w:sz w:val="24"/>
              </w:rPr>
            </w:pPr>
            <w:r>
              <w:rPr>
                <w:rFonts w:hint="eastAsia" w:ascii="宋体" w:hAnsi="宋体"/>
                <w:b/>
                <w:bCs/>
                <w:sz w:val="24"/>
              </w:rPr>
              <w:t>招标要求</w:t>
            </w:r>
          </w:p>
        </w:tc>
        <w:tc>
          <w:tcPr>
            <w:tcW w:w="3299" w:type="dxa"/>
            <w:vAlign w:val="center"/>
          </w:tcPr>
          <w:p>
            <w:pPr>
              <w:widowControl/>
              <w:spacing w:line="360" w:lineRule="atLeast"/>
              <w:jc w:val="center"/>
              <w:outlineLvl w:val="1"/>
              <w:rPr>
                <w:rFonts w:hint="eastAsia" w:ascii="宋体" w:hAnsi="宋体"/>
                <w:b/>
                <w:bCs/>
                <w:sz w:val="24"/>
              </w:rPr>
            </w:pPr>
            <w:r>
              <w:rPr>
                <w:rFonts w:hint="eastAsia" w:ascii="宋体" w:hAnsi="宋体"/>
                <w:b/>
                <w:bCs/>
                <w:sz w:val="24"/>
              </w:rPr>
              <w:t>投标应答</w:t>
            </w:r>
          </w:p>
        </w:tc>
        <w:tc>
          <w:tcPr>
            <w:tcW w:w="2535" w:type="dxa"/>
            <w:vAlign w:val="center"/>
          </w:tcPr>
          <w:p>
            <w:pPr>
              <w:widowControl/>
              <w:spacing w:line="360" w:lineRule="atLeast"/>
              <w:jc w:val="center"/>
              <w:outlineLvl w:val="1"/>
              <w:rPr>
                <w:rFonts w:hint="eastAsia" w:ascii="宋体" w:hAnsi="宋体"/>
                <w:b/>
                <w:bCs/>
                <w:sz w:val="24"/>
              </w:rPr>
            </w:pPr>
            <w:r>
              <w:rPr>
                <w:rFonts w:ascii="宋体" w:hAnsi="宋体"/>
                <w:b/>
                <w:bCs/>
                <w:sz w:val="24"/>
              </w:rPr>
              <w:t>偏离情况说明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trPr>
        <w:tc>
          <w:tcPr>
            <w:tcW w:w="799" w:type="dxa"/>
          </w:tcPr>
          <w:p>
            <w:pPr>
              <w:widowControl/>
              <w:spacing w:line="360" w:lineRule="atLeast"/>
              <w:ind w:firstLine="470" w:firstLineChars="196"/>
              <w:jc w:val="left"/>
              <w:rPr>
                <w:rFonts w:hint="eastAsia" w:ascii="宋体" w:hAnsi="宋体"/>
                <w:sz w:val="24"/>
              </w:rPr>
            </w:pPr>
          </w:p>
        </w:tc>
        <w:tc>
          <w:tcPr>
            <w:tcW w:w="2537" w:type="dxa"/>
          </w:tcPr>
          <w:p>
            <w:pPr>
              <w:widowControl/>
              <w:spacing w:line="360" w:lineRule="atLeast"/>
              <w:ind w:firstLine="470" w:firstLineChars="196"/>
              <w:jc w:val="left"/>
              <w:rPr>
                <w:rFonts w:hint="eastAsia" w:ascii="宋体" w:hAnsi="宋体"/>
                <w:sz w:val="24"/>
              </w:rPr>
            </w:pPr>
          </w:p>
        </w:tc>
        <w:tc>
          <w:tcPr>
            <w:tcW w:w="3299" w:type="dxa"/>
          </w:tcPr>
          <w:p>
            <w:pPr>
              <w:widowControl/>
              <w:spacing w:line="360" w:lineRule="atLeast"/>
              <w:ind w:firstLine="470" w:firstLineChars="196"/>
              <w:jc w:val="left"/>
              <w:rPr>
                <w:rFonts w:hint="eastAsia" w:ascii="宋体" w:hAnsi="宋体"/>
                <w:sz w:val="24"/>
              </w:rPr>
            </w:pPr>
          </w:p>
        </w:tc>
        <w:tc>
          <w:tcPr>
            <w:tcW w:w="2535" w:type="dxa"/>
          </w:tcPr>
          <w:p>
            <w:pPr>
              <w:widowControl/>
              <w:spacing w:line="360" w:lineRule="atLeast"/>
              <w:ind w:firstLine="470" w:firstLineChars="196"/>
              <w:jc w:val="left"/>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trPr>
        <w:tc>
          <w:tcPr>
            <w:tcW w:w="799" w:type="dxa"/>
          </w:tcPr>
          <w:p>
            <w:pPr>
              <w:widowControl/>
              <w:spacing w:line="360" w:lineRule="atLeast"/>
              <w:ind w:firstLine="470" w:firstLineChars="196"/>
              <w:jc w:val="left"/>
              <w:rPr>
                <w:rFonts w:hint="eastAsia" w:ascii="宋体" w:hAnsi="宋体"/>
                <w:sz w:val="24"/>
              </w:rPr>
            </w:pPr>
          </w:p>
        </w:tc>
        <w:tc>
          <w:tcPr>
            <w:tcW w:w="2537" w:type="dxa"/>
          </w:tcPr>
          <w:p>
            <w:pPr>
              <w:widowControl/>
              <w:spacing w:line="360" w:lineRule="atLeast"/>
              <w:ind w:firstLine="470" w:firstLineChars="196"/>
              <w:jc w:val="left"/>
              <w:rPr>
                <w:rFonts w:hint="eastAsia" w:ascii="宋体" w:hAnsi="宋体"/>
                <w:sz w:val="24"/>
              </w:rPr>
            </w:pPr>
          </w:p>
        </w:tc>
        <w:tc>
          <w:tcPr>
            <w:tcW w:w="3299" w:type="dxa"/>
          </w:tcPr>
          <w:p>
            <w:pPr>
              <w:widowControl/>
              <w:spacing w:line="360" w:lineRule="atLeast"/>
              <w:ind w:firstLine="470" w:firstLineChars="196"/>
              <w:jc w:val="left"/>
              <w:rPr>
                <w:rFonts w:hint="eastAsia" w:ascii="宋体" w:hAnsi="宋体"/>
                <w:sz w:val="24"/>
              </w:rPr>
            </w:pPr>
          </w:p>
        </w:tc>
        <w:tc>
          <w:tcPr>
            <w:tcW w:w="2535" w:type="dxa"/>
          </w:tcPr>
          <w:p>
            <w:pPr>
              <w:widowControl/>
              <w:spacing w:line="360" w:lineRule="atLeast"/>
              <w:ind w:firstLine="470" w:firstLineChars="196"/>
              <w:jc w:val="left"/>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trPr>
        <w:tc>
          <w:tcPr>
            <w:tcW w:w="799" w:type="dxa"/>
          </w:tcPr>
          <w:p>
            <w:pPr>
              <w:widowControl/>
              <w:spacing w:line="360" w:lineRule="atLeast"/>
              <w:ind w:firstLine="470" w:firstLineChars="196"/>
              <w:jc w:val="left"/>
              <w:rPr>
                <w:rFonts w:hint="eastAsia" w:ascii="宋体" w:hAnsi="宋体"/>
                <w:sz w:val="24"/>
              </w:rPr>
            </w:pPr>
          </w:p>
        </w:tc>
        <w:tc>
          <w:tcPr>
            <w:tcW w:w="2537" w:type="dxa"/>
          </w:tcPr>
          <w:p>
            <w:pPr>
              <w:widowControl/>
              <w:spacing w:line="360" w:lineRule="atLeast"/>
              <w:ind w:firstLine="470" w:firstLineChars="196"/>
              <w:jc w:val="left"/>
              <w:rPr>
                <w:rFonts w:hint="eastAsia" w:ascii="宋体" w:hAnsi="宋体"/>
                <w:sz w:val="24"/>
              </w:rPr>
            </w:pPr>
          </w:p>
        </w:tc>
        <w:tc>
          <w:tcPr>
            <w:tcW w:w="3299" w:type="dxa"/>
          </w:tcPr>
          <w:p>
            <w:pPr>
              <w:widowControl/>
              <w:spacing w:line="360" w:lineRule="atLeast"/>
              <w:ind w:firstLine="470" w:firstLineChars="196"/>
              <w:jc w:val="left"/>
              <w:rPr>
                <w:rFonts w:hint="eastAsia" w:ascii="宋体" w:hAnsi="宋体"/>
                <w:sz w:val="24"/>
              </w:rPr>
            </w:pPr>
          </w:p>
        </w:tc>
        <w:tc>
          <w:tcPr>
            <w:tcW w:w="2535" w:type="dxa"/>
          </w:tcPr>
          <w:p>
            <w:pPr>
              <w:widowControl/>
              <w:spacing w:line="360" w:lineRule="atLeast"/>
              <w:ind w:firstLine="470" w:firstLineChars="196"/>
              <w:jc w:val="left"/>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trPr>
        <w:tc>
          <w:tcPr>
            <w:tcW w:w="799" w:type="dxa"/>
          </w:tcPr>
          <w:p>
            <w:pPr>
              <w:widowControl/>
              <w:spacing w:line="360" w:lineRule="atLeast"/>
              <w:ind w:firstLine="470" w:firstLineChars="196"/>
              <w:jc w:val="left"/>
              <w:rPr>
                <w:rFonts w:hint="eastAsia" w:ascii="宋体" w:hAnsi="宋体"/>
                <w:sz w:val="24"/>
              </w:rPr>
            </w:pPr>
          </w:p>
        </w:tc>
        <w:tc>
          <w:tcPr>
            <w:tcW w:w="2537" w:type="dxa"/>
          </w:tcPr>
          <w:p>
            <w:pPr>
              <w:widowControl/>
              <w:spacing w:line="360" w:lineRule="atLeast"/>
              <w:ind w:firstLine="470" w:firstLineChars="196"/>
              <w:jc w:val="left"/>
              <w:rPr>
                <w:rFonts w:hint="eastAsia" w:ascii="宋体" w:hAnsi="宋体"/>
                <w:sz w:val="24"/>
              </w:rPr>
            </w:pPr>
          </w:p>
        </w:tc>
        <w:tc>
          <w:tcPr>
            <w:tcW w:w="3299" w:type="dxa"/>
          </w:tcPr>
          <w:p>
            <w:pPr>
              <w:widowControl/>
              <w:spacing w:line="360" w:lineRule="atLeast"/>
              <w:ind w:firstLine="470" w:firstLineChars="196"/>
              <w:jc w:val="left"/>
              <w:rPr>
                <w:rFonts w:hint="eastAsia" w:ascii="宋体" w:hAnsi="宋体"/>
                <w:sz w:val="24"/>
              </w:rPr>
            </w:pPr>
          </w:p>
        </w:tc>
        <w:tc>
          <w:tcPr>
            <w:tcW w:w="2535" w:type="dxa"/>
          </w:tcPr>
          <w:p>
            <w:pPr>
              <w:widowControl/>
              <w:spacing w:line="360" w:lineRule="atLeast"/>
              <w:ind w:firstLine="470" w:firstLineChars="196"/>
              <w:jc w:val="left"/>
              <w:rPr>
                <w:rFonts w:hint="eastAsia" w:ascii="宋体" w:hAnsi="宋体"/>
                <w:sz w:val="24"/>
              </w:rPr>
            </w:pPr>
          </w:p>
        </w:tc>
      </w:tr>
    </w:tbl>
    <w:p>
      <w:pPr>
        <w:widowControl/>
        <w:spacing w:line="360" w:lineRule="atLeast"/>
        <w:ind w:firstLine="470" w:firstLineChars="196"/>
        <w:jc w:val="left"/>
        <w:rPr>
          <w:rFonts w:hint="eastAsia" w:ascii="宋体" w:hAnsi="宋体"/>
          <w:sz w:val="24"/>
        </w:rPr>
      </w:pPr>
    </w:p>
    <w:p>
      <w:pPr>
        <w:widowControl/>
        <w:spacing w:line="360" w:lineRule="atLeast"/>
        <w:jc w:val="left"/>
        <w:rPr>
          <w:rFonts w:hint="eastAsia" w:ascii="宋体" w:hAnsi="宋体"/>
          <w:sz w:val="24"/>
        </w:rPr>
      </w:pPr>
      <w:r>
        <w:rPr>
          <w:rFonts w:hint="eastAsia" w:ascii="宋体" w:hAnsi="宋体"/>
          <w:sz w:val="24"/>
        </w:rPr>
        <w:t>注：投标人必须据实填写，不得虚假应答，否则将取消其投标或中标资格。如与招标文件相关条款无偏离（包括正偏离和负偏离），则无须逐条应答。如有偏离条款，请将偏离条款逐条应答。未明确应答的条款（包括招标文件要求的非资格性审查的实质性条款及本章格式所附的“注”），均视为满足招标文件要求。</w:t>
      </w:r>
    </w:p>
    <w:p>
      <w:pPr>
        <w:widowControl/>
        <w:spacing w:line="360" w:lineRule="atLeast"/>
        <w:ind w:firstLine="470" w:firstLineChars="196"/>
        <w:jc w:val="left"/>
        <w:rPr>
          <w:rFonts w:hint="eastAsia" w:ascii="宋体" w:hAnsi="宋体"/>
          <w:sz w:val="24"/>
        </w:rPr>
      </w:pPr>
    </w:p>
    <w:p>
      <w:pPr>
        <w:pStyle w:val="11"/>
        <w:rPr>
          <w:rFonts w:hint="eastAsia"/>
        </w:rPr>
      </w:pPr>
    </w:p>
    <w:p>
      <w:pPr>
        <w:widowControl/>
        <w:adjustRightInd w:val="0"/>
        <w:snapToGrid w:val="0"/>
        <w:spacing w:line="360" w:lineRule="auto"/>
        <w:ind w:firstLine="472" w:firstLineChars="196"/>
        <w:jc w:val="left"/>
        <w:rPr>
          <w:rFonts w:hint="eastAsia" w:ascii="宋体" w:hAnsi="宋体"/>
          <w:b/>
          <w:bCs/>
          <w:sz w:val="24"/>
        </w:rPr>
      </w:pPr>
      <w:r>
        <w:rPr>
          <w:rFonts w:hint="eastAsia" w:ascii="宋体" w:hAnsi="宋体"/>
          <w:b/>
          <w:bCs/>
          <w:sz w:val="24"/>
        </w:rPr>
        <w:t>投标人名称：XXXX（单位盖章）。</w:t>
      </w:r>
    </w:p>
    <w:p>
      <w:pPr>
        <w:widowControl/>
        <w:adjustRightInd w:val="0"/>
        <w:snapToGrid w:val="0"/>
        <w:spacing w:line="360" w:lineRule="auto"/>
        <w:ind w:firstLine="472" w:firstLineChars="196"/>
        <w:jc w:val="left"/>
        <w:rPr>
          <w:rFonts w:hint="eastAsia" w:ascii="宋体" w:hAnsi="宋体"/>
          <w:b/>
          <w:bCs/>
          <w:sz w:val="24"/>
        </w:rPr>
      </w:pPr>
      <w:r>
        <w:rPr>
          <w:rFonts w:hint="eastAsia" w:ascii="宋体" w:hAnsi="宋体"/>
          <w:b/>
          <w:bCs/>
          <w:sz w:val="24"/>
        </w:rPr>
        <w:t>法定代表人/单位负责人或授权代表（签字或加盖个人名章）：XXXX。</w:t>
      </w:r>
    </w:p>
    <w:p>
      <w:pPr>
        <w:widowControl/>
        <w:spacing w:line="360" w:lineRule="auto"/>
        <w:ind w:firstLine="472" w:firstLineChars="196"/>
        <w:jc w:val="left"/>
        <w:rPr>
          <w:rFonts w:hint="eastAsia"/>
        </w:rPr>
      </w:pPr>
      <w:r>
        <w:rPr>
          <w:rFonts w:hint="eastAsia" w:ascii="宋体"/>
          <w:b/>
          <w:bCs/>
          <w:sz w:val="24"/>
        </w:rPr>
        <w:t>包件号：</w:t>
      </w:r>
    </w:p>
    <w:p>
      <w:pPr>
        <w:widowControl/>
        <w:adjustRightInd w:val="0"/>
        <w:snapToGrid w:val="0"/>
        <w:spacing w:line="360" w:lineRule="auto"/>
        <w:ind w:firstLine="472" w:firstLineChars="196"/>
        <w:jc w:val="left"/>
        <w:rPr>
          <w:rFonts w:hint="eastAsia" w:ascii="宋体" w:hAnsi="宋体"/>
          <w:b/>
          <w:bCs/>
          <w:sz w:val="24"/>
        </w:rPr>
      </w:pPr>
      <w:r>
        <w:rPr>
          <w:rFonts w:hint="eastAsia" w:ascii="宋体" w:hAnsi="宋体"/>
          <w:b/>
          <w:bCs/>
          <w:sz w:val="24"/>
        </w:rPr>
        <w:t>投标日期: XXXX。</w:t>
      </w:r>
    </w:p>
    <w:p>
      <w:pPr>
        <w:widowControl/>
        <w:spacing w:line="360" w:lineRule="atLeast"/>
        <w:jc w:val="center"/>
        <w:rPr>
          <w:rFonts w:hint="eastAsia" w:ascii="宋体" w:hAnsi="宋体"/>
          <w:b/>
          <w:sz w:val="32"/>
          <w:szCs w:val="32"/>
        </w:rPr>
      </w:pPr>
      <w:r>
        <w:rPr>
          <w:rFonts w:hint="eastAsia" w:ascii="宋体" w:hAnsi="宋体"/>
          <w:b/>
          <w:sz w:val="32"/>
          <w:szCs w:val="32"/>
        </w:rPr>
        <w:br w:type="page"/>
      </w:r>
    </w:p>
    <w:p>
      <w:pPr>
        <w:spacing w:line="360" w:lineRule="auto"/>
        <w:rPr>
          <w:rFonts w:ascii="宋体" w:hAnsi="宋体"/>
          <w:b/>
          <w:sz w:val="32"/>
          <w:szCs w:val="32"/>
        </w:rPr>
      </w:pPr>
      <w:r>
        <w:rPr>
          <w:rFonts w:hint="eastAsia" w:ascii="宋体" w:hAnsi="宋体"/>
          <w:b/>
          <w:sz w:val="32"/>
          <w:szCs w:val="32"/>
        </w:rPr>
        <w:t>格式2-12</w:t>
      </w:r>
    </w:p>
    <w:p>
      <w:pPr>
        <w:widowControl/>
        <w:spacing w:line="360" w:lineRule="auto"/>
        <w:jc w:val="center"/>
        <w:outlineLvl w:val="2"/>
        <w:rPr>
          <w:rFonts w:hint="eastAsia" w:hAnsi="宋体"/>
          <w:b/>
          <w:sz w:val="32"/>
          <w:szCs w:val="32"/>
        </w:rPr>
      </w:pPr>
      <w:r>
        <w:rPr>
          <w:rFonts w:hAnsi="宋体"/>
          <w:b/>
          <w:sz w:val="32"/>
          <w:szCs w:val="32"/>
        </w:rPr>
        <w:t>十一</w:t>
      </w:r>
      <w:r>
        <w:rPr>
          <w:rFonts w:hint="eastAsia" w:hAnsi="宋体"/>
          <w:b/>
          <w:sz w:val="32"/>
          <w:szCs w:val="32"/>
        </w:rPr>
        <w:t>、实施</w:t>
      </w:r>
      <w:r>
        <w:rPr>
          <w:rFonts w:hAnsi="宋体"/>
          <w:b/>
          <w:sz w:val="32"/>
          <w:szCs w:val="32"/>
        </w:rPr>
        <w:t>（服务）</w:t>
      </w:r>
      <w:r>
        <w:rPr>
          <w:rFonts w:hint="eastAsia" w:hAnsi="宋体"/>
          <w:b/>
          <w:sz w:val="32"/>
          <w:szCs w:val="32"/>
        </w:rPr>
        <w:t>方案</w:t>
      </w:r>
    </w:p>
    <w:p>
      <w:pPr>
        <w:rPr>
          <w:rFonts w:hint="eastAsia" w:ascii="宋体" w:hAnsi="宋体"/>
          <w:b/>
          <w:sz w:val="24"/>
        </w:rPr>
      </w:pPr>
    </w:p>
    <w:p>
      <w:pPr>
        <w:pStyle w:val="2"/>
        <w:rPr>
          <w:rFonts w:hint="eastAsia" w:ascii="宋体" w:hAnsi="宋体"/>
          <w:b/>
          <w:sz w:val="24"/>
        </w:rPr>
      </w:pPr>
    </w:p>
    <w:p>
      <w:pPr>
        <w:rPr>
          <w:rFonts w:hint="eastAsia" w:ascii="宋体" w:hAnsi="宋体"/>
          <w:b/>
          <w:sz w:val="24"/>
        </w:rPr>
      </w:pPr>
    </w:p>
    <w:p>
      <w:pPr>
        <w:pStyle w:val="2"/>
        <w:rPr>
          <w:rFonts w:hint="eastAsia"/>
        </w:rPr>
      </w:pPr>
    </w:p>
    <w:p>
      <w:pPr>
        <w:pStyle w:val="2"/>
        <w:jc w:val="center"/>
        <w:rPr>
          <w:rFonts w:hint="eastAsia" w:ascii="宋体" w:hAnsi="宋体"/>
          <w:b/>
          <w:sz w:val="24"/>
        </w:rPr>
      </w:pPr>
      <w:r>
        <w:rPr>
          <w:rFonts w:hint="eastAsia" w:ascii="宋体" w:hAnsi="宋体"/>
          <w:b/>
          <w:sz w:val="24"/>
        </w:rPr>
        <w:t>（格式自拟）</w:t>
      </w:r>
    </w:p>
    <w:p>
      <w:pPr>
        <w:rPr>
          <w:rFonts w:hint="eastAsia" w:ascii="宋体" w:hAnsi="宋体"/>
          <w:b/>
          <w:sz w:val="24"/>
        </w:rPr>
      </w:pPr>
    </w:p>
    <w:p>
      <w:pPr>
        <w:pStyle w:val="2"/>
        <w:rPr>
          <w:rFonts w:hint="eastAsia" w:ascii="宋体" w:hAnsi="宋体"/>
          <w:b/>
          <w:sz w:val="24"/>
        </w:rPr>
      </w:pPr>
    </w:p>
    <w:p>
      <w:pPr>
        <w:rPr>
          <w:rFonts w:hint="eastAsia" w:ascii="宋体" w:hAnsi="宋体"/>
          <w:b/>
          <w:sz w:val="24"/>
        </w:rPr>
      </w:pPr>
    </w:p>
    <w:p>
      <w:pPr>
        <w:pStyle w:val="2"/>
        <w:rPr>
          <w:rFonts w:hint="eastAsia" w:ascii="宋体" w:hAnsi="宋体"/>
          <w:b/>
          <w:sz w:val="24"/>
        </w:rPr>
      </w:pPr>
    </w:p>
    <w:p>
      <w:pPr>
        <w:rPr>
          <w:rFonts w:hint="eastAsia" w:ascii="宋体" w:hAnsi="宋体"/>
          <w:b/>
          <w:sz w:val="24"/>
        </w:rPr>
      </w:pPr>
    </w:p>
    <w:p>
      <w:pPr>
        <w:pStyle w:val="2"/>
        <w:rPr>
          <w:rFonts w:hint="eastAsia" w:ascii="宋体" w:hAnsi="宋体"/>
          <w:b/>
          <w:sz w:val="24"/>
        </w:rPr>
      </w:pPr>
    </w:p>
    <w:p>
      <w:pPr>
        <w:rPr>
          <w:rFonts w:hint="eastAsia" w:ascii="宋体" w:hAnsi="宋体"/>
          <w:b/>
          <w:sz w:val="24"/>
        </w:rPr>
      </w:pPr>
    </w:p>
    <w:p>
      <w:pPr>
        <w:pStyle w:val="2"/>
        <w:rPr>
          <w:rFonts w:hint="eastAsia" w:ascii="宋体" w:hAnsi="宋体"/>
          <w:b/>
          <w:sz w:val="24"/>
        </w:rPr>
      </w:pPr>
    </w:p>
    <w:p>
      <w:pPr>
        <w:rPr>
          <w:rFonts w:hint="eastAsia" w:ascii="宋体" w:hAnsi="宋体"/>
          <w:b/>
          <w:sz w:val="24"/>
        </w:rPr>
      </w:pPr>
    </w:p>
    <w:p>
      <w:pPr>
        <w:pStyle w:val="2"/>
        <w:rPr>
          <w:rFonts w:hint="eastAsia" w:ascii="宋体" w:hAnsi="宋体"/>
          <w:b/>
          <w:sz w:val="24"/>
        </w:rPr>
      </w:pPr>
    </w:p>
    <w:p>
      <w:pPr>
        <w:rPr>
          <w:rFonts w:hint="eastAsia" w:ascii="宋体" w:hAnsi="宋体"/>
          <w:b/>
          <w:sz w:val="24"/>
        </w:rPr>
      </w:pPr>
    </w:p>
    <w:p>
      <w:pPr>
        <w:pStyle w:val="2"/>
        <w:rPr>
          <w:rFonts w:hint="eastAsia" w:ascii="宋体" w:hAnsi="宋体"/>
          <w:b/>
          <w:sz w:val="24"/>
        </w:rPr>
      </w:pPr>
    </w:p>
    <w:p>
      <w:pPr>
        <w:rPr>
          <w:rFonts w:hint="eastAsia"/>
        </w:rPr>
      </w:pPr>
    </w:p>
    <w:p>
      <w:pPr>
        <w:widowControl/>
        <w:adjustRightInd w:val="0"/>
        <w:snapToGrid w:val="0"/>
        <w:spacing w:line="360" w:lineRule="auto"/>
        <w:ind w:firstLine="482" w:firstLineChars="200"/>
        <w:jc w:val="left"/>
        <w:rPr>
          <w:rFonts w:hint="eastAsia" w:ascii="宋体" w:hAnsi="宋体"/>
          <w:b/>
          <w:bCs/>
          <w:sz w:val="24"/>
        </w:rPr>
      </w:pPr>
      <w:r>
        <w:rPr>
          <w:rFonts w:hint="eastAsia" w:ascii="宋体" w:hAnsi="宋体"/>
          <w:b/>
          <w:bCs/>
          <w:sz w:val="24"/>
        </w:rPr>
        <w:t>投标人名称：XXXX（单位盖章）。</w:t>
      </w:r>
    </w:p>
    <w:p>
      <w:pPr>
        <w:widowControl/>
        <w:adjustRightInd w:val="0"/>
        <w:snapToGrid w:val="0"/>
        <w:spacing w:line="360" w:lineRule="auto"/>
        <w:ind w:firstLine="482" w:firstLineChars="200"/>
        <w:jc w:val="left"/>
        <w:rPr>
          <w:rFonts w:hint="eastAsia" w:ascii="宋体" w:hAnsi="宋体"/>
          <w:b/>
          <w:bCs/>
          <w:sz w:val="24"/>
        </w:rPr>
      </w:pPr>
      <w:r>
        <w:rPr>
          <w:rFonts w:hint="eastAsia" w:ascii="宋体" w:hAnsi="宋体"/>
          <w:b/>
          <w:bCs/>
          <w:sz w:val="24"/>
        </w:rPr>
        <w:t>法定代表人/单位负责人或授权代表（签字或加盖个人名章）：XXXX。</w:t>
      </w:r>
    </w:p>
    <w:p>
      <w:pPr>
        <w:widowControl/>
        <w:spacing w:line="360" w:lineRule="auto"/>
        <w:ind w:firstLine="472" w:firstLineChars="196"/>
        <w:jc w:val="left"/>
        <w:rPr>
          <w:rFonts w:hint="eastAsia"/>
        </w:rPr>
      </w:pPr>
      <w:r>
        <w:rPr>
          <w:rFonts w:hint="eastAsia" w:ascii="宋体"/>
          <w:b/>
          <w:bCs/>
          <w:sz w:val="24"/>
        </w:rPr>
        <w:t>包件号：</w:t>
      </w:r>
    </w:p>
    <w:p>
      <w:pPr>
        <w:widowControl/>
        <w:adjustRightInd w:val="0"/>
        <w:snapToGrid w:val="0"/>
        <w:spacing w:line="360" w:lineRule="auto"/>
        <w:ind w:firstLine="482" w:firstLineChars="200"/>
        <w:jc w:val="left"/>
        <w:rPr>
          <w:rFonts w:hint="eastAsia" w:ascii="宋体" w:hAnsi="宋体" w:cs="宋体"/>
          <w:b/>
          <w:sz w:val="32"/>
          <w:szCs w:val="32"/>
        </w:rPr>
      </w:pPr>
      <w:r>
        <w:rPr>
          <w:rFonts w:hint="eastAsia" w:ascii="宋体" w:hAnsi="宋体"/>
          <w:b/>
          <w:bCs/>
          <w:sz w:val="24"/>
        </w:rPr>
        <w:t>投标日期: XXXX。</w:t>
      </w:r>
    </w:p>
    <w:p>
      <w:pPr>
        <w:pStyle w:val="2"/>
        <w:rPr>
          <w:rFonts w:hint="eastAsia" w:ascii="宋体" w:hAnsi="宋体"/>
          <w:b/>
          <w:sz w:val="24"/>
        </w:rPr>
      </w:pPr>
    </w:p>
    <w:p>
      <w:pPr>
        <w:rPr>
          <w:rFonts w:hint="eastAsia"/>
        </w:rPr>
      </w:pPr>
    </w:p>
    <w:p>
      <w:pPr>
        <w:rPr>
          <w:rFonts w:hint="eastAsia" w:ascii="宋体" w:hAnsi="宋体"/>
          <w:b/>
          <w:sz w:val="24"/>
        </w:rPr>
      </w:pPr>
      <w:r>
        <w:rPr>
          <w:rFonts w:hint="eastAsia" w:ascii="宋体" w:hAnsi="宋体"/>
          <w:b/>
          <w:sz w:val="24"/>
        </w:rPr>
        <w:br w:type="page"/>
      </w:r>
    </w:p>
    <w:p>
      <w:pPr>
        <w:rPr>
          <w:rFonts w:hint="eastAsia" w:ascii="宋体" w:hAnsi="宋体"/>
          <w:b/>
          <w:sz w:val="32"/>
          <w:szCs w:val="32"/>
        </w:rPr>
      </w:pPr>
      <w:r>
        <w:rPr>
          <w:rFonts w:hint="eastAsia" w:ascii="宋体" w:hAnsi="宋体"/>
          <w:b/>
          <w:sz w:val="32"/>
          <w:szCs w:val="32"/>
        </w:rPr>
        <w:t>格式2-13</w:t>
      </w:r>
    </w:p>
    <w:p>
      <w:pPr>
        <w:widowControl/>
        <w:numPr>
          <w:ilvl w:val="0"/>
          <w:numId w:val="5"/>
        </w:numPr>
        <w:spacing w:line="360" w:lineRule="auto"/>
        <w:jc w:val="center"/>
        <w:outlineLvl w:val="2"/>
        <w:rPr>
          <w:rFonts w:hint="eastAsia" w:hAnsi="宋体"/>
          <w:b/>
          <w:sz w:val="32"/>
          <w:szCs w:val="32"/>
        </w:rPr>
      </w:pPr>
      <w:bookmarkStart w:id="253" w:name="_Toc503863020"/>
      <w:r>
        <w:rPr>
          <w:rFonts w:hint="eastAsia" w:hAnsi="宋体"/>
          <w:b/>
          <w:sz w:val="32"/>
          <w:szCs w:val="32"/>
        </w:rPr>
        <w:t>投标人诚信情况承诺函</w:t>
      </w:r>
      <w:bookmarkEnd w:id="253"/>
      <w:r>
        <w:rPr>
          <w:rFonts w:hint="eastAsia" w:hAnsi="宋体"/>
          <w:b/>
          <w:sz w:val="32"/>
          <w:szCs w:val="32"/>
        </w:rPr>
        <w:t xml:space="preserve"> </w:t>
      </w:r>
    </w:p>
    <w:p>
      <w:pPr>
        <w:spacing w:after="60" w:line="360" w:lineRule="auto"/>
        <w:ind w:firstLine="557" w:firstLineChars="198"/>
        <w:jc w:val="center"/>
        <w:rPr>
          <w:rFonts w:hint="eastAsia" w:ascii="宋体" w:hAnsi="宋体"/>
          <w:b/>
          <w:sz w:val="28"/>
          <w:szCs w:val="28"/>
        </w:rPr>
      </w:pPr>
      <w:r>
        <w:rPr>
          <w:rFonts w:hint="eastAsia" w:ascii="宋体" w:hAnsi="宋体"/>
          <w:b/>
          <w:sz w:val="28"/>
          <w:szCs w:val="28"/>
        </w:rPr>
        <w:t>（格式自拟）</w:t>
      </w:r>
    </w:p>
    <w:p>
      <w:pPr>
        <w:widowControl/>
        <w:spacing w:line="360" w:lineRule="auto"/>
        <w:ind w:left="3780" w:firstLine="420"/>
        <w:rPr>
          <w:rFonts w:hint="eastAsia" w:ascii="宋体" w:hAnsi="宋体"/>
          <w:bCs/>
          <w:sz w:val="24"/>
        </w:rPr>
      </w:pPr>
    </w:p>
    <w:p>
      <w:pPr>
        <w:widowControl/>
        <w:spacing w:line="360" w:lineRule="auto"/>
        <w:ind w:left="3780" w:firstLine="420"/>
        <w:rPr>
          <w:rFonts w:hint="eastAsia" w:ascii="宋体" w:hAnsi="宋体"/>
          <w:bCs/>
          <w:sz w:val="24"/>
        </w:rPr>
      </w:pPr>
    </w:p>
    <w:p>
      <w:pPr>
        <w:widowControl/>
        <w:spacing w:line="360" w:lineRule="auto"/>
        <w:ind w:left="3780" w:firstLine="420"/>
        <w:rPr>
          <w:rFonts w:hint="eastAsia" w:ascii="宋体" w:hAnsi="宋体"/>
          <w:bCs/>
          <w:sz w:val="24"/>
        </w:rPr>
      </w:pPr>
    </w:p>
    <w:p>
      <w:pPr>
        <w:widowControl/>
        <w:spacing w:line="360" w:lineRule="auto"/>
        <w:ind w:left="3780" w:firstLine="420"/>
        <w:rPr>
          <w:rFonts w:hint="eastAsia" w:ascii="宋体" w:hAnsi="宋体"/>
          <w:bCs/>
          <w:sz w:val="24"/>
        </w:rPr>
      </w:pPr>
    </w:p>
    <w:p>
      <w:pPr>
        <w:widowControl/>
        <w:spacing w:line="360" w:lineRule="auto"/>
        <w:ind w:left="3780" w:firstLine="420"/>
        <w:rPr>
          <w:rFonts w:hint="eastAsia" w:ascii="宋体" w:hAnsi="宋体"/>
          <w:bCs/>
          <w:sz w:val="24"/>
        </w:rPr>
      </w:pPr>
    </w:p>
    <w:p>
      <w:pPr>
        <w:widowControl/>
        <w:spacing w:line="360" w:lineRule="auto"/>
        <w:ind w:left="3780" w:firstLine="420"/>
        <w:rPr>
          <w:rFonts w:hint="eastAsia" w:ascii="宋体" w:hAnsi="宋体"/>
          <w:bCs/>
          <w:sz w:val="24"/>
        </w:rPr>
      </w:pPr>
    </w:p>
    <w:p>
      <w:pPr>
        <w:widowControl/>
        <w:spacing w:line="360" w:lineRule="auto"/>
        <w:ind w:left="3780" w:firstLine="420"/>
        <w:rPr>
          <w:rFonts w:hint="eastAsia" w:ascii="宋体" w:hAnsi="宋体"/>
          <w:bCs/>
          <w:sz w:val="24"/>
        </w:rPr>
      </w:pPr>
    </w:p>
    <w:p>
      <w:pPr>
        <w:widowControl/>
        <w:spacing w:line="360" w:lineRule="auto"/>
        <w:ind w:left="3780" w:firstLine="420"/>
        <w:rPr>
          <w:rFonts w:hint="eastAsia" w:ascii="宋体" w:hAnsi="宋体"/>
          <w:bCs/>
          <w:sz w:val="24"/>
        </w:rPr>
      </w:pPr>
    </w:p>
    <w:p>
      <w:pPr>
        <w:widowControl/>
        <w:spacing w:line="360" w:lineRule="auto"/>
        <w:ind w:left="3780" w:firstLine="420"/>
        <w:rPr>
          <w:rFonts w:hint="eastAsia" w:ascii="宋体" w:hAnsi="宋体"/>
          <w:bCs/>
          <w:sz w:val="24"/>
        </w:rPr>
      </w:pPr>
    </w:p>
    <w:p>
      <w:pPr>
        <w:widowControl/>
        <w:spacing w:line="360" w:lineRule="auto"/>
        <w:ind w:left="3780" w:firstLine="420"/>
        <w:rPr>
          <w:rFonts w:hint="eastAsia" w:ascii="宋体" w:hAnsi="宋体"/>
          <w:bCs/>
          <w:sz w:val="24"/>
        </w:rPr>
      </w:pPr>
    </w:p>
    <w:p>
      <w:pPr>
        <w:widowControl/>
        <w:spacing w:line="360" w:lineRule="auto"/>
        <w:ind w:left="3780" w:firstLine="420"/>
        <w:rPr>
          <w:rFonts w:hint="eastAsia" w:ascii="宋体" w:hAnsi="宋体"/>
          <w:bCs/>
          <w:sz w:val="24"/>
        </w:rPr>
      </w:pPr>
    </w:p>
    <w:p>
      <w:pPr>
        <w:widowControl/>
        <w:adjustRightInd w:val="0"/>
        <w:snapToGrid w:val="0"/>
        <w:spacing w:line="360" w:lineRule="auto"/>
        <w:ind w:firstLine="482" w:firstLineChars="200"/>
        <w:jc w:val="left"/>
        <w:rPr>
          <w:rFonts w:hint="eastAsia" w:ascii="宋体" w:hAnsi="宋体"/>
          <w:b/>
          <w:bCs/>
          <w:sz w:val="24"/>
        </w:rPr>
      </w:pPr>
      <w:r>
        <w:rPr>
          <w:rFonts w:hint="eastAsia" w:ascii="宋体" w:hAnsi="宋体"/>
          <w:b/>
          <w:bCs/>
          <w:sz w:val="24"/>
        </w:rPr>
        <w:t>投标人名称：XXXX（单位盖章）。</w:t>
      </w:r>
    </w:p>
    <w:p>
      <w:pPr>
        <w:widowControl/>
        <w:adjustRightInd w:val="0"/>
        <w:snapToGrid w:val="0"/>
        <w:spacing w:line="360" w:lineRule="auto"/>
        <w:ind w:firstLine="482" w:firstLineChars="200"/>
        <w:jc w:val="left"/>
        <w:rPr>
          <w:rFonts w:hint="eastAsia" w:ascii="宋体" w:hAnsi="宋体"/>
          <w:b/>
          <w:bCs/>
          <w:sz w:val="24"/>
        </w:rPr>
      </w:pPr>
      <w:r>
        <w:rPr>
          <w:rFonts w:hint="eastAsia" w:ascii="宋体" w:hAnsi="宋体"/>
          <w:b/>
          <w:bCs/>
          <w:sz w:val="24"/>
        </w:rPr>
        <w:t>法定代表人/单位负责人或授权代表（签字或加盖个人名章）：XXXX。</w:t>
      </w:r>
    </w:p>
    <w:p>
      <w:pPr>
        <w:widowControl/>
        <w:spacing w:line="360" w:lineRule="auto"/>
        <w:ind w:firstLine="472" w:firstLineChars="196"/>
        <w:jc w:val="left"/>
        <w:rPr>
          <w:rFonts w:hint="eastAsia"/>
        </w:rPr>
      </w:pPr>
      <w:r>
        <w:rPr>
          <w:rFonts w:hint="eastAsia" w:ascii="宋体"/>
          <w:b/>
          <w:bCs/>
          <w:sz w:val="24"/>
        </w:rPr>
        <w:t>包件号：</w:t>
      </w:r>
    </w:p>
    <w:p>
      <w:pPr>
        <w:widowControl/>
        <w:adjustRightInd w:val="0"/>
        <w:snapToGrid w:val="0"/>
        <w:spacing w:line="360" w:lineRule="auto"/>
        <w:ind w:firstLine="482" w:firstLineChars="200"/>
        <w:jc w:val="left"/>
        <w:rPr>
          <w:rFonts w:hint="eastAsia" w:ascii="宋体" w:hAnsi="宋体" w:cs="宋体"/>
          <w:b/>
          <w:sz w:val="32"/>
          <w:szCs w:val="32"/>
        </w:rPr>
      </w:pPr>
      <w:r>
        <w:rPr>
          <w:rFonts w:hint="eastAsia" w:ascii="宋体" w:hAnsi="宋体"/>
          <w:b/>
          <w:bCs/>
          <w:sz w:val="24"/>
        </w:rPr>
        <w:t>投标日期: XXXX。</w:t>
      </w:r>
    </w:p>
    <w:p>
      <w:pPr>
        <w:widowControl/>
        <w:spacing w:line="360" w:lineRule="auto"/>
        <w:rPr>
          <w:rFonts w:ascii="宋体" w:hAnsi="宋体" w:cs="宋体"/>
          <w:sz w:val="24"/>
        </w:rPr>
      </w:pPr>
      <w:r>
        <w:rPr>
          <w:rFonts w:hint="eastAsia" w:ascii="宋体" w:hAnsi="宋体"/>
          <w:bCs/>
          <w:sz w:val="24"/>
        </w:rPr>
        <w:br w:type="page"/>
      </w:r>
      <w:bookmarkStart w:id="254" w:name="_Toc387147344"/>
      <w:bookmarkStart w:id="255" w:name="_Toc387658050"/>
      <w:bookmarkStart w:id="256" w:name="_Toc413748654"/>
      <w:bookmarkStart w:id="257" w:name="_Toc417911732"/>
      <w:bookmarkStart w:id="258" w:name="_Toc419811733"/>
    </w:p>
    <w:bookmarkEnd w:id="254"/>
    <w:bookmarkEnd w:id="255"/>
    <w:bookmarkEnd w:id="256"/>
    <w:bookmarkEnd w:id="257"/>
    <w:bookmarkEnd w:id="258"/>
    <w:p>
      <w:pPr>
        <w:rPr>
          <w:rFonts w:hint="eastAsia" w:ascii="宋体" w:hAnsi="宋体"/>
          <w:b/>
          <w:sz w:val="32"/>
          <w:szCs w:val="32"/>
        </w:rPr>
      </w:pPr>
      <w:r>
        <w:rPr>
          <w:rFonts w:hint="eastAsia" w:ascii="宋体" w:hAnsi="宋体"/>
          <w:b/>
          <w:sz w:val="32"/>
          <w:szCs w:val="32"/>
        </w:rPr>
        <w:t>格式2-14</w:t>
      </w:r>
    </w:p>
    <w:p>
      <w:pPr>
        <w:widowControl/>
        <w:spacing w:line="360" w:lineRule="auto"/>
        <w:jc w:val="center"/>
        <w:outlineLvl w:val="2"/>
        <w:rPr>
          <w:rFonts w:hint="eastAsia" w:hAnsi="宋体"/>
          <w:b/>
          <w:sz w:val="32"/>
          <w:szCs w:val="32"/>
        </w:rPr>
      </w:pPr>
      <w:r>
        <w:rPr>
          <w:rFonts w:hint="eastAsia" w:hAnsi="宋体"/>
          <w:b/>
          <w:sz w:val="32"/>
          <w:szCs w:val="32"/>
        </w:rPr>
        <w:t>十三、实质性要求承诺函</w:t>
      </w:r>
    </w:p>
    <w:p>
      <w:pPr>
        <w:spacing w:line="360" w:lineRule="auto"/>
        <w:rPr>
          <w:rFonts w:ascii="宋体" w:hAnsi="宋体"/>
          <w:bCs/>
          <w:sz w:val="24"/>
        </w:rPr>
      </w:pPr>
    </w:p>
    <w:p>
      <w:pPr>
        <w:adjustRightInd w:val="0"/>
        <w:snapToGrid w:val="0"/>
        <w:spacing w:line="360" w:lineRule="auto"/>
        <w:ind w:firstLine="480" w:firstLineChars="200"/>
        <w:rPr>
          <w:rFonts w:hint="eastAsia" w:ascii="宋体" w:hAnsi="宋体"/>
          <w:bCs/>
          <w:sz w:val="24"/>
        </w:rPr>
      </w:pPr>
      <w:r>
        <w:rPr>
          <w:rFonts w:hint="eastAsia" w:ascii="宋体" w:hAnsi="宋体"/>
          <w:bCs/>
          <w:sz w:val="24"/>
        </w:rPr>
        <w:t>致:四川浩行招标代理有限公司</w:t>
      </w:r>
    </w:p>
    <w:p>
      <w:pPr>
        <w:adjustRightInd w:val="0"/>
        <w:snapToGrid w:val="0"/>
        <w:spacing w:line="360" w:lineRule="auto"/>
        <w:ind w:firstLine="480" w:firstLineChars="200"/>
        <w:rPr>
          <w:rFonts w:hint="eastAsia" w:ascii="宋体" w:hAnsi="宋体"/>
          <w:bCs/>
          <w:sz w:val="24"/>
        </w:rPr>
      </w:pPr>
      <w:r>
        <w:rPr>
          <w:rFonts w:hint="eastAsia" w:ascii="宋体" w:hAnsi="宋体"/>
          <w:bCs/>
          <w:sz w:val="24"/>
        </w:rPr>
        <w:t>我单位作为本次采购项目的投标人，根据招标文件要求，现郑重承诺我单位完全满足本次项目的所有实质性要求。</w:t>
      </w:r>
    </w:p>
    <w:p>
      <w:pPr>
        <w:adjustRightInd w:val="0"/>
        <w:snapToGrid w:val="0"/>
        <w:spacing w:line="360" w:lineRule="auto"/>
        <w:ind w:firstLine="480" w:firstLineChars="200"/>
        <w:rPr>
          <w:rFonts w:hint="eastAsia" w:ascii="宋体" w:hAnsi="宋体"/>
          <w:bCs/>
          <w:sz w:val="24"/>
        </w:rPr>
      </w:pPr>
    </w:p>
    <w:p>
      <w:pPr>
        <w:adjustRightInd w:val="0"/>
        <w:snapToGrid w:val="0"/>
        <w:spacing w:line="360" w:lineRule="auto"/>
        <w:ind w:firstLine="480" w:firstLineChars="200"/>
        <w:rPr>
          <w:rFonts w:hint="eastAsia" w:ascii="宋体" w:hAnsi="宋体"/>
          <w:bCs/>
          <w:sz w:val="24"/>
        </w:rPr>
      </w:pPr>
    </w:p>
    <w:p>
      <w:pPr>
        <w:adjustRightInd w:val="0"/>
        <w:snapToGrid w:val="0"/>
        <w:spacing w:line="360" w:lineRule="auto"/>
        <w:ind w:firstLine="480" w:firstLineChars="200"/>
        <w:rPr>
          <w:rFonts w:hint="eastAsia" w:ascii="宋体" w:hAnsi="宋体"/>
          <w:bCs/>
          <w:sz w:val="24"/>
        </w:rPr>
      </w:pPr>
    </w:p>
    <w:p>
      <w:pPr>
        <w:widowControl/>
        <w:spacing w:line="360" w:lineRule="auto"/>
        <w:ind w:left="3780" w:firstLine="420"/>
        <w:rPr>
          <w:rFonts w:hint="eastAsia" w:ascii="宋体" w:hAnsi="宋体"/>
          <w:bCs/>
          <w:sz w:val="24"/>
        </w:rPr>
      </w:pPr>
    </w:p>
    <w:p>
      <w:pPr>
        <w:widowControl/>
        <w:adjustRightInd w:val="0"/>
        <w:snapToGrid w:val="0"/>
        <w:spacing w:line="360" w:lineRule="auto"/>
        <w:ind w:firstLine="482" w:firstLineChars="200"/>
        <w:jc w:val="left"/>
        <w:rPr>
          <w:rFonts w:hint="eastAsia" w:ascii="宋体" w:hAnsi="宋体"/>
          <w:b/>
          <w:bCs/>
          <w:sz w:val="24"/>
        </w:rPr>
      </w:pPr>
      <w:r>
        <w:rPr>
          <w:rFonts w:hint="eastAsia" w:ascii="宋体" w:hAnsi="宋体"/>
          <w:b/>
          <w:bCs/>
          <w:sz w:val="24"/>
        </w:rPr>
        <w:t>投标人名称：XXXX（单位盖章）。</w:t>
      </w:r>
    </w:p>
    <w:p>
      <w:pPr>
        <w:widowControl/>
        <w:adjustRightInd w:val="0"/>
        <w:snapToGrid w:val="0"/>
        <w:spacing w:line="360" w:lineRule="auto"/>
        <w:ind w:firstLine="482" w:firstLineChars="200"/>
        <w:jc w:val="left"/>
        <w:rPr>
          <w:rFonts w:hint="eastAsia" w:ascii="宋体" w:hAnsi="宋体"/>
          <w:b/>
          <w:bCs/>
          <w:sz w:val="24"/>
        </w:rPr>
      </w:pPr>
      <w:r>
        <w:rPr>
          <w:rFonts w:hint="eastAsia" w:ascii="宋体" w:hAnsi="宋体"/>
          <w:b/>
          <w:bCs/>
          <w:sz w:val="24"/>
        </w:rPr>
        <w:t>法定代表人/单位负责人或授权代表（签字或加盖个人名章）：XXXX。</w:t>
      </w:r>
    </w:p>
    <w:p>
      <w:pPr>
        <w:widowControl/>
        <w:spacing w:line="360" w:lineRule="auto"/>
        <w:ind w:firstLine="472" w:firstLineChars="196"/>
        <w:jc w:val="left"/>
        <w:rPr>
          <w:rFonts w:hint="eastAsia"/>
        </w:rPr>
      </w:pPr>
      <w:r>
        <w:rPr>
          <w:rFonts w:hint="eastAsia" w:ascii="宋体"/>
          <w:b/>
          <w:bCs/>
          <w:sz w:val="24"/>
        </w:rPr>
        <w:t>包件号：</w:t>
      </w:r>
    </w:p>
    <w:p>
      <w:pPr>
        <w:widowControl/>
        <w:adjustRightInd w:val="0"/>
        <w:snapToGrid w:val="0"/>
        <w:spacing w:line="360" w:lineRule="auto"/>
        <w:ind w:firstLine="482" w:firstLineChars="200"/>
        <w:jc w:val="left"/>
        <w:rPr>
          <w:rFonts w:hint="eastAsia" w:ascii="宋体" w:hAnsi="宋体" w:cs="宋体"/>
          <w:b/>
          <w:sz w:val="32"/>
          <w:szCs w:val="32"/>
        </w:rPr>
      </w:pPr>
      <w:r>
        <w:rPr>
          <w:rFonts w:hint="eastAsia" w:ascii="宋体" w:hAnsi="宋体"/>
          <w:b/>
          <w:bCs/>
          <w:sz w:val="24"/>
        </w:rPr>
        <w:t>投标日期: XXXX。</w:t>
      </w:r>
    </w:p>
    <w:p>
      <w:pPr>
        <w:adjustRightInd w:val="0"/>
        <w:snapToGrid w:val="0"/>
        <w:spacing w:line="360" w:lineRule="auto"/>
        <w:ind w:firstLine="480" w:firstLineChars="200"/>
        <w:rPr>
          <w:rFonts w:hint="eastAsia" w:ascii="宋体" w:hAnsi="宋体"/>
          <w:bCs/>
          <w:sz w:val="24"/>
        </w:rPr>
      </w:pPr>
    </w:p>
    <w:p>
      <w:pPr>
        <w:adjustRightInd w:val="0"/>
        <w:snapToGrid w:val="0"/>
        <w:spacing w:line="360" w:lineRule="auto"/>
        <w:ind w:firstLine="480" w:firstLineChars="200"/>
        <w:rPr>
          <w:rFonts w:hint="eastAsia" w:ascii="宋体" w:hAnsi="宋体"/>
          <w:bCs/>
          <w:sz w:val="24"/>
        </w:rPr>
      </w:pPr>
    </w:p>
    <w:p>
      <w:pPr>
        <w:pStyle w:val="57"/>
        <w:ind w:firstLine="0" w:firstLineChars="0"/>
        <w:rPr>
          <w:rFonts w:ascii="宋体" w:hAnsi="宋体" w:cs="宋体"/>
          <w:sz w:val="24"/>
          <w:szCs w:val="24"/>
        </w:rPr>
      </w:pPr>
    </w:p>
    <w:p>
      <w:pPr>
        <w:spacing w:line="360" w:lineRule="auto"/>
        <w:rPr>
          <w:rFonts w:hint="eastAsia" w:ascii="宋体" w:hAnsi="宋体"/>
          <w:b/>
          <w:sz w:val="32"/>
          <w:szCs w:val="32"/>
        </w:rPr>
      </w:pPr>
      <w:r>
        <w:rPr>
          <w:rFonts w:hint="eastAsia" w:ascii="宋体" w:hAnsi="宋体" w:cs="宋体"/>
          <w:sz w:val="24"/>
        </w:rPr>
        <w:br w:type="page"/>
      </w:r>
      <w:bookmarkStart w:id="259" w:name="_Toc503863024"/>
      <w:r>
        <w:rPr>
          <w:rFonts w:hint="eastAsia" w:ascii="宋体" w:hAnsi="宋体"/>
          <w:b/>
          <w:sz w:val="32"/>
          <w:szCs w:val="32"/>
        </w:rPr>
        <w:t>格式2-15</w:t>
      </w:r>
    </w:p>
    <w:p>
      <w:pPr>
        <w:widowControl/>
        <w:spacing w:line="360" w:lineRule="auto"/>
        <w:jc w:val="center"/>
        <w:rPr>
          <w:rFonts w:hint="eastAsia" w:ascii="宋体" w:hAnsi="宋体" w:cs="宋体"/>
          <w:sz w:val="24"/>
        </w:rPr>
      </w:pPr>
    </w:p>
    <w:p>
      <w:pPr>
        <w:widowControl/>
        <w:spacing w:line="360" w:lineRule="auto"/>
        <w:jc w:val="center"/>
        <w:outlineLvl w:val="2"/>
        <w:rPr>
          <w:rFonts w:hAnsi="宋体"/>
          <w:b/>
          <w:sz w:val="32"/>
          <w:szCs w:val="32"/>
        </w:rPr>
      </w:pPr>
      <w:r>
        <w:rPr>
          <w:rFonts w:hint="eastAsia" w:hAnsi="宋体"/>
          <w:b/>
          <w:sz w:val="32"/>
          <w:szCs w:val="32"/>
        </w:rPr>
        <w:t>十四、中小企业声明函</w:t>
      </w:r>
      <w:bookmarkEnd w:id="259"/>
    </w:p>
    <w:p>
      <w:pPr>
        <w:widowControl/>
        <w:spacing w:line="360" w:lineRule="atLeast"/>
        <w:jc w:val="center"/>
        <w:rPr>
          <w:rFonts w:hint="eastAsia" w:ascii="宋体" w:hAnsi="宋体" w:cs="宋体"/>
          <w:spacing w:val="-3"/>
          <w:sz w:val="24"/>
        </w:rPr>
      </w:pPr>
    </w:p>
    <w:p>
      <w:pPr>
        <w:pStyle w:val="2"/>
        <w:spacing w:line="360" w:lineRule="auto"/>
        <w:ind w:right="415" w:firstLine="496" w:firstLineChars="212"/>
        <w:rPr>
          <w:rFonts w:hint="eastAsia" w:ascii="宋体" w:hAnsi="宋体" w:cs="宋体"/>
          <w:spacing w:val="-3"/>
          <w:sz w:val="24"/>
        </w:rPr>
      </w:pPr>
      <w:r>
        <w:rPr>
          <w:rFonts w:hint="eastAsia" w:ascii="宋体" w:hAnsi="宋体" w:cs="宋体"/>
          <w:spacing w:val="-3"/>
          <w:sz w:val="24"/>
        </w:rPr>
        <w:t>本公司（联合体）郑重声明，根据《政府采购促进中小企业发展管理办法》（财库﹝2020﹞46 号）的规定，本公司（联合体）参加</w:t>
      </w:r>
      <w:r>
        <w:rPr>
          <w:rFonts w:hint="eastAsia" w:ascii="宋体" w:hAnsi="宋体" w:cs="宋体"/>
          <w:spacing w:val="-3"/>
          <w:sz w:val="24"/>
          <w:u w:val="single"/>
        </w:rPr>
        <w:t xml:space="preserve">            （单位名称）</w:t>
      </w:r>
      <w:r>
        <w:rPr>
          <w:rFonts w:hint="eastAsia" w:ascii="宋体" w:hAnsi="宋体" w:cs="宋体"/>
          <w:spacing w:val="-3"/>
          <w:sz w:val="24"/>
        </w:rPr>
        <w:t>的</w:t>
      </w:r>
      <w:r>
        <w:rPr>
          <w:rFonts w:hint="eastAsia" w:ascii="宋体" w:hAnsi="宋体" w:cs="宋体"/>
          <w:spacing w:val="-3"/>
          <w:sz w:val="24"/>
          <w:u w:val="single"/>
        </w:rPr>
        <w:t xml:space="preserve">          （项目名称）</w:t>
      </w:r>
      <w:r>
        <w:rPr>
          <w:rFonts w:hint="eastAsia" w:ascii="宋体" w:hAnsi="宋体" w:cs="宋体"/>
          <w:spacing w:val="-3"/>
          <w:sz w:val="24"/>
        </w:rPr>
        <w:t>采购活动，服务全部由符合政策要求的中小企业承接。相关企业（含联合体中的中小企业、签订分包意向协议的中小企业）的具体情况如下：</w:t>
      </w:r>
    </w:p>
    <w:p>
      <w:pPr>
        <w:pStyle w:val="66"/>
        <w:tabs>
          <w:tab w:val="left" w:pos="1243"/>
        </w:tabs>
        <w:autoSpaceDE w:val="0"/>
        <w:autoSpaceDN w:val="0"/>
        <w:adjustRightInd w:val="0"/>
        <w:snapToGrid w:val="0"/>
        <w:spacing w:line="360" w:lineRule="auto"/>
        <w:ind w:firstLine="480"/>
        <w:rPr>
          <w:rFonts w:hint="eastAsia"/>
        </w:rPr>
      </w:pPr>
      <w:r>
        <w:rPr>
          <w:rFonts w:hint="eastAsia"/>
          <w:lang w:bidi="zh-CN"/>
        </w:rPr>
        <w:t>1.</w:t>
      </w:r>
      <w:r>
        <w:rPr>
          <w:rFonts w:hint="eastAsia"/>
          <w:u w:val="single"/>
          <w:lang w:val="zh-CN" w:bidi="zh-CN"/>
        </w:rPr>
        <w:t>（标的名称）</w:t>
      </w:r>
      <w:r>
        <w:rPr>
          <w:rFonts w:hint="eastAsia"/>
          <w:spacing w:val="-60"/>
          <w:w w:val="99"/>
        </w:rPr>
        <w:t>，</w:t>
      </w:r>
      <w:r>
        <w:rPr>
          <w:rFonts w:hint="eastAsia"/>
          <w:spacing w:val="-2"/>
        </w:rPr>
        <w:t>属</w:t>
      </w:r>
      <w:r>
        <w:rPr>
          <w:rFonts w:hint="eastAsia"/>
          <w:spacing w:val="-2"/>
          <w:lang w:val="zh-CN"/>
        </w:rPr>
        <w:t>于</w:t>
      </w:r>
      <w:r>
        <w:rPr>
          <w:rFonts w:hint="eastAsia"/>
          <w:u w:val="single"/>
          <w:lang w:val="zh-CN" w:bidi="zh-CN"/>
        </w:rPr>
        <w:t>（采购文件中明确的所属行业）</w:t>
      </w:r>
      <w:r>
        <w:rPr>
          <w:rFonts w:hint="eastAsia"/>
          <w:lang w:val="zh-CN" w:bidi="zh-CN"/>
        </w:rPr>
        <w:t>；</w:t>
      </w:r>
      <w:r>
        <w:rPr>
          <w:rFonts w:hint="eastAsia"/>
          <w:lang w:bidi="zh-CN"/>
        </w:rPr>
        <w:t>承建（承接）企业为</w:t>
      </w:r>
      <w:r>
        <w:rPr>
          <w:rFonts w:hint="eastAsia"/>
          <w:spacing w:val="4"/>
          <w:w w:val="95"/>
        </w:rPr>
        <w:t>（</w:t>
      </w:r>
      <w:r>
        <w:rPr>
          <w:rFonts w:hint="eastAsia"/>
          <w:u w:val="single"/>
          <w:lang w:val="zh-CN" w:bidi="zh-CN"/>
        </w:rPr>
        <w:t>企业名称）</w:t>
      </w:r>
      <w:r>
        <w:rPr>
          <w:rFonts w:hint="eastAsia"/>
          <w:lang w:val="zh-CN" w:bidi="zh-CN"/>
        </w:rPr>
        <w:t>，</w:t>
      </w:r>
      <w:r>
        <w:rPr>
          <w:rFonts w:hint="eastAsia"/>
          <w:lang w:bidi="zh-CN"/>
        </w:rPr>
        <w:t>从业人员</w:t>
      </w:r>
      <w:r>
        <w:rPr>
          <w:rFonts w:hint="eastAsia"/>
          <w:u w:val="single"/>
          <w:lang w:bidi="zh-CN"/>
        </w:rPr>
        <w:t xml:space="preserve">   </w:t>
      </w:r>
      <w:r>
        <w:rPr>
          <w:rFonts w:hint="eastAsia"/>
          <w:lang w:bidi="zh-CN"/>
        </w:rPr>
        <w:t>人</w:t>
      </w:r>
      <w:r>
        <w:rPr>
          <w:rFonts w:hint="eastAsia"/>
          <w:spacing w:val="5"/>
          <w:w w:val="99"/>
        </w:rPr>
        <w:t>，</w:t>
      </w:r>
      <w:r>
        <w:rPr>
          <w:rFonts w:hint="eastAsia"/>
        </w:rPr>
        <w:t>营业收入为</w:t>
      </w:r>
      <w:r>
        <w:rPr>
          <w:rFonts w:hint="eastAsia"/>
          <w:u w:val="single"/>
        </w:rPr>
        <w:tab/>
      </w:r>
      <w:r>
        <w:rPr>
          <w:rFonts w:hint="eastAsia"/>
          <w:u w:val="single"/>
        </w:rPr>
        <w:t xml:space="preserve">   </w:t>
      </w:r>
      <w:r>
        <w:rPr>
          <w:rFonts w:hint="eastAsia"/>
        </w:rPr>
        <w:t>万元，资产总额为</w:t>
      </w:r>
      <w:r>
        <w:rPr>
          <w:rFonts w:hint="eastAsia"/>
          <w:u w:val="single"/>
        </w:rPr>
        <w:tab/>
      </w:r>
      <w:r>
        <w:rPr>
          <w:rFonts w:hint="eastAsia"/>
          <w:u w:val="single"/>
        </w:rPr>
        <w:t xml:space="preserve">  </w:t>
      </w:r>
      <w:r>
        <w:rPr>
          <w:rFonts w:hint="eastAsia"/>
        </w:rPr>
        <w:t>万元，属于</w:t>
      </w:r>
      <w:r>
        <w:rPr>
          <w:rFonts w:hint="eastAsia"/>
          <w:u w:val="single"/>
        </w:rPr>
        <w:t xml:space="preserve">       （</w:t>
      </w:r>
      <w:r>
        <w:rPr>
          <w:rFonts w:hint="eastAsia"/>
          <w:u w:val="single"/>
          <w:lang w:val="zh-CN"/>
        </w:rPr>
        <w:t>中型企业、小型企业、微型企业）</w:t>
      </w:r>
      <w:r>
        <w:rPr>
          <w:rFonts w:hint="eastAsia"/>
          <w:lang w:val="zh-CN" w:bidi="zh-CN"/>
        </w:rPr>
        <w:t>；</w:t>
      </w:r>
    </w:p>
    <w:p>
      <w:pPr>
        <w:pStyle w:val="66"/>
        <w:tabs>
          <w:tab w:val="left" w:pos="1243"/>
          <w:tab w:val="left" w:pos="1806"/>
          <w:tab w:val="left" w:pos="5005"/>
          <w:tab w:val="left" w:pos="7213"/>
        </w:tabs>
        <w:autoSpaceDE w:val="0"/>
        <w:autoSpaceDN w:val="0"/>
        <w:adjustRightInd w:val="0"/>
        <w:snapToGrid w:val="0"/>
        <w:spacing w:line="360" w:lineRule="auto"/>
        <w:ind w:firstLine="480"/>
        <w:rPr>
          <w:rFonts w:hint="eastAsia"/>
        </w:rPr>
      </w:pPr>
      <w:r>
        <w:rPr>
          <w:rFonts w:hint="eastAsia"/>
          <w:lang w:bidi="zh-CN"/>
        </w:rPr>
        <w:t>2.</w:t>
      </w:r>
      <w:r>
        <w:rPr>
          <w:rFonts w:hint="eastAsia"/>
          <w:u w:val="single"/>
          <w:lang w:val="zh-CN" w:bidi="zh-CN"/>
        </w:rPr>
        <w:t>（标的名称）</w:t>
      </w:r>
      <w:r>
        <w:rPr>
          <w:rFonts w:hint="eastAsia"/>
          <w:spacing w:val="-60"/>
          <w:w w:val="99"/>
        </w:rPr>
        <w:t>，</w:t>
      </w:r>
      <w:r>
        <w:rPr>
          <w:rFonts w:hint="eastAsia"/>
          <w:spacing w:val="-2"/>
        </w:rPr>
        <w:t>属</w:t>
      </w:r>
      <w:r>
        <w:rPr>
          <w:rFonts w:hint="eastAsia"/>
          <w:spacing w:val="-2"/>
          <w:lang w:val="zh-CN"/>
        </w:rPr>
        <w:t>于</w:t>
      </w:r>
      <w:r>
        <w:rPr>
          <w:rFonts w:hint="eastAsia"/>
          <w:u w:val="single"/>
          <w:lang w:val="zh-CN" w:bidi="zh-CN"/>
        </w:rPr>
        <w:t>（采购文件中明确的所属行业）</w:t>
      </w:r>
      <w:r>
        <w:rPr>
          <w:rFonts w:hint="eastAsia"/>
          <w:lang w:val="zh-CN" w:bidi="zh-CN"/>
        </w:rPr>
        <w:t>；</w:t>
      </w:r>
      <w:r>
        <w:rPr>
          <w:rFonts w:hint="eastAsia"/>
          <w:lang w:bidi="zh-CN"/>
        </w:rPr>
        <w:t>承建（承接）企业为</w:t>
      </w:r>
      <w:r>
        <w:rPr>
          <w:rFonts w:hint="eastAsia"/>
          <w:spacing w:val="4"/>
          <w:w w:val="95"/>
        </w:rPr>
        <w:t>（</w:t>
      </w:r>
      <w:r>
        <w:rPr>
          <w:rFonts w:hint="eastAsia"/>
          <w:u w:val="single"/>
          <w:lang w:val="zh-CN" w:bidi="zh-CN"/>
        </w:rPr>
        <w:t>企业名称）</w:t>
      </w:r>
      <w:r>
        <w:rPr>
          <w:rFonts w:hint="eastAsia"/>
          <w:lang w:val="zh-CN" w:bidi="zh-CN"/>
        </w:rPr>
        <w:t>，</w:t>
      </w:r>
      <w:r>
        <w:rPr>
          <w:rFonts w:hint="eastAsia"/>
          <w:lang w:bidi="zh-CN"/>
        </w:rPr>
        <w:t>从业人员</w:t>
      </w:r>
      <w:r>
        <w:rPr>
          <w:rFonts w:hint="eastAsia"/>
          <w:u w:val="single"/>
          <w:lang w:bidi="zh-CN"/>
        </w:rPr>
        <w:t xml:space="preserve">   </w:t>
      </w:r>
      <w:r>
        <w:rPr>
          <w:rFonts w:hint="eastAsia"/>
          <w:lang w:bidi="zh-CN"/>
        </w:rPr>
        <w:t>人</w:t>
      </w:r>
      <w:r>
        <w:rPr>
          <w:rFonts w:hint="eastAsia"/>
          <w:spacing w:val="5"/>
          <w:w w:val="99"/>
        </w:rPr>
        <w:t>，</w:t>
      </w:r>
      <w:r>
        <w:rPr>
          <w:rFonts w:hint="eastAsia"/>
        </w:rPr>
        <w:t>营业收入为</w:t>
      </w:r>
      <w:r>
        <w:rPr>
          <w:rFonts w:hint="eastAsia"/>
          <w:u w:val="single"/>
        </w:rPr>
        <w:tab/>
      </w:r>
      <w:r>
        <w:rPr>
          <w:rFonts w:hint="eastAsia"/>
          <w:u w:val="single"/>
        </w:rPr>
        <w:t xml:space="preserve">   </w:t>
      </w:r>
      <w:r>
        <w:rPr>
          <w:rFonts w:hint="eastAsia"/>
        </w:rPr>
        <w:t>万元，资产总额为</w:t>
      </w:r>
      <w:r>
        <w:rPr>
          <w:rFonts w:hint="eastAsia"/>
          <w:u w:val="single"/>
        </w:rPr>
        <w:tab/>
      </w:r>
      <w:r>
        <w:rPr>
          <w:rFonts w:hint="eastAsia"/>
          <w:u w:val="single"/>
        </w:rPr>
        <w:t xml:space="preserve">  </w:t>
      </w:r>
      <w:r>
        <w:rPr>
          <w:rFonts w:hint="eastAsia"/>
        </w:rPr>
        <w:t>万元，属于</w:t>
      </w:r>
      <w:r>
        <w:rPr>
          <w:rFonts w:hint="eastAsia"/>
          <w:u w:val="single"/>
        </w:rPr>
        <w:t xml:space="preserve">       （</w:t>
      </w:r>
      <w:r>
        <w:rPr>
          <w:rFonts w:hint="eastAsia"/>
          <w:u w:val="single"/>
          <w:lang w:val="zh-CN"/>
        </w:rPr>
        <w:t>中型企业、小型企业、微型企业）</w:t>
      </w:r>
      <w:r>
        <w:rPr>
          <w:rFonts w:hint="eastAsia"/>
          <w:lang w:val="zh-CN" w:bidi="zh-CN"/>
        </w:rPr>
        <w:t>；</w:t>
      </w:r>
    </w:p>
    <w:p>
      <w:pPr>
        <w:pStyle w:val="2"/>
        <w:spacing w:before="108" w:line="360" w:lineRule="auto"/>
        <w:ind w:right="417" w:firstLine="493" w:firstLineChars="211"/>
        <w:rPr>
          <w:rFonts w:hint="eastAsia" w:ascii="宋体" w:hAnsi="宋体" w:cs="宋体"/>
          <w:sz w:val="24"/>
        </w:rPr>
      </w:pPr>
      <w:r>
        <w:rPr>
          <w:rFonts w:hint="eastAsia" w:ascii="宋体" w:hAnsi="宋体" w:cs="宋体"/>
          <w:spacing w:val="-3"/>
          <w:sz w:val="24"/>
        </w:rPr>
        <w:t>以上企业，不属于大企业的分支机构，不存在控股股东</w:t>
      </w:r>
      <w:r>
        <w:rPr>
          <w:rFonts w:hint="eastAsia" w:ascii="宋体" w:hAnsi="宋体" w:cs="宋体"/>
          <w:spacing w:val="-5"/>
          <w:sz w:val="24"/>
        </w:rPr>
        <w:t>为大企业的情形，也不存在与大企业的负责人为同一人的情形。</w:t>
      </w:r>
    </w:p>
    <w:p>
      <w:pPr>
        <w:pStyle w:val="2"/>
        <w:spacing w:line="360" w:lineRule="auto"/>
        <w:ind w:right="375" w:firstLine="513" w:firstLineChars="214"/>
        <w:rPr>
          <w:rFonts w:hint="eastAsia" w:ascii="宋体" w:hAnsi="宋体" w:cs="宋体"/>
          <w:sz w:val="24"/>
        </w:rPr>
      </w:pPr>
      <w:r>
        <w:rPr>
          <w:rFonts w:hint="eastAsia" w:ascii="宋体" w:hAnsi="宋体" w:cs="宋体"/>
          <w:sz w:val="24"/>
        </w:rPr>
        <w:t>本企业对上述声明内容的真实性负责。如有虚假，将依法承担相应责任。</w:t>
      </w:r>
    </w:p>
    <w:p>
      <w:pPr>
        <w:adjustRightInd w:val="0"/>
        <w:snapToGrid w:val="0"/>
        <w:spacing w:line="360" w:lineRule="auto"/>
        <w:ind w:firstLine="480"/>
        <w:rPr>
          <w:rFonts w:hint="eastAsia" w:ascii="宋体" w:hAnsi="宋体" w:cs="宋体"/>
          <w:b/>
          <w:sz w:val="24"/>
        </w:rPr>
      </w:pPr>
    </w:p>
    <w:p>
      <w:pPr>
        <w:spacing w:line="360" w:lineRule="auto"/>
        <w:ind w:firstLine="480" w:firstLineChars="200"/>
        <w:rPr>
          <w:rFonts w:hint="eastAsia" w:ascii="宋体" w:hAnsi="宋体" w:cs="宋体"/>
          <w:sz w:val="24"/>
        </w:rPr>
      </w:pPr>
    </w:p>
    <w:p>
      <w:pPr>
        <w:tabs>
          <w:tab w:val="left" w:pos="4860"/>
        </w:tabs>
        <w:adjustRightInd w:val="0"/>
        <w:snapToGrid w:val="0"/>
        <w:spacing w:line="360" w:lineRule="auto"/>
        <w:ind w:right="1560" w:firstLine="506" w:firstLineChars="200"/>
        <w:rPr>
          <w:rFonts w:hint="eastAsia" w:ascii="宋体" w:hAnsi="宋体" w:cs="宋体"/>
          <w:b/>
          <w:bCs/>
          <w:spacing w:val="6"/>
          <w:sz w:val="24"/>
        </w:rPr>
      </w:pPr>
      <w:r>
        <w:rPr>
          <w:rFonts w:hint="eastAsia" w:ascii="宋体" w:hAnsi="宋体" w:cs="宋体"/>
          <w:b/>
          <w:bCs/>
          <w:spacing w:val="6"/>
          <w:sz w:val="24"/>
        </w:rPr>
        <w:t>单位名称（盖章）：</w:t>
      </w:r>
    </w:p>
    <w:p>
      <w:pPr>
        <w:spacing w:line="360" w:lineRule="auto"/>
        <w:ind w:firstLine="506" w:firstLineChars="200"/>
        <w:rPr>
          <w:rFonts w:hint="eastAsia" w:ascii="宋体" w:hAnsi="宋体" w:cs="宋体"/>
          <w:sz w:val="24"/>
        </w:rPr>
      </w:pPr>
      <w:r>
        <w:rPr>
          <w:rFonts w:hint="eastAsia" w:ascii="宋体" w:hAnsi="宋体" w:cs="宋体"/>
          <w:b/>
          <w:bCs/>
          <w:spacing w:val="6"/>
          <w:sz w:val="24"/>
        </w:rPr>
        <w:t>日  期</w:t>
      </w:r>
    </w:p>
    <w:p>
      <w:pPr>
        <w:spacing w:line="360" w:lineRule="auto"/>
        <w:rPr>
          <w:rFonts w:hint="eastAsia" w:ascii="宋体" w:hAnsi="宋体"/>
          <w:b/>
          <w:sz w:val="32"/>
          <w:szCs w:val="32"/>
        </w:rPr>
      </w:pPr>
      <w:r>
        <w:rPr>
          <w:rFonts w:hint="eastAsia" w:ascii="宋体" w:hAnsi="宋体" w:cs="宋体"/>
          <w:sz w:val="24"/>
        </w:rPr>
        <w:br w:type="page"/>
      </w:r>
      <w:r>
        <w:rPr>
          <w:rFonts w:hint="eastAsia" w:ascii="宋体" w:hAnsi="宋体"/>
          <w:b/>
          <w:sz w:val="32"/>
          <w:szCs w:val="32"/>
        </w:rPr>
        <w:t>格式2-16</w:t>
      </w:r>
    </w:p>
    <w:p>
      <w:pPr>
        <w:spacing w:line="360" w:lineRule="auto"/>
        <w:rPr>
          <w:rFonts w:hint="eastAsia" w:ascii="宋体" w:hAnsi="宋体"/>
          <w:b/>
          <w:sz w:val="32"/>
          <w:szCs w:val="32"/>
        </w:rPr>
      </w:pPr>
    </w:p>
    <w:p>
      <w:pPr>
        <w:widowControl/>
        <w:spacing w:line="360" w:lineRule="auto"/>
        <w:jc w:val="center"/>
        <w:outlineLvl w:val="2"/>
        <w:rPr>
          <w:rFonts w:hint="eastAsia" w:hAnsi="宋体"/>
          <w:b/>
          <w:sz w:val="32"/>
          <w:szCs w:val="32"/>
        </w:rPr>
      </w:pPr>
      <w:r>
        <w:rPr>
          <w:rFonts w:hint="eastAsia" w:hAnsi="宋体"/>
          <w:b/>
          <w:sz w:val="32"/>
          <w:szCs w:val="32"/>
        </w:rPr>
        <w:t>十五、</w:t>
      </w:r>
      <w:bookmarkStart w:id="260" w:name="OLE_LINK13"/>
      <w:bookmarkStart w:id="261" w:name="OLE_LINK14"/>
      <w:r>
        <w:rPr>
          <w:rFonts w:hint="eastAsia" w:hAnsi="宋体"/>
          <w:b/>
          <w:sz w:val="32"/>
          <w:szCs w:val="32"/>
        </w:rPr>
        <w:t>残疾人福利性单位声明函</w:t>
      </w:r>
    </w:p>
    <w:bookmarkEnd w:id="260"/>
    <w:bookmarkEnd w:id="261"/>
    <w:p>
      <w:pPr>
        <w:spacing w:line="588" w:lineRule="exact"/>
        <w:rPr>
          <w:rFonts w:hint="eastAsia" w:ascii="宋体" w:hAnsi="宋体" w:cs="宋体"/>
          <w:b/>
          <w:spacing w:val="6"/>
          <w:sz w:val="24"/>
        </w:rPr>
      </w:pPr>
    </w:p>
    <w:p>
      <w:pPr>
        <w:spacing w:line="588" w:lineRule="exact"/>
        <w:ind w:firstLine="504" w:firstLineChars="200"/>
        <w:rPr>
          <w:rFonts w:hint="eastAsia" w:ascii="宋体" w:hAnsi="宋体" w:cs="宋体"/>
          <w:spacing w:val="6"/>
          <w:sz w:val="24"/>
        </w:rPr>
      </w:pPr>
      <w:r>
        <w:rPr>
          <w:rFonts w:hint="eastAsia" w:ascii="宋体" w:hAnsi="宋体" w:cs="宋体"/>
          <w:spacing w:val="6"/>
          <w:sz w:val="24"/>
        </w:rPr>
        <w:t>本单位郑重声明，根据《财政部 民政部 中国残疾人联合会关于促进残疾人就业政府采购政策的通知》（财库</w:t>
      </w:r>
      <w:r>
        <w:rPr>
          <w:rFonts w:hint="eastAsia" w:ascii="宋体" w:hAnsi="宋体" w:cs="宋体"/>
          <w:sz w:val="24"/>
        </w:rPr>
        <w:t>〔2017〕 141</w:t>
      </w:r>
      <w:r>
        <w:rPr>
          <w:rFonts w:hint="eastAsia" w:ascii="宋体" w:hAnsi="宋体" w:cs="宋体"/>
          <w:spacing w:val="6"/>
          <w:sz w:val="24"/>
        </w:rPr>
        <w:t>号）的规定，本单位为符合条件的残疾人福利性单位，且本单位参加</w:t>
      </w:r>
      <w:r>
        <w:rPr>
          <w:rFonts w:hint="eastAsia" w:ascii="宋体" w:hAnsi="宋体" w:cs="宋体"/>
          <w:spacing w:val="6"/>
          <w:sz w:val="24"/>
          <w:u w:val="single"/>
        </w:rPr>
        <w:t xml:space="preserve">        </w:t>
      </w:r>
      <w:r>
        <w:rPr>
          <w:rFonts w:hint="eastAsia" w:ascii="宋体" w:hAnsi="宋体" w:cs="宋体"/>
          <w:spacing w:val="6"/>
          <w:sz w:val="24"/>
        </w:rPr>
        <w:t>单位的</w:t>
      </w:r>
      <w:r>
        <w:rPr>
          <w:rFonts w:hint="eastAsia" w:ascii="宋体" w:hAnsi="宋体" w:cs="宋体"/>
          <w:spacing w:val="6"/>
          <w:sz w:val="24"/>
          <w:u w:val="single"/>
        </w:rPr>
        <w:t xml:space="preserve">       </w:t>
      </w:r>
      <w:r>
        <w:rPr>
          <w:rFonts w:hint="eastAsia" w:ascii="宋体" w:hAnsi="宋体" w:cs="宋体"/>
          <w:spacing w:val="6"/>
          <w:sz w:val="24"/>
        </w:rPr>
        <w:t>项目采购活动提供本单位制造的货物（由本单位承担工程/提供服务），或者提供其他残疾人福利性单位制造的货物（不包括使用非残疾人福利性单位注册商标的货物）。</w:t>
      </w:r>
    </w:p>
    <w:p>
      <w:pPr>
        <w:spacing w:line="588" w:lineRule="exact"/>
        <w:ind w:firstLine="504" w:firstLineChars="200"/>
        <w:rPr>
          <w:rFonts w:hint="eastAsia" w:ascii="宋体" w:hAnsi="宋体" w:cs="宋体"/>
          <w:spacing w:val="6"/>
          <w:sz w:val="24"/>
        </w:rPr>
      </w:pPr>
      <w:r>
        <w:rPr>
          <w:rFonts w:hint="eastAsia" w:ascii="宋体" w:hAnsi="宋体" w:cs="宋体"/>
          <w:spacing w:val="6"/>
          <w:sz w:val="24"/>
        </w:rPr>
        <w:t>本单位对上述声明的真实性负责。如有虚假，将依法承担相应责任。</w:t>
      </w:r>
    </w:p>
    <w:p>
      <w:pPr>
        <w:spacing w:line="588" w:lineRule="exact"/>
        <w:rPr>
          <w:rFonts w:hint="eastAsia" w:ascii="宋体" w:hAnsi="宋体" w:cs="宋体"/>
          <w:spacing w:val="6"/>
          <w:sz w:val="24"/>
        </w:rPr>
      </w:pPr>
    </w:p>
    <w:p>
      <w:pPr>
        <w:spacing w:line="588" w:lineRule="exact"/>
        <w:rPr>
          <w:rFonts w:hint="eastAsia" w:ascii="宋体" w:hAnsi="宋体" w:cs="宋体"/>
          <w:spacing w:val="6"/>
          <w:sz w:val="24"/>
        </w:rPr>
      </w:pPr>
    </w:p>
    <w:p>
      <w:pPr>
        <w:tabs>
          <w:tab w:val="left" w:pos="4860"/>
        </w:tabs>
        <w:adjustRightInd w:val="0"/>
        <w:snapToGrid w:val="0"/>
        <w:spacing w:line="360" w:lineRule="auto"/>
        <w:ind w:right="1560"/>
        <w:rPr>
          <w:rFonts w:hint="eastAsia" w:ascii="宋体" w:hAnsi="宋体" w:cs="宋体"/>
          <w:b/>
          <w:bCs/>
          <w:spacing w:val="6"/>
          <w:sz w:val="24"/>
        </w:rPr>
      </w:pPr>
      <w:r>
        <w:rPr>
          <w:rFonts w:hint="eastAsia" w:ascii="宋体" w:hAnsi="宋体" w:cs="宋体"/>
          <w:b/>
          <w:bCs/>
          <w:spacing w:val="6"/>
          <w:sz w:val="24"/>
        </w:rPr>
        <w:t>单位名称（盖章）：</w:t>
      </w:r>
    </w:p>
    <w:p>
      <w:pPr>
        <w:adjustRightInd w:val="0"/>
        <w:snapToGrid w:val="0"/>
        <w:spacing w:line="360" w:lineRule="auto"/>
        <w:rPr>
          <w:rFonts w:hint="eastAsia" w:ascii="宋体" w:hAnsi="宋体" w:cs="宋体"/>
          <w:b/>
          <w:bCs/>
          <w:spacing w:val="6"/>
          <w:sz w:val="24"/>
        </w:rPr>
      </w:pPr>
      <w:r>
        <w:rPr>
          <w:rFonts w:hint="eastAsia" w:ascii="宋体" w:hAnsi="宋体" w:cs="宋体"/>
          <w:b/>
          <w:bCs/>
          <w:spacing w:val="6"/>
          <w:sz w:val="24"/>
        </w:rPr>
        <w:t>日  期：</w:t>
      </w:r>
    </w:p>
    <w:p>
      <w:pPr>
        <w:spacing w:line="360" w:lineRule="auto"/>
        <w:rPr>
          <w:rFonts w:hint="eastAsia" w:ascii="宋体" w:hAnsi="宋体" w:cs="宋体"/>
          <w:sz w:val="24"/>
        </w:rPr>
      </w:pPr>
    </w:p>
    <w:p>
      <w:pPr>
        <w:spacing w:line="360" w:lineRule="auto"/>
        <w:rPr>
          <w:rFonts w:hint="eastAsia" w:ascii="宋体" w:hAnsi="宋体" w:cs="宋体"/>
          <w:sz w:val="24"/>
        </w:rPr>
      </w:pPr>
      <w:r>
        <w:rPr>
          <w:rFonts w:hint="eastAsia" w:ascii="宋体" w:hAnsi="宋体" w:cs="宋体"/>
          <w:sz w:val="24"/>
        </w:rPr>
        <w:t>注：</w:t>
      </w:r>
    </w:p>
    <w:p>
      <w:pPr>
        <w:numPr>
          <w:ilvl w:val="0"/>
          <w:numId w:val="6"/>
        </w:numPr>
        <w:spacing w:line="360" w:lineRule="auto"/>
        <w:rPr>
          <w:rFonts w:hint="eastAsia" w:ascii="宋体" w:hAnsi="宋体" w:cs="宋体"/>
          <w:sz w:val="24"/>
        </w:rPr>
      </w:pPr>
      <w:r>
        <w:rPr>
          <w:rFonts w:hint="eastAsia" w:ascii="宋体" w:hAnsi="宋体" w:cs="宋体"/>
          <w:sz w:val="24"/>
        </w:rPr>
        <w:t>残疾人福利性单位视同小型、微型企业，享受预留份额、评审中价格扣除等促进中小企业发展的政府采购政策。残疾人福利性单位属于小型、微型企业的，不重复享受政策。</w:t>
      </w:r>
    </w:p>
    <w:p>
      <w:pPr>
        <w:numPr>
          <w:ilvl w:val="0"/>
          <w:numId w:val="6"/>
        </w:numPr>
        <w:spacing w:line="360" w:lineRule="auto"/>
        <w:rPr>
          <w:rFonts w:hint="eastAsia" w:ascii="宋体" w:hAnsi="宋体" w:cs="宋体"/>
          <w:sz w:val="24"/>
        </w:rPr>
      </w:pPr>
      <w:r>
        <w:rPr>
          <w:rFonts w:hint="eastAsia" w:ascii="宋体" w:hAnsi="宋体" w:cs="宋体"/>
          <w:sz w:val="24"/>
        </w:rPr>
        <w:t>投标人为非残疾人福利性单位的，可不提供此声明。</w:t>
      </w:r>
    </w:p>
    <w:p>
      <w:pPr>
        <w:rPr>
          <w:rFonts w:hint="eastAsia" w:ascii="宋体" w:hAnsi="宋体" w:cs="宋体"/>
          <w:spacing w:val="6"/>
          <w:sz w:val="24"/>
        </w:rPr>
      </w:pPr>
    </w:p>
    <w:p>
      <w:pPr>
        <w:jc w:val="left"/>
        <w:rPr>
          <w:rFonts w:hint="eastAsia" w:ascii="宋体" w:hAnsi="宋体"/>
          <w:kern w:val="0"/>
        </w:rPr>
      </w:pPr>
      <w:r>
        <w:rPr>
          <w:rFonts w:hint="eastAsia" w:ascii="宋体"/>
          <w:sz w:val="24"/>
        </w:rPr>
        <w:br w:type="page"/>
      </w:r>
      <w:r>
        <w:rPr>
          <w:rFonts w:hint="eastAsia" w:ascii="宋体" w:hAnsi="宋体"/>
          <w:b/>
          <w:sz w:val="32"/>
          <w:szCs w:val="32"/>
        </w:rPr>
        <w:t>格式2-17</w:t>
      </w:r>
    </w:p>
    <w:p>
      <w:pPr>
        <w:rPr>
          <w:rFonts w:hint="eastAsia" w:ascii="宋体"/>
          <w:sz w:val="24"/>
        </w:rPr>
      </w:pPr>
    </w:p>
    <w:bookmarkEnd w:id="147"/>
    <w:bookmarkEnd w:id="151"/>
    <w:bookmarkEnd w:id="152"/>
    <w:p>
      <w:pPr>
        <w:widowControl/>
        <w:spacing w:line="360" w:lineRule="auto"/>
        <w:jc w:val="center"/>
        <w:outlineLvl w:val="2"/>
        <w:rPr>
          <w:rFonts w:hint="eastAsia" w:hAnsi="宋体"/>
          <w:b/>
          <w:sz w:val="32"/>
          <w:szCs w:val="32"/>
        </w:rPr>
      </w:pPr>
      <w:r>
        <w:rPr>
          <w:rFonts w:hint="eastAsia" w:hAnsi="宋体"/>
          <w:b/>
          <w:sz w:val="32"/>
          <w:szCs w:val="32"/>
        </w:rPr>
        <w:t>十六、</w:t>
      </w:r>
      <w:bookmarkStart w:id="262" w:name="_Toc503863037"/>
      <w:r>
        <w:rPr>
          <w:rFonts w:hint="eastAsia" w:hAnsi="宋体"/>
          <w:b/>
          <w:sz w:val="32"/>
          <w:szCs w:val="32"/>
        </w:rPr>
        <w:t>知识产权声明函</w:t>
      </w:r>
    </w:p>
    <w:p>
      <w:pPr>
        <w:spacing w:line="360" w:lineRule="auto"/>
        <w:rPr>
          <w:rFonts w:hint="eastAsia" w:ascii="宋体" w:hAnsi="宋体" w:cs="宋体"/>
          <w:sz w:val="24"/>
        </w:rPr>
      </w:pPr>
      <w:r>
        <w:rPr>
          <w:rFonts w:hint="eastAsia" w:ascii="宋体" w:hAnsi="宋体" w:cs="宋体"/>
          <w:sz w:val="24"/>
        </w:rPr>
        <w:t>致四川浩行招标代理有限公司</w:t>
      </w:r>
      <w:r>
        <w:rPr>
          <w:rFonts w:hint="eastAsia" w:ascii="宋体" w:hAnsi="宋体" w:cs="宋体"/>
          <w:spacing w:val="6"/>
          <w:sz w:val="24"/>
        </w:rPr>
        <w:t>：</w:t>
      </w:r>
    </w:p>
    <w:p>
      <w:pPr>
        <w:pStyle w:val="2"/>
        <w:spacing w:after="0" w:line="360" w:lineRule="auto"/>
        <w:ind w:firstLine="480" w:firstLineChars="200"/>
        <w:rPr>
          <w:rFonts w:ascii="宋体" w:hAnsi="宋体" w:cs="宋体"/>
          <w:bCs/>
          <w:sz w:val="24"/>
        </w:rPr>
      </w:pPr>
      <w:r>
        <w:rPr>
          <w:rFonts w:hint="eastAsia" w:ascii="宋体" w:hAnsi="宋体" w:cs="宋体"/>
          <w:bCs/>
          <w:sz w:val="24"/>
        </w:rPr>
        <w:t>本单位</w:t>
      </w:r>
      <w:r>
        <w:rPr>
          <w:rFonts w:hint="eastAsia" w:ascii="宋体" w:hAnsi="宋体" w:cs="宋体"/>
          <w:bCs/>
          <w:sz w:val="24"/>
          <w:u w:val="single"/>
        </w:rPr>
        <w:t xml:space="preserve">                     </w:t>
      </w:r>
      <w:r>
        <w:rPr>
          <w:rFonts w:hint="eastAsia" w:ascii="宋体" w:hAnsi="宋体" w:cs="宋体"/>
          <w:bCs/>
          <w:sz w:val="24"/>
        </w:rPr>
        <w:t>（公司名称）参加</w:t>
      </w:r>
      <w:r>
        <w:rPr>
          <w:rFonts w:hint="eastAsia" w:ascii="宋体" w:hAnsi="宋体" w:cs="宋体"/>
          <w:bCs/>
          <w:sz w:val="24"/>
          <w:u w:val="single"/>
        </w:rPr>
        <w:t xml:space="preserve">                  </w:t>
      </w:r>
      <w:r>
        <w:rPr>
          <w:rFonts w:hint="eastAsia" w:ascii="宋体" w:hAnsi="宋体" w:cs="宋体"/>
          <w:bCs/>
          <w:sz w:val="24"/>
        </w:rPr>
        <w:t>（项目名称）的投标活动，现承诺声明：</w:t>
      </w:r>
    </w:p>
    <w:p>
      <w:pPr>
        <w:pStyle w:val="2"/>
        <w:spacing w:after="0" w:line="360" w:lineRule="auto"/>
        <w:ind w:firstLine="480" w:firstLineChars="200"/>
        <w:rPr>
          <w:rFonts w:ascii="宋体" w:hAnsi="宋体" w:cs="宋体"/>
          <w:bCs/>
          <w:sz w:val="24"/>
        </w:rPr>
      </w:pPr>
      <w:r>
        <w:rPr>
          <w:rFonts w:hint="eastAsia" w:ascii="宋体" w:hAnsi="宋体" w:cs="宋体"/>
          <w:bCs/>
          <w:sz w:val="24"/>
        </w:rPr>
        <w:t>1.本单位保证在本项目使用的任何产品和服务（包括部分使用）时，不会产生因第三方提出侵犯其专利权、商标权或其它知识产权而引起的法律和经济纠纷，如因专利权、商标权或其它知识产权而引起法律和经济纠纷，由本单位承担所有相关责任。</w:t>
      </w:r>
    </w:p>
    <w:p>
      <w:pPr>
        <w:pStyle w:val="2"/>
        <w:spacing w:after="0" w:line="360" w:lineRule="auto"/>
        <w:ind w:firstLine="480" w:firstLineChars="200"/>
        <w:rPr>
          <w:rFonts w:ascii="宋体" w:hAnsi="宋体" w:cs="宋体"/>
          <w:bCs/>
          <w:sz w:val="24"/>
        </w:rPr>
      </w:pPr>
      <w:r>
        <w:rPr>
          <w:rFonts w:hint="eastAsia" w:ascii="宋体" w:hAnsi="宋体" w:cs="宋体"/>
          <w:bCs/>
          <w:sz w:val="24"/>
        </w:rPr>
        <w:t>2.采购人享有本项目实施过程中产生的知识成果及知识产权。</w:t>
      </w:r>
    </w:p>
    <w:p>
      <w:pPr>
        <w:pStyle w:val="2"/>
        <w:spacing w:after="0" w:line="360" w:lineRule="auto"/>
        <w:ind w:firstLine="480" w:firstLineChars="200"/>
        <w:rPr>
          <w:rFonts w:ascii="宋体" w:hAnsi="宋体" w:cs="宋体"/>
          <w:bCs/>
          <w:sz w:val="24"/>
        </w:rPr>
      </w:pPr>
      <w:r>
        <w:rPr>
          <w:rFonts w:hint="eastAsia" w:ascii="宋体" w:hAnsi="宋体" w:cs="宋体"/>
          <w:bCs/>
          <w:sz w:val="24"/>
        </w:rPr>
        <w:t>3.本单位声明如果在项目实施过程中涉及采用自有知识成果，本单位提供使用自有知识成果的相关资料并为其真实性单独负责，在使用该知识成果后，本单位提供开发接口和开发手册等技术文档给采购人，并承诺提供无限期技术支持，采购人享有永久使用权（含采购人委托第三方在该项目后续开发的使用权）。</w:t>
      </w:r>
    </w:p>
    <w:p>
      <w:pPr>
        <w:pStyle w:val="2"/>
        <w:spacing w:after="0" w:line="360" w:lineRule="auto"/>
        <w:ind w:firstLine="480" w:firstLineChars="200"/>
        <w:rPr>
          <w:rFonts w:ascii="宋体" w:hAnsi="宋体"/>
        </w:rPr>
      </w:pPr>
      <w:r>
        <w:rPr>
          <w:rFonts w:hint="eastAsia" w:ascii="宋体" w:hAnsi="宋体" w:cs="宋体"/>
          <w:bCs/>
          <w:sz w:val="24"/>
        </w:rPr>
        <w:t xml:space="preserve">4.如采用本单位所不拥有的知识产权，本单位承诺在本项目投标报价中已经包括合法获取该知识产权的相关费用。 </w:t>
      </w:r>
    </w:p>
    <w:p>
      <w:pPr>
        <w:pStyle w:val="2"/>
        <w:spacing w:after="0" w:line="360" w:lineRule="auto"/>
        <w:ind w:firstLine="480" w:firstLineChars="200"/>
        <w:rPr>
          <w:rFonts w:ascii="宋体" w:hAnsi="宋体" w:cs="宋体"/>
          <w:bCs/>
          <w:sz w:val="24"/>
        </w:rPr>
      </w:pPr>
      <w:r>
        <w:rPr>
          <w:rFonts w:hint="eastAsia" w:ascii="宋体" w:hAnsi="宋体" w:cs="宋体"/>
          <w:bCs/>
          <w:sz w:val="24"/>
        </w:rPr>
        <w:t>本公司对上述承诺声明内容事项真实性负责。如经查实上述承诺声明的内容事项存在虚假或未履行，本单位愿意接受以提供虚假材料谋取中标追究法律责任。</w:t>
      </w:r>
    </w:p>
    <w:p>
      <w:pPr>
        <w:spacing w:line="360" w:lineRule="auto"/>
        <w:rPr>
          <w:rFonts w:hint="eastAsia" w:hAnsi="宋体" w:cs="宋体"/>
          <w:b/>
          <w:bCs/>
          <w:sz w:val="22"/>
          <w:szCs w:val="22"/>
        </w:rPr>
      </w:pPr>
    </w:p>
    <w:p>
      <w:pPr>
        <w:rPr>
          <w:rFonts w:hint="eastAsia" w:ascii="宋体" w:hAnsi="宋体"/>
          <w:b/>
          <w:sz w:val="32"/>
          <w:szCs w:val="32"/>
        </w:rPr>
      </w:pPr>
    </w:p>
    <w:p>
      <w:pPr>
        <w:widowControl/>
        <w:adjustRightInd w:val="0"/>
        <w:snapToGrid w:val="0"/>
        <w:spacing w:line="360" w:lineRule="auto"/>
        <w:ind w:firstLine="482" w:firstLineChars="200"/>
        <w:jc w:val="left"/>
        <w:rPr>
          <w:rFonts w:hint="eastAsia" w:ascii="宋体" w:hAnsi="宋体"/>
          <w:b/>
          <w:bCs/>
          <w:sz w:val="24"/>
        </w:rPr>
      </w:pPr>
      <w:r>
        <w:rPr>
          <w:rFonts w:hint="eastAsia" w:ascii="宋体" w:hAnsi="宋体"/>
          <w:b/>
          <w:bCs/>
          <w:sz w:val="24"/>
        </w:rPr>
        <w:t>投标人名称：XXXX（单位盖章）。</w:t>
      </w:r>
    </w:p>
    <w:p>
      <w:pPr>
        <w:widowControl/>
        <w:adjustRightInd w:val="0"/>
        <w:snapToGrid w:val="0"/>
        <w:spacing w:line="360" w:lineRule="auto"/>
        <w:ind w:firstLine="482" w:firstLineChars="200"/>
        <w:jc w:val="left"/>
        <w:rPr>
          <w:rFonts w:hint="eastAsia" w:ascii="宋体" w:hAnsi="宋体"/>
          <w:b/>
          <w:bCs/>
          <w:sz w:val="24"/>
        </w:rPr>
      </w:pPr>
      <w:r>
        <w:rPr>
          <w:rFonts w:hint="eastAsia" w:ascii="宋体" w:hAnsi="宋体"/>
          <w:b/>
          <w:bCs/>
          <w:sz w:val="24"/>
        </w:rPr>
        <w:t>法定代表人/单位负责人或授权代表（签字或加盖个人名章）：XXXX。</w:t>
      </w:r>
    </w:p>
    <w:p>
      <w:pPr>
        <w:widowControl/>
        <w:spacing w:line="360" w:lineRule="auto"/>
        <w:ind w:firstLine="472" w:firstLineChars="196"/>
        <w:jc w:val="left"/>
        <w:rPr>
          <w:rFonts w:hint="eastAsia"/>
        </w:rPr>
      </w:pPr>
      <w:r>
        <w:rPr>
          <w:rFonts w:hint="eastAsia" w:ascii="宋体"/>
          <w:b/>
          <w:bCs/>
          <w:sz w:val="24"/>
        </w:rPr>
        <w:t>包件号：</w:t>
      </w:r>
    </w:p>
    <w:p>
      <w:pPr>
        <w:widowControl/>
        <w:adjustRightInd w:val="0"/>
        <w:snapToGrid w:val="0"/>
        <w:spacing w:line="360" w:lineRule="auto"/>
        <w:ind w:firstLine="482" w:firstLineChars="200"/>
        <w:jc w:val="left"/>
        <w:rPr>
          <w:rFonts w:hint="eastAsia" w:ascii="宋体" w:hAnsi="宋体" w:cs="宋体"/>
          <w:b/>
          <w:sz w:val="32"/>
          <w:szCs w:val="32"/>
        </w:rPr>
      </w:pPr>
      <w:r>
        <w:rPr>
          <w:rFonts w:hint="eastAsia" w:ascii="宋体" w:hAnsi="宋体"/>
          <w:b/>
          <w:bCs/>
          <w:sz w:val="24"/>
        </w:rPr>
        <w:t>投标日期: XXXX。</w:t>
      </w:r>
    </w:p>
    <w:p>
      <w:pPr>
        <w:rPr>
          <w:rFonts w:hint="eastAsia" w:ascii="宋体" w:hAnsi="宋体"/>
          <w:b/>
          <w:sz w:val="32"/>
          <w:szCs w:val="32"/>
        </w:rPr>
      </w:pPr>
    </w:p>
    <w:p>
      <w:pPr>
        <w:rPr>
          <w:rFonts w:hint="eastAsia" w:ascii="宋体" w:hAnsi="宋体"/>
          <w:b/>
          <w:sz w:val="32"/>
          <w:szCs w:val="32"/>
        </w:rPr>
      </w:pPr>
      <w:r>
        <w:rPr>
          <w:rFonts w:hint="eastAsia" w:ascii="宋体" w:hAnsi="宋体"/>
          <w:b/>
          <w:sz w:val="32"/>
          <w:szCs w:val="32"/>
        </w:rPr>
        <w:br w:type="page"/>
      </w:r>
      <w:r>
        <w:rPr>
          <w:rFonts w:hint="eastAsia" w:ascii="宋体" w:hAnsi="宋体"/>
          <w:b/>
          <w:sz w:val="32"/>
          <w:szCs w:val="32"/>
        </w:rPr>
        <w:t>格式2-18</w:t>
      </w:r>
    </w:p>
    <w:p>
      <w:pPr>
        <w:rPr>
          <w:rFonts w:hint="eastAsia" w:ascii="宋体" w:hAnsi="宋体"/>
          <w:b/>
          <w:sz w:val="32"/>
          <w:szCs w:val="32"/>
        </w:rPr>
      </w:pPr>
    </w:p>
    <w:p>
      <w:pPr>
        <w:widowControl/>
        <w:spacing w:line="360" w:lineRule="auto"/>
        <w:jc w:val="center"/>
        <w:outlineLvl w:val="2"/>
        <w:rPr>
          <w:rFonts w:hint="eastAsia" w:hAnsi="宋体"/>
          <w:b/>
          <w:sz w:val="32"/>
          <w:szCs w:val="32"/>
        </w:rPr>
      </w:pPr>
      <w:r>
        <w:rPr>
          <w:rFonts w:hint="eastAsia" w:hAnsi="宋体"/>
          <w:b/>
          <w:sz w:val="32"/>
          <w:szCs w:val="32"/>
        </w:rPr>
        <w:t>十七、其他材料</w:t>
      </w:r>
      <w:bookmarkEnd w:id="262"/>
    </w:p>
    <w:p>
      <w:pPr>
        <w:widowControl/>
        <w:spacing w:line="360" w:lineRule="atLeast"/>
        <w:ind w:firstLine="551" w:firstLineChars="196"/>
        <w:jc w:val="center"/>
        <w:rPr>
          <w:rFonts w:hint="eastAsia" w:eastAsia="黑体"/>
          <w:b/>
          <w:bCs/>
          <w:sz w:val="28"/>
          <w:szCs w:val="28"/>
        </w:rPr>
      </w:pPr>
    </w:p>
    <w:p>
      <w:pPr>
        <w:widowControl/>
        <w:spacing w:line="360" w:lineRule="atLeast"/>
        <w:ind w:firstLine="551" w:firstLineChars="196"/>
        <w:jc w:val="center"/>
        <w:rPr>
          <w:rFonts w:hint="eastAsia" w:eastAsia="黑体"/>
          <w:b/>
          <w:bCs/>
          <w:sz w:val="28"/>
          <w:szCs w:val="28"/>
        </w:rPr>
      </w:pPr>
    </w:p>
    <w:p>
      <w:pPr>
        <w:widowControl/>
        <w:spacing w:line="360" w:lineRule="atLeast"/>
        <w:ind w:firstLine="551" w:firstLineChars="196"/>
        <w:jc w:val="center"/>
        <w:rPr>
          <w:rFonts w:hint="eastAsia" w:eastAsia="黑体"/>
          <w:b/>
          <w:bCs/>
          <w:sz w:val="28"/>
          <w:szCs w:val="28"/>
        </w:rPr>
      </w:pPr>
    </w:p>
    <w:p>
      <w:pPr>
        <w:widowControl/>
        <w:spacing w:line="360" w:lineRule="atLeast"/>
        <w:ind w:firstLine="551" w:firstLineChars="196"/>
        <w:jc w:val="center"/>
        <w:rPr>
          <w:rFonts w:hint="eastAsia" w:eastAsia="黑体"/>
          <w:b/>
          <w:bCs/>
          <w:sz w:val="28"/>
          <w:szCs w:val="28"/>
        </w:rPr>
      </w:pPr>
    </w:p>
    <w:p>
      <w:pPr>
        <w:spacing w:after="60" w:line="360" w:lineRule="auto"/>
        <w:ind w:firstLine="557" w:firstLineChars="198"/>
        <w:jc w:val="center"/>
        <w:rPr>
          <w:rFonts w:hint="eastAsia" w:ascii="宋体" w:hAnsi="宋体"/>
          <w:b/>
          <w:sz w:val="28"/>
          <w:szCs w:val="28"/>
        </w:rPr>
      </w:pPr>
      <w:r>
        <w:rPr>
          <w:rFonts w:hint="eastAsia" w:ascii="宋体" w:hAnsi="宋体"/>
          <w:b/>
          <w:sz w:val="28"/>
          <w:szCs w:val="28"/>
        </w:rPr>
        <w:t>（格式自拟）</w:t>
      </w:r>
    </w:p>
    <w:p>
      <w:pPr>
        <w:widowControl/>
        <w:spacing w:line="360" w:lineRule="atLeast"/>
        <w:ind w:firstLine="551" w:firstLineChars="196"/>
        <w:jc w:val="center"/>
        <w:rPr>
          <w:rFonts w:hint="eastAsia" w:eastAsia="黑体"/>
          <w:b/>
          <w:bCs/>
          <w:sz w:val="28"/>
          <w:szCs w:val="28"/>
        </w:rPr>
      </w:pPr>
    </w:p>
    <w:p>
      <w:pPr>
        <w:widowControl/>
        <w:spacing w:line="360" w:lineRule="atLeast"/>
        <w:ind w:firstLine="551" w:firstLineChars="196"/>
        <w:jc w:val="center"/>
        <w:rPr>
          <w:rFonts w:hint="eastAsia" w:eastAsia="黑体"/>
          <w:b/>
          <w:bCs/>
          <w:sz w:val="28"/>
          <w:szCs w:val="28"/>
        </w:rPr>
      </w:pPr>
    </w:p>
    <w:p>
      <w:pPr>
        <w:widowControl/>
        <w:spacing w:line="360" w:lineRule="atLeast"/>
        <w:ind w:firstLine="551" w:firstLineChars="196"/>
        <w:jc w:val="center"/>
        <w:rPr>
          <w:rFonts w:hint="eastAsia" w:eastAsia="黑体"/>
          <w:b/>
          <w:bCs/>
          <w:sz w:val="28"/>
          <w:szCs w:val="28"/>
        </w:rPr>
      </w:pPr>
    </w:p>
    <w:p>
      <w:pPr>
        <w:widowControl/>
        <w:spacing w:line="360" w:lineRule="atLeast"/>
        <w:ind w:firstLine="551" w:firstLineChars="196"/>
        <w:jc w:val="center"/>
        <w:rPr>
          <w:rFonts w:hint="eastAsia" w:eastAsia="黑体"/>
          <w:b/>
          <w:bCs/>
          <w:sz w:val="28"/>
          <w:szCs w:val="28"/>
        </w:rPr>
      </w:pPr>
    </w:p>
    <w:p>
      <w:pPr>
        <w:pStyle w:val="2"/>
        <w:rPr>
          <w:rFonts w:hint="eastAsia" w:eastAsia="黑体"/>
          <w:b/>
          <w:bCs/>
          <w:sz w:val="28"/>
          <w:szCs w:val="28"/>
        </w:rPr>
      </w:pPr>
    </w:p>
    <w:p>
      <w:pPr>
        <w:rPr>
          <w:rFonts w:hint="eastAsia"/>
        </w:rPr>
      </w:pPr>
    </w:p>
    <w:p>
      <w:pPr>
        <w:widowControl/>
        <w:adjustRightInd w:val="0"/>
        <w:snapToGrid w:val="0"/>
        <w:spacing w:line="360" w:lineRule="auto"/>
        <w:ind w:firstLine="482" w:firstLineChars="200"/>
        <w:jc w:val="left"/>
        <w:rPr>
          <w:rFonts w:hint="eastAsia" w:ascii="宋体" w:hAnsi="宋体"/>
          <w:b/>
          <w:bCs/>
          <w:sz w:val="24"/>
        </w:rPr>
      </w:pPr>
      <w:r>
        <w:rPr>
          <w:rFonts w:hint="eastAsia" w:ascii="宋体" w:hAnsi="宋体"/>
          <w:b/>
          <w:bCs/>
          <w:sz w:val="24"/>
        </w:rPr>
        <w:t>投标人名称：XXXX（单位盖章）。</w:t>
      </w:r>
    </w:p>
    <w:p>
      <w:pPr>
        <w:widowControl/>
        <w:adjustRightInd w:val="0"/>
        <w:snapToGrid w:val="0"/>
        <w:spacing w:line="360" w:lineRule="auto"/>
        <w:ind w:firstLine="482" w:firstLineChars="200"/>
        <w:jc w:val="left"/>
        <w:rPr>
          <w:rFonts w:hint="eastAsia" w:ascii="宋体" w:hAnsi="宋体"/>
          <w:b/>
          <w:bCs/>
          <w:sz w:val="24"/>
        </w:rPr>
      </w:pPr>
      <w:r>
        <w:rPr>
          <w:rFonts w:hint="eastAsia" w:ascii="宋体" w:hAnsi="宋体"/>
          <w:b/>
          <w:bCs/>
          <w:sz w:val="24"/>
        </w:rPr>
        <w:t>法定代表人/单位负责人或授权代表（签字或加盖个人名章）：XXXX。</w:t>
      </w:r>
    </w:p>
    <w:p>
      <w:pPr>
        <w:widowControl/>
        <w:spacing w:line="360" w:lineRule="auto"/>
        <w:ind w:firstLine="472" w:firstLineChars="196"/>
        <w:jc w:val="left"/>
        <w:rPr>
          <w:rFonts w:hint="eastAsia"/>
        </w:rPr>
      </w:pPr>
      <w:r>
        <w:rPr>
          <w:rFonts w:hint="eastAsia" w:ascii="宋体"/>
          <w:b/>
          <w:bCs/>
          <w:sz w:val="24"/>
        </w:rPr>
        <w:t>包件号：</w:t>
      </w:r>
    </w:p>
    <w:p>
      <w:pPr>
        <w:widowControl/>
        <w:adjustRightInd w:val="0"/>
        <w:snapToGrid w:val="0"/>
        <w:spacing w:line="360" w:lineRule="auto"/>
        <w:ind w:firstLine="482" w:firstLineChars="200"/>
        <w:jc w:val="left"/>
        <w:rPr>
          <w:rFonts w:hint="eastAsia" w:ascii="宋体" w:hAnsi="宋体" w:cs="宋体"/>
          <w:b/>
          <w:sz w:val="32"/>
          <w:szCs w:val="32"/>
        </w:rPr>
      </w:pPr>
      <w:r>
        <w:rPr>
          <w:rFonts w:hint="eastAsia" w:ascii="宋体" w:hAnsi="宋体"/>
          <w:b/>
          <w:bCs/>
          <w:sz w:val="24"/>
        </w:rPr>
        <w:t>投标日期: XXXX。</w:t>
      </w:r>
    </w:p>
    <w:p>
      <w:pPr>
        <w:pStyle w:val="2"/>
        <w:rPr>
          <w:rFonts w:hint="eastAsia" w:eastAsia="黑体"/>
          <w:b/>
          <w:bCs/>
          <w:sz w:val="28"/>
          <w:szCs w:val="28"/>
        </w:rPr>
      </w:pPr>
    </w:p>
    <w:p>
      <w:pPr>
        <w:widowControl/>
        <w:spacing w:line="360" w:lineRule="atLeast"/>
        <w:ind w:firstLine="551" w:firstLineChars="196"/>
        <w:jc w:val="center"/>
        <w:rPr>
          <w:rFonts w:hint="eastAsia" w:eastAsia="黑体"/>
          <w:b/>
          <w:bCs/>
          <w:sz w:val="28"/>
          <w:szCs w:val="28"/>
        </w:rPr>
      </w:pPr>
    </w:p>
    <w:p>
      <w:pPr>
        <w:pStyle w:val="3"/>
        <w:rPr>
          <w:rFonts w:hint="eastAsia" w:ascii="宋体" w:hAnsi="宋体" w:cs="宋体"/>
          <w:sz w:val="24"/>
        </w:rPr>
      </w:pPr>
      <w:r>
        <w:rPr>
          <w:rFonts w:hint="eastAsia" w:eastAsia="黑体"/>
          <w:b w:val="0"/>
          <w:bCs w:val="0"/>
          <w:sz w:val="28"/>
          <w:szCs w:val="28"/>
        </w:rPr>
        <w:br w:type="page"/>
      </w:r>
      <w:bookmarkStart w:id="263" w:name="_Toc503863038"/>
      <w:bookmarkStart w:id="264" w:name="_Toc28894"/>
      <w:bookmarkStart w:id="265" w:name="_Toc9303"/>
      <w:r>
        <w:rPr>
          <w:rFonts w:hint="eastAsia"/>
        </w:rPr>
        <w:t>第四章  投标人和投标产品的资格、资质性</w:t>
      </w:r>
      <w:bookmarkEnd w:id="263"/>
      <w:bookmarkEnd w:id="264"/>
      <w:bookmarkStart w:id="266" w:name="_Toc503863039"/>
      <w:bookmarkStart w:id="267" w:name="_Toc12078"/>
      <w:r>
        <w:rPr>
          <w:rFonts w:hint="eastAsia"/>
        </w:rPr>
        <w:t>及其他类似效力要求</w:t>
      </w:r>
      <w:bookmarkEnd w:id="265"/>
      <w:bookmarkEnd w:id="266"/>
      <w:bookmarkEnd w:id="267"/>
      <w:bookmarkStart w:id="268" w:name="_Toc503863040"/>
    </w:p>
    <w:p>
      <w:pPr>
        <w:adjustRightInd w:val="0"/>
        <w:snapToGrid w:val="0"/>
        <w:spacing w:line="360" w:lineRule="auto"/>
        <w:rPr>
          <w:rFonts w:hint="eastAsia" w:ascii="宋体" w:hAnsi="宋体" w:cs="宋体"/>
          <w:b/>
          <w:bCs/>
          <w:sz w:val="24"/>
        </w:rPr>
      </w:pPr>
      <w:r>
        <w:rPr>
          <w:rFonts w:hint="eastAsia" w:ascii="宋体" w:hAnsi="宋体" w:cs="宋体"/>
          <w:b/>
          <w:bCs/>
          <w:sz w:val="24"/>
        </w:rPr>
        <w:t>一、投标人资格、资质性及其他类似效力要求</w:t>
      </w:r>
      <w:bookmarkEnd w:id="268"/>
    </w:p>
    <w:p>
      <w:pPr>
        <w:tabs>
          <w:tab w:val="left" w:pos="7665"/>
        </w:tabs>
        <w:adjustRightInd w:val="0"/>
        <w:snapToGrid w:val="0"/>
        <w:spacing w:line="360" w:lineRule="auto"/>
        <w:ind w:firstLine="480" w:firstLineChars="200"/>
        <w:rPr>
          <w:rFonts w:hint="eastAsia" w:ascii="宋体" w:hAnsi="宋体" w:cs="宋体"/>
          <w:sz w:val="24"/>
        </w:rPr>
      </w:pPr>
      <w:r>
        <w:rPr>
          <w:rFonts w:hint="eastAsia" w:ascii="宋体" w:hAnsi="宋体" w:cs="宋体"/>
          <w:sz w:val="24"/>
        </w:rPr>
        <w:t>1、符合《中华人民共和国政府采购法》第二十二条规定的条件：</w:t>
      </w:r>
    </w:p>
    <w:p>
      <w:pPr>
        <w:tabs>
          <w:tab w:val="left" w:pos="7665"/>
        </w:tabs>
        <w:adjustRightInd w:val="0"/>
        <w:snapToGrid w:val="0"/>
        <w:spacing w:line="360" w:lineRule="auto"/>
        <w:ind w:firstLine="480" w:firstLineChars="200"/>
        <w:rPr>
          <w:rFonts w:hint="eastAsia" w:ascii="宋体" w:hAnsi="宋体" w:cs="宋体"/>
          <w:sz w:val="24"/>
        </w:rPr>
      </w:pPr>
      <w:r>
        <w:rPr>
          <w:rFonts w:hint="eastAsia" w:ascii="宋体" w:hAnsi="宋体" w:cs="宋体"/>
          <w:sz w:val="24"/>
        </w:rPr>
        <w:t>（1）具有独立承担民事责任的能力；</w:t>
      </w:r>
    </w:p>
    <w:p>
      <w:pPr>
        <w:tabs>
          <w:tab w:val="left" w:pos="7665"/>
        </w:tabs>
        <w:adjustRightInd w:val="0"/>
        <w:snapToGrid w:val="0"/>
        <w:spacing w:line="360" w:lineRule="auto"/>
        <w:ind w:firstLine="480" w:firstLineChars="200"/>
        <w:rPr>
          <w:rFonts w:hint="eastAsia" w:ascii="宋体" w:hAnsi="宋体" w:cs="宋体"/>
          <w:sz w:val="24"/>
        </w:rPr>
      </w:pPr>
      <w:r>
        <w:rPr>
          <w:rFonts w:hint="eastAsia" w:ascii="宋体" w:hAnsi="宋体" w:cs="宋体"/>
          <w:sz w:val="24"/>
        </w:rPr>
        <w:t>（2）具有良好的商业信誉和健全的财务会计制度；</w:t>
      </w:r>
    </w:p>
    <w:p>
      <w:pPr>
        <w:tabs>
          <w:tab w:val="left" w:pos="7665"/>
        </w:tabs>
        <w:adjustRightInd w:val="0"/>
        <w:snapToGrid w:val="0"/>
        <w:spacing w:line="360" w:lineRule="auto"/>
        <w:ind w:firstLine="480" w:firstLineChars="200"/>
        <w:rPr>
          <w:rFonts w:hint="eastAsia" w:ascii="宋体" w:hAnsi="宋体" w:cs="宋体"/>
          <w:sz w:val="24"/>
        </w:rPr>
      </w:pPr>
      <w:r>
        <w:rPr>
          <w:rFonts w:hint="eastAsia" w:ascii="宋体" w:hAnsi="宋体" w:cs="宋体"/>
          <w:sz w:val="24"/>
        </w:rPr>
        <w:t>（3）具有履行合同所必需的设备和专业技术能力；</w:t>
      </w:r>
    </w:p>
    <w:p>
      <w:pPr>
        <w:tabs>
          <w:tab w:val="left" w:pos="7665"/>
        </w:tabs>
        <w:adjustRightInd w:val="0"/>
        <w:snapToGrid w:val="0"/>
        <w:spacing w:line="360" w:lineRule="auto"/>
        <w:ind w:firstLine="480" w:firstLineChars="200"/>
        <w:rPr>
          <w:rFonts w:hint="eastAsia" w:ascii="宋体" w:hAnsi="宋体" w:cs="宋体"/>
          <w:sz w:val="24"/>
        </w:rPr>
      </w:pPr>
      <w:r>
        <w:rPr>
          <w:rFonts w:hint="eastAsia" w:ascii="宋体" w:hAnsi="宋体" w:cs="宋体"/>
          <w:sz w:val="24"/>
        </w:rPr>
        <w:t>（4）有依法缴纳税收和社会保障资金的良好记录；</w:t>
      </w:r>
    </w:p>
    <w:p>
      <w:pPr>
        <w:tabs>
          <w:tab w:val="left" w:pos="7665"/>
        </w:tabs>
        <w:adjustRightInd w:val="0"/>
        <w:snapToGrid w:val="0"/>
        <w:spacing w:line="360" w:lineRule="auto"/>
        <w:ind w:firstLine="480" w:firstLineChars="200"/>
        <w:rPr>
          <w:rFonts w:hint="eastAsia" w:ascii="宋体" w:hAnsi="宋体" w:cs="宋体"/>
          <w:sz w:val="24"/>
        </w:rPr>
      </w:pPr>
      <w:r>
        <w:rPr>
          <w:rFonts w:hint="eastAsia" w:ascii="宋体" w:hAnsi="宋体" w:cs="宋体"/>
          <w:sz w:val="24"/>
        </w:rPr>
        <w:t>（5）参加本次政府采购活动前三年内，在经营活动中没有重大违法记录；</w:t>
      </w:r>
    </w:p>
    <w:p>
      <w:pPr>
        <w:tabs>
          <w:tab w:val="left" w:pos="7665"/>
        </w:tabs>
        <w:adjustRightInd w:val="0"/>
        <w:snapToGrid w:val="0"/>
        <w:spacing w:line="360" w:lineRule="auto"/>
        <w:ind w:firstLine="480" w:firstLineChars="200"/>
        <w:rPr>
          <w:rFonts w:hint="eastAsia" w:ascii="宋体" w:hAnsi="宋体" w:cs="宋体"/>
          <w:sz w:val="24"/>
        </w:rPr>
      </w:pPr>
      <w:r>
        <w:rPr>
          <w:rFonts w:hint="eastAsia" w:ascii="宋体" w:hAnsi="宋体" w:cs="宋体"/>
          <w:sz w:val="24"/>
        </w:rPr>
        <w:t>（6）法律、行政法规规定的其他条件。</w:t>
      </w:r>
    </w:p>
    <w:p>
      <w:pPr>
        <w:tabs>
          <w:tab w:val="left" w:pos="7665"/>
        </w:tabs>
        <w:adjustRightInd w:val="0"/>
        <w:snapToGrid w:val="0"/>
        <w:spacing w:line="360" w:lineRule="auto"/>
        <w:ind w:firstLine="480" w:firstLineChars="200"/>
        <w:rPr>
          <w:rFonts w:hint="eastAsia" w:ascii="宋体" w:hAnsi="宋体" w:cs="宋体"/>
          <w:sz w:val="24"/>
        </w:rPr>
      </w:pPr>
      <w:r>
        <w:rPr>
          <w:rFonts w:hint="eastAsia" w:ascii="宋体" w:hAnsi="宋体" w:cs="宋体"/>
          <w:sz w:val="24"/>
        </w:rPr>
        <w:t>2、本项目</w:t>
      </w:r>
      <w:r>
        <w:rPr>
          <w:rFonts w:hint="eastAsia" w:ascii="宋体" w:hAnsi="宋体" w:cs="宋体"/>
          <w:b/>
          <w:bCs/>
          <w:sz w:val="24"/>
          <w:u w:val="single"/>
        </w:rPr>
        <w:t xml:space="preserve"> 不接受</w:t>
      </w:r>
      <w:r>
        <w:rPr>
          <w:rFonts w:hint="eastAsia" w:ascii="宋体" w:hAnsi="宋体" w:cs="宋体"/>
          <w:sz w:val="24"/>
        </w:rPr>
        <w:t xml:space="preserve"> 联合体参加投标活动。</w:t>
      </w:r>
    </w:p>
    <w:p>
      <w:pPr>
        <w:tabs>
          <w:tab w:val="left" w:pos="7665"/>
        </w:tabs>
        <w:adjustRightInd w:val="0"/>
        <w:snapToGrid w:val="0"/>
        <w:spacing w:line="360" w:lineRule="auto"/>
        <w:ind w:firstLine="480" w:firstLineChars="200"/>
        <w:rPr>
          <w:rFonts w:hint="eastAsia"/>
        </w:rPr>
      </w:pPr>
      <w:r>
        <w:rPr>
          <w:rFonts w:hint="eastAsia" w:ascii="宋体" w:hAnsi="宋体" w:cs="宋体"/>
          <w:sz w:val="24"/>
        </w:rPr>
        <w:t>3、根据采购项目提出的特殊条件：</w:t>
      </w:r>
    </w:p>
    <w:p>
      <w:pPr>
        <w:numPr>
          <w:ilvl w:val="0"/>
          <w:numId w:val="7"/>
        </w:numPr>
        <w:tabs>
          <w:tab w:val="left" w:pos="7665"/>
        </w:tabs>
        <w:adjustRightInd w:val="0"/>
        <w:snapToGrid w:val="0"/>
        <w:spacing w:line="360" w:lineRule="auto"/>
        <w:ind w:firstLine="600" w:firstLineChars="250"/>
      </w:pPr>
      <w:r>
        <w:rPr>
          <w:rFonts w:hint="eastAsia" w:ascii="宋体" w:hAnsi="宋体" w:cs="宋体"/>
          <w:sz w:val="24"/>
        </w:rPr>
        <w:t>本项目参加政府采购活动的投标人、法定代表人/主要负责人近3年内不得具有行贿犯罪记录。</w:t>
      </w:r>
    </w:p>
    <w:p>
      <w:pPr>
        <w:pStyle w:val="55"/>
        <w:ind w:firstLine="422"/>
        <w:jc w:val="left"/>
        <w:rPr>
          <w:rFonts w:hint="eastAsia" w:hAnsi="宋体" w:cs="宋体"/>
          <w:sz w:val="16"/>
          <w:szCs w:val="15"/>
        </w:rPr>
      </w:pPr>
      <w:r>
        <w:rPr>
          <w:rFonts w:hint="eastAsia" w:hAnsi="宋体" w:cs="宋体"/>
          <w:b/>
          <w:bCs/>
          <w:szCs w:val="13"/>
        </w:rPr>
        <w:t>（注：采购人或采购代理机构在</w:t>
      </w:r>
      <w:r>
        <w:rPr>
          <w:rFonts w:hint="eastAsia"/>
          <w:b/>
          <w:bCs/>
          <w:szCs w:val="20"/>
        </w:rPr>
        <w:t>开标当天</w:t>
      </w:r>
      <w:r>
        <w:rPr>
          <w:rFonts w:hint="eastAsia" w:hAnsi="宋体" w:cs="宋体"/>
          <w:b/>
          <w:bCs/>
          <w:szCs w:val="13"/>
        </w:rPr>
        <w:t>在‘信用中国’网站、‘中国政府采购网’网站等渠道对供应商进行信用记录查询，并将查询记录存档。凡在开标当天时被列入失信被执行人、重大税收违法案件当事人名单、政府采购严重违法失信行为记录名单的，视为存在不良信用记录，参与本项目的将被拒绝。</w:t>
      </w:r>
      <w:r>
        <w:rPr>
          <w:rFonts w:hint="eastAsia" w:hAnsi="宋体" w:cs="宋体"/>
          <w:b/>
          <w:bCs/>
          <w:sz w:val="16"/>
          <w:szCs w:val="15"/>
        </w:rPr>
        <w:t>）</w:t>
      </w:r>
    </w:p>
    <w:p>
      <w:pPr>
        <w:pStyle w:val="55"/>
        <w:ind w:firstLine="0" w:firstLineChars="0"/>
        <w:rPr>
          <w:rFonts w:hint="eastAsia"/>
          <w:b/>
          <w:sz w:val="18"/>
          <w:szCs w:val="18"/>
        </w:rPr>
      </w:pPr>
      <w:r>
        <w:rPr>
          <w:rFonts w:hint="eastAsia"/>
          <w:b/>
          <w:sz w:val="18"/>
          <w:szCs w:val="18"/>
        </w:rPr>
        <w:t>注：1、本项目确定供应商重大违法记录中较大数额罚款的金额标准是指：若采购项目所属行业行政主管部门对较大数额罚款金额标准有明文规定的，以所属行业行政主管部门规定的较大数额罚款金额标准；若采购项目所属行业行政主管部门对较大数额罚款金额标准未明文规定的，以四川省人民政府规定的行政处罚罚款听证标准金额为准。</w:t>
      </w:r>
    </w:p>
    <w:p>
      <w:pPr>
        <w:pStyle w:val="55"/>
        <w:ind w:firstLine="361"/>
        <w:rPr>
          <w:rFonts w:hint="eastAsia"/>
          <w:b/>
          <w:sz w:val="18"/>
          <w:szCs w:val="18"/>
        </w:rPr>
      </w:pPr>
      <w:r>
        <w:rPr>
          <w:rFonts w:hint="eastAsia"/>
          <w:b/>
          <w:sz w:val="18"/>
          <w:szCs w:val="18"/>
        </w:rPr>
        <w:t>2、供应商在参加政府采购活动前，被纳入法院、工商行政管理部门、税务部门、银行认定的失信名单且在有效期内，或者在前三年政府采购合同履约过程中及其他经营活动履约过程中未依法履约被有关行政部门处罚（处理）的，本项目不认定其具有良好的商业信誉。</w:t>
      </w:r>
    </w:p>
    <w:p>
      <w:pPr>
        <w:adjustRightInd w:val="0"/>
        <w:snapToGrid w:val="0"/>
        <w:spacing w:line="360" w:lineRule="auto"/>
        <w:ind w:firstLine="431" w:firstLineChars="196"/>
        <w:rPr>
          <w:rFonts w:hint="eastAsia" w:ascii="宋体" w:hAnsi="宋体" w:cs="宋体"/>
          <w:bCs/>
          <w:sz w:val="22"/>
          <w:szCs w:val="22"/>
        </w:rPr>
      </w:pPr>
      <w:r>
        <w:rPr>
          <w:rFonts w:hint="eastAsia" w:ascii="宋体" w:hAnsi="宋体" w:cs="宋体"/>
          <w:bCs/>
          <w:sz w:val="22"/>
          <w:szCs w:val="22"/>
        </w:rPr>
        <w:br w:type="page"/>
      </w:r>
    </w:p>
    <w:p>
      <w:pPr>
        <w:pStyle w:val="3"/>
        <w:rPr>
          <w:rFonts w:hint="eastAsia" w:ascii="宋体" w:hAnsi="Arial"/>
        </w:rPr>
      </w:pPr>
      <w:bookmarkStart w:id="269" w:name="_Toc10839"/>
      <w:bookmarkStart w:id="270" w:name="_Toc6492"/>
      <w:r>
        <w:rPr>
          <w:rFonts w:hint="eastAsia"/>
        </w:rPr>
        <w:t>第五章  投标人应当提供的资格、资质性及其他类似效力要求的相关证明材料</w:t>
      </w:r>
      <w:bookmarkEnd w:id="269"/>
      <w:bookmarkEnd w:id="270"/>
    </w:p>
    <w:p>
      <w:pPr>
        <w:pStyle w:val="11"/>
        <w:adjustRightInd w:val="0"/>
        <w:snapToGrid w:val="0"/>
        <w:spacing w:line="360" w:lineRule="auto"/>
        <w:rPr>
          <w:rFonts w:hint="eastAsia" w:hAnsi="宋体"/>
          <w:b/>
          <w:sz w:val="24"/>
        </w:rPr>
      </w:pPr>
      <w:bookmarkStart w:id="271" w:name="_Toc503863043"/>
      <w:r>
        <w:rPr>
          <w:rFonts w:hint="eastAsia" w:hAnsi="宋体"/>
          <w:b/>
          <w:sz w:val="24"/>
        </w:rPr>
        <w:t>一、投标人应当提供的资格、资质性文件及其他类似效力的要求的相关证明材料</w:t>
      </w:r>
      <w:bookmarkEnd w:id="271"/>
    </w:p>
    <w:p>
      <w:pPr>
        <w:tabs>
          <w:tab w:val="left" w:pos="1134"/>
        </w:tabs>
        <w:adjustRightInd w:val="0"/>
        <w:snapToGrid w:val="0"/>
        <w:spacing w:line="360" w:lineRule="auto"/>
        <w:ind w:left="-765" w:firstLine="482" w:firstLineChars="200"/>
        <w:rPr>
          <w:rFonts w:hint="eastAsia" w:ascii="宋体" w:hAnsi="宋体"/>
          <w:b/>
          <w:sz w:val="24"/>
        </w:rPr>
      </w:pPr>
      <w:bookmarkStart w:id="272" w:name="_Toc320624220"/>
      <w:bookmarkEnd w:id="272"/>
      <w:bookmarkStart w:id="273" w:name="_Toc320624215"/>
      <w:bookmarkEnd w:id="273"/>
      <w:bookmarkStart w:id="274" w:name="_Toc320624218"/>
      <w:bookmarkEnd w:id="274"/>
      <w:bookmarkStart w:id="275" w:name="_Toc320624212"/>
      <w:bookmarkEnd w:id="275"/>
      <w:bookmarkStart w:id="276" w:name="_Toc320624221"/>
      <w:bookmarkEnd w:id="276"/>
      <w:bookmarkStart w:id="277" w:name="_Toc320624224"/>
      <w:bookmarkEnd w:id="277"/>
      <w:bookmarkStart w:id="278" w:name="_Toc320624222"/>
      <w:bookmarkEnd w:id="278"/>
      <w:bookmarkStart w:id="279" w:name="_Toc320624214"/>
      <w:bookmarkEnd w:id="279"/>
      <w:bookmarkStart w:id="280" w:name="_Toc320624217"/>
      <w:bookmarkEnd w:id="280"/>
      <w:bookmarkStart w:id="281" w:name="_Toc320624219"/>
      <w:bookmarkEnd w:id="281"/>
      <w:bookmarkStart w:id="282" w:name="_Toc320624213"/>
      <w:bookmarkEnd w:id="282"/>
      <w:bookmarkStart w:id="283" w:name="_Toc320624216"/>
      <w:bookmarkEnd w:id="283"/>
      <w:bookmarkStart w:id="284" w:name="_Toc320624223"/>
      <w:bookmarkEnd w:id="284"/>
      <w:bookmarkStart w:id="285" w:name="_Toc503863044"/>
      <w:r>
        <w:rPr>
          <w:rFonts w:hint="eastAsia" w:ascii="宋体" w:hAnsi="宋体"/>
          <w:b/>
          <w:sz w:val="24"/>
        </w:rPr>
        <w:t>（一）资格要求相关证明材料：</w:t>
      </w:r>
      <w:bookmarkEnd w:id="285"/>
    </w:p>
    <w:p>
      <w:pPr>
        <w:tabs>
          <w:tab w:val="left" w:pos="1134"/>
        </w:tabs>
        <w:adjustRightInd w:val="0"/>
        <w:snapToGrid w:val="0"/>
        <w:spacing w:line="360" w:lineRule="auto"/>
        <w:rPr>
          <w:rFonts w:hint="eastAsia" w:ascii="宋体" w:hAnsi="宋体"/>
          <w:b/>
          <w:sz w:val="24"/>
        </w:rPr>
      </w:pPr>
      <w:bookmarkStart w:id="286" w:name="_Toc503863045"/>
      <w:r>
        <w:rPr>
          <w:rFonts w:hint="eastAsia" w:ascii="宋体" w:hAnsi="宋体"/>
          <w:b/>
          <w:sz w:val="24"/>
        </w:rPr>
        <w:t>1、具有独立承担民事责任的能力提供以下证明材料：</w:t>
      </w:r>
      <w:bookmarkEnd w:id="286"/>
    </w:p>
    <w:p>
      <w:pPr>
        <w:tabs>
          <w:tab w:val="left" w:pos="1134"/>
        </w:tabs>
        <w:adjustRightInd w:val="0"/>
        <w:snapToGrid w:val="0"/>
        <w:spacing w:line="360" w:lineRule="auto"/>
        <w:rPr>
          <w:rFonts w:hint="eastAsia" w:ascii="宋体" w:hAnsi="宋体"/>
          <w:sz w:val="24"/>
        </w:rPr>
      </w:pPr>
      <w:bookmarkStart w:id="287" w:name="_Toc503863046"/>
      <w:r>
        <w:rPr>
          <w:rFonts w:hint="eastAsia" w:ascii="宋体" w:hAnsi="宋体"/>
          <w:sz w:val="24"/>
        </w:rPr>
        <w:t>（1）独立法人机构提供下述证明材料：</w:t>
      </w:r>
      <w:bookmarkEnd w:id="287"/>
    </w:p>
    <w:p>
      <w:pPr>
        <w:tabs>
          <w:tab w:val="left" w:pos="1134"/>
        </w:tabs>
        <w:adjustRightInd w:val="0"/>
        <w:snapToGrid w:val="0"/>
        <w:spacing w:line="360" w:lineRule="auto"/>
        <w:ind w:firstLine="480" w:firstLineChars="200"/>
        <w:rPr>
          <w:rFonts w:hint="eastAsia" w:ascii="宋体" w:hAnsi="宋体"/>
          <w:sz w:val="24"/>
        </w:rPr>
      </w:pPr>
      <w:bookmarkStart w:id="288" w:name="_Toc503863047"/>
      <w:r>
        <w:rPr>
          <w:rFonts w:hint="eastAsia" w:ascii="宋体" w:hAnsi="宋体"/>
          <w:sz w:val="24"/>
        </w:rPr>
        <w:t>营业执照副本复印件（注：①在有效期内；②具有独立法人资格；）、组织机构代码证副本复印件（注：①在有效期内）或</w:t>
      </w:r>
      <w:r>
        <w:rPr>
          <w:rFonts w:hint="eastAsia" w:ascii="宋体" w:hAnsi="宋体"/>
          <w:sz w:val="24"/>
          <w:shd w:val="clear" w:color="auto" w:fill="FFFFFF"/>
        </w:rPr>
        <w:t>国家新颁发的营业执照复印件（有效期内）</w:t>
      </w:r>
      <w:r>
        <w:rPr>
          <w:rFonts w:hint="eastAsia" w:ascii="宋体" w:hAnsi="宋体"/>
          <w:sz w:val="24"/>
        </w:rPr>
        <w:t>。</w:t>
      </w:r>
      <w:bookmarkEnd w:id="288"/>
    </w:p>
    <w:p>
      <w:pPr>
        <w:tabs>
          <w:tab w:val="left" w:pos="1134"/>
        </w:tabs>
        <w:adjustRightInd w:val="0"/>
        <w:snapToGrid w:val="0"/>
        <w:spacing w:line="360" w:lineRule="auto"/>
        <w:rPr>
          <w:rFonts w:hint="eastAsia" w:ascii="宋体" w:hAnsi="宋体"/>
          <w:sz w:val="24"/>
        </w:rPr>
      </w:pPr>
      <w:bookmarkStart w:id="289" w:name="_Toc503863048"/>
      <w:r>
        <w:rPr>
          <w:rFonts w:hint="eastAsia" w:ascii="宋体" w:hAnsi="宋体"/>
          <w:sz w:val="24"/>
        </w:rPr>
        <w:t>（2）非独立法人机构提供下述证明材料：</w:t>
      </w:r>
      <w:bookmarkEnd w:id="289"/>
    </w:p>
    <w:p>
      <w:pPr>
        <w:tabs>
          <w:tab w:val="left" w:pos="1134"/>
        </w:tabs>
        <w:adjustRightInd w:val="0"/>
        <w:snapToGrid w:val="0"/>
        <w:spacing w:line="360" w:lineRule="auto"/>
        <w:rPr>
          <w:rFonts w:hint="eastAsia" w:ascii="宋体" w:hAnsi="宋体"/>
          <w:sz w:val="24"/>
        </w:rPr>
      </w:pPr>
      <w:r>
        <w:rPr>
          <w:rFonts w:hint="eastAsia" w:ascii="宋体" w:hAnsi="宋体"/>
          <w:sz w:val="24"/>
        </w:rPr>
        <w:t xml:space="preserve">  </w:t>
      </w:r>
      <w:bookmarkStart w:id="290" w:name="_Toc503863049"/>
      <w:r>
        <w:rPr>
          <w:rFonts w:hint="eastAsia" w:ascii="宋体" w:hAnsi="宋体"/>
          <w:sz w:val="24"/>
        </w:rPr>
        <w:t xml:space="preserve">    提供相应的法定注册或证明材料复印件。</w:t>
      </w:r>
      <w:bookmarkEnd w:id="290"/>
    </w:p>
    <w:p>
      <w:pPr>
        <w:tabs>
          <w:tab w:val="left" w:pos="1134"/>
        </w:tabs>
        <w:adjustRightInd w:val="0"/>
        <w:snapToGrid w:val="0"/>
        <w:spacing w:line="360" w:lineRule="auto"/>
        <w:rPr>
          <w:rFonts w:hint="eastAsia" w:ascii="宋体" w:hAnsi="宋体"/>
          <w:b/>
          <w:sz w:val="24"/>
        </w:rPr>
      </w:pPr>
      <w:bookmarkStart w:id="291" w:name="_Toc503863050"/>
      <w:r>
        <w:rPr>
          <w:rFonts w:hint="eastAsia" w:ascii="宋体" w:hAnsi="宋体"/>
          <w:b/>
          <w:sz w:val="24"/>
        </w:rPr>
        <w:t>2、具有良好的商业信誉和健全的财务会计制度提供以下证明材料：</w:t>
      </w:r>
      <w:bookmarkEnd w:id="291"/>
    </w:p>
    <w:p>
      <w:pPr>
        <w:tabs>
          <w:tab w:val="left" w:pos="1134"/>
        </w:tabs>
        <w:adjustRightInd w:val="0"/>
        <w:snapToGrid w:val="0"/>
        <w:spacing w:line="360" w:lineRule="auto"/>
        <w:rPr>
          <w:rFonts w:hint="eastAsia" w:ascii="宋体" w:hAnsi="宋体" w:cs="宋体"/>
          <w:sz w:val="24"/>
        </w:rPr>
      </w:pPr>
      <w:bookmarkStart w:id="292" w:name="_Toc503863055"/>
      <w:r>
        <w:rPr>
          <w:rFonts w:hint="eastAsia" w:ascii="宋体" w:hAnsi="宋体"/>
          <w:sz w:val="24"/>
        </w:rPr>
        <w:t>一、</w:t>
      </w:r>
      <w:r>
        <w:rPr>
          <w:rFonts w:hint="eastAsia" w:ascii="宋体" w:hAnsi="宋体" w:cs="宋体"/>
          <w:sz w:val="24"/>
        </w:rPr>
        <w:t>健全的财务会计制度（投标人可根据自身实际情况任选其一提供以下证明材料）</w:t>
      </w:r>
    </w:p>
    <w:p>
      <w:pPr>
        <w:tabs>
          <w:tab w:val="left" w:pos="1134"/>
        </w:tabs>
        <w:adjustRightInd w:val="0"/>
        <w:snapToGrid w:val="0"/>
        <w:spacing w:line="360" w:lineRule="auto"/>
        <w:rPr>
          <w:rFonts w:hint="eastAsia" w:ascii="宋体" w:hAnsi="宋体"/>
          <w:sz w:val="24"/>
        </w:rPr>
      </w:pPr>
      <w:r>
        <w:rPr>
          <w:rFonts w:hint="eastAsia" w:ascii="宋体" w:hAnsi="宋体" w:cs="宋体"/>
          <w:sz w:val="24"/>
        </w:rPr>
        <w:t>（1）可提供2019或2020年度经审计的财务报告复印件（包含审计报告和审计报告中所涉及的财务报表和报表附注）的有效财务报告复印件；</w:t>
      </w:r>
      <w:r>
        <w:rPr>
          <w:rFonts w:hint="eastAsia" w:ascii="宋体" w:hAnsi="宋体" w:cs="宋体"/>
          <w:sz w:val="24"/>
        </w:rPr>
        <w:br w:type="textWrapping"/>
      </w:r>
      <w:r>
        <w:rPr>
          <w:rFonts w:hint="eastAsia" w:ascii="宋体" w:hAnsi="宋体" w:cs="宋体"/>
          <w:sz w:val="24"/>
        </w:rPr>
        <w:t>（2）也可提供2019或2020年度投标人内部的财务报表复印件（至少包含资产负债表）；</w:t>
      </w:r>
      <w:r>
        <w:rPr>
          <w:rFonts w:hint="eastAsia" w:ascii="宋体" w:hAnsi="宋体" w:cs="宋体"/>
          <w:sz w:val="24"/>
        </w:rPr>
        <w:br w:type="textWrapping"/>
      </w:r>
      <w:r>
        <w:rPr>
          <w:rFonts w:hint="eastAsia" w:ascii="宋体" w:hAnsi="宋体"/>
          <w:sz w:val="24"/>
        </w:rPr>
        <w:t>（3）</w:t>
      </w:r>
      <w:r>
        <w:rPr>
          <w:rFonts w:ascii="宋体" w:hAnsi="宋体"/>
          <w:sz w:val="24"/>
        </w:rPr>
        <w:t>也可提供截至响应文件递交截止日一年内银行出具的资信证明（复印件）；</w:t>
      </w:r>
      <w:r>
        <w:rPr>
          <w:rFonts w:ascii="宋体" w:hAnsi="宋体"/>
          <w:sz w:val="24"/>
        </w:rPr>
        <w:br w:type="textWrapping"/>
      </w:r>
      <w:r>
        <w:rPr>
          <w:rFonts w:hint="eastAsia" w:ascii="宋体" w:hAnsi="宋体"/>
          <w:sz w:val="24"/>
        </w:rPr>
        <w:t>（4）投标人注册时间至文件递交截止日不足一年的，也可提供在工商备案的公司章程（复印件）。</w:t>
      </w:r>
    </w:p>
    <w:p>
      <w:pPr>
        <w:tabs>
          <w:tab w:val="left" w:pos="1134"/>
        </w:tabs>
        <w:adjustRightInd w:val="0"/>
        <w:snapToGrid w:val="0"/>
        <w:spacing w:line="360" w:lineRule="auto"/>
        <w:ind w:firstLine="480" w:firstLineChars="200"/>
        <w:rPr>
          <w:rFonts w:ascii="宋体" w:hAnsi="宋体"/>
          <w:sz w:val="24"/>
        </w:rPr>
      </w:pPr>
      <w:r>
        <w:rPr>
          <w:rFonts w:ascii="宋体" w:hAnsi="宋体"/>
          <w:sz w:val="24"/>
        </w:rPr>
        <w:t>注：以上</w:t>
      </w:r>
      <w:r>
        <w:rPr>
          <w:rFonts w:hint="eastAsia" w:ascii="宋体" w:hAnsi="宋体"/>
          <w:sz w:val="24"/>
        </w:rPr>
        <w:t>4</w:t>
      </w:r>
      <w:r>
        <w:rPr>
          <w:rFonts w:ascii="宋体" w:hAnsi="宋体"/>
          <w:sz w:val="24"/>
        </w:rPr>
        <w:t>项具有同等的投标效力，提供任一项均可，第</w:t>
      </w:r>
      <w:r>
        <w:rPr>
          <w:rFonts w:hint="eastAsia" w:ascii="宋体" w:hAnsi="宋体"/>
          <w:sz w:val="24"/>
        </w:rPr>
        <w:t>（4）条</w:t>
      </w:r>
      <w:r>
        <w:rPr>
          <w:rFonts w:ascii="宋体" w:hAnsi="宋体"/>
          <w:sz w:val="24"/>
        </w:rPr>
        <w:t>适用于新成立的法人或组织、未进行财务审计的</w:t>
      </w:r>
      <w:r>
        <w:rPr>
          <w:rFonts w:hint="eastAsia" w:ascii="宋体" w:hAnsi="宋体"/>
          <w:sz w:val="24"/>
        </w:rPr>
        <w:t>投标人</w:t>
      </w:r>
      <w:r>
        <w:rPr>
          <w:rFonts w:ascii="宋体" w:hAnsi="宋体"/>
          <w:sz w:val="24"/>
        </w:rPr>
        <w:t>、存在困难的投标</w:t>
      </w:r>
      <w:r>
        <w:rPr>
          <w:rFonts w:hint="eastAsia" w:ascii="宋体" w:hAnsi="宋体"/>
          <w:sz w:val="24"/>
        </w:rPr>
        <w:t>投标人</w:t>
      </w:r>
      <w:r>
        <w:rPr>
          <w:rFonts w:ascii="宋体" w:hAnsi="宋体"/>
          <w:sz w:val="24"/>
        </w:rPr>
        <w:t>，如在评审时不能明确界定，以有利于</w:t>
      </w:r>
      <w:r>
        <w:rPr>
          <w:rFonts w:hint="eastAsia" w:ascii="宋体" w:hAnsi="宋体"/>
          <w:sz w:val="24"/>
        </w:rPr>
        <w:t>投标人</w:t>
      </w:r>
      <w:r>
        <w:rPr>
          <w:rFonts w:ascii="宋体" w:hAnsi="宋体"/>
          <w:sz w:val="24"/>
        </w:rPr>
        <w:t>的原则进行评审；</w:t>
      </w:r>
    </w:p>
    <w:p>
      <w:pPr>
        <w:tabs>
          <w:tab w:val="left" w:pos="1134"/>
        </w:tabs>
        <w:adjustRightInd w:val="0"/>
        <w:snapToGrid w:val="0"/>
        <w:spacing w:line="360" w:lineRule="auto"/>
        <w:rPr>
          <w:rFonts w:hint="eastAsia" w:ascii="宋体" w:hAnsi="宋体"/>
          <w:sz w:val="24"/>
        </w:rPr>
      </w:pPr>
      <w:r>
        <w:rPr>
          <w:rFonts w:hint="eastAsia" w:ascii="宋体" w:hAnsi="宋体"/>
          <w:sz w:val="24"/>
        </w:rPr>
        <w:t>二、</w:t>
      </w:r>
      <w:r>
        <w:rPr>
          <w:rFonts w:ascii="宋体" w:hAnsi="宋体"/>
          <w:sz w:val="24"/>
        </w:rPr>
        <w:t>提供具有良好的商业信誉</w:t>
      </w:r>
      <w:r>
        <w:rPr>
          <w:rFonts w:hint="eastAsia" w:ascii="宋体" w:hAnsi="宋体"/>
          <w:sz w:val="24"/>
        </w:rPr>
        <w:t>的承诺函（格式自拟）。</w:t>
      </w:r>
    </w:p>
    <w:p>
      <w:pPr>
        <w:tabs>
          <w:tab w:val="left" w:pos="1134"/>
        </w:tabs>
        <w:adjustRightInd w:val="0"/>
        <w:snapToGrid w:val="0"/>
        <w:spacing w:line="360" w:lineRule="auto"/>
        <w:rPr>
          <w:rFonts w:ascii="宋体" w:hAnsi="宋体"/>
          <w:b/>
          <w:sz w:val="24"/>
        </w:rPr>
      </w:pPr>
      <w:r>
        <w:rPr>
          <w:rFonts w:hint="eastAsia" w:ascii="宋体" w:hAnsi="宋体"/>
          <w:b/>
          <w:sz w:val="24"/>
        </w:rPr>
        <w:t>3、具有履行合同所必需的设备和专业技术能力的证明材料：</w:t>
      </w:r>
      <w:bookmarkEnd w:id="292"/>
    </w:p>
    <w:p>
      <w:pPr>
        <w:adjustRightInd w:val="0"/>
        <w:snapToGrid w:val="0"/>
        <w:spacing w:line="360" w:lineRule="auto"/>
        <w:ind w:firstLine="480" w:firstLineChars="200"/>
        <w:rPr>
          <w:rFonts w:hint="eastAsia" w:ascii="宋体" w:hAnsi="宋体"/>
          <w:sz w:val="24"/>
        </w:rPr>
      </w:pPr>
      <w:bookmarkStart w:id="293" w:name="_Toc503863056"/>
      <w:r>
        <w:rPr>
          <w:rFonts w:hint="eastAsia" w:ascii="宋体" w:hAnsi="宋体"/>
          <w:sz w:val="24"/>
        </w:rPr>
        <w:t>投标人自行提供或提供承诺函原件。</w:t>
      </w:r>
      <w:bookmarkEnd w:id="293"/>
    </w:p>
    <w:p>
      <w:pPr>
        <w:adjustRightInd w:val="0"/>
        <w:snapToGrid w:val="0"/>
        <w:spacing w:line="360" w:lineRule="auto"/>
        <w:rPr>
          <w:rFonts w:ascii="宋体" w:hAnsi="宋体"/>
          <w:b/>
          <w:sz w:val="24"/>
        </w:rPr>
      </w:pPr>
      <w:bookmarkStart w:id="294" w:name="_Toc503863057"/>
      <w:r>
        <w:rPr>
          <w:rFonts w:hint="eastAsia" w:ascii="宋体" w:hAnsi="宋体"/>
          <w:b/>
          <w:sz w:val="24"/>
        </w:rPr>
        <w:t>4、有依法缴纳税收和社会保障资金的良好记录：</w:t>
      </w:r>
      <w:bookmarkEnd w:id="294"/>
    </w:p>
    <w:p>
      <w:pPr>
        <w:tabs>
          <w:tab w:val="left" w:pos="1134"/>
        </w:tabs>
        <w:adjustRightInd w:val="0"/>
        <w:snapToGrid w:val="0"/>
        <w:spacing w:line="360" w:lineRule="auto"/>
        <w:rPr>
          <w:rFonts w:ascii="宋体" w:hAnsi="宋体"/>
          <w:sz w:val="24"/>
        </w:rPr>
      </w:pPr>
      <w:bookmarkStart w:id="295" w:name="_Toc503863058"/>
      <w:r>
        <w:rPr>
          <w:rFonts w:hint="eastAsia" w:ascii="宋体" w:hAnsi="宋体"/>
          <w:sz w:val="24"/>
        </w:rPr>
        <w:t>（1）</w:t>
      </w:r>
      <w:r>
        <w:rPr>
          <w:rFonts w:ascii="宋体" w:hAnsi="宋体"/>
          <w:sz w:val="24"/>
        </w:rPr>
        <w:t>缴纳税收</w:t>
      </w:r>
      <w:r>
        <w:rPr>
          <w:rFonts w:hint="eastAsia" w:ascii="宋体" w:hAnsi="宋体"/>
          <w:sz w:val="24"/>
        </w:rPr>
        <w:t>证明材料（投标人可提供以下证明材料）：</w:t>
      </w:r>
      <w:bookmarkEnd w:id="295"/>
    </w:p>
    <w:p>
      <w:pPr>
        <w:tabs>
          <w:tab w:val="left" w:pos="1134"/>
        </w:tabs>
        <w:adjustRightInd w:val="0"/>
        <w:snapToGrid w:val="0"/>
        <w:spacing w:line="360" w:lineRule="auto"/>
        <w:ind w:firstLine="360" w:firstLineChars="150"/>
        <w:rPr>
          <w:rFonts w:hint="eastAsia" w:ascii="宋体" w:hAnsi="宋体"/>
          <w:sz w:val="24"/>
        </w:rPr>
      </w:pPr>
      <w:bookmarkStart w:id="296" w:name="_Toc503863059"/>
      <w:r>
        <w:rPr>
          <w:rFonts w:hint="eastAsia" w:ascii="宋体" w:hAnsi="宋体"/>
          <w:sz w:val="24"/>
        </w:rPr>
        <w:t>①税务登记证副本复印件（注：在有效期内）或</w:t>
      </w:r>
      <w:r>
        <w:rPr>
          <w:rFonts w:hint="eastAsia" w:ascii="宋体" w:hAnsi="宋体"/>
          <w:sz w:val="24"/>
          <w:shd w:val="clear" w:color="auto" w:fill="FFFFFF"/>
        </w:rPr>
        <w:t>国家新颁发的营业执照复印件（有效期内）</w:t>
      </w:r>
      <w:r>
        <w:rPr>
          <w:rFonts w:hint="eastAsia" w:ascii="宋体" w:hAnsi="宋体"/>
          <w:sz w:val="24"/>
        </w:rPr>
        <w:t>。</w:t>
      </w:r>
      <w:bookmarkEnd w:id="296"/>
    </w:p>
    <w:p>
      <w:pPr>
        <w:adjustRightInd w:val="0"/>
        <w:snapToGrid w:val="0"/>
        <w:spacing w:after="50" w:line="360" w:lineRule="auto"/>
        <w:ind w:firstLine="480" w:firstLineChars="200"/>
        <w:rPr>
          <w:rFonts w:hint="eastAsia" w:ascii="宋体" w:hAnsi="宋体"/>
          <w:sz w:val="24"/>
        </w:rPr>
      </w:pPr>
      <w:r>
        <w:rPr>
          <w:rFonts w:hint="eastAsia" w:ascii="宋体" w:hAnsi="宋体"/>
          <w:sz w:val="24"/>
        </w:rPr>
        <w:t>②投标人提供（2019年12月至文件递交截止日）任意三个月的</w:t>
      </w:r>
      <w:r>
        <w:rPr>
          <w:rFonts w:ascii="宋体" w:hAnsi="宋体"/>
          <w:sz w:val="24"/>
        </w:rPr>
        <w:t>缴纳税收的银行电子回单或者税务部门出具的纳税证明或完税证明</w:t>
      </w:r>
      <w:r>
        <w:rPr>
          <w:rFonts w:hint="eastAsia" w:ascii="宋体" w:hAnsi="宋体"/>
          <w:sz w:val="24"/>
        </w:rPr>
        <w:t>（注：原件或复印件或扫描件）或承诺书；新成立公司可不提供，但必须提供承诺函原件；</w:t>
      </w:r>
      <w:r>
        <w:rPr>
          <w:rFonts w:hint="eastAsia" w:ascii="宋体" w:hAnsi="宋体"/>
          <w:sz w:val="24"/>
          <w:lang w:val="zh-CN"/>
        </w:rPr>
        <w:t>【格式自拟】</w:t>
      </w:r>
      <w:r>
        <w:rPr>
          <w:rFonts w:hint="eastAsia" w:ascii="宋体" w:hAnsi="宋体"/>
          <w:sz w:val="24"/>
        </w:rPr>
        <w:t>（注：原件）。</w:t>
      </w:r>
    </w:p>
    <w:p>
      <w:pPr>
        <w:tabs>
          <w:tab w:val="left" w:pos="1134"/>
        </w:tabs>
        <w:adjustRightInd w:val="0"/>
        <w:snapToGrid w:val="0"/>
        <w:spacing w:line="360" w:lineRule="auto"/>
        <w:rPr>
          <w:rFonts w:hint="eastAsia" w:ascii="宋体" w:hAnsi="宋体"/>
          <w:sz w:val="24"/>
        </w:rPr>
      </w:pPr>
      <w:bookmarkStart w:id="297" w:name="_Toc503863060"/>
      <w:r>
        <w:rPr>
          <w:rFonts w:hint="eastAsia" w:ascii="宋体" w:hAnsi="宋体"/>
          <w:sz w:val="24"/>
        </w:rPr>
        <w:t>（2）缴纳</w:t>
      </w:r>
      <w:r>
        <w:rPr>
          <w:rFonts w:ascii="宋体" w:hAnsi="宋体"/>
          <w:sz w:val="24"/>
        </w:rPr>
        <w:t>社会保障资金</w:t>
      </w:r>
      <w:r>
        <w:rPr>
          <w:rFonts w:hint="eastAsia" w:ascii="宋体" w:hAnsi="宋体"/>
          <w:sz w:val="24"/>
        </w:rPr>
        <w:t>（投标人可提供以下证明材料）：</w:t>
      </w:r>
      <w:bookmarkEnd w:id="297"/>
    </w:p>
    <w:p>
      <w:pPr>
        <w:adjustRightInd w:val="0"/>
        <w:snapToGrid w:val="0"/>
        <w:spacing w:after="50" w:line="360" w:lineRule="auto"/>
        <w:ind w:firstLine="240" w:firstLineChars="100"/>
        <w:rPr>
          <w:rFonts w:hint="eastAsia" w:ascii="宋体" w:hAnsi="宋体"/>
          <w:sz w:val="24"/>
        </w:rPr>
      </w:pPr>
      <w:r>
        <w:rPr>
          <w:rFonts w:hint="eastAsia" w:ascii="宋体" w:hAnsi="宋体"/>
          <w:sz w:val="24"/>
        </w:rPr>
        <w:t xml:space="preserve"> ①投标人提供社保部门出具的（2019年12月至文件递交截止日）任意三个月社保缴纳的证明材料（注：1.</w:t>
      </w:r>
      <w:r>
        <w:rPr>
          <w:rFonts w:ascii="宋体" w:hAnsi="宋体"/>
          <w:sz w:val="24"/>
        </w:rPr>
        <w:t>缴纳的银行电子回单</w:t>
      </w:r>
      <w:r>
        <w:rPr>
          <w:rFonts w:hint="eastAsia" w:ascii="宋体" w:hAnsi="宋体"/>
          <w:sz w:val="24"/>
        </w:rPr>
        <w:t>或以社保部门出具的为准（注：原件或复印件或扫描件）或承诺书；新成立公司可不提供，但必须提供承诺函原件；</w:t>
      </w:r>
    </w:p>
    <w:p>
      <w:pPr>
        <w:tabs>
          <w:tab w:val="left" w:pos="1134"/>
        </w:tabs>
        <w:adjustRightInd w:val="0"/>
        <w:snapToGrid w:val="0"/>
        <w:spacing w:line="360" w:lineRule="auto"/>
        <w:rPr>
          <w:rFonts w:hint="eastAsia" w:ascii="宋体" w:hAnsi="宋体"/>
          <w:sz w:val="24"/>
        </w:rPr>
      </w:pPr>
      <w:bookmarkStart w:id="298" w:name="_Toc503863061"/>
      <w:r>
        <w:rPr>
          <w:rFonts w:hint="eastAsia" w:ascii="宋体" w:hAnsi="宋体"/>
          <w:sz w:val="24"/>
          <w:lang w:val="zh-CN"/>
        </w:rPr>
        <w:t>【格式自拟】</w:t>
      </w:r>
      <w:r>
        <w:rPr>
          <w:rFonts w:hint="eastAsia" w:ascii="宋体" w:hAnsi="宋体"/>
          <w:sz w:val="24"/>
        </w:rPr>
        <w:t>（注：原件）。</w:t>
      </w:r>
      <w:bookmarkEnd w:id="298"/>
    </w:p>
    <w:p>
      <w:pPr>
        <w:tabs>
          <w:tab w:val="left" w:pos="1134"/>
        </w:tabs>
        <w:adjustRightInd w:val="0"/>
        <w:snapToGrid w:val="0"/>
        <w:spacing w:line="360" w:lineRule="auto"/>
        <w:rPr>
          <w:rFonts w:hint="eastAsia" w:ascii="宋体" w:hAnsi="宋体"/>
          <w:b/>
          <w:spacing w:val="-20"/>
          <w:sz w:val="24"/>
        </w:rPr>
      </w:pPr>
      <w:bookmarkStart w:id="299" w:name="_Toc503863062"/>
      <w:r>
        <w:rPr>
          <w:rFonts w:hint="eastAsia" w:ascii="宋体" w:hAnsi="宋体"/>
          <w:b/>
          <w:sz w:val="24"/>
        </w:rPr>
        <w:t>5、参加政府采购活动前三年内，在经营活动中没有重大违法记录提供以</w:t>
      </w:r>
      <w:r>
        <w:rPr>
          <w:rFonts w:hint="eastAsia" w:ascii="宋体" w:hAnsi="宋体"/>
          <w:b/>
          <w:spacing w:val="-20"/>
          <w:sz w:val="24"/>
        </w:rPr>
        <w:t>下证明材料：</w:t>
      </w:r>
      <w:bookmarkEnd w:id="299"/>
    </w:p>
    <w:p>
      <w:pPr>
        <w:tabs>
          <w:tab w:val="left" w:pos="1080"/>
        </w:tabs>
        <w:adjustRightInd w:val="0"/>
        <w:snapToGrid w:val="0"/>
        <w:spacing w:line="360" w:lineRule="auto"/>
        <w:ind w:firstLine="480" w:firstLineChars="200"/>
        <w:rPr>
          <w:rFonts w:hint="eastAsia" w:ascii="宋体" w:hAnsi="宋体"/>
          <w:sz w:val="24"/>
        </w:rPr>
      </w:pPr>
      <w:bookmarkStart w:id="300" w:name="_Toc503863063"/>
      <w:r>
        <w:rPr>
          <w:rFonts w:hint="eastAsia" w:ascii="宋体" w:hAnsi="宋体"/>
          <w:sz w:val="24"/>
        </w:rPr>
        <w:t>投标人参加政府采购活动前三年内，在经营活动中没有重大违法记录的书面声明原件。</w:t>
      </w:r>
      <w:bookmarkEnd w:id="300"/>
    </w:p>
    <w:p>
      <w:pPr>
        <w:pStyle w:val="55"/>
        <w:numPr>
          <w:ilvl w:val="0"/>
          <w:numId w:val="8"/>
        </w:numPr>
        <w:adjustRightInd w:val="0"/>
        <w:snapToGrid w:val="0"/>
        <w:ind w:firstLine="0" w:firstLineChars="0"/>
        <w:rPr>
          <w:rFonts w:hint="eastAsia" w:ascii="宋体" w:hAnsi="宋体" w:cs="宋体"/>
          <w:b/>
          <w:bCs/>
          <w:sz w:val="24"/>
        </w:rPr>
      </w:pPr>
      <w:r>
        <w:rPr>
          <w:rFonts w:hint="eastAsia" w:ascii="宋体" w:hAnsi="宋体" w:cs="宋体"/>
          <w:b/>
          <w:bCs/>
          <w:sz w:val="24"/>
        </w:rPr>
        <w:t>本项目</w:t>
      </w:r>
      <w:r>
        <w:rPr>
          <w:rFonts w:hint="eastAsia" w:ascii="宋体" w:hAnsi="宋体" w:cs="宋体"/>
          <w:b/>
          <w:bCs/>
          <w:sz w:val="24"/>
          <w:u w:val="single"/>
        </w:rPr>
        <w:t xml:space="preserve"> 不接受</w:t>
      </w:r>
      <w:r>
        <w:rPr>
          <w:rFonts w:hint="eastAsia" w:ascii="宋体" w:hAnsi="宋体" w:cs="宋体"/>
          <w:b/>
          <w:bCs/>
          <w:sz w:val="24"/>
        </w:rPr>
        <w:t xml:space="preserve"> 联合体参加投标活动。</w:t>
      </w:r>
    </w:p>
    <w:p>
      <w:pPr>
        <w:pStyle w:val="55"/>
        <w:adjustRightInd w:val="0"/>
        <w:snapToGrid w:val="0"/>
        <w:ind w:firstLine="0" w:firstLineChars="0"/>
        <w:rPr>
          <w:rFonts w:hint="eastAsia"/>
          <w:b/>
          <w:sz w:val="24"/>
        </w:rPr>
      </w:pPr>
      <w:r>
        <w:rPr>
          <w:rFonts w:hint="eastAsia"/>
          <w:b/>
          <w:sz w:val="24"/>
        </w:rPr>
        <w:t>（二）根据采购项目提出的特殊条件</w:t>
      </w:r>
      <w:r>
        <w:rPr>
          <w:b/>
          <w:sz w:val="24"/>
        </w:rPr>
        <w:t>：</w:t>
      </w:r>
    </w:p>
    <w:p>
      <w:pPr>
        <w:widowControl/>
        <w:adjustRightInd w:val="0"/>
        <w:snapToGrid w:val="0"/>
        <w:spacing w:line="360" w:lineRule="auto"/>
        <w:ind w:left="-160" w:leftChars="-76" w:firstLine="241" w:firstLineChars="100"/>
        <w:rPr>
          <w:rFonts w:hint="eastAsia" w:ascii="宋体" w:hAnsi="宋体"/>
          <w:b/>
          <w:sz w:val="24"/>
        </w:rPr>
      </w:pPr>
      <w:bookmarkStart w:id="301" w:name="_Toc503863064"/>
      <w:r>
        <w:rPr>
          <w:rFonts w:hint="eastAsia" w:ascii="宋体" w:hAnsi="宋体"/>
          <w:b/>
          <w:sz w:val="24"/>
        </w:rPr>
        <w:t>本项目参加政府采购活动的报价人、法定代表人/主要负责人近3年内不得具有行贿犯罪记录证明材料（可以提供承诺函原件）。</w:t>
      </w:r>
    </w:p>
    <w:bookmarkEnd w:id="301"/>
    <w:p>
      <w:pPr>
        <w:tabs>
          <w:tab w:val="left" w:pos="720"/>
        </w:tabs>
        <w:spacing w:line="360" w:lineRule="auto"/>
        <w:rPr>
          <w:rFonts w:hint="eastAsia" w:hAnsi="宋体"/>
          <w:b/>
          <w:sz w:val="24"/>
        </w:rPr>
      </w:pPr>
      <w:r>
        <w:rPr>
          <w:rFonts w:hAnsi="宋体"/>
          <w:b/>
          <w:sz w:val="24"/>
        </w:rPr>
        <w:t>二</w:t>
      </w:r>
      <w:r>
        <w:rPr>
          <w:rFonts w:hint="eastAsia" w:hAnsi="宋体"/>
          <w:b/>
          <w:sz w:val="24"/>
        </w:rPr>
        <w:t>、其他类似效力要求相关证明材料：</w:t>
      </w:r>
    </w:p>
    <w:p>
      <w:pPr>
        <w:tabs>
          <w:tab w:val="left" w:pos="1134"/>
        </w:tabs>
        <w:spacing w:line="360" w:lineRule="auto"/>
        <w:ind w:firstLine="576" w:firstLineChars="240"/>
        <w:rPr>
          <w:rFonts w:hint="eastAsia" w:ascii="宋体" w:hAnsi="宋体" w:cs="宋体"/>
          <w:bCs/>
          <w:sz w:val="24"/>
        </w:rPr>
      </w:pPr>
      <w:r>
        <w:rPr>
          <w:rFonts w:hint="eastAsia" w:ascii="宋体" w:hAnsi="宋体" w:cs="宋体"/>
          <w:bCs/>
          <w:sz w:val="24"/>
        </w:rPr>
        <w:t>1、法定代表人身份证复印件或护照复印件［注：①法定代表人身份证复印件（在有效期内、两面均应复印）或护照复印件（法定代表人为外籍人士的，按此提供）；</w:t>
      </w:r>
    </w:p>
    <w:p>
      <w:pPr>
        <w:tabs>
          <w:tab w:val="left" w:pos="1134"/>
        </w:tabs>
        <w:spacing w:line="360" w:lineRule="auto"/>
        <w:ind w:firstLine="576" w:firstLineChars="240"/>
        <w:rPr>
          <w:rFonts w:hint="eastAsia" w:ascii="宋体" w:hAnsi="宋体" w:cs="宋体"/>
          <w:bCs/>
          <w:sz w:val="24"/>
        </w:rPr>
      </w:pPr>
      <w:r>
        <w:rPr>
          <w:rFonts w:hint="eastAsia" w:ascii="宋体" w:hAnsi="宋体" w:cs="宋体"/>
          <w:bCs/>
          <w:sz w:val="24"/>
        </w:rPr>
        <w:t>2、代理人身份证复印件（身份证两面均应复印）（注：①在有效期内；②由投标人法定代表人签署所有投标文件并参加投标的，则可不提供）。</w:t>
      </w:r>
    </w:p>
    <w:p>
      <w:pPr>
        <w:spacing w:line="360" w:lineRule="auto"/>
        <w:ind w:firstLine="576" w:firstLineChars="240"/>
        <w:rPr>
          <w:rFonts w:hint="eastAsia" w:ascii="宋体" w:hAnsi="宋体" w:cs="宋体"/>
          <w:bCs/>
          <w:sz w:val="24"/>
        </w:rPr>
      </w:pPr>
      <w:r>
        <w:rPr>
          <w:rFonts w:hint="eastAsia" w:ascii="宋体" w:hAnsi="宋体" w:cs="宋体"/>
          <w:bCs/>
          <w:sz w:val="24"/>
        </w:rPr>
        <w:t>3、法人授权书原件（注：①非法定代表人签署所有投标文件并参加投标的适用；②非独立法人机构提供相应的有授权资格的负责人授权书原件。）</w:t>
      </w:r>
    </w:p>
    <w:p>
      <w:pPr>
        <w:adjustRightInd w:val="0"/>
        <w:snapToGrid w:val="0"/>
        <w:spacing w:line="360" w:lineRule="auto"/>
        <w:rPr>
          <w:rFonts w:hint="eastAsia"/>
          <w:b/>
          <w:sz w:val="24"/>
        </w:rPr>
      </w:pPr>
      <w:r>
        <w:rPr>
          <w:rFonts w:hint="eastAsia"/>
          <w:b/>
          <w:sz w:val="24"/>
        </w:rPr>
        <w:t>注：1、本章要求提供的相关证明材料应当与第四章的规定要求对应，除投标人自愿以外，不能要求投标人提供额外的证明材料。如果要求提供额外的证明材料，投标人有权不予提供，且不影响投标文件的有效性和完整性。</w:t>
      </w:r>
      <w:bookmarkStart w:id="302" w:name="_Toc217446093"/>
    </w:p>
    <w:p>
      <w:pPr>
        <w:adjustRightInd w:val="0"/>
        <w:snapToGrid w:val="0"/>
        <w:spacing w:line="360" w:lineRule="auto"/>
        <w:ind w:firstLine="472" w:firstLineChars="196"/>
        <w:rPr>
          <w:rFonts w:hint="eastAsia"/>
          <w:b/>
          <w:sz w:val="24"/>
        </w:rPr>
      </w:pPr>
      <w:r>
        <w:rPr>
          <w:rFonts w:hint="eastAsia"/>
          <w:b/>
          <w:sz w:val="24"/>
        </w:rPr>
        <w:t>2、本章要求提供的相关证明材料应当结合采购项目具体情况和投标人的组织机构性质确定，不得一概而论。</w:t>
      </w:r>
    </w:p>
    <w:p>
      <w:pPr>
        <w:rPr>
          <w:rFonts w:hint="eastAsia"/>
          <w:b/>
          <w:sz w:val="24"/>
        </w:rPr>
      </w:pPr>
    </w:p>
    <w:p>
      <w:pPr>
        <w:rPr>
          <w:rFonts w:hint="eastAsia"/>
          <w:b/>
          <w:sz w:val="24"/>
        </w:rPr>
      </w:pPr>
    </w:p>
    <w:p>
      <w:pPr>
        <w:pStyle w:val="3"/>
        <w:rPr>
          <w:rFonts w:ascii="宋体" w:hAnsi="宋体"/>
          <w:sz w:val="24"/>
          <w:szCs w:val="24"/>
        </w:rPr>
      </w:pPr>
      <w:bookmarkStart w:id="303" w:name="_Toc24805"/>
      <w:bookmarkStart w:id="304" w:name="_Toc503863068"/>
      <w:r>
        <w:rPr>
          <w:rFonts w:hint="eastAsia"/>
        </w:rPr>
        <w:br w:type="page"/>
      </w:r>
      <w:bookmarkStart w:id="305" w:name="_Toc781"/>
      <w:r>
        <w:rPr>
          <w:rFonts w:hint="eastAsia"/>
        </w:rPr>
        <w:t>第六章  招标项目技术、服务、政府采购合同内容条款及其他商务</w:t>
      </w:r>
      <w:bookmarkEnd w:id="302"/>
      <w:bookmarkEnd w:id="303"/>
      <w:bookmarkEnd w:id="304"/>
      <w:bookmarkEnd w:id="305"/>
      <w:bookmarkStart w:id="306" w:name="_Toc217446094"/>
      <w:bookmarkStart w:id="307" w:name="_Toc22460"/>
      <w:bookmarkStart w:id="308" w:name="_Toc503863069"/>
    </w:p>
    <w:bookmarkEnd w:id="306"/>
    <w:p>
      <w:pPr>
        <w:keepNext/>
        <w:keepLines/>
        <w:spacing w:before="37" w:after="20" w:line="440" w:lineRule="exact"/>
        <w:rPr>
          <w:rFonts w:hint="eastAsia"/>
          <w:b/>
          <w:sz w:val="24"/>
        </w:rPr>
      </w:pPr>
      <w:r>
        <w:rPr>
          <w:rFonts w:hint="eastAsia"/>
          <w:b/>
          <w:sz w:val="24"/>
        </w:rPr>
        <w:t>前提：1、本章要求提供的复印件均须加盖投标单位的公章（鲜章）。</w:t>
      </w:r>
    </w:p>
    <w:p>
      <w:pPr>
        <w:keepNext/>
        <w:keepLines/>
        <w:spacing w:before="37" w:after="20" w:line="440" w:lineRule="exact"/>
        <w:rPr>
          <w:rFonts w:hint="eastAsia"/>
          <w:b/>
          <w:sz w:val="24"/>
        </w:rPr>
      </w:pPr>
      <w:r>
        <w:rPr>
          <w:rFonts w:hint="eastAsia"/>
          <w:b/>
          <w:sz w:val="24"/>
        </w:rPr>
        <w:t>2、本章中的★为本项目的实质性条款，投标人不满足的，将按照无效投标处理。</w:t>
      </w:r>
    </w:p>
    <w:p>
      <w:pPr>
        <w:keepNext/>
        <w:keepLines/>
        <w:spacing w:before="37" w:after="20" w:line="440" w:lineRule="exact"/>
        <w:outlineLvl w:val="1"/>
        <w:rPr>
          <w:rFonts w:ascii="宋体" w:hAnsi="宋体" w:cs="宋体"/>
          <w:b/>
          <w:bCs/>
          <w:sz w:val="36"/>
          <w:szCs w:val="36"/>
        </w:rPr>
      </w:pPr>
      <w:r>
        <w:rPr>
          <w:rFonts w:hint="eastAsia" w:ascii="宋体" w:hAnsi="宋体" w:cs="宋体"/>
          <w:b/>
          <w:bCs/>
          <w:sz w:val="36"/>
          <w:szCs w:val="36"/>
        </w:rPr>
        <w:t>一、项目名称</w:t>
      </w:r>
    </w:p>
    <w:p>
      <w:pPr>
        <w:spacing w:line="440" w:lineRule="exact"/>
        <w:ind w:firstLine="640"/>
        <w:rPr>
          <w:rFonts w:ascii="宋体" w:hAnsi="宋体" w:cs="宋体"/>
          <w:sz w:val="28"/>
          <w:szCs w:val="28"/>
        </w:rPr>
      </w:pPr>
      <w:r>
        <w:rPr>
          <w:rFonts w:hint="eastAsia" w:ascii="宋体" w:hAnsi="宋体" w:cs="宋体"/>
          <w:sz w:val="28"/>
          <w:szCs w:val="28"/>
        </w:rPr>
        <w:t>本项目为四川省成都市郫都区综合行政执法局成都现代工业港2021-2024年度环卫清扫保洁服务项目。</w:t>
      </w:r>
    </w:p>
    <w:p>
      <w:pPr>
        <w:keepNext/>
        <w:keepLines/>
        <w:spacing w:before="37" w:after="20" w:line="440" w:lineRule="exact"/>
        <w:outlineLvl w:val="1"/>
        <w:rPr>
          <w:rFonts w:ascii="宋体" w:hAnsi="宋体" w:cs="宋体"/>
          <w:b/>
          <w:bCs/>
          <w:sz w:val="28"/>
          <w:szCs w:val="28"/>
        </w:rPr>
      </w:pPr>
      <w:r>
        <w:rPr>
          <w:rFonts w:hint="eastAsia" w:ascii="宋体" w:hAnsi="宋体" w:cs="宋体"/>
          <w:b/>
          <w:bCs/>
          <w:sz w:val="36"/>
          <w:szCs w:val="36"/>
        </w:rPr>
        <w:t>二、项目概况</w:t>
      </w:r>
    </w:p>
    <w:p>
      <w:pPr>
        <w:spacing w:line="440" w:lineRule="exact"/>
        <w:ind w:firstLine="640"/>
        <w:rPr>
          <w:rFonts w:ascii="宋体" w:hAnsi="宋体" w:cs="宋体"/>
          <w:sz w:val="28"/>
          <w:szCs w:val="28"/>
        </w:rPr>
      </w:pPr>
      <w:r>
        <w:rPr>
          <w:rFonts w:hint="eastAsia" w:ascii="宋体" w:hAnsi="宋体" w:cs="宋体"/>
          <w:sz w:val="28"/>
          <w:szCs w:val="28"/>
        </w:rPr>
        <w:t>1、项目名称</w:t>
      </w:r>
    </w:p>
    <w:p>
      <w:pPr>
        <w:spacing w:line="440" w:lineRule="exact"/>
        <w:ind w:firstLine="640"/>
        <w:rPr>
          <w:rFonts w:ascii="宋体" w:hAnsi="宋体" w:cs="宋体"/>
          <w:sz w:val="28"/>
          <w:szCs w:val="28"/>
        </w:rPr>
      </w:pPr>
      <w:r>
        <w:rPr>
          <w:rFonts w:hint="eastAsia" w:ascii="宋体" w:hAnsi="宋体" w:cs="宋体"/>
          <w:sz w:val="28"/>
          <w:szCs w:val="28"/>
        </w:rPr>
        <w:t>四川省成都市郫都区综合行政执法局成都现代工业港2021-2024年度环卫清扫保洁服务项目。</w:t>
      </w:r>
    </w:p>
    <w:p>
      <w:pPr>
        <w:spacing w:line="440" w:lineRule="exact"/>
        <w:ind w:firstLine="640"/>
        <w:rPr>
          <w:rFonts w:ascii="宋体" w:hAnsi="宋体" w:cs="宋体"/>
          <w:sz w:val="28"/>
          <w:szCs w:val="28"/>
        </w:rPr>
      </w:pPr>
      <w:r>
        <w:rPr>
          <w:rFonts w:hint="eastAsia" w:ascii="宋体" w:hAnsi="宋体" w:cs="宋体"/>
          <w:sz w:val="28"/>
          <w:szCs w:val="28"/>
        </w:rPr>
        <w:t>2、服务期限</w:t>
      </w:r>
    </w:p>
    <w:p>
      <w:pPr>
        <w:spacing w:line="440" w:lineRule="exact"/>
        <w:ind w:firstLine="640"/>
        <w:rPr>
          <w:rFonts w:ascii="宋体" w:hAnsi="宋体" w:cs="宋体"/>
          <w:sz w:val="28"/>
          <w:szCs w:val="28"/>
        </w:rPr>
      </w:pPr>
      <w:r>
        <w:rPr>
          <w:rFonts w:hint="eastAsia" w:ascii="宋体" w:hAnsi="宋体" w:cs="宋体"/>
          <w:sz w:val="28"/>
          <w:szCs w:val="28"/>
        </w:rPr>
        <w:t xml:space="preserve">本次招标服务期限三年，合同一年一签，各中标公司经考核合格后，方续签下一年合同。  </w:t>
      </w:r>
    </w:p>
    <w:p>
      <w:pPr>
        <w:keepNext/>
        <w:keepLines/>
        <w:spacing w:before="37" w:after="20" w:line="440" w:lineRule="exact"/>
        <w:outlineLvl w:val="1"/>
        <w:rPr>
          <w:rFonts w:ascii="宋体" w:hAnsi="宋体" w:cs="宋体"/>
          <w:b/>
          <w:bCs/>
          <w:sz w:val="36"/>
          <w:szCs w:val="36"/>
        </w:rPr>
      </w:pPr>
      <w:r>
        <w:rPr>
          <w:rFonts w:hint="eastAsia" w:ascii="宋体" w:hAnsi="宋体" w:cs="宋体"/>
          <w:b/>
          <w:bCs/>
          <w:sz w:val="36"/>
          <w:szCs w:val="36"/>
        </w:rPr>
        <w:t>三、服务内容及要求</w:t>
      </w:r>
    </w:p>
    <w:p>
      <w:pPr>
        <w:spacing w:line="440" w:lineRule="exact"/>
        <w:ind w:firstLine="640"/>
        <w:outlineLvl w:val="2"/>
        <w:rPr>
          <w:rFonts w:ascii="宋体" w:hAnsi="宋体" w:cs="宋体"/>
          <w:sz w:val="28"/>
          <w:szCs w:val="28"/>
        </w:rPr>
      </w:pPr>
      <w:r>
        <w:rPr>
          <w:rFonts w:hint="eastAsia" w:ascii="宋体" w:hAnsi="宋体" w:cs="宋体"/>
          <w:sz w:val="28"/>
          <w:szCs w:val="28"/>
        </w:rPr>
        <w:t>（一）服务范围</w:t>
      </w:r>
    </w:p>
    <w:p>
      <w:pPr>
        <w:spacing w:line="440" w:lineRule="exact"/>
        <w:ind w:firstLine="640"/>
        <w:rPr>
          <w:rFonts w:ascii="宋体" w:hAnsi="宋体" w:cs="宋体"/>
          <w:sz w:val="28"/>
          <w:szCs w:val="28"/>
        </w:rPr>
      </w:pPr>
      <w:r>
        <w:rPr>
          <w:rFonts w:hint="eastAsia" w:ascii="宋体" w:hAnsi="宋体" w:cs="宋体"/>
          <w:sz w:val="28"/>
          <w:szCs w:val="28"/>
        </w:rPr>
        <w:t>经业主详细调查评定后，郫都区成都现代工业港环卫项目主要包括道路清扫保洁作业及垃圾收集清运及4座公厕的管理环卫作业工作，其中：</w:t>
      </w:r>
    </w:p>
    <w:p>
      <w:pPr>
        <w:spacing w:line="440" w:lineRule="exact"/>
        <w:ind w:firstLine="640"/>
        <w:rPr>
          <w:rFonts w:ascii="宋体" w:hAnsi="宋体" w:cs="宋体"/>
          <w:sz w:val="28"/>
          <w:szCs w:val="28"/>
        </w:rPr>
      </w:pPr>
      <w:r>
        <w:rPr>
          <w:rFonts w:hint="eastAsia" w:ascii="宋体" w:hAnsi="宋体" w:cs="宋体"/>
          <w:sz w:val="28"/>
          <w:szCs w:val="28"/>
        </w:rPr>
        <w:t>1.道路清扫保洁作业</w:t>
      </w:r>
    </w:p>
    <w:p>
      <w:pPr>
        <w:spacing w:line="440" w:lineRule="exact"/>
        <w:ind w:firstLine="640"/>
        <w:rPr>
          <w:rFonts w:ascii="宋体" w:hAnsi="宋体" w:cs="宋体"/>
          <w:sz w:val="28"/>
          <w:szCs w:val="28"/>
        </w:rPr>
      </w:pPr>
      <w:r>
        <w:rPr>
          <w:rFonts w:hint="eastAsia" w:ascii="宋体" w:hAnsi="宋体" w:cs="宋体"/>
          <w:sz w:val="28"/>
          <w:szCs w:val="28"/>
        </w:rPr>
        <w:t>根据委托方提供的道路明细及等级等相关数据，工业港清扫保洁面积共计2,047,628.82平方米，机动车道面积905,295.36平方米（均为四级道路），人行道面积330,157.43平方米（均为四级道路），绿化面积482,702.02平方米，其他面积321,996.73平方米。按包件划分，包件一总面积352,562.06平方米，包件二总面积425,666.52平方米，包件三总面积318,756.37平方米，包件四总面积379,271.14平方米，包件五总面积571,372.72平方米。（具体管护范围以招标人现场指认界限为准）</w:t>
      </w:r>
    </w:p>
    <w:p>
      <w:pPr>
        <w:spacing w:line="440" w:lineRule="exact"/>
        <w:ind w:firstLine="640"/>
        <w:rPr>
          <w:rFonts w:ascii="宋体" w:hAnsi="宋体" w:cs="宋体"/>
          <w:sz w:val="28"/>
          <w:szCs w:val="28"/>
        </w:rPr>
      </w:pPr>
      <w:r>
        <w:rPr>
          <w:rFonts w:hint="eastAsia" w:ascii="宋体" w:hAnsi="宋体" w:cs="宋体"/>
          <w:sz w:val="28"/>
          <w:szCs w:val="28"/>
        </w:rPr>
        <w:t>2.垃圾收集清运作业</w:t>
      </w:r>
    </w:p>
    <w:p>
      <w:pPr>
        <w:spacing w:line="440" w:lineRule="exact"/>
        <w:ind w:firstLine="640"/>
        <w:rPr>
          <w:rFonts w:ascii="宋体" w:hAnsi="宋体" w:cs="宋体"/>
          <w:sz w:val="28"/>
          <w:szCs w:val="28"/>
        </w:rPr>
      </w:pPr>
      <w:r>
        <w:rPr>
          <w:rFonts w:hint="eastAsia" w:ascii="宋体" w:hAnsi="宋体" w:cs="宋体"/>
          <w:sz w:val="28"/>
          <w:szCs w:val="28"/>
        </w:rPr>
        <w:t>根据道路实际情况，对工业港街面、小区、企业生活垃圾收集后运输至成都双合达生活垃圾压缩中转站或招标人指定地点。（郫都区区域内，单边不超过20公里运距，该运距内垃圾清运费已计算在管护费内，不再另行支付）。</w:t>
      </w:r>
    </w:p>
    <w:p>
      <w:pPr>
        <w:spacing w:line="440" w:lineRule="exact"/>
        <w:ind w:firstLine="640"/>
        <w:rPr>
          <w:rFonts w:ascii="宋体" w:hAnsi="宋体" w:cs="宋体"/>
          <w:sz w:val="28"/>
          <w:szCs w:val="28"/>
        </w:rPr>
      </w:pPr>
      <w:r>
        <w:rPr>
          <w:rFonts w:hint="eastAsia" w:ascii="宋体" w:hAnsi="宋体" w:cs="宋体"/>
          <w:sz w:val="28"/>
          <w:szCs w:val="28"/>
        </w:rPr>
        <w:t>3.公厕</w:t>
      </w:r>
    </w:p>
    <w:p>
      <w:pPr>
        <w:spacing w:line="440" w:lineRule="exact"/>
        <w:ind w:firstLine="640"/>
        <w:rPr>
          <w:rFonts w:ascii="宋体" w:hAnsi="宋体" w:cs="宋体"/>
          <w:sz w:val="24"/>
        </w:rPr>
      </w:pPr>
      <w:r>
        <w:rPr>
          <w:rFonts w:hint="eastAsia" w:ascii="宋体" w:hAnsi="宋体" w:cs="宋体"/>
          <w:sz w:val="28"/>
          <w:szCs w:val="28"/>
        </w:rPr>
        <w:t>本次工业港的公厕按4座进行测算，其中包件一1座，包件三1座，包件五2座。</w:t>
      </w:r>
    </w:p>
    <w:p>
      <w:pPr>
        <w:rPr>
          <w:rFonts w:ascii="宋体" w:hAnsi="宋体" w:cs="宋体"/>
          <w:sz w:val="24"/>
        </w:rPr>
        <w:sectPr>
          <w:footerReference r:id="rId9" w:type="default"/>
          <w:type w:val="continuous"/>
          <w:pgSz w:w="11906" w:h="16838"/>
          <w:pgMar w:top="1440" w:right="1800" w:bottom="1440" w:left="1800" w:header="851" w:footer="992" w:gutter="0"/>
          <w:cols w:space="720" w:num="1"/>
        </w:sectPr>
      </w:pPr>
    </w:p>
    <w:p>
      <w:pPr>
        <w:spacing w:after="120"/>
        <w:jc w:val="left"/>
        <w:rPr>
          <w:rFonts w:ascii="宋体" w:hAnsi="宋体" w:cs="宋体"/>
          <w:b/>
          <w:bCs/>
          <w:sz w:val="28"/>
          <w:szCs w:val="32"/>
        </w:rPr>
      </w:pPr>
      <w:r>
        <w:rPr>
          <w:rFonts w:hint="eastAsia" w:ascii="宋体" w:hAnsi="宋体" w:cs="宋体"/>
          <w:b/>
          <w:bCs/>
          <w:sz w:val="28"/>
          <w:szCs w:val="32"/>
        </w:rPr>
        <w:t>附件1：工业港北片区环卫作业标段划分示意图</w:t>
      </w:r>
    </w:p>
    <w:p>
      <w:pPr>
        <w:pStyle w:val="2"/>
      </w:pPr>
      <w:r>
        <w:drawing>
          <wp:inline distT="0" distB="0" distL="0" distR="0">
            <wp:extent cx="6262370" cy="5252720"/>
            <wp:effectExtent l="19050" t="0" r="5080" b="0"/>
            <wp:docPr id="2" name="图片 68" descr="d7d2f8031c1fbe6603c62a0b0553e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68" descr="d7d2f8031c1fbe6603c62a0b0553eb3"/>
                    <pic:cNvPicPr>
                      <a:picLocks noChangeAspect="1" noChangeArrowheads="1"/>
                    </pic:cNvPicPr>
                  </pic:nvPicPr>
                  <pic:blipFill>
                    <a:blip r:embed="rId13" cstate="print"/>
                    <a:srcRect/>
                    <a:stretch>
                      <a:fillRect/>
                    </a:stretch>
                  </pic:blipFill>
                  <pic:spPr>
                    <a:xfrm>
                      <a:off x="0" y="0"/>
                      <a:ext cx="6262370" cy="5252720"/>
                    </a:xfrm>
                    <a:prstGeom prst="rect">
                      <a:avLst/>
                    </a:prstGeom>
                    <a:noFill/>
                    <a:ln w="9525" cmpd="sng">
                      <a:noFill/>
                      <a:miter lim="800000"/>
                      <a:headEnd/>
                      <a:tailEnd/>
                    </a:ln>
                  </pic:spPr>
                </pic:pic>
              </a:graphicData>
            </a:graphic>
          </wp:inline>
        </w:drawing>
      </w:r>
    </w:p>
    <w:p>
      <w:r>
        <w:br w:type="page"/>
      </w:r>
    </w:p>
    <w:p>
      <w:pPr>
        <w:spacing w:after="120"/>
        <w:jc w:val="left"/>
        <w:rPr>
          <w:rFonts w:ascii="宋体" w:hAnsi="宋体" w:cs="宋体"/>
          <w:b/>
          <w:bCs/>
          <w:sz w:val="28"/>
          <w:szCs w:val="32"/>
        </w:rPr>
      </w:pPr>
      <w:r>
        <w:rPr>
          <w:rFonts w:hint="eastAsia" w:ascii="宋体" w:hAnsi="宋体" w:cs="宋体"/>
          <w:b/>
          <w:bCs/>
          <w:sz w:val="28"/>
          <w:szCs w:val="32"/>
        </w:rPr>
        <w:t>附件2：工业港南片区环卫作业标段划分示意图</w:t>
      </w:r>
    </w:p>
    <w:p>
      <w:pPr>
        <w:rPr>
          <w:rFonts w:ascii="宋体" w:hAnsi="宋体" w:cs="宋体"/>
          <w:b/>
          <w:bCs/>
          <w:sz w:val="28"/>
          <w:szCs w:val="32"/>
        </w:rPr>
      </w:pPr>
      <w:r>
        <w:rPr>
          <w:rFonts w:hint="eastAsia" w:ascii="宋体" w:hAnsi="宋体" w:cs="宋体"/>
          <w:b/>
          <w:bCs/>
          <w:sz w:val="28"/>
          <w:szCs w:val="32"/>
        </w:rPr>
        <w:drawing>
          <wp:inline distT="0" distB="0" distL="0" distR="0">
            <wp:extent cx="6283960" cy="5262880"/>
            <wp:effectExtent l="19050" t="0" r="2540" b="0"/>
            <wp:docPr id="3" name="图片 70" descr="16a89e061c296b364485a381da8a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70" descr="16a89e061c296b364485a381da8a039"/>
                    <pic:cNvPicPr>
                      <a:picLocks noChangeAspect="1" noChangeArrowheads="1"/>
                    </pic:cNvPicPr>
                  </pic:nvPicPr>
                  <pic:blipFill>
                    <a:blip r:embed="rId14" cstate="print"/>
                    <a:srcRect/>
                    <a:stretch>
                      <a:fillRect/>
                    </a:stretch>
                  </pic:blipFill>
                  <pic:spPr>
                    <a:xfrm>
                      <a:off x="0" y="0"/>
                      <a:ext cx="6283960" cy="5262880"/>
                    </a:xfrm>
                    <a:prstGeom prst="rect">
                      <a:avLst/>
                    </a:prstGeom>
                    <a:noFill/>
                    <a:ln w="9525" cmpd="sng">
                      <a:noFill/>
                      <a:miter lim="800000"/>
                      <a:headEnd/>
                      <a:tailEnd/>
                    </a:ln>
                  </pic:spPr>
                </pic:pic>
              </a:graphicData>
            </a:graphic>
          </wp:inline>
        </w:drawing>
      </w:r>
      <w:r>
        <w:rPr>
          <w:rFonts w:hint="eastAsia" w:ascii="宋体" w:hAnsi="宋体" w:cs="宋体"/>
          <w:b/>
          <w:bCs/>
          <w:sz w:val="28"/>
          <w:szCs w:val="32"/>
        </w:rPr>
        <w:br w:type="page"/>
      </w:r>
      <w:r>
        <w:rPr>
          <w:rFonts w:hint="eastAsia" w:ascii="宋体" w:hAnsi="宋体" w:cs="宋体"/>
          <w:b/>
          <w:bCs/>
          <w:sz w:val="28"/>
          <w:szCs w:val="32"/>
        </w:rPr>
        <w:t>附件2：郫都区综合行政执法局成都现代工业港2021-2024年度环卫清扫保洁作业面积统计表</w:t>
      </w:r>
    </w:p>
    <w:p>
      <w:pPr>
        <w:rPr>
          <w:rFonts w:hint="eastAsia"/>
        </w:rPr>
        <w:sectPr>
          <w:type w:val="continuous"/>
          <w:pgSz w:w="16838" w:h="11906" w:orient="landscape"/>
          <w:pgMar w:top="1077" w:right="1247" w:bottom="964" w:left="1361" w:header="851" w:footer="992" w:gutter="0"/>
          <w:cols w:space="720" w:num="1"/>
        </w:sectPr>
      </w:pPr>
      <w:r>
        <w:rPr>
          <w:rFonts w:hint="eastAsia" w:ascii="Calibri" w:hAnsi="Calibri"/>
          <w:szCs w:val="22"/>
        </w:rPr>
        <w:drawing>
          <wp:inline distT="0" distB="0" distL="0" distR="0">
            <wp:extent cx="8623300" cy="5422900"/>
            <wp:effectExtent l="19050" t="0" r="6350" b="0"/>
            <wp:docPr id="4" name="图片 1" descr="附表-工业港（改为包）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附表-工业港（改为包）_00"/>
                    <pic:cNvPicPr>
                      <a:picLocks noChangeAspect="1" noChangeArrowheads="1"/>
                    </pic:cNvPicPr>
                  </pic:nvPicPr>
                  <pic:blipFill>
                    <a:blip r:embed="rId15" cstate="print"/>
                    <a:srcRect l="5255" t="11427" r="5344" b="9012"/>
                    <a:stretch>
                      <a:fillRect/>
                    </a:stretch>
                  </pic:blipFill>
                  <pic:spPr>
                    <a:xfrm>
                      <a:off x="0" y="0"/>
                      <a:ext cx="8623300" cy="5422900"/>
                    </a:xfrm>
                    <a:prstGeom prst="rect">
                      <a:avLst/>
                    </a:prstGeom>
                    <a:noFill/>
                    <a:ln w="9525" cmpd="sng">
                      <a:noFill/>
                      <a:miter lim="800000"/>
                      <a:headEnd/>
                      <a:tailEnd/>
                    </a:ln>
                  </pic:spPr>
                </pic:pic>
              </a:graphicData>
            </a:graphic>
          </wp:inline>
        </w:drawing>
      </w:r>
      <w:r>
        <w:rPr>
          <w:rFonts w:hint="eastAsia" w:ascii="Calibri" w:hAnsi="Calibri"/>
          <w:szCs w:val="22"/>
        </w:rPr>
        <w:drawing>
          <wp:inline distT="0" distB="0" distL="0" distR="0">
            <wp:extent cx="9154795" cy="6007100"/>
            <wp:effectExtent l="19050" t="0" r="8255" b="0"/>
            <wp:docPr id="5" name="图片 2" descr="附表-工业港（改为包）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descr="附表-工业港（改为包）_01"/>
                    <pic:cNvPicPr>
                      <a:picLocks noChangeAspect="1" noChangeArrowheads="1"/>
                    </pic:cNvPicPr>
                  </pic:nvPicPr>
                  <pic:blipFill>
                    <a:blip r:embed="rId16" cstate="print"/>
                    <a:srcRect l="5026" t="7045" r="4945" b="9344"/>
                    <a:stretch>
                      <a:fillRect/>
                    </a:stretch>
                  </pic:blipFill>
                  <pic:spPr>
                    <a:xfrm>
                      <a:off x="0" y="0"/>
                      <a:ext cx="9154795" cy="6007100"/>
                    </a:xfrm>
                    <a:prstGeom prst="rect">
                      <a:avLst/>
                    </a:prstGeom>
                    <a:noFill/>
                    <a:ln w="9525" cmpd="sng">
                      <a:noFill/>
                      <a:miter lim="800000"/>
                      <a:headEnd/>
                      <a:tailEnd/>
                    </a:ln>
                  </pic:spPr>
                </pic:pic>
              </a:graphicData>
            </a:graphic>
          </wp:inline>
        </w:drawing>
      </w:r>
      <w:r>
        <w:rPr>
          <w:rFonts w:hint="eastAsia" w:ascii="Calibri" w:hAnsi="Calibri"/>
          <w:szCs w:val="22"/>
        </w:rPr>
        <w:drawing>
          <wp:inline distT="0" distB="0" distL="0" distR="0">
            <wp:extent cx="9154795" cy="5943600"/>
            <wp:effectExtent l="19050" t="0" r="8255" b="0"/>
            <wp:docPr id="6" name="图片 4" descr="附表-工业港（改为包）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descr="附表-工业港（改为包）_02"/>
                    <pic:cNvPicPr>
                      <a:picLocks noChangeAspect="1" noChangeArrowheads="1"/>
                    </pic:cNvPicPr>
                  </pic:nvPicPr>
                  <pic:blipFill>
                    <a:blip r:embed="rId17" cstate="print"/>
                    <a:srcRect l="5026" t="8128" r="5344" b="9595"/>
                    <a:stretch>
                      <a:fillRect/>
                    </a:stretch>
                  </pic:blipFill>
                  <pic:spPr>
                    <a:xfrm>
                      <a:off x="0" y="0"/>
                      <a:ext cx="9154795" cy="5943600"/>
                    </a:xfrm>
                    <a:prstGeom prst="rect">
                      <a:avLst/>
                    </a:prstGeom>
                    <a:noFill/>
                    <a:ln w="9525" cmpd="sng">
                      <a:noFill/>
                      <a:miter lim="800000"/>
                      <a:headEnd/>
                      <a:tailEnd/>
                    </a:ln>
                  </pic:spPr>
                </pic:pic>
              </a:graphicData>
            </a:graphic>
          </wp:inline>
        </w:drawing>
      </w:r>
      <w:r>
        <w:rPr>
          <w:rFonts w:hint="eastAsia" w:ascii="Calibri" w:hAnsi="Calibri"/>
          <w:szCs w:val="22"/>
        </w:rPr>
        <w:drawing>
          <wp:inline distT="0" distB="0" distL="0" distR="0">
            <wp:extent cx="9123045" cy="1977390"/>
            <wp:effectExtent l="19050" t="0" r="1905" b="0"/>
            <wp:docPr id="7" name="图片 5" descr="附表-工业港（改为包）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descr="附表-工业港（改为包）_03"/>
                    <pic:cNvPicPr>
                      <a:picLocks noChangeAspect="1" noChangeArrowheads="1"/>
                    </pic:cNvPicPr>
                  </pic:nvPicPr>
                  <pic:blipFill>
                    <a:blip r:embed="rId18" cstate="print"/>
                    <a:srcRect l="4768" t="6827" r="5209" b="65532"/>
                    <a:stretch>
                      <a:fillRect/>
                    </a:stretch>
                  </pic:blipFill>
                  <pic:spPr>
                    <a:xfrm>
                      <a:off x="0" y="0"/>
                      <a:ext cx="9123045" cy="1977390"/>
                    </a:xfrm>
                    <a:prstGeom prst="rect">
                      <a:avLst/>
                    </a:prstGeom>
                    <a:noFill/>
                    <a:ln w="9525" cmpd="sng">
                      <a:noFill/>
                      <a:miter lim="800000"/>
                      <a:headEnd/>
                      <a:tailEnd/>
                    </a:ln>
                  </pic:spPr>
                </pic:pic>
              </a:graphicData>
            </a:graphic>
          </wp:inline>
        </w:drawing>
      </w:r>
    </w:p>
    <w:p>
      <w:pPr>
        <w:spacing w:line="440" w:lineRule="exact"/>
        <w:ind w:firstLine="640"/>
        <w:outlineLvl w:val="2"/>
        <w:rPr>
          <w:rFonts w:ascii="宋体" w:hAnsi="宋体" w:cs="宋体"/>
          <w:sz w:val="28"/>
          <w:szCs w:val="28"/>
        </w:rPr>
      </w:pPr>
      <w:r>
        <w:rPr>
          <w:rFonts w:hint="eastAsia" w:ascii="宋体" w:hAnsi="宋体" w:cs="宋体"/>
          <w:sz w:val="28"/>
          <w:szCs w:val="28"/>
        </w:rPr>
        <w:t>（二）服务内容</w:t>
      </w:r>
    </w:p>
    <w:p>
      <w:pPr>
        <w:spacing w:line="440" w:lineRule="exact"/>
        <w:ind w:firstLine="640"/>
        <w:rPr>
          <w:rFonts w:ascii="宋体" w:hAnsi="宋体" w:cs="宋体"/>
          <w:sz w:val="28"/>
          <w:szCs w:val="28"/>
        </w:rPr>
      </w:pPr>
      <w:r>
        <w:rPr>
          <w:rFonts w:hint="eastAsia" w:ascii="宋体" w:hAnsi="宋体" w:cs="宋体"/>
          <w:sz w:val="28"/>
          <w:szCs w:val="28"/>
        </w:rPr>
        <w:t>1.负责道路（含主车道、辅道、下穿隧道）、桥梁（含跨线桥）清扫保洁、冲洗降尘等，负责人行道（含人行天桥）的清扫保洁、清洗，机动车道、辅道道路的机械化湿法清扫作业等；</w:t>
      </w:r>
    </w:p>
    <w:p>
      <w:pPr>
        <w:spacing w:line="440" w:lineRule="exact"/>
        <w:ind w:firstLine="640"/>
        <w:rPr>
          <w:rFonts w:ascii="宋体" w:hAnsi="宋体" w:cs="宋体"/>
          <w:sz w:val="28"/>
          <w:szCs w:val="28"/>
        </w:rPr>
      </w:pPr>
      <w:r>
        <w:rPr>
          <w:rFonts w:hint="eastAsia" w:ascii="宋体" w:hAnsi="宋体" w:cs="宋体"/>
          <w:sz w:val="28"/>
          <w:szCs w:val="28"/>
        </w:rPr>
        <w:t>2.负责道路沿线快速巡回保洁；</w:t>
      </w:r>
    </w:p>
    <w:p>
      <w:pPr>
        <w:spacing w:line="440" w:lineRule="exact"/>
        <w:ind w:firstLine="640"/>
        <w:rPr>
          <w:rFonts w:ascii="宋体" w:hAnsi="宋体" w:cs="宋体"/>
          <w:sz w:val="28"/>
          <w:szCs w:val="28"/>
        </w:rPr>
      </w:pPr>
      <w:r>
        <w:rPr>
          <w:rFonts w:hint="eastAsia" w:ascii="宋体" w:hAnsi="宋体" w:cs="宋体"/>
          <w:sz w:val="28"/>
          <w:szCs w:val="28"/>
        </w:rPr>
        <w:t xml:space="preserve">3.负责道路沿线绿化带、水体及两侧相邻区域视野范围的卫生保洁； </w:t>
      </w:r>
    </w:p>
    <w:p>
      <w:pPr>
        <w:spacing w:line="440" w:lineRule="exact"/>
        <w:ind w:firstLine="640"/>
        <w:rPr>
          <w:rFonts w:ascii="宋体" w:hAnsi="宋体" w:cs="宋体"/>
          <w:sz w:val="28"/>
          <w:szCs w:val="28"/>
        </w:rPr>
      </w:pPr>
      <w:r>
        <w:rPr>
          <w:rFonts w:hint="eastAsia" w:ascii="宋体" w:hAnsi="宋体" w:cs="宋体"/>
          <w:sz w:val="28"/>
          <w:szCs w:val="28"/>
        </w:rPr>
        <w:t>4.负责沿线垃圾分类收集设施产生的生活垃圾清掏、清运及箱体清洗，负责垃圾分类收集设施垃圾袋更换，垃圾分类收集设施的日常小型维护维修，以及涉及环卫管理设施破损的统计上报；</w:t>
      </w:r>
    </w:p>
    <w:p>
      <w:pPr>
        <w:spacing w:line="440" w:lineRule="exact"/>
        <w:ind w:firstLine="640"/>
        <w:rPr>
          <w:rFonts w:ascii="宋体" w:hAnsi="宋体" w:cs="宋体"/>
          <w:sz w:val="28"/>
          <w:szCs w:val="28"/>
        </w:rPr>
      </w:pPr>
      <w:r>
        <w:rPr>
          <w:rFonts w:hint="eastAsia" w:ascii="宋体" w:hAnsi="宋体" w:cs="宋体"/>
          <w:sz w:val="28"/>
          <w:szCs w:val="28"/>
        </w:rPr>
        <w:t>5.负责项目范围内直管公共厕所管理及清扫保洁，包括：承担水费，两纸一液配备，定期消杀，化粪池及管网疏通，蹲（座）便器、门窗、墩位门、水龙头&lt;含感应器&gt;、照明灯、厕&lt;手&gt;纸盒、烘手器、扶手的维修，地面、墙面等维修；及时上报环卫公厕管理的其他问题。</w:t>
      </w:r>
    </w:p>
    <w:p>
      <w:pPr>
        <w:spacing w:line="440" w:lineRule="exact"/>
        <w:ind w:firstLine="640"/>
        <w:rPr>
          <w:rFonts w:ascii="宋体" w:hAnsi="宋体" w:cs="宋体"/>
          <w:sz w:val="28"/>
          <w:szCs w:val="28"/>
        </w:rPr>
      </w:pPr>
      <w:r>
        <w:rPr>
          <w:rFonts w:hint="eastAsia" w:ascii="宋体" w:hAnsi="宋体" w:cs="宋体"/>
          <w:sz w:val="28"/>
          <w:szCs w:val="28"/>
        </w:rPr>
        <w:t>6.负责道路机非隔离栏类、护栏类、地面及建筑物3米以下墙体、路灯灯柱、电线杆、电信箱体、电缆箱体、公交站台、花台、花钵等市政环卫设施的清洗保洁及牛皮癣清除；</w:t>
      </w:r>
    </w:p>
    <w:p>
      <w:pPr>
        <w:spacing w:line="440" w:lineRule="exact"/>
        <w:ind w:firstLine="640"/>
        <w:rPr>
          <w:rFonts w:ascii="宋体" w:hAnsi="宋体" w:cs="宋体"/>
          <w:sz w:val="28"/>
          <w:szCs w:val="28"/>
        </w:rPr>
      </w:pPr>
      <w:r>
        <w:rPr>
          <w:rFonts w:hint="eastAsia" w:ascii="宋体" w:hAnsi="宋体" w:cs="宋体"/>
          <w:sz w:val="28"/>
          <w:szCs w:val="28"/>
        </w:rPr>
        <w:t>7.负责道路污染处理，含清除道路沿线零星的建渣、沙石、粪袋以及抛、洒、滴、漏等污染；对于无确定违法主体的突发性大面积、大量次的建渣、沙石、粪袋等道路污染，按区扬尘办的要求进行处理，相关费用按区扬尘办的规定办理；</w:t>
      </w:r>
    </w:p>
    <w:p>
      <w:pPr>
        <w:spacing w:line="440" w:lineRule="exact"/>
        <w:ind w:firstLine="640"/>
        <w:rPr>
          <w:rFonts w:ascii="宋体" w:hAnsi="宋体" w:cs="宋体"/>
          <w:sz w:val="28"/>
          <w:szCs w:val="28"/>
        </w:rPr>
      </w:pPr>
      <w:r>
        <w:rPr>
          <w:rFonts w:hint="eastAsia" w:ascii="宋体" w:hAnsi="宋体" w:cs="宋体"/>
          <w:sz w:val="28"/>
          <w:szCs w:val="28"/>
        </w:rPr>
        <w:t>8.负责作业范围内（街面、小区、综合体、机关事业单位、商铺、餐饮单位、学校等）的生活垃圾及分类后各类生活垃圾（可回收物、有害垃圾、厨余垃圾、其他垃圾）的规范分类收集、转运、清理，含大件垃圾的拆分、收运。按照《成都市生活垃圾管理条例》相关要求，配备垃圾分类收集车辆、工具及人员，实施收运环节的垃圾分类。</w:t>
      </w:r>
    </w:p>
    <w:p>
      <w:pPr>
        <w:spacing w:line="440" w:lineRule="exact"/>
        <w:ind w:firstLine="640"/>
        <w:rPr>
          <w:rFonts w:ascii="宋体" w:hAnsi="宋体" w:cs="宋体"/>
          <w:sz w:val="28"/>
          <w:szCs w:val="28"/>
        </w:rPr>
      </w:pPr>
      <w:r>
        <w:rPr>
          <w:rFonts w:hint="eastAsia" w:ascii="宋体" w:hAnsi="宋体" w:cs="宋体"/>
          <w:sz w:val="28"/>
          <w:szCs w:val="28"/>
        </w:rPr>
        <w:t>9.负责及时向业务主管部门、业务科室反映作业段面相关情况；</w:t>
      </w:r>
    </w:p>
    <w:p>
      <w:pPr>
        <w:spacing w:line="440" w:lineRule="exact"/>
        <w:ind w:firstLine="640"/>
        <w:rPr>
          <w:rFonts w:ascii="宋体" w:hAnsi="宋体" w:cs="宋体"/>
          <w:sz w:val="28"/>
          <w:szCs w:val="28"/>
        </w:rPr>
      </w:pPr>
      <w:r>
        <w:rPr>
          <w:rFonts w:hint="eastAsia" w:ascii="宋体" w:hAnsi="宋体" w:cs="宋体"/>
          <w:sz w:val="28"/>
          <w:szCs w:val="28"/>
        </w:rPr>
        <w:t>10.服从招标人统筹安排，积极配合处理突发公共应急事件、应急抢险等工作；</w:t>
      </w:r>
    </w:p>
    <w:p>
      <w:pPr>
        <w:spacing w:line="440" w:lineRule="exact"/>
        <w:ind w:firstLine="640"/>
        <w:rPr>
          <w:rFonts w:hint="eastAsia" w:ascii="宋体" w:hAnsi="宋体" w:cs="宋体"/>
          <w:sz w:val="28"/>
          <w:szCs w:val="28"/>
        </w:rPr>
      </w:pPr>
      <w:r>
        <w:rPr>
          <w:rFonts w:hint="eastAsia" w:ascii="宋体" w:hAnsi="宋体" w:cs="宋体"/>
          <w:sz w:val="28"/>
          <w:szCs w:val="28"/>
        </w:rPr>
        <w:t>11.负责承担招标人及业务科室临时交办其它工作。</w:t>
      </w:r>
    </w:p>
    <w:p>
      <w:pPr>
        <w:rPr>
          <w:rFonts w:ascii="宋体" w:hAnsi="宋体" w:cs="宋体"/>
          <w:sz w:val="24"/>
        </w:rPr>
      </w:pPr>
      <w:r>
        <w:rPr>
          <w:rFonts w:hint="eastAsia" w:ascii="宋体" w:hAnsi="宋体" w:cs="宋体"/>
          <w:sz w:val="24"/>
        </w:rPr>
        <w:br w:type="page"/>
      </w:r>
    </w:p>
    <w:p>
      <w:pPr>
        <w:spacing w:line="440" w:lineRule="exact"/>
        <w:ind w:firstLine="640"/>
        <w:outlineLvl w:val="2"/>
        <w:rPr>
          <w:rFonts w:ascii="宋体" w:hAnsi="宋体" w:cs="宋体"/>
          <w:sz w:val="28"/>
          <w:szCs w:val="28"/>
        </w:rPr>
      </w:pPr>
      <w:r>
        <w:rPr>
          <w:rFonts w:hint="eastAsia" w:ascii="宋体" w:hAnsi="宋体" w:cs="宋体"/>
          <w:sz w:val="28"/>
          <w:szCs w:val="28"/>
        </w:rPr>
        <w:t>★（三）人员配置及要求</w:t>
      </w:r>
    </w:p>
    <w:p>
      <w:pPr>
        <w:spacing w:line="440" w:lineRule="exact"/>
        <w:ind w:firstLine="640"/>
        <w:rPr>
          <w:rFonts w:ascii="宋体" w:hAnsi="宋体" w:cs="宋体"/>
          <w:sz w:val="28"/>
          <w:szCs w:val="28"/>
        </w:rPr>
      </w:pPr>
      <w:r>
        <w:rPr>
          <w:rFonts w:hint="eastAsia" w:ascii="宋体" w:hAnsi="宋体" w:cs="宋体"/>
          <w:sz w:val="28"/>
          <w:szCs w:val="28"/>
        </w:rPr>
        <w:t>1、清扫保洁人员配置人数：</w:t>
      </w:r>
    </w:p>
    <w:p>
      <w:pPr>
        <w:spacing w:line="440" w:lineRule="exact"/>
        <w:ind w:firstLine="640"/>
        <w:rPr>
          <w:rFonts w:ascii="宋体" w:hAnsi="宋体" w:cs="宋体"/>
          <w:sz w:val="28"/>
          <w:szCs w:val="28"/>
        </w:rPr>
      </w:pPr>
      <w:r>
        <w:rPr>
          <w:rFonts w:hint="eastAsia" w:ascii="宋体" w:hAnsi="宋体" w:cs="宋体"/>
          <w:sz w:val="28"/>
          <w:szCs w:val="28"/>
        </w:rPr>
        <w:t>包件一：清扫保洁人员配置人数不低于26人（含）；</w:t>
      </w:r>
    </w:p>
    <w:p>
      <w:pPr>
        <w:spacing w:line="440" w:lineRule="exact"/>
        <w:ind w:firstLine="640"/>
        <w:rPr>
          <w:rFonts w:ascii="宋体" w:hAnsi="宋体" w:cs="宋体"/>
          <w:sz w:val="28"/>
          <w:szCs w:val="28"/>
        </w:rPr>
      </w:pPr>
      <w:r>
        <w:rPr>
          <w:rFonts w:hint="eastAsia" w:ascii="宋体" w:hAnsi="宋体" w:cs="宋体"/>
          <w:sz w:val="28"/>
          <w:szCs w:val="28"/>
        </w:rPr>
        <w:t>包件二：清扫保洁人员配置人数不低于43人（含）；</w:t>
      </w:r>
    </w:p>
    <w:p>
      <w:pPr>
        <w:spacing w:line="440" w:lineRule="exact"/>
        <w:ind w:firstLine="640"/>
        <w:rPr>
          <w:rFonts w:ascii="宋体" w:hAnsi="宋体" w:cs="宋体"/>
          <w:sz w:val="28"/>
          <w:szCs w:val="28"/>
        </w:rPr>
      </w:pPr>
      <w:r>
        <w:rPr>
          <w:rFonts w:hint="eastAsia" w:ascii="宋体" w:hAnsi="宋体" w:cs="宋体"/>
          <w:sz w:val="28"/>
          <w:szCs w:val="28"/>
        </w:rPr>
        <w:t>包件三：清扫保洁人员配置人数不低于46人（含）；</w:t>
      </w:r>
    </w:p>
    <w:p>
      <w:pPr>
        <w:spacing w:line="440" w:lineRule="exact"/>
        <w:ind w:firstLine="640"/>
        <w:rPr>
          <w:rFonts w:ascii="宋体" w:hAnsi="宋体" w:cs="宋体"/>
          <w:sz w:val="28"/>
          <w:szCs w:val="28"/>
        </w:rPr>
      </w:pPr>
      <w:r>
        <w:rPr>
          <w:rFonts w:hint="eastAsia" w:ascii="宋体" w:hAnsi="宋体" w:cs="宋体"/>
          <w:sz w:val="28"/>
          <w:szCs w:val="28"/>
        </w:rPr>
        <w:t>包件四：清扫保洁人员配置人数不低于51人（含）；</w:t>
      </w:r>
    </w:p>
    <w:p>
      <w:pPr>
        <w:spacing w:line="440" w:lineRule="exact"/>
        <w:ind w:firstLine="640"/>
        <w:rPr>
          <w:rFonts w:ascii="宋体" w:hAnsi="宋体" w:cs="宋体"/>
          <w:sz w:val="28"/>
          <w:szCs w:val="28"/>
        </w:rPr>
      </w:pPr>
      <w:r>
        <w:rPr>
          <w:rFonts w:hint="eastAsia" w:ascii="宋体" w:hAnsi="宋体" w:cs="宋体"/>
          <w:sz w:val="28"/>
          <w:szCs w:val="28"/>
        </w:rPr>
        <w:t>包件五：清扫保洁人员配置人数不低于56人（含）；</w:t>
      </w:r>
    </w:p>
    <w:p>
      <w:pPr>
        <w:spacing w:line="440" w:lineRule="exact"/>
        <w:ind w:firstLine="640"/>
        <w:rPr>
          <w:rFonts w:ascii="宋体" w:hAnsi="宋体" w:cs="宋体"/>
          <w:sz w:val="28"/>
          <w:szCs w:val="28"/>
        </w:rPr>
      </w:pPr>
      <w:r>
        <w:rPr>
          <w:rFonts w:hint="eastAsia" w:ascii="宋体" w:hAnsi="宋体" w:cs="宋体"/>
          <w:sz w:val="28"/>
          <w:szCs w:val="28"/>
        </w:rPr>
        <w:t>2、驾驶员配置人数：</w:t>
      </w:r>
    </w:p>
    <w:p>
      <w:pPr>
        <w:spacing w:line="440" w:lineRule="exact"/>
        <w:ind w:firstLine="640"/>
        <w:rPr>
          <w:rFonts w:ascii="宋体" w:hAnsi="宋体" w:cs="宋体"/>
          <w:sz w:val="28"/>
          <w:szCs w:val="28"/>
        </w:rPr>
      </w:pPr>
      <w:r>
        <w:rPr>
          <w:rFonts w:hint="eastAsia" w:ascii="宋体" w:hAnsi="宋体" w:cs="宋体"/>
          <w:sz w:val="28"/>
          <w:szCs w:val="28"/>
        </w:rPr>
        <w:t>包件一：驾驶员配置人数不低于7人（含）</w:t>
      </w:r>
      <w:r>
        <w:rPr>
          <w:rFonts w:hint="eastAsia" w:ascii="宋体" w:hAnsi="宋体" w:cs="宋体"/>
          <w:sz w:val="28"/>
          <w:szCs w:val="28"/>
          <w:lang w:eastAsia="zh-CN"/>
        </w:rPr>
        <w:t>（</w:t>
      </w:r>
      <w:r>
        <w:rPr>
          <w:rFonts w:hint="eastAsia" w:ascii="宋体" w:hAnsi="宋体" w:cs="宋体"/>
          <w:sz w:val="28"/>
          <w:szCs w:val="28"/>
        </w:rPr>
        <w:t>环卫专用多功能洗（吸）扫车</w:t>
      </w:r>
      <w:r>
        <w:rPr>
          <w:rFonts w:hint="eastAsia" w:ascii="宋体" w:hAnsi="宋体" w:cs="宋体"/>
          <w:sz w:val="28"/>
          <w:szCs w:val="28"/>
          <w:lang w:val="en-US" w:eastAsia="zh-CN"/>
        </w:rPr>
        <w:t>及</w:t>
      </w:r>
      <w:r>
        <w:rPr>
          <w:rFonts w:hint="eastAsia" w:ascii="宋体" w:hAnsi="宋体" w:cs="宋体"/>
          <w:sz w:val="28"/>
          <w:szCs w:val="28"/>
        </w:rPr>
        <w:t>环卫专用洒水冲洗车</w:t>
      </w:r>
      <w:r>
        <w:rPr>
          <w:rFonts w:hint="eastAsia" w:ascii="宋体" w:hAnsi="宋体" w:cs="宋体"/>
          <w:sz w:val="28"/>
          <w:szCs w:val="28"/>
          <w:lang w:val="en-US" w:eastAsia="zh-CN"/>
        </w:rPr>
        <w:t>共计配备不低于3人，</w:t>
      </w:r>
      <w:r>
        <w:rPr>
          <w:rFonts w:hint="eastAsia" w:ascii="宋体" w:hAnsi="宋体" w:cs="宋体"/>
          <w:sz w:val="28"/>
          <w:szCs w:val="28"/>
        </w:rPr>
        <w:t>具有道路养护功能的环卫专用车辆</w:t>
      </w:r>
      <w:r>
        <w:rPr>
          <w:rFonts w:hint="eastAsia" w:ascii="宋体" w:hAnsi="宋体" w:cs="宋体"/>
          <w:sz w:val="28"/>
          <w:szCs w:val="28"/>
          <w:lang w:val="en-US" w:eastAsia="zh-CN"/>
        </w:rPr>
        <w:t>配备不低于1人，</w:t>
      </w:r>
      <w:r>
        <w:rPr>
          <w:rFonts w:hint="eastAsia" w:ascii="宋体" w:hAnsi="宋体" w:cs="宋体"/>
          <w:sz w:val="28"/>
          <w:szCs w:val="28"/>
        </w:rPr>
        <w:t>密闭式的环卫专用电动垃圾车</w:t>
      </w:r>
      <w:r>
        <w:rPr>
          <w:rFonts w:hint="eastAsia" w:ascii="宋体" w:hAnsi="宋体" w:cs="宋体"/>
          <w:sz w:val="28"/>
          <w:szCs w:val="28"/>
          <w:lang w:val="en-US" w:eastAsia="zh-CN"/>
        </w:rPr>
        <w:t>及</w:t>
      </w:r>
      <w:r>
        <w:rPr>
          <w:rFonts w:hint="eastAsia" w:ascii="宋体" w:hAnsi="宋体" w:cs="宋体"/>
          <w:sz w:val="28"/>
          <w:szCs w:val="28"/>
        </w:rPr>
        <w:t>环卫专用垃圾压缩转运车</w:t>
      </w:r>
      <w:r>
        <w:rPr>
          <w:rFonts w:hint="eastAsia" w:ascii="宋体" w:hAnsi="宋体" w:cs="宋体"/>
          <w:sz w:val="28"/>
          <w:szCs w:val="28"/>
          <w:lang w:val="en-US" w:eastAsia="zh-CN"/>
        </w:rPr>
        <w:t>共计配备不低于3人</w:t>
      </w:r>
      <w:r>
        <w:rPr>
          <w:rFonts w:hint="eastAsia" w:ascii="宋体" w:hAnsi="宋体" w:cs="宋体"/>
          <w:sz w:val="28"/>
          <w:szCs w:val="28"/>
          <w:lang w:eastAsia="zh-CN"/>
        </w:rPr>
        <w:t>）</w:t>
      </w:r>
      <w:r>
        <w:rPr>
          <w:rFonts w:hint="eastAsia" w:ascii="宋体" w:hAnsi="宋体" w:cs="宋体"/>
          <w:sz w:val="28"/>
          <w:szCs w:val="28"/>
        </w:rPr>
        <w:t>；</w:t>
      </w:r>
    </w:p>
    <w:p>
      <w:pPr>
        <w:spacing w:line="440" w:lineRule="exact"/>
        <w:ind w:firstLine="640"/>
        <w:rPr>
          <w:rFonts w:ascii="宋体" w:hAnsi="宋体" w:cs="宋体"/>
          <w:sz w:val="28"/>
          <w:szCs w:val="28"/>
        </w:rPr>
      </w:pPr>
      <w:r>
        <w:rPr>
          <w:rFonts w:hint="eastAsia" w:ascii="宋体" w:hAnsi="宋体" w:cs="宋体"/>
          <w:sz w:val="28"/>
          <w:szCs w:val="28"/>
        </w:rPr>
        <w:t>包件二：驾驶员配置人数不低于7人（含）</w:t>
      </w:r>
      <w:r>
        <w:rPr>
          <w:rFonts w:hint="eastAsia" w:ascii="宋体" w:hAnsi="宋体" w:cs="宋体"/>
          <w:sz w:val="28"/>
          <w:szCs w:val="28"/>
          <w:lang w:eastAsia="zh-CN"/>
        </w:rPr>
        <w:t>（</w:t>
      </w:r>
      <w:r>
        <w:rPr>
          <w:rFonts w:hint="eastAsia" w:ascii="宋体" w:hAnsi="宋体" w:cs="宋体"/>
          <w:sz w:val="28"/>
          <w:szCs w:val="28"/>
        </w:rPr>
        <w:t>环卫专用多功能洗（吸）扫车</w:t>
      </w:r>
      <w:r>
        <w:rPr>
          <w:rFonts w:hint="eastAsia" w:ascii="宋体" w:hAnsi="宋体" w:cs="宋体"/>
          <w:sz w:val="28"/>
          <w:szCs w:val="28"/>
          <w:lang w:val="en-US" w:eastAsia="zh-CN"/>
        </w:rPr>
        <w:t>及</w:t>
      </w:r>
      <w:r>
        <w:rPr>
          <w:rFonts w:hint="eastAsia" w:ascii="宋体" w:hAnsi="宋体" w:cs="宋体"/>
          <w:sz w:val="28"/>
          <w:szCs w:val="28"/>
        </w:rPr>
        <w:t>环卫专用洒水冲洗车</w:t>
      </w:r>
      <w:r>
        <w:rPr>
          <w:rFonts w:hint="eastAsia" w:ascii="宋体" w:hAnsi="宋体" w:cs="宋体"/>
          <w:sz w:val="28"/>
          <w:szCs w:val="28"/>
          <w:lang w:val="en-US" w:eastAsia="zh-CN"/>
        </w:rPr>
        <w:t>共计配备不低于3人，</w:t>
      </w:r>
      <w:r>
        <w:rPr>
          <w:rFonts w:hint="eastAsia" w:ascii="宋体" w:hAnsi="宋体" w:cs="宋体"/>
          <w:sz w:val="28"/>
          <w:szCs w:val="28"/>
        </w:rPr>
        <w:t>具有道路养护功能的环卫专用车辆</w:t>
      </w:r>
      <w:r>
        <w:rPr>
          <w:rFonts w:hint="eastAsia" w:ascii="宋体" w:hAnsi="宋体" w:cs="宋体"/>
          <w:sz w:val="28"/>
          <w:szCs w:val="28"/>
          <w:lang w:val="en-US" w:eastAsia="zh-CN"/>
        </w:rPr>
        <w:t>配备不低于1人，</w:t>
      </w:r>
      <w:r>
        <w:rPr>
          <w:rFonts w:hint="eastAsia" w:ascii="宋体" w:hAnsi="宋体" w:cs="宋体"/>
          <w:sz w:val="28"/>
          <w:szCs w:val="28"/>
        </w:rPr>
        <w:t>密闭式的环卫专用电动垃圾车</w:t>
      </w:r>
      <w:r>
        <w:rPr>
          <w:rFonts w:hint="eastAsia" w:ascii="宋体" w:hAnsi="宋体" w:cs="宋体"/>
          <w:sz w:val="28"/>
          <w:szCs w:val="28"/>
          <w:lang w:val="en-US" w:eastAsia="zh-CN"/>
        </w:rPr>
        <w:t>及</w:t>
      </w:r>
      <w:r>
        <w:rPr>
          <w:rFonts w:hint="eastAsia" w:ascii="宋体" w:hAnsi="宋体" w:cs="宋体"/>
          <w:sz w:val="28"/>
          <w:szCs w:val="28"/>
        </w:rPr>
        <w:t>环卫专用垃圾压缩转运车</w:t>
      </w:r>
      <w:r>
        <w:rPr>
          <w:rFonts w:hint="eastAsia" w:ascii="宋体" w:hAnsi="宋体" w:cs="宋体"/>
          <w:sz w:val="28"/>
          <w:szCs w:val="28"/>
          <w:lang w:val="en-US" w:eastAsia="zh-CN"/>
        </w:rPr>
        <w:t>共计配备不低于3人</w:t>
      </w:r>
      <w:r>
        <w:rPr>
          <w:rFonts w:hint="eastAsia" w:ascii="宋体" w:hAnsi="宋体" w:cs="宋体"/>
          <w:sz w:val="28"/>
          <w:szCs w:val="28"/>
          <w:lang w:eastAsia="zh-CN"/>
        </w:rPr>
        <w:t>）</w:t>
      </w:r>
      <w:r>
        <w:rPr>
          <w:rFonts w:hint="eastAsia" w:ascii="宋体" w:hAnsi="宋体" w:cs="宋体"/>
          <w:sz w:val="28"/>
          <w:szCs w:val="28"/>
        </w:rPr>
        <w:t>；</w:t>
      </w:r>
    </w:p>
    <w:p>
      <w:pPr>
        <w:spacing w:line="440" w:lineRule="exact"/>
        <w:ind w:firstLine="640"/>
        <w:rPr>
          <w:rFonts w:ascii="宋体" w:hAnsi="宋体" w:cs="宋体"/>
          <w:sz w:val="28"/>
          <w:szCs w:val="28"/>
        </w:rPr>
      </w:pPr>
      <w:r>
        <w:rPr>
          <w:rFonts w:hint="eastAsia" w:ascii="宋体" w:hAnsi="宋体" w:cs="宋体"/>
          <w:sz w:val="28"/>
          <w:szCs w:val="28"/>
        </w:rPr>
        <w:t>包件三：驾驶员配置人数不低于7人（含）</w:t>
      </w:r>
      <w:r>
        <w:rPr>
          <w:rFonts w:hint="eastAsia" w:ascii="宋体" w:hAnsi="宋体" w:cs="宋体"/>
          <w:sz w:val="28"/>
          <w:szCs w:val="28"/>
          <w:lang w:eastAsia="zh-CN"/>
        </w:rPr>
        <w:t>（</w:t>
      </w:r>
      <w:r>
        <w:rPr>
          <w:rFonts w:hint="eastAsia" w:ascii="宋体" w:hAnsi="宋体" w:cs="宋体"/>
          <w:sz w:val="28"/>
          <w:szCs w:val="28"/>
        </w:rPr>
        <w:t>环卫专用多功能洗（吸）扫车</w:t>
      </w:r>
      <w:r>
        <w:rPr>
          <w:rFonts w:hint="eastAsia" w:ascii="宋体" w:hAnsi="宋体" w:cs="宋体"/>
          <w:sz w:val="28"/>
          <w:szCs w:val="28"/>
          <w:lang w:val="en-US" w:eastAsia="zh-CN"/>
        </w:rPr>
        <w:t>及</w:t>
      </w:r>
      <w:r>
        <w:rPr>
          <w:rFonts w:hint="eastAsia" w:ascii="宋体" w:hAnsi="宋体" w:cs="宋体"/>
          <w:sz w:val="28"/>
          <w:szCs w:val="28"/>
        </w:rPr>
        <w:t>环卫专用洒水冲洗车</w:t>
      </w:r>
      <w:r>
        <w:rPr>
          <w:rFonts w:hint="eastAsia" w:ascii="宋体" w:hAnsi="宋体" w:cs="宋体"/>
          <w:sz w:val="28"/>
          <w:szCs w:val="28"/>
          <w:lang w:val="en-US" w:eastAsia="zh-CN"/>
        </w:rPr>
        <w:t>共计配备不低于3人，</w:t>
      </w:r>
      <w:r>
        <w:rPr>
          <w:rFonts w:hint="eastAsia" w:ascii="宋体" w:hAnsi="宋体" w:cs="宋体"/>
          <w:sz w:val="28"/>
          <w:szCs w:val="28"/>
        </w:rPr>
        <w:t>具有道路养护功能的环卫专用车辆</w:t>
      </w:r>
      <w:r>
        <w:rPr>
          <w:rFonts w:hint="eastAsia" w:ascii="宋体" w:hAnsi="宋体" w:cs="宋体"/>
          <w:sz w:val="28"/>
          <w:szCs w:val="28"/>
          <w:lang w:val="en-US" w:eastAsia="zh-CN"/>
        </w:rPr>
        <w:t>配备不低于1人，</w:t>
      </w:r>
      <w:r>
        <w:rPr>
          <w:rFonts w:hint="eastAsia" w:ascii="宋体" w:hAnsi="宋体" w:cs="宋体"/>
          <w:sz w:val="28"/>
          <w:szCs w:val="28"/>
        </w:rPr>
        <w:t>密闭式的环卫专用电动垃圾车</w:t>
      </w:r>
      <w:r>
        <w:rPr>
          <w:rFonts w:hint="eastAsia" w:ascii="宋体" w:hAnsi="宋体" w:cs="宋体"/>
          <w:sz w:val="28"/>
          <w:szCs w:val="28"/>
          <w:lang w:val="en-US" w:eastAsia="zh-CN"/>
        </w:rPr>
        <w:t>及</w:t>
      </w:r>
      <w:r>
        <w:rPr>
          <w:rFonts w:hint="eastAsia" w:ascii="宋体" w:hAnsi="宋体" w:cs="宋体"/>
          <w:sz w:val="28"/>
          <w:szCs w:val="28"/>
        </w:rPr>
        <w:t>环卫专用垃圾压缩转运车</w:t>
      </w:r>
      <w:r>
        <w:rPr>
          <w:rFonts w:hint="eastAsia" w:ascii="宋体" w:hAnsi="宋体" w:cs="宋体"/>
          <w:sz w:val="28"/>
          <w:szCs w:val="28"/>
          <w:lang w:val="en-US" w:eastAsia="zh-CN"/>
        </w:rPr>
        <w:t>共计配备不低于3人</w:t>
      </w:r>
      <w:r>
        <w:rPr>
          <w:rFonts w:hint="eastAsia" w:ascii="宋体" w:hAnsi="宋体" w:cs="宋体"/>
          <w:sz w:val="28"/>
          <w:szCs w:val="28"/>
          <w:lang w:eastAsia="zh-CN"/>
        </w:rPr>
        <w:t>）</w:t>
      </w:r>
      <w:r>
        <w:rPr>
          <w:rFonts w:hint="eastAsia" w:ascii="宋体" w:hAnsi="宋体" w:cs="宋体"/>
          <w:sz w:val="28"/>
          <w:szCs w:val="28"/>
        </w:rPr>
        <w:t>；</w:t>
      </w:r>
    </w:p>
    <w:p>
      <w:pPr>
        <w:spacing w:line="440" w:lineRule="exact"/>
        <w:ind w:firstLine="640"/>
        <w:rPr>
          <w:rFonts w:ascii="宋体" w:hAnsi="宋体" w:cs="宋体"/>
          <w:sz w:val="28"/>
          <w:szCs w:val="28"/>
        </w:rPr>
      </w:pPr>
      <w:r>
        <w:rPr>
          <w:rFonts w:hint="eastAsia" w:ascii="宋体" w:hAnsi="宋体" w:cs="宋体"/>
          <w:sz w:val="28"/>
          <w:szCs w:val="28"/>
        </w:rPr>
        <w:t>包件四：驾驶员配置人数不低于7人（含）</w:t>
      </w:r>
      <w:r>
        <w:rPr>
          <w:rFonts w:hint="eastAsia" w:ascii="宋体" w:hAnsi="宋体" w:cs="宋体"/>
          <w:sz w:val="28"/>
          <w:szCs w:val="28"/>
          <w:lang w:eastAsia="zh-CN"/>
        </w:rPr>
        <w:t>（</w:t>
      </w:r>
      <w:r>
        <w:rPr>
          <w:rFonts w:hint="eastAsia" w:ascii="宋体" w:hAnsi="宋体" w:cs="宋体"/>
          <w:sz w:val="28"/>
          <w:szCs w:val="28"/>
        </w:rPr>
        <w:t>环卫专用多功能洗（吸）扫车</w:t>
      </w:r>
      <w:r>
        <w:rPr>
          <w:rFonts w:hint="eastAsia" w:ascii="宋体" w:hAnsi="宋体" w:cs="宋体"/>
          <w:sz w:val="28"/>
          <w:szCs w:val="28"/>
          <w:lang w:val="en-US" w:eastAsia="zh-CN"/>
        </w:rPr>
        <w:t>及</w:t>
      </w:r>
      <w:r>
        <w:rPr>
          <w:rFonts w:hint="eastAsia" w:ascii="宋体" w:hAnsi="宋体" w:cs="宋体"/>
          <w:sz w:val="28"/>
          <w:szCs w:val="28"/>
        </w:rPr>
        <w:t>环卫专用洒水冲洗车</w:t>
      </w:r>
      <w:r>
        <w:rPr>
          <w:rFonts w:hint="eastAsia" w:ascii="宋体" w:hAnsi="宋体" w:cs="宋体"/>
          <w:sz w:val="28"/>
          <w:szCs w:val="28"/>
          <w:lang w:val="en-US" w:eastAsia="zh-CN"/>
        </w:rPr>
        <w:t>共计配备不低于3人，</w:t>
      </w:r>
      <w:r>
        <w:rPr>
          <w:rFonts w:hint="eastAsia" w:ascii="宋体" w:hAnsi="宋体" w:cs="宋体"/>
          <w:sz w:val="28"/>
          <w:szCs w:val="28"/>
        </w:rPr>
        <w:t>具有道路养护功能的环卫专用车辆</w:t>
      </w:r>
      <w:r>
        <w:rPr>
          <w:rFonts w:hint="eastAsia" w:ascii="宋体" w:hAnsi="宋体" w:cs="宋体"/>
          <w:sz w:val="28"/>
          <w:szCs w:val="28"/>
          <w:lang w:val="en-US" w:eastAsia="zh-CN"/>
        </w:rPr>
        <w:t>配备不低于1人，</w:t>
      </w:r>
      <w:r>
        <w:rPr>
          <w:rFonts w:hint="eastAsia" w:ascii="宋体" w:hAnsi="宋体" w:cs="宋体"/>
          <w:sz w:val="28"/>
          <w:szCs w:val="28"/>
        </w:rPr>
        <w:t>密闭式的环卫专用电动垃圾车</w:t>
      </w:r>
      <w:r>
        <w:rPr>
          <w:rFonts w:hint="eastAsia" w:ascii="宋体" w:hAnsi="宋体" w:cs="宋体"/>
          <w:sz w:val="28"/>
          <w:szCs w:val="28"/>
          <w:lang w:val="en-US" w:eastAsia="zh-CN"/>
        </w:rPr>
        <w:t>及</w:t>
      </w:r>
      <w:r>
        <w:rPr>
          <w:rFonts w:hint="eastAsia" w:ascii="宋体" w:hAnsi="宋体" w:cs="宋体"/>
          <w:sz w:val="28"/>
          <w:szCs w:val="28"/>
        </w:rPr>
        <w:t>环卫专用垃圾压缩转运车</w:t>
      </w:r>
      <w:r>
        <w:rPr>
          <w:rFonts w:hint="eastAsia" w:ascii="宋体" w:hAnsi="宋体" w:cs="宋体"/>
          <w:sz w:val="28"/>
          <w:szCs w:val="28"/>
          <w:lang w:val="en-US" w:eastAsia="zh-CN"/>
        </w:rPr>
        <w:t>共计配备不低于3人</w:t>
      </w:r>
      <w:r>
        <w:rPr>
          <w:rFonts w:hint="eastAsia" w:ascii="宋体" w:hAnsi="宋体" w:cs="宋体"/>
          <w:sz w:val="28"/>
          <w:szCs w:val="28"/>
          <w:lang w:eastAsia="zh-CN"/>
        </w:rPr>
        <w:t>）</w:t>
      </w:r>
      <w:r>
        <w:rPr>
          <w:rFonts w:hint="eastAsia" w:ascii="宋体" w:hAnsi="宋体" w:cs="宋体"/>
          <w:sz w:val="28"/>
          <w:szCs w:val="28"/>
        </w:rPr>
        <w:t>；</w:t>
      </w:r>
    </w:p>
    <w:p>
      <w:pPr>
        <w:spacing w:line="440" w:lineRule="exact"/>
        <w:ind w:firstLine="640"/>
        <w:rPr>
          <w:rFonts w:ascii="宋体" w:hAnsi="宋体" w:cs="宋体"/>
          <w:sz w:val="28"/>
          <w:szCs w:val="28"/>
        </w:rPr>
      </w:pPr>
      <w:r>
        <w:rPr>
          <w:rFonts w:hint="eastAsia" w:ascii="宋体" w:hAnsi="宋体" w:cs="宋体"/>
          <w:sz w:val="28"/>
          <w:szCs w:val="28"/>
        </w:rPr>
        <w:t>包件五：驾驶员配置人数不低于7人（含）</w:t>
      </w:r>
      <w:r>
        <w:rPr>
          <w:rFonts w:hint="eastAsia" w:ascii="宋体" w:hAnsi="宋体" w:cs="宋体"/>
          <w:sz w:val="28"/>
          <w:szCs w:val="28"/>
          <w:lang w:eastAsia="zh-CN"/>
        </w:rPr>
        <w:t>（</w:t>
      </w:r>
      <w:r>
        <w:rPr>
          <w:rFonts w:hint="eastAsia" w:ascii="宋体" w:hAnsi="宋体" w:cs="宋体"/>
          <w:sz w:val="28"/>
          <w:szCs w:val="28"/>
        </w:rPr>
        <w:t>环卫专用多功能洗（吸）扫车</w:t>
      </w:r>
      <w:r>
        <w:rPr>
          <w:rFonts w:hint="eastAsia" w:ascii="宋体" w:hAnsi="宋体" w:cs="宋体"/>
          <w:sz w:val="28"/>
          <w:szCs w:val="28"/>
          <w:lang w:val="en-US" w:eastAsia="zh-CN"/>
        </w:rPr>
        <w:t>及</w:t>
      </w:r>
      <w:r>
        <w:rPr>
          <w:rFonts w:hint="eastAsia" w:ascii="宋体" w:hAnsi="宋体" w:cs="宋体"/>
          <w:sz w:val="28"/>
          <w:szCs w:val="28"/>
        </w:rPr>
        <w:t>环卫专用洒水冲洗车</w:t>
      </w:r>
      <w:r>
        <w:rPr>
          <w:rFonts w:hint="eastAsia" w:ascii="宋体" w:hAnsi="宋体" w:cs="宋体"/>
          <w:sz w:val="28"/>
          <w:szCs w:val="28"/>
          <w:lang w:val="en-US" w:eastAsia="zh-CN"/>
        </w:rPr>
        <w:t>共计配备不低于3人，</w:t>
      </w:r>
      <w:r>
        <w:rPr>
          <w:rFonts w:hint="eastAsia" w:ascii="宋体" w:hAnsi="宋体" w:cs="宋体"/>
          <w:sz w:val="28"/>
          <w:szCs w:val="28"/>
        </w:rPr>
        <w:t>具有道路养护功能的环卫专用车辆</w:t>
      </w:r>
      <w:r>
        <w:rPr>
          <w:rFonts w:hint="eastAsia" w:ascii="宋体" w:hAnsi="宋体" w:cs="宋体"/>
          <w:sz w:val="28"/>
          <w:szCs w:val="28"/>
          <w:lang w:val="en-US" w:eastAsia="zh-CN"/>
        </w:rPr>
        <w:t>配备不低于1人，</w:t>
      </w:r>
      <w:r>
        <w:rPr>
          <w:rFonts w:hint="eastAsia" w:ascii="宋体" w:hAnsi="宋体" w:cs="宋体"/>
          <w:sz w:val="28"/>
          <w:szCs w:val="28"/>
        </w:rPr>
        <w:t>密闭式的环卫专用电动垃圾车</w:t>
      </w:r>
      <w:r>
        <w:rPr>
          <w:rFonts w:hint="eastAsia" w:ascii="宋体" w:hAnsi="宋体" w:cs="宋体"/>
          <w:sz w:val="28"/>
          <w:szCs w:val="28"/>
          <w:lang w:val="en-US" w:eastAsia="zh-CN"/>
        </w:rPr>
        <w:t>及</w:t>
      </w:r>
      <w:r>
        <w:rPr>
          <w:rFonts w:hint="eastAsia" w:ascii="宋体" w:hAnsi="宋体" w:cs="宋体"/>
          <w:sz w:val="28"/>
          <w:szCs w:val="28"/>
        </w:rPr>
        <w:t>环卫专用垃圾压缩转运车</w:t>
      </w:r>
      <w:r>
        <w:rPr>
          <w:rFonts w:hint="eastAsia" w:ascii="宋体" w:hAnsi="宋体" w:cs="宋体"/>
          <w:sz w:val="28"/>
          <w:szCs w:val="28"/>
          <w:lang w:val="en-US" w:eastAsia="zh-CN"/>
        </w:rPr>
        <w:t>共计配备不低于3人</w:t>
      </w:r>
      <w:r>
        <w:rPr>
          <w:rFonts w:hint="eastAsia" w:ascii="宋体" w:hAnsi="宋体" w:cs="宋体"/>
          <w:sz w:val="28"/>
          <w:szCs w:val="28"/>
          <w:lang w:eastAsia="zh-CN"/>
        </w:rPr>
        <w:t>）</w:t>
      </w:r>
      <w:r>
        <w:rPr>
          <w:rFonts w:hint="eastAsia" w:ascii="宋体" w:hAnsi="宋体" w:cs="宋体"/>
          <w:sz w:val="28"/>
          <w:szCs w:val="28"/>
        </w:rPr>
        <w:t>；</w:t>
      </w:r>
    </w:p>
    <w:p>
      <w:pPr>
        <w:spacing w:line="440" w:lineRule="exact"/>
        <w:ind w:firstLine="640"/>
        <w:rPr>
          <w:rFonts w:ascii="宋体" w:hAnsi="宋体" w:cs="宋体"/>
          <w:sz w:val="28"/>
          <w:szCs w:val="28"/>
        </w:rPr>
      </w:pPr>
      <w:r>
        <w:rPr>
          <w:rFonts w:hint="eastAsia" w:ascii="宋体" w:hAnsi="宋体" w:cs="宋体"/>
          <w:sz w:val="28"/>
          <w:szCs w:val="28"/>
        </w:rPr>
        <w:t>3、公厕保洁人员配置人数：</w:t>
      </w:r>
    </w:p>
    <w:p>
      <w:pPr>
        <w:spacing w:line="440" w:lineRule="exact"/>
        <w:ind w:firstLine="640"/>
        <w:rPr>
          <w:rFonts w:ascii="宋体" w:hAnsi="宋体" w:cs="宋体"/>
          <w:sz w:val="28"/>
          <w:szCs w:val="28"/>
        </w:rPr>
      </w:pPr>
      <w:r>
        <w:rPr>
          <w:rFonts w:hint="eastAsia" w:ascii="宋体" w:hAnsi="宋体" w:cs="宋体"/>
          <w:sz w:val="28"/>
          <w:szCs w:val="28"/>
        </w:rPr>
        <w:t>包件一：公厕保洁人员配置人数不低于1人（含）；</w:t>
      </w:r>
    </w:p>
    <w:p>
      <w:pPr>
        <w:spacing w:line="440" w:lineRule="exact"/>
        <w:ind w:firstLine="640"/>
        <w:rPr>
          <w:rFonts w:ascii="宋体" w:hAnsi="宋体" w:cs="宋体"/>
          <w:sz w:val="28"/>
          <w:szCs w:val="28"/>
        </w:rPr>
      </w:pPr>
      <w:r>
        <w:rPr>
          <w:rFonts w:hint="eastAsia" w:ascii="宋体" w:hAnsi="宋体" w:cs="宋体"/>
          <w:sz w:val="28"/>
          <w:szCs w:val="28"/>
        </w:rPr>
        <w:t>包件三：公厕保洁人员配置人数不低于1人（含）；</w:t>
      </w:r>
    </w:p>
    <w:p>
      <w:pPr>
        <w:spacing w:line="440" w:lineRule="exact"/>
        <w:ind w:firstLine="640"/>
        <w:rPr>
          <w:rFonts w:ascii="宋体" w:hAnsi="宋体" w:cs="宋体"/>
          <w:sz w:val="28"/>
          <w:szCs w:val="28"/>
        </w:rPr>
      </w:pPr>
      <w:r>
        <w:rPr>
          <w:rFonts w:hint="eastAsia" w:ascii="宋体" w:hAnsi="宋体" w:cs="宋体"/>
          <w:sz w:val="28"/>
          <w:szCs w:val="28"/>
        </w:rPr>
        <w:t>包件五：公厕保洁人员配置人数不低于2人（含）；</w:t>
      </w:r>
    </w:p>
    <w:p>
      <w:pPr>
        <w:spacing w:line="440" w:lineRule="exact"/>
        <w:ind w:firstLine="640"/>
        <w:rPr>
          <w:rFonts w:ascii="宋体" w:hAnsi="宋体" w:cs="宋体"/>
          <w:sz w:val="28"/>
          <w:szCs w:val="28"/>
        </w:rPr>
      </w:pPr>
      <w:r>
        <w:rPr>
          <w:rFonts w:hint="eastAsia" w:ascii="宋体" w:hAnsi="宋体" w:cs="宋体"/>
          <w:sz w:val="28"/>
          <w:szCs w:val="28"/>
        </w:rPr>
        <w:t>4、</w:t>
      </w:r>
      <w:r>
        <w:rPr>
          <w:rFonts w:ascii="宋体" w:hAnsi="宋体" w:cs="宋体"/>
          <w:sz w:val="28"/>
          <w:szCs w:val="28"/>
        </w:rPr>
        <w:t>环卫作业单位管理人员数量及配置要求：</w:t>
      </w:r>
    </w:p>
    <w:p>
      <w:pPr>
        <w:spacing w:line="440" w:lineRule="exact"/>
        <w:ind w:firstLine="640"/>
        <w:rPr>
          <w:rFonts w:ascii="宋体" w:hAnsi="宋体" w:cs="宋体"/>
          <w:sz w:val="28"/>
          <w:szCs w:val="28"/>
        </w:rPr>
      </w:pPr>
      <w:r>
        <w:rPr>
          <w:rFonts w:hint="eastAsia" w:ascii="宋体" w:hAnsi="宋体" w:cs="宋体"/>
          <w:sz w:val="28"/>
          <w:szCs w:val="28"/>
        </w:rPr>
        <w:t>各包</w:t>
      </w:r>
      <w:r>
        <w:rPr>
          <w:rFonts w:ascii="宋体" w:hAnsi="宋体" w:cs="宋体"/>
          <w:sz w:val="28"/>
          <w:szCs w:val="28"/>
        </w:rPr>
        <w:t>环卫作业现场督查人数</w:t>
      </w:r>
      <w:r>
        <w:rPr>
          <w:rFonts w:hint="eastAsia" w:ascii="宋体" w:hAnsi="宋体" w:cs="宋体"/>
          <w:sz w:val="28"/>
          <w:szCs w:val="28"/>
        </w:rPr>
        <w:t>均需</w:t>
      </w:r>
      <w:r>
        <w:rPr>
          <w:rFonts w:ascii="宋体" w:hAnsi="宋体" w:cs="宋体"/>
          <w:sz w:val="28"/>
          <w:szCs w:val="28"/>
        </w:rPr>
        <w:t>另按不低于保洁人员人数5%（含）配备</w:t>
      </w:r>
      <w:r>
        <w:rPr>
          <w:rFonts w:hint="eastAsia" w:ascii="宋体" w:hAnsi="宋体" w:cs="宋体"/>
          <w:sz w:val="28"/>
          <w:szCs w:val="28"/>
        </w:rPr>
        <w:t>，配置督查交通工具（两轮电瓶车，式样统一）</w:t>
      </w:r>
      <w:r>
        <w:rPr>
          <w:rFonts w:ascii="宋体" w:hAnsi="宋体" w:cs="宋体"/>
          <w:sz w:val="28"/>
          <w:szCs w:val="28"/>
        </w:rPr>
        <w:t>。</w:t>
      </w:r>
    </w:p>
    <w:p>
      <w:pPr>
        <w:spacing w:line="440" w:lineRule="exact"/>
        <w:ind w:firstLine="640"/>
        <w:rPr>
          <w:rFonts w:hint="eastAsia" w:ascii="宋体" w:hAnsi="宋体" w:cs="宋体"/>
          <w:b/>
          <w:bCs/>
          <w:sz w:val="28"/>
          <w:szCs w:val="28"/>
          <w:lang w:val="en-US" w:eastAsia="zh-CN"/>
        </w:rPr>
      </w:pPr>
      <w:r>
        <w:rPr>
          <w:rFonts w:hint="eastAsia" w:ascii="宋体" w:hAnsi="宋体" w:cs="宋体"/>
          <w:b/>
          <w:bCs/>
          <w:sz w:val="28"/>
          <w:szCs w:val="28"/>
        </w:rPr>
        <w:t>【注：</w:t>
      </w:r>
      <w:r>
        <w:rPr>
          <w:rFonts w:hint="eastAsia" w:ascii="宋体" w:hAnsi="宋体" w:cs="宋体"/>
          <w:b/>
          <w:bCs/>
          <w:sz w:val="28"/>
          <w:szCs w:val="28"/>
          <w:lang w:val="en-US" w:eastAsia="zh-CN"/>
        </w:rPr>
        <w:t>1、以上人员需提供身份证明材料并加盖投标人公章；</w:t>
      </w:r>
    </w:p>
    <w:p>
      <w:pPr>
        <w:spacing w:line="440" w:lineRule="exact"/>
        <w:ind w:firstLine="640"/>
        <w:rPr>
          <w:rFonts w:ascii="宋体" w:hAnsi="宋体" w:cs="宋体"/>
          <w:b/>
          <w:bCs/>
          <w:sz w:val="28"/>
          <w:szCs w:val="28"/>
        </w:rPr>
      </w:pPr>
      <w:r>
        <w:rPr>
          <w:rFonts w:hint="eastAsia" w:ascii="宋体" w:hAnsi="宋体" w:cs="宋体"/>
          <w:b/>
          <w:bCs/>
          <w:sz w:val="28"/>
          <w:szCs w:val="28"/>
          <w:lang w:val="en-US" w:eastAsia="zh-CN"/>
        </w:rPr>
        <w:t>2、</w:t>
      </w:r>
      <w:r>
        <w:rPr>
          <w:rFonts w:hint="eastAsia" w:ascii="宋体" w:hAnsi="宋体" w:cs="宋体"/>
          <w:b/>
          <w:bCs/>
          <w:sz w:val="28"/>
          <w:szCs w:val="28"/>
        </w:rPr>
        <w:t>机动车驾驶员须持相应的驾驶执照，须提供驾驶执照复印件并加盖投标人公章。】</w:t>
      </w:r>
    </w:p>
    <w:p>
      <w:pPr>
        <w:spacing w:line="440" w:lineRule="exact"/>
        <w:ind w:firstLine="640"/>
        <w:rPr>
          <w:rFonts w:ascii="宋体" w:hAnsi="宋体" w:cs="宋体"/>
          <w:sz w:val="28"/>
          <w:szCs w:val="28"/>
        </w:rPr>
      </w:pPr>
    </w:p>
    <w:p>
      <w:pPr>
        <w:spacing w:line="440" w:lineRule="exact"/>
        <w:ind w:firstLine="640"/>
        <w:outlineLvl w:val="2"/>
        <w:rPr>
          <w:rFonts w:ascii="宋体" w:hAnsi="宋体" w:cs="宋体"/>
          <w:sz w:val="28"/>
          <w:szCs w:val="28"/>
        </w:rPr>
      </w:pPr>
      <w:r>
        <w:rPr>
          <w:rFonts w:hint="eastAsia" w:ascii="宋体" w:hAnsi="宋体" w:cs="宋体"/>
          <w:sz w:val="28"/>
          <w:szCs w:val="28"/>
        </w:rPr>
        <w:t>★（四）机具配置及规格要求</w:t>
      </w:r>
    </w:p>
    <w:p>
      <w:pPr>
        <w:spacing w:line="440" w:lineRule="exact"/>
        <w:ind w:firstLine="640"/>
        <w:rPr>
          <w:rFonts w:ascii="宋体" w:hAnsi="宋体" w:cs="宋体"/>
          <w:b/>
          <w:bCs/>
          <w:sz w:val="28"/>
          <w:szCs w:val="28"/>
        </w:rPr>
      </w:pPr>
      <w:r>
        <w:rPr>
          <w:rFonts w:hint="eastAsia" w:ascii="宋体" w:hAnsi="宋体" w:cs="宋体"/>
          <w:b/>
          <w:bCs/>
          <w:sz w:val="28"/>
          <w:szCs w:val="28"/>
        </w:rPr>
        <w:t>包件一机具配置及规格要求：</w:t>
      </w:r>
    </w:p>
    <w:p>
      <w:pPr>
        <w:spacing w:line="440" w:lineRule="exact"/>
        <w:ind w:firstLine="640"/>
        <w:rPr>
          <w:rFonts w:ascii="宋体" w:hAnsi="宋体" w:cs="宋体"/>
          <w:sz w:val="28"/>
          <w:szCs w:val="28"/>
        </w:rPr>
      </w:pPr>
      <w:r>
        <w:rPr>
          <w:rFonts w:hint="eastAsia" w:ascii="宋体" w:hAnsi="宋体" w:cs="宋体"/>
          <w:sz w:val="28"/>
          <w:szCs w:val="28"/>
        </w:rPr>
        <w:t>①环卫专用多功能洗（吸）扫车：不低于1台（含）【规格：核定载质量4吨及以上（含）】；</w:t>
      </w:r>
    </w:p>
    <w:p>
      <w:pPr>
        <w:spacing w:line="440" w:lineRule="exact"/>
        <w:ind w:firstLine="640"/>
        <w:rPr>
          <w:rFonts w:ascii="宋体" w:hAnsi="宋体" w:cs="宋体"/>
          <w:sz w:val="28"/>
          <w:szCs w:val="28"/>
        </w:rPr>
      </w:pPr>
      <w:r>
        <w:rPr>
          <w:rFonts w:hint="eastAsia" w:ascii="宋体" w:hAnsi="宋体" w:cs="宋体"/>
          <w:sz w:val="28"/>
          <w:szCs w:val="28"/>
        </w:rPr>
        <w:t>②环卫专用洒水冲洗车：不低于1台（含）【规格：</w:t>
      </w:r>
      <w:r>
        <w:rPr>
          <w:rFonts w:hint="eastAsia" w:ascii="宋体" w:hAnsi="宋体" w:cs="宋体"/>
          <w:sz w:val="28"/>
          <w:szCs w:val="28"/>
          <w:highlight w:val="yellow"/>
        </w:rPr>
        <w:t>核定载质量</w:t>
      </w:r>
      <w:r>
        <w:rPr>
          <w:rFonts w:hint="eastAsia" w:ascii="宋体" w:hAnsi="宋体" w:cs="宋体"/>
          <w:sz w:val="28"/>
          <w:szCs w:val="28"/>
        </w:rPr>
        <w:t>7吨及以上（含）】；</w:t>
      </w:r>
    </w:p>
    <w:p>
      <w:pPr>
        <w:spacing w:line="440" w:lineRule="exact"/>
        <w:ind w:firstLine="640"/>
        <w:rPr>
          <w:rFonts w:ascii="宋体" w:hAnsi="宋体" w:cs="宋体"/>
          <w:sz w:val="28"/>
          <w:szCs w:val="28"/>
        </w:rPr>
      </w:pPr>
      <w:r>
        <w:rPr>
          <w:rFonts w:hint="eastAsia" w:ascii="宋体" w:hAnsi="宋体" w:cs="宋体"/>
          <w:sz w:val="28"/>
          <w:szCs w:val="28"/>
        </w:rPr>
        <w:t>③环卫专用电动扫地车：不低于1台（含）【规格：小型或轻型】；</w:t>
      </w:r>
    </w:p>
    <w:p>
      <w:pPr>
        <w:spacing w:line="440" w:lineRule="exact"/>
        <w:ind w:firstLine="640"/>
        <w:rPr>
          <w:rFonts w:ascii="宋体" w:hAnsi="宋体" w:cs="宋体"/>
          <w:sz w:val="28"/>
          <w:szCs w:val="28"/>
        </w:rPr>
      </w:pPr>
      <w:r>
        <w:rPr>
          <w:rFonts w:hint="eastAsia" w:ascii="宋体" w:hAnsi="宋体" w:cs="宋体"/>
          <w:sz w:val="28"/>
          <w:szCs w:val="28"/>
        </w:rPr>
        <w:t>④环卫专用具有清洗功能的电动车辆：不低于1台（含）【规格：小型】；</w:t>
      </w:r>
    </w:p>
    <w:p>
      <w:pPr>
        <w:spacing w:line="440" w:lineRule="exact"/>
        <w:ind w:firstLine="640"/>
        <w:rPr>
          <w:rFonts w:ascii="宋体" w:hAnsi="宋体" w:cs="宋体"/>
          <w:sz w:val="28"/>
          <w:szCs w:val="28"/>
        </w:rPr>
      </w:pPr>
      <w:r>
        <w:rPr>
          <w:rFonts w:hint="eastAsia" w:ascii="宋体" w:hAnsi="宋体" w:cs="宋体"/>
          <w:sz w:val="28"/>
          <w:szCs w:val="28"/>
        </w:rPr>
        <w:t>⑤环卫专用电动三轮快速保洁车：不低于5台（含）；</w:t>
      </w:r>
    </w:p>
    <w:p>
      <w:pPr>
        <w:spacing w:line="440" w:lineRule="exact"/>
        <w:ind w:firstLine="640"/>
        <w:rPr>
          <w:rFonts w:ascii="宋体" w:hAnsi="宋体" w:cs="宋体"/>
          <w:sz w:val="28"/>
          <w:szCs w:val="28"/>
        </w:rPr>
      </w:pPr>
      <w:r>
        <w:rPr>
          <w:rFonts w:hint="eastAsia" w:ascii="宋体" w:hAnsi="宋体" w:cs="宋体"/>
          <w:sz w:val="28"/>
          <w:szCs w:val="28"/>
        </w:rPr>
        <w:t>⑥具有道路养护功能的环卫专用车辆：不低于1台（含）；</w:t>
      </w:r>
    </w:p>
    <w:p>
      <w:pPr>
        <w:spacing w:line="440" w:lineRule="exact"/>
        <w:ind w:firstLine="640"/>
        <w:rPr>
          <w:rFonts w:ascii="宋体" w:hAnsi="宋体" w:cs="宋体"/>
          <w:sz w:val="28"/>
          <w:szCs w:val="28"/>
        </w:rPr>
      </w:pPr>
      <w:r>
        <w:rPr>
          <w:rFonts w:hint="eastAsia" w:ascii="宋体" w:hAnsi="宋体" w:cs="宋体"/>
          <w:sz w:val="28"/>
          <w:szCs w:val="28"/>
        </w:rPr>
        <w:t>⑦密闭式的环卫专用电动垃圾车：不低于2台（含）【规格：核定载质量0.5吨及以上（含）】；</w:t>
      </w:r>
    </w:p>
    <w:p>
      <w:pPr>
        <w:spacing w:line="440" w:lineRule="exact"/>
        <w:ind w:firstLine="640"/>
        <w:rPr>
          <w:rFonts w:ascii="宋体" w:hAnsi="宋体" w:cs="宋体"/>
          <w:sz w:val="28"/>
          <w:szCs w:val="28"/>
        </w:rPr>
      </w:pPr>
      <w:r>
        <w:rPr>
          <w:rFonts w:hint="eastAsia" w:ascii="宋体" w:hAnsi="宋体" w:cs="宋体"/>
          <w:sz w:val="28"/>
          <w:szCs w:val="28"/>
        </w:rPr>
        <w:t>⑧环卫专用垃圾压缩转运车：不低于1台（含）【规格：核定载质量7吨及以上（含）】；</w:t>
      </w:r>
    </w:p>
    <w:p>
      <w:pPr>
        <w:spacing w:line="440" w:lineRule="exact"/>
        <w:ind w:firstLine="640"/>
        <w:rPr>
          <w:rFonts w:ascii="宋体" w:hAnsi="宋体" w:cs="宋体"/>
          <w:sz w:val="28"/>
          <w:szCs w:val="28"/>
        </w:rPr>
      </w:pPr>
      <w:r>
        <w:rPr>
          <w:rFonts w:hint="eastAsia" w:ascii="宋体" w:hAnsi="宋体" w:cs="宋体"/>
          <w:sz w:val="28"/>
          <w:szCs w:val="28"/>
        </w:rPr>
        <w:t>⑨公司督查人员交通工具（两轮电瓶车，样式统一）按不低于保洁员人数5%（含）配备；</w:t>
      </w:r>
    </w:p>
    <w:p>
      <w:pPr>
        <w:spacing w:line="440" w:lineRule="exact"/>
        <w:ind w:firstLine="640"/>
        <w:rPr>
          <w:rFonts w:ascii="宋体" w:hAnsi="宋体" w:cs="宋体"/>
          <w:sz w:val="28"/>
          <w:szCs w:val="28"/>
        </w:rPr>
      </w:pPr>
      <w:r>
        <w:rPr>
          <w:rFonts w:hint="eastAsia" w:ascii="宋体" w:hAnsi="宋体" w:cs="宋体"/>
          <w:sz w:val="28"/>
          <w:szCs w:val="28"/>
        </w:rPr>
        <w:t>⑩投标人须提供包件路段巡查车（仅限于机动车）不低于1 辆，专用于中标包件的日常全线巡查检查。</w:t>
      </w:r>
    </w:p>
    <w:p>
      <w:pPr>
        <w:spacing w:line="440" w:lineRule="exact"/>
        <w:ind w:firstLine="640"/>
        <w:rPr>
          <w:rFonts w:ascii="宋体" w:hAnsi="宋体" w:cs="宋体"/>
          <w:sz w:val="28"/>
          <w:szCs w:val="28"/>
        </w:rPr>
      </w:pPr>
    </w:p>
    <w:p>
      <w:pPr>
        <w:spacing w:line="440" w:lineRule="exact"/>
        <w:ind w:firstLine="640"/>
        <w:rPr>
          <w:rFonts w:ascii="宋体" w:hAnsi="宋体" w:cs="宋体"/>
          <w:b/>
          <w:bCs/>
          <w:sz w:val="28"/>
          <w:szCs w:val="28"/>
        </w:rPr>
      </w:pPr>
      <w:r>
        <w:rPr>
          <w:rFonts w:hint="eastAsia" w:ascii="宋体" w:hAnsi="宋体" w:cs="宋体"/>
          <w:b/>
          <w:bCs/>
          <w:sz w:val="28"/>
          <w:szCs w:val="28"/>
        </w:rPr>
        <w:t>包件二机具配置及规格要求：</w:t>
      </w:r>
    </w:p>
    <w:p>
      <w:pPr>
        <w:spacing w:line="440" w:lineRule="exact"/>
        <w:ind w:firstLine="640"/>
        <w:rPr>
          <w:rFonts w:ascii="宋体" w:hAnsi="宋体" w:cs="宋体"/>
          <w:sz w:val="28"/>
          <w:szCs w:val="28"/>
        </w:rPr>
      </w:pPr>
      <w:r>
        <w:rPr>
          <w:rFonts w:hint="eastAsia" w:ascii="宋体" w:hAnsi="宋体" w:cs="宋体"/>
          <w:sz w:val="28"/>
          <w:szCs w:val="28"/>
        </w:rPr>
        <w:t>①环卫专用多功能洗（吸）扫车：不低于1台（含）【规格：核定载质量4吨及以上（含）】；</w:t>
      </w:r>
    </w:p>
    <w:p>
      <w:pPr>
        <w:spacing w:line="440" w:lineRule="exact"/>
        <w:ind w:firstLine="640"/>
        <w:rPr>
          <w:rFonts w:ascii="宋体" w:hAnsi="宋体" w:cs="宋体"/>
          <w:sz w:val="28"/>
          <w:szCs w:val="28"/>
        </w:rPr>
      </w:pPr>
      <w:r>
        <w:rPr>
          <w:rFonts w:hint="eastAsia" w:ascii="宋体" w:hAnsi="宋体" w:cs="宋体"/>
          <w:sz w:val="28"/>
          <w:szCs w:val="28"/>
        </w:rPr>
        <w:t>②环卫专用洒水冲洗车：不低于1台（含）【规格：</w:t>
      </w:r>
      <w:r>
        <w:rPr>
          <w:rFonts w:hint="eastAsia" w:ascii="宋体" w:hAnsi="宋体" w:cs="宋体"/>
          <w:sz w:val="28"/>
          <w:szCs w:val="28"/>
          <w:highlight w:val="yellow"/>
        </w:rPr>
        <w:t>核定载质量</w:t>
      </w:r>
      <w:r>
        <w:rPr>
          <w:rFonts w:hint="eastAsia" w:ascii="宋体" w:hAnsi="宋体" w:cs="宋体"/>
          <w:sz w:val="28"/>
          <w:szCs w:val="28"/>
        </w:rPr>
        <w:t>7吨及以上（含）】；</w:t>
      </w:r>
    </w:p>
    <w:p>
      <w:pPr>
        <w:spacing w:line="440" w:lineRule="exact"/>
        <w:ind w:firstLine="640"/>
        <w:rPr>
          <w:rFonts w:ascii="宋体" w:hAnsi="宋体" w:cs="宋体"/>
          <w:sz w:val="28"/>
          <w:szCs w:val="28"/>
        </w:rPr>
      </w:pPr>
      <w:r>
        <w:rPr>
          <w:rFonts w:hint="eastAsia" w:ascii="宋体" w:hAnsi="宋体" w:cs="宋体"/>
          <w:sz w:val="28"/>
          <w:szCs w:val="28"/>
        </w:rPr>
        <w:t>③环卫专用电动扫地车：不低于1台（含）【规格：小型】；</w:t>
      </w:r>
    </w:p>
    <w:p>
      <w:pPr>
        <w:spacing w:line="440" w:lineRule="exact"/>
        <w:ind w:firstLine="640"/>
        <w:rPr>
          <w:rFonts w:ascii="宋体" w:hAnsi="宋体" w:cs="宋体"/>
          <w:sz w:val="28"/>
          <w:szCs w:val="28"/>
        </w:rPr>
      </w:pPr>
      <w:r>
        <w:rPr>
          <w:rFonts w:hint="eastAsia" w:ascii="宋体" w:hAnsi="宋体" w:cs="宋体"/>
          <w:sz w:val="28"/>
          <w:szCs w:val="28"/>
        </w:rPr>
        <w:t>④环卫专用具有清洗功能的电动车辆：不低于1台（含）【规格：小型】；</w:t>
      </w:r>
    </w:p>
    <w:p>
      <w:pPr>
        <w:spacing w:line="440" w:lineRule="exact"/>
        <w:ind w:firstLine="640"/>
        <w:rPr>
          <w:rFonts w:ascii="宋体" w:hAnsi="宋体" w:cs="宋体"/>
          <w:sz w:val="28"/>
          <w:szCs w:val="28"/>
        </w:rPr>
      </w:pPr>
      <w:r>
        <w:rPr>
          <w:rFonts w:hint="eastAsia" w:ascii="宋体" w:hAnsi="宋体" w:cs="宋体"/>
          <w:sz w:val="28"/>
          <w:szCs w:val="28"/>
        </w:rPr>
        <w:t>⑤环卫专用电动三轮快速保洁车：不低于6台（含）；</w:t>
      </w:r>
    </w:p>
    <w:p>
      <w:pPr>
        <w:spacing w:line="440" w:lineRule="exact"/>
        <w:ind w:firstLine="640"/>
        <w:rPr>
          <w:rFonts w:hint="eastAsia" w:ascii="宋体" w:hAnsi="宋体" w:cs="宋体"/>
          <w:sz w:val="28"/>
          <w:szCs w:val="28"/>
        </w:rPr>
      </w:pPr>
      <w:r>
        <w:rPr>
          <w:rFonts w:hint="eastAsia" w:ascii="宋体" w:hAnsi="宋体" w:cs="宋体"/>
          <w:sz w:val="28"/>
          <w:szCs w:val="28"/>
        </w:rPr>
        <w:t>⑥具有道路养护功能的环卫专用车辆：不低于1台（含）；</w:t>
      </w:r>
    </w:p>
    <w:p>
      <w:pPr>
        <w:spacing w:line="440" w:lineRule="exact"/>
        <w:ind w:firstLine="640"/>
        <w:rPr>
          <w:rFonts w:ascii="宋体" w:hAnsi="宋体" w:cs="宋体"/>
          <w:sz w:val="28"/>
          <w:szCs w:val="28"/>
        </w:rPr>
      </w:pPr>
      <w:r>
        <w:rPr>
          <w:rFonts w:hint="eastAsia" w:ascii="宋体" w:hAnsi="宋体" w:cs="宋体"/>
          <w:sz w:val="28"/>
          <w:szCs w:val="28"/>
        </w:rPr>
        <w:t>⑦密闭式的环卫专用电动垃圾车：不低于2台（含）【规格：核定载质量0.5吨及以上（含）】；</w:t>
      </w:r>
    </w:p>
    <w:p>
      <w:pPr>
        <w:spacing w:line="440" w:lineRule="exact"/>
        <w:ind w:firstLine="640"/>
        <w:rPr>
          <w:rFonts w:ascii="宋体" w:hAnsi="宋体" w:cs="宋体"/>
          <w:sz w:val="28"/>
          <w:szCs w:val="28"/>
        </w:rPr>
      </w:pPr>
      <w:r>
        <w:rPr>
          <w:rFonts w:hint="eastAsia" w:ascii="宋体" w:hAnsi="宋体" w:cs="宋体"/>
          <w:sz w:val="28"/>
          <w:szCs w:val="28"/>
        </w:rPr>
        <w:t>⑧环卫专用垃圾压缩转运车：不低于1台（含）【规格：核定载质量7吨及以上（含）】；</w:t>
      </w:r>
    </w:p>
    <w:p>
      <w:pPr>
        <w:spacing w:line="440" w:lineRule="exact"/>
        <w:ind w:firstLine="640"/>
        <w:rPr>
          <w:rFonts w:ascii="宋体" w:hAnsi="宋体" w:cs="宋体"/>
          <w:sz w:val="28"/>
          <w:szCs w:val="28"/>
        </w:rPr>
      </w:pPr>
      <w:r>
        <w:rPr>
          <w:rFonts w:hint="eastAsia" w:ascii="宋体" w:hAnsi="宋体" w:cs="宋体"/>
          <w:sz w:val="28"/>
          <w:szCs w:val="28"/>
        </w:rPr>
        <w:t>⑨公司督查人员交通工具（两轮电瓶车，样式统一）按不低于保洁员人数5%（含）配备；</w:t>
      </w:r>
    </w:p>
    <w:p>
      <w:pPr>
        <w:spacing w:line="440" w:lineRule="exact"/>
        <w:ind w:firstLine="640"/>
        <w:rPr>
          <w:rFonts w:ascii="宋体" w:hAnsi="宋体" w:cs="宋体"/>
          <w:sz w:val="28"/>
          <w:szCs w:val="28"/>
        </w:rPr>
      </w:pPr>
      <w:r>
        <w:rPr>
          <w:rFonts w:hint="eastAsia" w:ascii="宋体" w:hAnsi="宋体" w:cs="宋体"/>
          <w:sz w:val="28"/>
          <w:szCs w:val="28"/>
        </w:rPr>
        <w:t>⑩投标人须提供包件路段巡查车（仅限于机动车）不低于1 辆，专用于中标包件的日常全线巡查检查。</w:t>
      </w:r>
    </w:p>
    <w:p>
      <w:pPr>
        <w:spacing w:line="440" w:lineRule="exact"/>
        <w:ind w:firstLine="640"/>
        <w:rPr>
          <w:rFonts w:ascii="宋体" w:hAnsi="宋体" w:cs="宋体"/>
          <w:sz w:val="28"/>
          <w:szCs w:val="28"/>
        </w:rPr>
      </w:pPr>
    </w:p>
    <w:p>
      <w:pPr>
        <w:spacing w:line="440" w:lineRule="exact"/>
        <w:ind w:firstLine="640"/>
        <w:rPr>
          <w:rFonts w:ascii="宋体" w:hAnsi="宋体" w:cs="宋体"/>
          <w:b/>
          <w:bCs/>
          <w:sz w:val="28"/>
          <w:szCs w:val="28"/>
        </w:rPr>
      </w:pPr>
      <w:r>
        <w:rPr>
          <w:rFonts w:hint="eastAsia" w:ascii="宋体" w:hAnsi="宋体" w:cs="宋体"/>
          <w:b/>
          <w:bCs/>
          <w:sz w:val="28"/>
          <w:szCs w:val="28"/>
        </w:rPr>
        <w:t>包件三机具配置及规格要求：</w:t>
      </w:r>
    </w:p>
    <w:p>
      <w:pPr>
        <w:spacing w:line="440" w:lineRule="exact"/>
        <w:ind w:firstLine="640"/>
        <w:rPr>
          <w:rFonts w:ascii="宋体" w:hAnsi="宋体" w:cs="宋体"/>
          <w:sz w:val="28"/>
          <w:szCs w:val="28"/>
        </w:rPr>
      </w:pPr>
      <w:r>
        <w:rPr>
          <w:rFonts w:hint="eastAsia" w:ascii="宋体" w:hAnsi="宋体" w:cs="宋体"/>
          <w:sz w:val="28"/>
          <w:szCs w:val="28"/>
        </w:rPr>
        <w:t>①环卫专用多功能洗（吸）扫车：不低于1台（含）【规格：核定载质量4吨及以上（含）】；</w:t>
      </w:r>
    </w:p>
    <w:p>
      <w:pPr>
        <w:spacing w:line="440" w:lineRule="exact"/>
        <w:ind w:firstLine="640"/>
        <w:rPr>
          <w:rFonts w:ascii="宋体" w:hAnsi="宋体" w:cs="宋体"/>
          <w:sz w:val="28"/>
          <w:szCs w:val="28"/>
        </w:rPr>
      </w:pPr>
      <w:r>
        <w:rPr>
          <w:rFonts w:hint="eastAsia" w:ascii="宋体" w:hAnsi="宋体" w:cs="宋体"/>
          <w:sz w:val="28"/>
          <w:szCs w:val="28"/>
        </w:rPr>
        <w:t>②环卫专用洒水冲洗车：不低于1台（含）【规格：</w:t>
      </w:r>
      <w:r>
        <w:rPr>
          <w:rFonts w:hint="eastAsia" w:ascii="宋体" w:hAnsi="宋体" w:cs="宋体"/>
          <w:sz w:val="28"/>
          <w:szCs w:val="28"/>
          <w:highlight w:val="yellow"/>
        </w:rPr>
        <w:t>核定载质量</w:t>
      </w:r>
      <w:r>
        <w:rPr>
          <w:rFonts w:hint="eastAsia" w:ascii="宋体" w:hAnsi="宋体" w:cs="宋体"/>
          <w:sz w:val="28"/>
          <w:szCs w:val="28"/>
        </w:rPr>
        <w:t>7吨及以上（含）】；</w:t>
      </w:r>
    </w:p>
    <w:p>
      <w:pPr>
        <w:spacing w:line="440" w:lineRule="exact"/>
        <w:ind w:firstLine="640"/>
        <w:rPr>
          <w:rFonts w:ascii="宋体" w:hAnsi="宋体" w:cs="宋体"/>
          <w:sz w:val="28"/>
          <w:szCs w:val="28"/>
        </w:rPr>
      </w:pPr>
      <w:r>
        <w:rPr>
          <w:rFonts w:hint="eastAsia" w:ascii="宋体" w:hAnsi="宋体" w:cs="宋体"/>
          <w:sz w:val="28"/>
          <w:szCs w:val="28"/>
        </w:rPr>
        <w:t>③环卫专用电动扫地车：不低于1台（含）【规格：小型】；</w:t>
      </w:r>
    </w:p>
    <w:p>
      <w:pPr>
        <w:spacing w:line="440" w:lineRule="exact"/>
        <w:ind w:firstLine="640"/>
        <w:rPr>
          <w:rFonts w:ascii="宋体" w:hAnsi="宋体" w:cs="宋体"/>
          <w:sz w:val="28"/>
          <w:szCs w:val="28"/>
        </w:rPr>
      </w:pPr>
      <w:r>
        <w:rPr>
          <w:rFonts w:hint="eastAsia" w:ascii="宋体" w:hAnsi="宋体" w:cs="宋体"/>
          <w:sz w:val="28"/>
          <w:szCs w:val="28"/>
        </w:rPr>
        <w:t>④环卫专用具有清洗功能的电动车辆：不低于1台（含）【规格：小型】；</w:t>
      </w:r>
    </w:p>
    <w:p>
      <w:pPr>
        <w:spacing w:line="440" w:lineRule="exact"/>
        <w:ind w:firstLine="640"/>
        <w:rPr>
          <w:rFonts w:ascii="宋体" w:hAnsi="宋体" w:cs="宋体"/>
          <w:sz w:val="28"/>
          <w:szCs w:val="28"/>
        </w:rPr>
      </w:pPr>
      <w:r>
        <w:rPr>
          <w:rFonts w:hint="eastAsia" w:ascii="宋体" w:hAnsi="宋体" w:cs="宋体"/>
          <w:sz w:val="28"/>
          <w:szCs w:val="28"/>
        </w:rPr>
        <w:t>⑤环卫专用电动三轮快速保洁车：不低于6台（含）；</w:t>
      </w:r>
    </w:p>
    <w:p>
      <w:pPr>
        <w:spacing w:line="440" w:lineRule="exact"/>
        <w:ind w:firstLine="640"/>
        <w:rPr>
          <w:rFonts w:ascii="宋体" w:hAnsi="宋体" w:cs="宋体"/>
          <w:sz w:val="28"/>
          <w:szCs w:val="28"/>
        </w:rPr>
      </w:pPr>
      <w:r>
        <w:rPr>
          <w:rFonts w:hint="eastAsia" w:ascii="宋体" w:hAnsi="宋体" w:cs="宋体"/>
          <w:sz w:val="28"/>
          <w:szCs w:val="28"/>
        </w:rPr>
        <w:t>⑥具有道路养护功能的环卫专用车辆：不低于1台（含）；</w:t>
      </w:r>
    </w:p>
    <w:p>
      <w:pPr>
        <w:spacing w:line="440" w:lineRule="exact"/>
        <w:ind w:firstLine="640"/>
        <w:rPr>
          <w:rFonts w:ascii="宋体" w:hAnsi="宋体" w:cs="宋体"/>
          <w:sz w:val="28"/>
          <w:szCs w:val="28"/>
        </w:rPr>
      </w:pPr>
      <w:r>
        <w:rPr>
          <w:rFonts w:hint="eastAsia" w:ascii="宋体" w:hAnsi="宋体" w:cs="宋体"/>
          <w:sz w:val="28"/>
          <w:szCs w:val="28"/>
        </w:rPr>
        <w:t>⑦密闭式的环卫专用电动垃圾车：不低于2台（含）【规格：核定载质量0.5吨及以上（含）】；</w:t>
      </w:r>
    </w:p>
    <w:p>
      <w:pPr>
        <w:spacing w:line="440" w:lineRule="exact"/>
        <w:ind w:firstLine="640"/>
        <w:rPr>
          <w:rFonts w:ascii="宋体" w:hAnsi="宋体" w:cs="宋体"/>
          <w:sz w:val="28"/>
          <w:szCs w:val="28"/>
        </w:rPr>
      </w:pPr>
      <w:r>
        <w:rPr>
          <w:rFonts w:hint="eastAsia" w:ascii="宋体" w:hAnsi="宋体" w:cs="宋体"/>
          <w:sz w:val="28"/>
          <w:szCs w:val="28"/>
        </w:rPr>
        <w:t>⑧环卫专用垃圾压缩转运车：不低于1台（含）【规格：核定载质量7吨及以上（含）】；</w:t>
      </w:r>
    </w:p>
    <w:p>
      <w:pPr>
        <w:spacing w:line="440" w:lineRule="exact"/>
        <w:ind w:firstLine="640"/>
        <w:rPr>
          <w:rFonts w:ascii="宋体" w:hAnsi="宋体" w:cs="宋体"/>
          <w:sz w:val="28"/>
          <w:szCs w:val="28"/>
        </w:rPr>
      </w:pPr>
      <w:r>
        <w:rPr>
          <w:rFonts w:hint="eastAsia" w:ascii="宋体" w:hAnsi="宋体" w:cs="宋体"/>
          <w:sz w:val="28"/>
          <w:szCs w:val="28"/>
        </w:rPr>
        <w:t>⑨公司督查人员交通工具（两轮电瓶车，样式统一）按不低于保洁员人数5%（含）配备；</w:t>
      </w:r>
    </w:p>
    <w:p>
      <w:pPr>
        <w:spacing w:line="440" w:lineRule="exact"/>
        <w:ind w:firstLine="640"/>
        <w:rPr>
          <w:rFonts w:ascii="宋体" w:hAnsi="宋体" w:cs="宋体"/>
          <w:sz w:val="28"/>
          <w:szCs w:val="28"/>
        </w:rPr>
      </w:pPr>
      <w:r>
        <w:rPr>
          <w:rFonts w:hint="eastAsia" w:ascii="宋体" w:hAnsi="宋体" w:cs="宋体"/>
          <w:sz w:val="28"/>
          <w:szCs w:val="28"/>
        </w:rPr>
        <w:t>⑩投标人须提供包件路段巡查车（仅限于机动车）不低于1 辆，专用于中标包件的日常全线巡查检查。</w:t>
      </w:r>
    </w:p>
    <w:p>
      <w:pPr>
        <w:spacing w:line="440" w:lineRule="exact"/>
        <w:ind w:firstLine="640"/>
        <w:rPr>
          <w:rFonts w:ascii="宋体" w:hAnsi="宋体" w:cs="宋体"/>
          <w:sz w:val="28"/>
          <w:szCs w:val="28"/>
        </w:rPr>
      </w:pPr>
    </w:p>
    <w:p>
      <w:pPr>
        <w:spacing w:line="440" w:lineRule="exact"/>
        <w:ind w:firstLine="640"/>
        <w:rPr>
          <w:rFonts w:ascii="宋体" w:hAnsi="宋体" w:cs="宋体"/>
          <w:b/>
          <w:bCs/>
          <w:sz w:val="28"/>
          <w:szCs w:val="28"/>
        </w:rPr>
      </w:pPr>
      <w:r>
        <w:rPr>
          <w:rFonts w:hint="eastAsia" w:ascii="宋体" w:hAnsi="宋体" w:cs="宋体"/>
          <w:b/>
          <w:bCs/>
          <w:sz w:val="28"/>
          <w:szCs w:val="28"/>
        </w:rPr>
        <w:t>包件四机具配置及规格要求：</w:t>
      </w:r>
    </w:p>
    <w:p>
      <w:pPr>
        <w:spacing w:line="440" w:lineRule="exact"/>
        <w:ind w:firstLine="640"/>
        <w:rPr>
          <w:rFonts w:ascii="宋体" w:hAnsi="宋体" w:cs="宋体"/>
          <w:sz w:val="28"/>
          <w:szCs w:val="28"/>
        </w:rPr>
      </w:pPr>
      <w:r>
        <w:rPr>
          <w:rFonts w:hint="eastAsia" w:ascii="宋体" w:hAnsi="宋体" w:cs="宋体"/>
          <w:sz w:val="28"/>
          <w:szCs w:val="28"/>
        </w:rPr>
        <w:t>①环卫专用多功能洗（吸）扫车：不低于1台（含）【规格：核定载质量4吨及以上（含）】；</w:t>
      </w:r>
    </w:p>
    <w:p>
      <w:pPr>
        <w:spacing w:line="440" w:lineRule="exact"/>
        <w:ind w:firstLine="640"/>
        <w:rPr>
          <w:rFonts w:ascii="宋体" w:hAnsi="宋体" w:cs="宋体"/>
          <w:sz w:val="28"/>
          <w:szCs w:val="28"/>
        </w:rPr>
      </w:pPr>
      <w:r>
        <w:rPr>
          <w:rFonts w:hint="eastAsia" w:ascii="宋体" w:hAnsi="宋体" w:cs="宋体"/>
          <w:sz w:val="28"/>
          <w:szCs w:val="28"/>
        </w:rPr>
        <w:t>②环卫专用洒水冲洗车：不低于1台（含）【规格：</w:t>
      </w:r>
      <w:r>
        <w:rPr>
          <w:rFonts w:hint="eastAsia" w:ascii="宋体" w:hAnsi="宋体" w:cs="宋体"/>
          <w:sz w:val="28"/>
          <w:szCs w:val="28"/>
          <w:highlight w:val="yellow"/>
        </w:rPr>
        <w:t>核定载质量</w:t>
      </w:r>
      <w:r>
        <w:rPr>
          <w:rFonts w:hint="eastAsia" w:ascii="宋体" w:hAnsi="宋体" w:cs="宋体"/>
          <w:sz w:val="28"/>
          <w:szCs w:val="28"/>
        </w:rPr>
        <w:t>7吨及以上（含）】；</w:t>
      </w:r>
    </w:p>
    <w:p>
      <w:pPr>
        <w:spacing w:line="440" w:lineRule="exact"/>
        <w:ind w:firstLine="640"/>
        <w:rPr>
          <w:rFonts w:ascii="宋体" w:hAnsi="宋体" w:cs="宋体"/>
          <w:sz w:val="28"/>
          <w:szCs w:val="28"/>
        </w:rPr>
      </w:pPr>
      <w:r>
        <w:rPr>
          <w:rFonts w:hint="eastAsia" w:ascii="宋体" w:hAnsi="宋体" w:cs="宋体"/>
          <w:sz w:val="28"/>
          <w:szCs w:val="28"/>
        </w:rPr>
        <w:t>③环卫专用电动扫地车：不低于1台（含）【规格：小型】；</w:t>
      </w:r>
    </w:p>
    <w:p>
      <w:pPr>
        <w:spacing w:line="440" w:lineRule="exact"/>
        <w:ind w:firstLine="640"/>
        <w:rPr>
          <w:rFonts w:ascii="宋体" w:hAnsi="宋体" w:cs="宋体"/>
          <w:sz w:val="28"/>
          <w:szCs w:val="28"/>
        </w:rPr>
      </w:pPr>
      <w:r>
        <w:rPr>
          <w:rFonts w:hint="eastAsia" w:ascii="宋体" w:hAnsi="宋体" w:cs="宋体"/>
          <w:sz w:val="28"/>
          <w:szCs w:val="28"/>
        </w:rPr>
        <w:t>④环卫专用具有清洗功能的电动车辆：不低于1台（含）【规格：小型】；</w:t>
      </w:r>
    </w:p>
    <w:p>
      <w:pPr>
        <w:spacing w:line="440" w:lineRule="exact"/>
        <w:ind w:firstLine="640"/>
        <w:rPr>
          <w:rFonts w:ascii="宋体" w:hAnsi="宋体" w:cs="宋体"/>
          <w:sz w:val="28"/>
          <w:szCs w:val="28"/>
        </w:rPr>
      </w:pPr>
      <w:r>
        <w:rPr>
          <w:rFonts w:hint="eastAsia" w:ascii="宋体" w:hAnsi="宋体" w:cs="宋体"/>
          <w:sz w:val="28"/>
          <w:szCs w:val="28"/>
        </w:rPr>
        <w:t>⑤环卫专用电动三轮快速保洁车：不低于4台（含）；</w:t>
      </w:r>
    </w:p>
    <w:p>
      <w:pPr>
        <w:spacing w:line="440" w:lineRule="exact"/>
        <w:ind w:firstLine="640"/>
        <w:rPr>
          <w:rFonts w:ascii="宋体" w:hAnsi="宋体" w:cs="宋体"/>
          <w:sz w:val="28"/>
          <w:szCs w:val="28"/>
        </w:rPr>
      </w:pPr>
      <w:r>
        <w:rPr>
          <w:rFonts w:hint="eastAsia" w:ascii="宋体" w:hAnsi="宋体" w:cs="宋体"/>
          <w:sz w:val="28"/>
          <w:szCs w:val="28"/>
        </w:rPr>
        <w:t>⑥具有道路养护功能的环卫专用车辆：不低于1台（含）；</w:t>
      </w:r>
    </w:p>
    <w:p>
      <w:pPr>
        <w:spacing w:line="440" w:lineRule="exact"/>
        <w:ind w:firstLine="640"/>
        <w:rPr>
          <w:rFonts w:ascii="宋体" w:hAnsi="宋体" w:cs="宋体"/>
          <w:sz w:val="28"/>
          <w:szCs w:val="28"/>
        </w:rPr>
      </w:pPr>
      <w:r>
        <w:rPr>
          <w:rFonts w:hint="eastAsia" w:ascii="宋体" w:hAnsi="宋体" w:cs="宋体"/>
          <w:sz w:val="28"/>
          <w:szCs w:val="28"/>
        </w:rPr>
        <w:t>⑦密闭式的环卫专用电动垃圾车：不低于2台（含）【规格：核定载质量0.5吨及以上（含）】</w:t>
      </w:r>
    </w:p>
    <w:p>
      <w:pPr>
        <w:spacing w:line="440" w:lineRule="exact"/>
        <w:ind w:firstLine="640"/>
        <w:rPr>
          <w:rFonts w:ascii="宋体" w:hAnsi="宋体" w:cs="宋体"/>
          <w:sz w:val="28"/>
          <w:szCs w:val="28"/>
        </w:rPr>
      </w:pPr>
      <w:r>
        <w:rPr>
          <w:rFonts w:hint="eastAsia" w:ascii="宋体" w:hAnsi="宋体" w:cs="宋体"/>
          <w:sz w:val="28"/>
          <w:szCs w:val="28"/>
        </w:rPr>
        <w:t>⑧环卫专用垃圾压缩转运车：不低于1台（含）【规格：核定载质量7吨及以上（含）】</w:t>
      </w:r>
    </w:p>
    <w:p>
      <w:pPr>
        <w:spacing w:line="440" w:lineRule="exact"/>
        <w:ind w:firstLine="640"/>
        <w:rPr>
          <w:rFonts w:ascii="宋体" w:hAnsi="宋体" w:cs="宋体"/>
          <w:sz w:val="28"/>
          <w:szCs w:val="28"/>
        </w:rPr>
      </w:pPr>
      <w:r>
        <w:rPr>
          <w:rFonts w:hint="eastAsia" w:ascii="宋体" w:hAnsi="宋体" w:cs="宋体"/>
          <w:sz w:val="28"/>
          <w:szCs w:val="28"/>
        </w:rPr>
        <w:t>⑨公司督查人员交通工具（两轮电瓶车，样式统一）按不低于保洁员人数5%（含）配备；</w:t>
      </w:r>
    </w:p>
    <w:p>
      <w:pPr>
        <w:spacing w:line="440" w:lineRule="exact"/>
        <w:ind w:firstLine="640"/>
        <w:rPr>
          <w:rFonts w:ascii="宋体" w:hAnsi="宋体" w:cs="宋体"/>
          <w:sz w:val="28"/>
          <w:szCs w:val="28"/>
        </w:rPr>
      </w:pPr>
      <w:r>
        <w:rPr>
          <w:rFonts w:hint="eastAsia" w:ascii="宋体" w:hAnsi="宋体" w:cs="宋体"/>
          <w:sz w:val="28"/>
          <w:szCs w:val="28"/>
        </w:rPr>
        <w:t>⑩投标人须提供包件路段巡查车（仅限于机动车）不低于1 辆，专用于中标包件的日常全线巡查检查。</w:t>
      </w:r>
    </w:p>
    <w:p>
      <w:pPr>
        <w:spacing w:line="440" w:lineRule="exact"/>
        <w:ind w:firstLine="640"/>
        <w:rPr>
          <w:rFonts w:ascii="宋体" w:hAnsi="宋体" w:cs="宋体"/>
          <w:sz w:val="28"/>
          <w:szCs w:val="28"/>
        </w:rPr>
      </w:pPr>
    </w:p>
    <w:p>
      <w:pPr>
        <w:spacing w:line="440" w:lineRule="exact"/>
        <w:ind w:firstLine="640"/>
        <w:rPr>
          <w:rFonts w:ascii="宋体" w:hAnsi="宋体" w:cs="宋体"/>
          <w:b/>
          <w:bCs/>
          <w:sz w:val="28"/>
          <w:szCs w:val="28"/>
        </w:rPr>
      </w:pPr>
      <w:r>
        <w:rPr>
          <w:rFonts w:hint="eastAsia" w:ascii="宋体" w:hAnsi="宋体" w:cs="宋体"/>
          <w:b/>
          <w:bCs/>
          <w:sz w:val="28"/>
          <w:szCs w:val="28"/>
        </w:rPr>
        <w:t>包件五机具配置及规格要求：</w:t>
      </w:r>
    </w:p>
    <w:p>
      <w:pPr>
        <w:spacing w:line="440" w:lineRule="exact"/>
        <w:ind w:firstLine="640"/>
        <w:rPr>
          <w:rFonts w:ascii="宋体" w:hAnsi="宋体" w:cs="宋体"/>
          <w:sz w:val="28"/>
          <w:szCs w:val="28"/>
        </w:rPr>
      </w:pPr>
      <w:r>
        <w:rPr>
          <w:rFonts w:hint="eastAsia" w:ascii="宋体" w:hAnsi="宋体" w:cs="宋体"/>
          <w:sz w:val="28"/>
          <w:szCs w:val="28"/>
        </w:rPr>
        <w:t>①环卫专用多功能洗（吸）扫车：不低于1台（含）【规格：核定载质量4吨及以上（含）】；</w:t>
      </w:r>
    </w:p>
    <w:p>
      <w:pPr>
        <w:spacing w:line="440" w:lineRule="exact"/>
        <w:ind w:firstLine="640"/>
        <w:rPr>
          <w:rFonts w:ascii="宋体" w:hAnsi="宋体" w:cs="宋体"/>
          <w:sz w:val="28"/>
          <w:szCs w:val="28"/>
        </w:rPr>
      </w:pPr>
      <w:r>
        <w:rPr>
          <w:rFonts w:hint="eastAsia" w:ascii="宋体" w:hAnsi="宋体" w:cs="宋体"/>
          <w:sz w:val="28"/>
          <w:szCs w:val="28"/>
        </w:rPr>
        <w:t>②环卫专用洒水冲洗车：不低于1台（含）【规格：氢能源电池车，</w:t>
      </w:r>
      <w:r>
        <w:rPr>
          <w:rFonts w:hint="eastAsia" w:ascii="宋体" w:hAnsi="宋体" w:cs="宋体"/>
          <w:sz w:val="28"/>
          <w:szCs w:val="28"/>
          <w:highlight w:val="yellow"/>
        </w:rPr>
        <w:t>核定载质量</w:t>
      </w:r>
      <w:r>
        <w:rPr>
          <w:rFonts w:hint="eastAsia" w:ascii="宋体" w:hAnsi="宋体" w:cs="宋体"/>
          <w:sz w:val="28"/>
          <w:szCs w:val="28"/>
        </w:rPr>
        <w:t>7吨及以上（含）】；</w:t>
      </w:r>
    </w:p>
    <w:p>
      <w:pPr>
        <w:spacing w:line="440" w:lineRule="exact"/>
        <w:ind w:firstLine="640"/>
        <w:rPr>
          <w:rFonts w:ascii="宋体" w:hAnsi="宋体" w:cs="宋体"/>
          <w:sz w:val="28"/>
          <w:szCs w:val="28"/>
        </w:rPr>
      </w:pPr>
      <w:r>
        <w:rPr>
          <w:rFonts w:hint="eastAsia" w:ascii="宋体" w:hAnsi="宋体" w:cs="宋体"/>
          <w:sz w:val="28"/>
          <w:szCs w:val="28"/>
        </w:rPr>
        <w:t>③环卫专用电动扫地车：不低于1台（含）【规格：小型】；</w:t>
      </w:r>
    </w:p>
    <w:p>
      <w:pPr>
        <w:spacing w:line="440" w:lineRule="exact"/>
        <w:ind w:firstLine="640"/>
        <w:rPr>
          <w:rFonts w:ascii="宋体" w:hAnsi="宋体" w:cs="宋体"/>
          <w:sz w:val="28"/>
          <w:szCs w:val="28"/>
        </w:rPr>
      </w:pPr>
      <w:r>
        <w:rPr>
          <w:rFonts w:hint="eastAsia" w:ascii="宋体" w:hAnsi="宋体" w:cs="宋体"/>
          <w:sz w:val="28"/>
          <w:szCs w:val="28"/>
        </w:rPr>
        <w:t>④环卫专用具有清洗功能的电动车辆：不低于1台（含）【规格：小型】；</w:t>
      </w:r>
    </w:p>
    <w:p>
      <w:pPr>
        <w:spacing w:line="440" w:lineRule="exact"/>
        <w:ind w:firstLine="640"/>
        <w:rPr>
          <w:rFonts w:ascii="宋体" w:hAnsi="宋体" w:cs="宋体"/>
          <w:sz w:val="28"/>
          <w:szCs w:val="28"/>
        </w:rPr>
      </w:pPr>
      <w:r>
        <w:rPr>
          <w:rFonts w:hint="eastAsia" w:ascii="宋体" w:hAnsi="宋体" w:cs="宋体"/>
          <w:sz w:val="28"/>
          <w:szCs w:val="28"/>
        </w:rPr>
        <w:t>⑤环卫专用电动三轮快速保洁车：不低于4台（含）；</w:t>
      </w:r>
    </w:p>
    <w:p>
      <w:pPr>
        <w:spacing w:line="440" w:lineRule="exact"/>
        <w:ind w:firstLine="640"/>
        <w:rPr>
          <w:rFonts w:ascii="宋体" w:hAnsi="宋体" w:cs="宋体"/>
          <w:sz w:val="28"/>
          <w:szCs w:val="28"/>
        </w:rPr>
      </w:pPr>
      <w:r>
        <w:rPr>
          <w:rFonts w:hint="eastAsia" w:ascii="宋体" w:hAnsi="宋体" w:cs="宋体"/>
          <w:sz w:val="28"/>
          <w:szCs w:val="28"/>
        </w:rPr>
        <w:t>⑥具有道路养护功能的环卫专用车辆：不低于1台（含）；</w:t>
      </w:r>
    </w:p>
    <w:p>
      <w:pPr>
        <w:spacing w:line="440" w:lineRule="exact"/>
        <w:ind w:firstLine="640"/>
        <w:rPr>
          <w:rFonts w:ascii="宋体" w:hAnsi="宋体" w:cs="宋体"/>
          <w:sz w:val="28"/>
          <w:szCs w:val="28"/>
        </w:rPr>
      </w:pPr>
      <w:r>
        <w:rPr>
          <w:rFonts w:hint="eastAsia" w:ascii="宋体" w:hAnsi="宋体" w:cs="宋体"/>
          <w:sz w:val="28"/>
          <w:szCs w:val="28"/>
        </w:rPr>
        <w:t>⑦密闭式的环卫专用电动垃圾车：不低于2台（含）【规格：核定载质量0.5吨及以上（含）】</w:t>
      </w:r>
    </w:p>
    <w:p>
      <w:pPr>
        <w:spacing w:line="440" w:lineRule="exact"/>
        <w:ind w:firstLine="640"/>
        <w:rPr>
          <w:rFonts w:ascii="宋体" w:hAnsi="宋体" w:cs="宋体"/>
          <w:sz w:val="28"/>
          <w:szCs w:val="28"/>
        </w:rPr>
      </w:pPr>
      <w:r>
        <w:rPr>
          <w:rFonts w:hint="eastAsia" w:ascii="宋体" w:hAnsi="宋体" w:cs="宋体"/>
          <w:sz w:val="28"/>
          <w:szCs w:val="28"/>
        </w:rPr>
        <w:t>⑧环卫专用垃圾压缩转运车：不低于1台（含）【规格：核定载质量7吨及以上（含）】</w:t>
      </w:r>
    </w:p>
    <w:p>
      <w:pPr>
        <w:spacing w:line="440" w:lineRule="exact"/>
        <w:ind w:firstLine="640"/>
        <w:rPr>
          <w:rFonts w:ascii="宋体" w:hAnsi="宋体" w:cs="宋体"/>
          <w:sz w:val="28"/>
          <w:szCs w:val="28"/>
        </w:rPr>
      </w:pPr>
      <w:r>
        <w:rPr>
          <w:rFonts w:hint="eastAsia" w:ascii="宋体" w:hAnsi="宋体" w:cs="宋体"/>
          <w:sz w:val="28"/>
          <w:szCs w:val="28"/>
        </w:rPr>
        <w:t>⑨公司督查人员交通工具（两轮电瓶车，样式统一）按不低于保洁员人数5%（含）配备；</w:t>
      </w:r>
    </w:p>
    <w:p>
      <w:pPr>
        <w:spacing w:line="440" w:lineRule="exact"/>
        <w:ind w:firstLine="640"/>
        <w:rPr>
          <w:rFonts w:ascii="宋体" w:hAnsi="宋体" w:cs="宋体"/>
          <w:sz w:val="28"/>
          <w:szCs w:val="28"/>
        </w:rPr>
      </w:pPr>
      <w:r>
        <w:rPr>
          <w:rFonts w:hint="eastAsia" w:ascii="宋体" w:hAnsi="宋体" w:cs="宋体"/>
          <w:sz w:val="28"/>
          <w:szCs w:val="28"/>
        </w:rPr>
        <w:t>⑩投标人须提供包件路段巡查车（仅限于机动车）不低于1 辆，专用于中标包件的日常全线巡查检查。</w:t>
      </w:r>
    </w:p>
    <w:p>
      <w:pPr>
        <w:spacing w:after="120"/>
        <w:rPr>
          <w:rFonts w:ascii="Calibri" w:hAnsi="Calibri"/>
          <w:szCs w:val="22"/>
        </w:rPr>
      </w:pPr>
    </w:p>
    <w:p>
      <w:pPr>
        <w:spacing w:line="440" w:lineRule="exact"/>
        <w:rPr>
          <w:rFonts w:hint="eastAsia" w:ascii="宋体" w:hAnsi="宋体" w:cs="宋体"/>
          <w:b/>
          <w:bCs/>
          <w:sz w:val="24"/>
        </w:rPr>
      </w:pPr>
      <w:r>
        <w:rPr>
          <w:rFonts w:hint="eastAsia" w:ascii="宋体" w:hAnsi="宋体" w:cs="宋体"/>
          <w:b/>
          <w:bCs/>
          <w:sz w:val="24"/>
        </w:rPr>
        <w:t>【注：1、以上机具如为自有，须提供购置发票复印件并加盖投标人公章，如机具为机动车则须提供车辆购置发票复印件、有效年审期内行驶证复印件并加盖投标人公章。如承诺中标后新购置，则投标人需提供机具配置承诺函，格式自拟。</w:t>
      </w:r>
    </w:p>
    <w:p>
      <w:pPr>
        <w:spacing w:after="120" w:line="360" w:lineRule="auto"/>
        <w:rPr>
          <w:rFonts w:ascii="宋体" w:hAnsi="宋体" w:cs="宋体"/>
          <w:b/>
          <w:bCs/>
          <w:sz w:val="24"/>
        </w:rPr>
      </w:pPr>
      <w:r>
        <w:rPr>
          <w:rFonts w:hint="eastAsia" w:ascii="宋体" w:hAnsi="宋体" w:cs="宋体"/>
          <w:b/>
          <w:bCs/>
          <w:sz w:val="24"/>
        </w:rPr>
        <w:t>2、包件五机具配置及规格要求中：②环卫专用洒水冲洗车：不低于1台（含）【规格：氢能源电池车，</w:t>
      </w:r>
      <w:r>
        <w:rPr>
          <w:rFonts w:hint="eastAsia" w:ascii="宋体" w:hAnsi="宋体" w:cs="宋体"/>
          <w:b/>
          <w:bCs/>
          <w:sz w:val="24"/>
          <w:highlight w:val="yellow"/>
        </w:rPr>
        <w:t>核定载质量</w:t>
      </w:r>
      <w:r>
        <w:rPr>
          <w:rFonts w:hint="eastAsia" w:ascii="宋体" w:hAnsi="宋体" w:cs="宋体"/>
          <w:b/>
          <w:bCs/>
          <w:sz w:val="24"/>
        </w:rPr>
        <w:t>7吨及以上（含）】，如为自有，须提供车辆购置发票复印件、有效年审期内行驶证复印件并加盖投标人公章。如为租赁，须提供租赁合同及有效年审期内行驶证复印件并加盖投标人公章。如承诺中标后新购置，则投标人需提供机具配置承诺函，格式自拟。</w:t>
      </w:r>
    </w:p>
    <w:p>
      <w:pPr>
        <w:spacing w:line="440" w:lineRule="exact"/>
        <w:rPr>
          <w:rFonts w:ascii="宋体" w:hAnsi="宋体" w:cs="宋体"/>
          <w:b/>
          <w:bCs/>
          <w:sz w:val="24"/>
        </w:rPr>
      </w:pPr>
      <w:r>
        <w:rPr>
          <w:rFonts w:hint="eastAsia" w:ascii="宋体" w:hAnsi="宋体" w:cs="宋体"/>
          <w:b/>
          <w:bCs/>
          <w:sz w:val="24"/>
        </w:rPr>
        <w:t>3、投标人须单独承诺在本项目履约周期内，使用的环卫专用多功能洗（吸）扫车、环卫专用洒水冲洗车、具有道路养护功能的环卫专用车辆登记年限不超过8年；环卫专用电动扫地车车辆出厂年限不超过6年；环卫专用具有清洗功能的电动车辆、环卫专用电动三轮快速保洁车车辆出厂年限不超过5年；若超过规定年限，中标单位自行更新车辆并接受采购人检查。</w:t>
      </w:r>
    </w:p>
    <w:p>
      <w:pPr>
        <w:spacing w:line="440" w:lineRule="exact"/>
        <w:rPr>
          <w:rFonts w:ascii="宋体" w:hAnsi="宋体" w:cs="宋体"/>
          <w:b/>
          <w:bCs/>
          <w:sz w:val="24"/>
        </w:rPr>
      </w:pPr>
      <w:r>
        <w:rPr>
          <w:rFonts w:hint="eastAsia" w:ascii="宋体" w:hAnsi="宋体" w:cs="宋体"/>
          <w:b/>
          <w:bCs/>
          <w:sz w:val="24"/>
        </w:rPr>
        <w:t>4、投标人须单独承诺在本项目履约期内所有配置车辆都应符合现行环卫作业相关规定与标准，若遇国家、省、市相关规定和标准调整，应及时按照相关规定和标准对车辆进行调整配置。】</w:t>
      </w:r>
    </w:p>
    <w:p>
      <w:pPr>
        <w:sectPr>
          <w:type w:val="continuous"/>
          <w:pgSz w:w="11906" w:h="16838"/>
          <w:pgMar w:top="1587" w:right="1474" w:bottom="1587" w:left="1587" w:header="851" w:footer="992" w:gutter="0"/>
          <w:cols w:space="720" w:num="1"/>
        </w:sectPr>
      </w:pPr>
    </w:p>
    <w:p>
      <w:pPr>
        <w:spacing w:line="440" w:lineRule="exact"/>
        <w:ind w:firstLine="640"/>
        <w:rPr>
          <w:rFonts w:hint="eastAsia" w:ascii="宋体" w:hAnsi="宋体" w:cs="宋体"/>
          <w:sz w:val="28"/>
          <w:szCs w:val="28"/>
        </w:rPr>
      </w:pPr>
    </w:p>
    <w:p>
      <w:pPr>
        <w:spacing w:line="440" w:lineRule="exact"/>
        <w:ind w:firstLine="640"/>
        <w:outlineLvl w:val="2"/>
        <w:rPr>
          <w:rFonts w:ascii="宋体" w:hAnsi="宋体" w:cs="宋体"/>
          <w:sz w:val="28"/>
          <w:szCs w:val="28"/>
        </w:rPr>
      </w:pPr>
      <w:r>
        <w:rPr>
          <w:rFonts w:hint="eastAsia" w:ascii="宋体" w:hAnsi="宋体" w:cs="宋体"/>
          <w:sz w:val="28"/>
          <w:szCs w:val="28"/>
        </w:rPr>
        <w:t>★（五）服务要求及标准</w:t>
      </w:r>
    </w:p>
    <w:p>
      <w:pPr>
        <w:spacing w:line="440" w:lineRule="exact"/>
        <w:ind w:firstLine="640"/>
        <w:rPr>
          <w:rFonts w:ascii="宋体" w:hAnsi="宋体" w:cs="宋体"/>
          <w:sz w:val="28"/>
          <w:szCs w:val="28"/>
        </w:rPr>
      </w:pPr>
      <w:r>
        <w:rPr>
          <w:rFonts w:hint="eastAsia" w:ascii="宋体" w:hAnsi="宋体" w:cs="宋体"/>
          <w:sz w:val="28"/>
          <w:szCs w:val="28"/>
        </w:rPr>
        <w:t>1.签订合同前，专业环卫车辆（①洒水车、②洗（吸）扫车、③垃圾压缩车、④垃圾收（转）运车）须安装卫星定位系统装置（费用自理），与区综合行政执法局实现接驳，合同期内，未经招标人同意所有作业车辆机具不得超区域作业。</w:t>
      </w:r>
    </w:p>
    <w:p>
      <w:pPr>
        <w:spacing w:line="440" w:lineRule="exact"/>
        <w:ind w:firstLine="640"/>
        <w:rPr>
          <w:rFonts w:ascii="宋体" w:hAnsi="宋体" w:cs="宋体"/>
          <w:sz w:val="28"/>
          <w:szCs w:val="28"/>
        </w:rPr>
      </w:pPr>
      <w:r>
        <w:rPr>
          <w:rFonts w:hint="eastAsia" w:ascii="宋体" w:hAnsi="宋体" w:cs="宋体"/>
          <w:sz w:val="28"/>
          <w:szCs w:val="28"/>
        </w:rPr>
        <w:t>2.投标人应对工人最低工资做出承诺，一线环卫从业人员月工资不低于届时成都市最低工资标准，并执行《成都市环卫工人健康安全关爱办法》（成府发【2019】6号）（见附件2）。在合同期限内，遇国家政策调整增加的费用由中标人承担。（提供承诺函，格式自拟。）</w:t>
      </w:r>
    </w:p>
    <w:p>
      <w:pPr>
        <w:spacing w:line="440" w:lineRule="exact"/>
        <w:ind w:firstLine="640"/>
        <w:rPr>
          <w:rFonts w:ascii="宋体" w:hAnsi="宋体" w:cs="宋体"/>
          <w:sz w:val="28"/>
          <w:szCs w:val="28"/>
        </w:rPr>
      </w:pPr>
      <w:r>
        <w:rPr>
          <w:rFonts w:hint="eastAsia" w:ascii="宋体" w:hAnsi="宋体" w:cs="宋体"/>
          <w:sz w:val="28"/>
          <w:szCs w:val="28"/>
        </w:rPr>
        <w:t>3.清扫保洁作业按《成都市环卫清扫保洁精细化作业规则》成城发（2019） 47 号（见附件1）、《成都市环卫清扫保洁精细化监督管理办法》成城发（2019）48 号（见附件3）和《关于城管系统环卫车辆推广应用新能源汽车工作的通知》成城办（2019）219 号（见附件4）等相关要求实施</w:t>
      </w:r>
      <w:r>
        <w:rPr>
          <w:rFonts w:hint="eastAsia" w:ascii="宋体" w:hAnsi="宋体" w:cs="宋体"/>
          <w:sz w:val="28"/>
          <w:szCs w:val="28"/>
          <w:lang w:eastAsia="zh-CN"/>
        </w:rPr>
        <w:t>，</w:t>
      </w:r>
      <w:r>
        <w:rPr>
          <w:rFonts w:hint="eastAsia" w:ascii="宋体" w:hAnsi="宋体" w:cs="宋体"/>
          <w:sz w:val="28"/>
          <w:szCs w:val="28"/>
          <w:lang w:val="en-US" w:eastAsia="zh-CN"/>
        </w:rPr>
        <w:t>且执行标准同时不得低于区级标准，详见</w:t>
      </w:r>
      <w:r>
        <w:rPr>
          <w:rFonts w:hint="eastAsia" w:ascii="宋体" w:hAnsi="宋体" w:cs="宋体"/>
          <w:sz w:val="28"/>
          <w:szCs w:val="28"/>
          <w:lang w:eastAsia="zh-CN"/>
        </w:rPr>
        <w:t>《成都市郫都区城镇环卫作业监督考核办法》（</w:t>
      </w:r>
      <w:r>
        <w:rPr>
          <w:rFonts w:hint="eastAsia" w:ascii="宋体" w:hAnsi="宋体" w:cs="宋体"/>
          <w:sz w:val="28"/>
          <w:szCs w:val="28"/>
          <w:lang w:val="en-US" w:eastAsia="zh-CN"/>
        </w:rPr>
        <w:t>见附件5</w:t>
      </w:r>
      <w:r>
        <w:rPr>
          <w:rFonts w:hint="eastAsia" w:ascii="宋体" w:hAnsi="宋体" w:cs="宋体"/>
          <w:sz w:val="28"/>
          <w:szCs w:val="28"/>
          <w:lang w:eastAsia="zh-CN"/>
        </w:rPr>
        <w:t>）</w:t>
      </w:r>
      <w:r>
        <w:rPr>
          <w:rFonts w:hint="eastAsia" w:ascii="宋体" w:hAnsi="宋体" w:cs="宋体"/>
          <w:sz w:val="28"/>
          <w:szCs w:val="28"/>
        </w:rPr>
        <w:t>。如合同期内市、区相关部门出台新标准及管理办法，则执行新标准及管理办法，并在续签合同中约定。</w:t>
      </w:r>
      <w:bookmarkStart w:id="354" w:name="_GoBack"/>
      <w:bookmarkEnd w:id="354"/>
    </w:p>
    <w:p>
      <w:pPr>
        <w:spacing w:line="440" w:lineRule="exact"/>
        <w:ind w:firstLine="640"/>
        <w:rPr>
          <w:rFonts w:ascii="宋体" w:hAnsi="宋体" w:cs="宋体"/>
          <w:sz w:val="28"/>
          <w:szCs w:val="28"/>
        </w:rPr>
      </w:pPr>
      <w:r>
        <w:rPr>
          <w:rFonts w:hint="eastAsia" w:ascii="宋体" w:hAnsi="宋体" w:cs="宋体"/>
          <w:sz w:val="28"/>
          <w:szCs w:val="28"/>
        </w:rPr>
        <w:t>4.本项目合同的实际结算金额以中标人与采购人双方确认的实际作业面积作为计算依据进行结算。</w:t>
      </w:r>
    </w:p>
    <w:p>
      <w:pPr>
        <w:spacing w:line="440" w:lineRule="exact"/>
        <w:ind w:firstLine="640"/>
        <w:rPr>
          <w:rFonts w:ascii="宋体" w:hAnsi="宋体" w:cs="宋体"/>
          <w:sz w:val="28"/>
          <w:szCs w:val="28"/>
        </w:rPr>
      </w:pPr>
      <w:r>
        <w:rPr>
          <w:rFonts w:hint="eastAsia" w:ascii="宋体" w:hAnsi="宋体" w:cs="宋体"/>
          <w:sz w:val="28"/>
          <w:szCs w:val="28"/>
        </w:rPr>
        <w:t>5.在环卫作业实施过程中，所需的清扫保洁机械与工具（扫帚、移动垃圾桶、垃圾袋等）、劳动服装费、劳动用品费、职业健康体检及防护用品费等均由中标人自行提供与维护并承担费用。</w:t>
      </w:r>
    </w:p>
    <w:p>
      <w:pPr>
        <w:spacing w:line="440" w:lineRule="exact"/>
        <w:ind w:firstLine="640"/>
        <w:rPr>
          <w:rFonts w:ascii="宋体" w:hAnsi="宋体" w:cs="宋体"/>
          <w:sz w:val="28"/>
          <w:szCs w:val="28"/>
        </w:rPr>
      </w:pPr>
      <w:r>
        <w:rPr>
          <w:rFonts w:hint="eastAsia" w:ascii="宋体" w:hAnsi="宋体" w:cs="宋体"/>
          <w:sz w:val="28"/>
          <w:szCs w:val="28"/>
        </w:rPr>
        <w:t xml:space="preserve">6.中标人应对该项目所有收支情况独立核算并接受业主的稽查和审计。 </w:t>
      </w:r>
    </w:p>
    <w:p>
      <w:pPr>
        <w:spacing w:line="440" w:lineRule="exact"/>
        <w:ind w:firstLine="640"/>
        <w:rPr>
          <w:rFonts w:ascii="宋体" w:hAnsi="宋体" w:cs="宋体"/>
          <w:sz w:val="28"/>
          <w:szCs w:val="28"/>
        </w:rPr>
      </w:pPr>
      <w:r>
        <w:rPr>
          <w:rFonts w:hint="eastAsia" w:ascii="宋体" w:hAnsi="宋体" w:cs="宋体"/>
          <w:sz w:val="28"/>
          <w:szCs w:val="28"/>
        </w:rPr>
        <w:t>7.能严格遵守和执行《中华人民共和国劳动法》、《中华人民共和国社会保险法》等法律法规,在环卫作业服务期限内执行成都市及成都郫都区相关部门调整环卫工人工资标准的规定。</w:t>
      </w:r>
    </w:p>
    <w:p>
      <w:pPr>
        <w:spacing w:line="440" w:lineRule="exact"/>
        <w:ind w:firstLine="640"/>
        <w:outlineLvl w:val="9"/>
        <w:rPr>
          <w:rFonts w:hint="eastAsia" w:ascii="宋体" w:hAnsi="宋体" w:cs="宋体"/>
          <w:sz w:val="28"/>
          <w:szCs w:val="28"/>
        </w:rPr>
      </w:pPr>
    </w:p>
    <w:p>
      <w:pPr>
        <w:spacing w:line="440" w:lineRule="exact"/>
        <w:ind w:firstLine="640"/>
        <w:outlineLvl w:val="2"/>
        <w:rPr>
          <w:rFonts w:ascii="宋体" w:hAnsi="宋体" w:cs="宋体"/>
          <w:sz w:val="28"/>
          <w:szCs w:val="28"/>
        </w:rPr>
      </w:pPr>
      <w:r>
        <w:rPr>
          <w:rFonts w:hint="eastAsia" w:ascii="宋体" w:hAnsi="宋体" w:cs="宋体"/>
          <w:sz w:val="28"/>
          <w:szCs w:val="28"/>
        </w:rPr>
        <w:t>（六）垃圾收（转）运费用测算方式的确定及垃圾转运点管理</w:t>
      </w:r>
    </w:p>
    <w:p>
      <w:pPr>
        <w:spacing w:line="440" w:lineRule="exact"/>
        <w:ind w:firstLine="640"/>
        <w:rPr>
          <w:rFonts w:ascii="宋体" w:hAnsi="宋体" w:cs="宋体"/>
          <w:sz w:val="28"/>
          <w:szCs w:val="28"/>
        </w:rPr>
      </w:pPr>
      <w:r>
        <w:rPr>
          <w:rFonts w:hint="eastAsia" w:ascii="宋体" w:hAnsi="宋体" w:cs="宋体"/>
          <w:sz w:val="28"/>
          <w:szCs w:val="28"/>
        </w:rPr>
        <w:t>1.本次招标服务价格内含垃圾清运费（含所在区域的各类小区、院落、单位、企业、学校、商户及其他组织和个人等产生的各类生活垃圾的清运），收集后运输至成都双合达生活垃圾压缩中转站或招标人指定地点。（郫都区区域内，单边不超过20公里运距，该运距内垃圾清运费已计算在管护费内，不再另行支付相关费用）。</w:t>
      </w:r>
    </w:p>
    <w:p>
      <w:pPr>
        <w:spacing w:line="440" w:lineRule="exact"/>
        <w:ind w:firstLine="640"/>
        <w:rPr>
          <w:rFonts w:ascii="宋体" w:hAnsi="宋体" w:cs="宋体"/>
          <w:sz w:val="28"/>
          <w:szCs w:val="28"/>
        </w:rPr>
      </w:pPr>
      <w:r>
        <w:rPr>
          <w:rFonts w:hint="eastAsia" w:ascii="宋体" w:hAnsi="宋体" w:cs="宋体"/>
          <w:sz w:val="28"/>
          <w:szCs w:val="28"/>
        </w:rPr>
        <w:t>★2.投标人须承诺在遇突击、应急、自然灾害等不可抗力因素下，承担采购人安排的垃圾中转点至垃圾处置场（厂）、焚烧厂的垃圾转运，费用另行核算。费用核算可参照郫都区垃圾外运处置核定的标准，协商确定。（提供承诺函，格式自拟。）</w:t>
      </w:r>
    </w:p>
    <w:p>
      <w:pPr>
        <w:spacing w:line="440" w:lineRule="exact"/>
        <w:ind w:firstLine="640"/>
        <w:rPr>
          <w:rFonts w:ascii="宋体" w:hAnsi="宋体" w:cs="宋体"/>
          <w:sz w:val="24"/>
        </w:rPr>
      </w:pPr>
    </w:p>
    <w:p>
      <w:pPr>
        <w:keepNext/>
        <w:keepLines/>
        <w:spacing w:before="37" w:after="260" w:line="440" w:lineRule="exact"/>
        <w:outlineLvl w:val="1"/>
        <w:rPr>
          <w:rFonts w:ascii="宋体" w:hAnsi="宋体" w:cs="宋体"/>
          <w:b/>
          <w:bCs/>
          <w:sz w:val="36"/>
          <w:szCs w:val="36"/>
        </w:rPr>
      </w:pPr>
      <w:r>
        <w:rPr>
          <w:rFonts w:hint="eastAsia" w:ascii="宋体" w:hAnsi="宋体" w:cs="宋体"/>
          <w:b/>
          <w:bCs/>
          <w:sz w:val="36"/>
          <w:szCs w:val="36"/>
        </w:rPr>
        <w:br w:type="page"/>
      </w:r>
      <w:r>
        <w:rPr>
          <w:rFonts w:hint="eastAsia" w:ascii="宋体" w:hAnsi="宋体" w:cs="宋体"/>
          <w:b/>
          <w:bCs/>
          <w:sz w:val="36"/>
          <w:szCs w:val="36"/>
        </w:rPr>
        <w:t>四、商务要求</w:t>
      </w:r>
    </w:p>
    <w:p>
      <w:pPr>
        <w:spacing w:line="440" w:lineRule="exact"/>
        <w:ind w:firstLine="640"/>
        <w:rPr>
          <w:rFonts w:ascii="宋体" w:hAnsi="宋体" w:cs="宋体"/>
          <w:sz w:val="28"/>
          <w:szCs w:val="28"/>
        </w:rPr>
      </w:pPr>
      <w:r>
        <w:rPr>
          <w:rFonts w:hint="eastAsia" w:ascii="宋体" w:hAnsi="宋体" w:cs="宋体"/>
          <w:sz w:val="28"/>
          <w:szCs w:val="28"/>
        </w:rPr>
        <w:t xml:space="preserve">1、服务期限：本次招标服务期限为三年，从招标完成签订合同（约定）之日起算。经考核合格后，合同一年一签。 </w:t>
      </w:r>
    </w:p>
    <w:p>
      <w:pPr>
        <w:spacing w:line="440" w:lineRule="exact"/>
        <w:ind w:firstLine="640"/>
        <w:rPr>
          <w:rFonts w:ascii="宋体" w:hAnsi="宋体" w:cs="宋体"/>
          <w:sz w:val="28"/>
          <w:szCs w:val="28"/>
        </w:rPr>
      </w:pPr>
      <w:r>
        <w:rPr>
          <w:rFonts w:hint="eastAsia" w:ascii="宋体" w:hAnsi="宋体" w:cs="宋体"/>
          <w:sz w:val="28"/>
          <w:szCs w:val="28"/>
        </w:rPr>
        <w:t>2、服务地点：采购人指定地点。</w:t>
      </w:r>
    </w:p>
    <w:p>
      <w:pPr>
        <w:spacing w:line="440" w:lineRule="exact"/>
        <w:ind w:firstLine="640"/>
        <w:rPr>
          <w:rFonts w:ascii="宋体" w:hAnsi="宋体" w:cs="宋体"/>
          <w:sz w:val="28"/>
          <w:szCs w:val="28"/>
        </w:rPr>
      </w:pPr>
      <w:r>
        <w:rPr>
          <w:rFonts w:hint="eastAsia" w:ascii="宋体" w:hAnsi="宋体" w:cs="宋体"/>
          <w:sz w:val="28"/>
          <w:szCs w:val="28"/>
        </w:rPr>
        <w:t>3、付款方式：</w:t>
      </w:r>
    </w:p>
    <w:p>
      <w:pPr>
        <w:spacing w:line="440" w:lineRule="exact"/>
        <w:ind w:firstLine="640"/>
        <w:rPr>
          <w:rFonts w:ascii="宋体" w:hAnsi="宋体" w:cs="宋体"/>
          <w:sz w:val="28"/>
          <w:szCs w:val="28"/>
        </w:rPr>
      </w:pPr>
      <w:r>
        <w:rPr>
          <w:rFonts w:hint="eastAsia" w:ascii="宋体" w:hAnsi="宋体" w:cs="宋体"/>
          <w:sz w:val="28"/>
          <w:szCs w:val="28"/>
        </w:rPr>
        <w:t>①由郫都区综合行政执法局根据检查考核结果、新增工作量等核算月环卫作业经费。按月度汇总、审核后拨付环卫作业公司。</w:t>
      </w:r>
    </w:p>
    <w:p>
      <w:pPr>
        <w:spacing w:line="440" w:lineRule="exact"/>
        <w:ind w:firstLine="640"/>
        <w:rPr>
          <w:rFonts w:ascii="宋体" w:hAnsi="宋体" w:cs="宋体"/>
          <w:sz w:val="28"/>
          <w:szCs w:val="28"/>
        </w:rPr>
      </w:pPr>
      <w:r>
        <w:rPr>
          <w:rFonts w:hint="eastAsia" w:ascii="宋体" w:hAnsi="宋体" w:cs="宋体"/>
          <w:sz w:val="28"/>
          <w:szCs w:val="28"/>
        </w:rPr>
        <w:t>②年作业经费在服务周期内，除因作业面积发生变化经双方确认外，不作调整。</w:t>
      </w:r>
    </w:p>
    <w:p>
      <w:pPr>
        <w:spacing w:line="440" w:lineRule="exact"/>
        <w:ind w:firstLine="640"/>
        <w:rPr>
          <w:rFonts w:ascii="宋体" w:hAnsi="宋体" w:cs="宋体"/>
          <w:color w:val="FF0000"/>
          <w:sz w:val="28"/>
          <w:szCs w:val="28"/>
        </w:rPr>
      </w:pPr>
      <w:r>
        <w:rPr>
          <w:rFonts w:hint="eastAsia" w:ascii="宋体" w:hAnsi="宋体" w:cs="宋体"/>
          <w:sz w:val="28"/>
          <w:szCs w:val="28"/>
        </w:rPr>
        <w:t>4、履约保证金：中标金额的2%，合同签订前转账到采购人指定账户。</w:t>
      </w:r>
    </w:p>
    <w:p>
      <w:pPr>
        <w:spacing w:line="440" w:lineRule="exact"/>
        <w:ind w:firstLine="640"/>
        <w:rPr>
          <w:rFonts w:ascii="宋体" w:hAnsi="宋体" w:cs="宋体"/>
          <w:sz w:val="28"/>
          <w:szCs w:val="28"/>
        </w:rPr>
      </w:pPr>
      <w:r>
        <w:rPr>
          <w:rFonts w:hint="eastAsia" w:ascii="宋体" w:hAnsi="宋体" w:cs="宋体"/>
          <w:sz w:val="28"/>
          <w:szCs w:val="28"/>
        </w:rPr>
        <w:t>5、验收标准：根据《财政部关于进一步加强政府采购需求和履约验收管理的指导意见》（财库〔2016〕205号）及郫都区综合行政执法局实际出具《考核细则》规定执行。《考核细则》可根据上级相关规定进行调整并执行。</w:t>
      </w:r>
    </w:p>
    <w:p>
      <w:pPr>
        <w:spacing w:line="440" w:lineRule="exact"/>
        <w:ind w:firstLine="640"/>
        <w:rPr>
          <w:rFonts w:ascii="宋体" w:hAnsi="宋体" w:cs="宋体"/>
          <w:sz w:val="28"/>
          <w:szCs w:val="28"/>
        </w:rPr>
      </w:pPr>
      <w:r>
        <w:rPr>
          <w:rFonts w:hint="eastAsia" w:ascii="宋体" w:hAnsi="宋体" w:cs="宋体"/>
          <w:sz w:val="28"/>
          <w:szCs w:val="28"/>
        </w:rPr>
        <w:t>6、辖区内环卫作业量增加或减少：在符合《中华人民共和国政府采购法》的前提下，由采购人审核并出具辖区环卫作业增减量通知书，交中标人确认，中标人按照《招标文件》要求实施环卫作业。</w:t>
      </w:r>
    </w:p>
    <w:p>
      <w:pPr>
        <w:spacing w:line="440" w:lineRule="exact"/>
        <w:ind w:firstLine="640"/>
        <w:rPr>
          <w:rFonts w:ascii="宋体" w:hAnsi="宋体" w:cs="宋体"/>
          <w:sz w:val="28"/>
          <w:szCs w:val="28"/>
        </w:rPr>
      </w:pPr>
      <w:r>
        <w:rPr>
          <w:rFonts w:hint="eastAsia" w:ascii="宋体" w:hAnsi="宋体" w:cs="宋体"/>
          <w:sz w:val="28"/>
          <w:szCs w:val="28"/>
        </w:rPr>
        <w:t>★7、投标人须作出承诺：优先承接继续聘用上轮本包件号作业范围一线环卫工人。（提供承诺函，格式自拟）</w:t>
      </w:r>
    </w:p>
    <w:p>
      <w:pPr>
        <w:spacing w:line="440" w:lineRule="exact"/>
        <w:ind w:firstLine="640"/>
        <w:rPr>
          <w:rFonts w:ascii="宋体" w:hAnsi="宋体" w:cs="宋体"/>
          <w:sz w:val="28"/>
          <w:szCs w:val="28"/>
        </w:rPr>
      </w:pPr>
      <w:r>
        <w:rPr>
          <w:rFonts w:hint="eastAsia" w:ascii="宋体" w:hAnsi="宋体" w:cs="宋体"/>
          <w:sz w:val="28"/>
          <w:szCs w:val="28"/>
        </w:rPr>
        <w:t>★8、为保证服务质量，投标单位如果同时参与多个包件的投标，各包件所配备的人员和机具须单独配置，不能共享。（提供承诺函）</w:t>
      </w:r>
    </w:p>
    <w:p>
      <w:pPr>
        <w:spacing w:line="440" w:lineRule="exact"/>
        <w:ind w:firstLine="640"/>
        <w:rPr>
          <w:rFonts w:ascii="宋体" w:hAnsi="宋体" w:cs="宋体"/>
          <w:sz w:val="28"/>
          <w:szCs w:val="28"/>
        </w:rPr>
      </w:pPr>
      <w:r>
        <w:rPr>
          <w:rFonts w:hint="eastAsia" w:ascii="宋体" w:hAnsi="宋体" w:cs="宋体"/>
          <w:sz w:val="28"/>
          <w:szCs w:val="28"/>
        </w:rPr>
        <w:t>★9、投标人需作出承诺：响应垃圾分类政策，实施清扫保洁和垃圾收（转）运作业中，按采购人规定，配备相应专用车辆，把所在区域的各类小区、院落、单位、企业、学校、商户及其他组织和个人等产生的分类后的生活垃圾按可回收物、厨余垃圾、有害垃圾、其他（含大件）垃圾进行分类收集及转运。其中除大件垃圾外，其余垃圾收集车辆箱体必须是密闭样式，并运至采购人上述指定场所，所产生清运费用包含在作业经费内，采购方不再另行付费。（提供承诺函，格式自拟）</w:t>
      </w:r>
    </w:p>
    <w:p>
      <w:pPr>
        <w:spacing w:line="440" w:lineRule="exact"/>
        <w:ind w:firstLine="640"/>
        <w:rPr>
          <w:rFonts w:ascii="宋体" w:hAnsi="宋体" w:cs="宋体"/>
          <w:sz w:val="28"/>
          <w:szCs w:val="28"/>
        </w:rPr>
      </w:pPr>
      <w:r>
        <w:rPr>
          <w:rFonts w:hint="eastAsia" w:ascii="宋体" w:hAnsi="宋体" w:cs="宋体"/>
          <w:sz w:val="28"/>
          <w:szCs w:val="28"/>
        </w:rPr>
        <w:t>★10、投标人需作出承诺：根据本包件号区域环卫作业实际情况，在满足作业质量、频次和标准前提下，需对作业机具和人员配置进行优化调整的，需提前1个月向招标人业务科室报批具体调整方案，招标人同意后方可对机具和人员进行优化调整。（提供承诺函，格式自拟）</w:t>
      </w:r>
    </w:p>
    <w:p>
      <w:pPr>
        <w:spacing w:line="440" w:lineRule="exact"/>
        <w:ind w:firstLine="640"/>
        <w:rPr>
          <w:rFonts w:ascii="宋体" w:hAnsi="宋体" w:cs="宋体"/>
          <w:sz w:val="28"/>
          <w:szCs w:val="28"/>
        </w:rPr>
      </w:pPr>
      <w:r>
        <w:rPr>
          <w:rFonts w:hint="eastAsia" w:ascii="宋体" w:hAnsi="宋体" w:cs="宋体"/>
          <w:sz w:val="28"/>
          <w:szCs w:val="28"/>
        </w:rPr>
        <w:t>★11、</w:t>
      </w:r>
      <w:r>
        <w:rPr>
          <w:rFonts w:hint="eastAsia" w:ascii="宋体" w:hAnsi="宋体" w:cs="宋体"/>
          <w:sz w:val="28"/>
          <w:szCs w:val="28"/>
          <w:highlight w:val="none"/>
        </w:rPr>
        <w:t>投标人</w:t>
      </w:r>
      <w:r>
        <w:rPr>
          <w:rFonts w:hint="eastAsia" w:ascii="宋体" w:hAnsi="宋体" w:cs="宋体"/>
          <w:sz w:val="28"/>
          <w:szCs w:val="28"/>
          <w:highlight w:val="none"/>
          <w:lang w:val="en-US" w:eastAsia="zh-CN"/>
        </w:rPr>
        <w:t>须</w:t>
      </w:r>
      <w:r>
        <w:rPr>
          <w:rFonts w:hint="eastAsia" w:ascii="宋体" w:hAnsi="宋体" w:cs="宋体"/>
          <w:sz w:val="28"/>
          <w:szCs w:val="28"/>
          <w:highlight w:val="none"/>
        </w:rPr>
        <w:t>作出承诺：</w:t>
      </w:r>
      <w:r>
        <w:rPr>
          <w:rFonts w:hint="eastAsia" w:ascii="宋体" w:hAnsi="宋体" w:cs="宋体"/>
          <w:sz w:val="28"/>
          <w:szCs w:val="28"/>
          <w:highlight w:val="none"/>
          <w:lang w:val="en-US" w:eastAsia="zh-CN"/>
        </w:rPr>
        <w:t>在郫都区有（分）公司或</w:t>
      </w:r>
      <w:r>
        <w:rPr>
          <w:rFonts w:hint="eastAsia" w:ascii="宋体" w:hAnsi="宋体" w:cs="宋体"/>
          <w:sz w:val="28"/>
          <w:szCs w:val="28"/>
          <w:highlight w:val="none"/>
        </w:rPr>
        <w:t>中标后在郫都区设置分公司。</w:t>
      </w:r>
    </w:p>
    <w:p>
      <w:pPr>
        <w:spacing w:line="440" w:lineRule="exact"/>
        <w:ind w:firstLine="640"/>
        <w:rPr>
          <w:rFonts w:ascii="宋体" w:hAnsi="宋体" w:cs="宋体"/>
          <w:sz w:val="28"/>
          <w:szCs w:val="28"/>
        </w:rPr>
      </w:pPr>
      <w:r>
        <w:rPr>
          <w:rFonts w:hint="eastAsia" w:ascii="宋体" w:hAnsi="宋体" w:cs="宋体"/>
          <w:sz w:val="28"/>
          <w:szCs w:val="28"/>
        </w:rPr>
        <w:t>12、其他未尽事宜，由采购人与中标供应商另行协商解决。</w:t>
      </w:r>
    </w:p>
    <w:p>
      <w:pPr>
        <w:adjustRightInd w:val="0"/>
        <w:snapToGrid w:val="0"/>
        <w:spacing w:line="360" w:lineRule="auto"/>
        <w:rPr>
          <w:rFonts w:ascii="Calibri" w:hAnsi="Calibri"/>
          <w:szCs w:val="22"/>
        </w:rPr>
      </w:pPr>
    </w:p>
    <w:p>
      <w:pPr>
        <w:outlineLvl w:val="3"/>
        <w:rPr>
          <w:rFonts w:ascii="Calibri" w:hAnsi="Calibri"/>
          <w:sz w:val="32"/>
          <w:szCs w:val="32"/>
        </w:rPr>
      </w:pPr>
      <w:r>
        <w:rPr>
          <w:rFonts w:hint="eastAsia" w:ascii="宋体" w:hAnsi="宋体" w:cs="宋体"/>
          <w:b/>
          <w:sz w:val="32"/>
          <w:szCs w:val="32"/>
        </w:rPr>
        <w:br w:type="page"/>
      </w:r>
      <w:r>
        <w:rPr>
          <w:rFonts w:hint="eastAsia" w:ascii="Calibri" w:hAnsi="Calibri"/>
          <w:sz w:val="32"/>
          <w:szCs w:val="32"/>
        </w:rPr>
        <w:t>附件1：</w:t>
      </w:r>
    </w:p>
    <w:p>
      <w:pPr>
        <w:rPr>
          <w:rFonts w:ascii="Calibri" w:hAnsi="Calibri"/>
          <w:sz w:val="32"/>
          <w:szCs w:val="32"/>
        </w:rPr>
      </w:pPr>
      <w:r>
        <w:rPr>
          <w:rFonts w:hint="eastAsia" w:ascii="Calibri" w:hAnsi="Calibri"/>
          <w:sz w:val="32"/>
          <w:szCs w:val="32"/>
        </w:rPr>
        <w:drawing>
          <wp:inline distT="0" distB="0" distL="0" distR="0">
            <wp:extent cx="5262880" cy="7442835"/>
            <wp:effectExtent l="19050" t="0" r="0" b="0"/>
            <wp:docPr id="8" name="图片 2" descr="精细化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descr="精细化1"/>
                    <pic:cNvPicPr>
                      <a:picLocks noChangeAspect="1" noChangeArrowheads="1"/>
                    </pic:cNvPicPr>
                  </pic:nvPicPr>
                  <pic:blipFill>
                    <a:blip r:embed="rId19" cstate="print"/>
                    <a:srcRect/>
                    <a:stretch>
                      <a:fillRect/>
                    </a:stretch>
                  </pic:blipFill>
                  <pic:spPr>
                    <a:xfrm>
                      <a:off x="0" y="0"/>
                      <a:ext cx="5262880" cy="7442835"/>
                    </a:xfrm>
                    <a:prstGeom prst="rect">
                      <a:avLst/>
                    </a:prstGeom>
                    <a:noFill/>
                    <a:ln w="9525" cmpd="sng">
                      <a:noFill/>
                      <a:miter lim="800000"/>
                      <a:headEnd/>
                      <a:tailEnd/>
                    </a:ln>
                  </pic:spPr>
                </pic:pic>
              </a:graphicData>
            </a:graphic>
          </wp:inline>
        </w:drawing>
      </w:r>
    </w:p>
    <w:p>
      <w:pPr>
        <w:rPr>
          <w:rFonts w:ascii="Calibri" w:hAnsi="Calibri"/>
          <w:sz w:val="32"/>
          <w:szCs w:val="32"/>
        </w:rPr>
      </w:pPr>
      <w:r>
        <w:rPr>
          <w:rFonts w:hint="eastAsia" w:ascii="Calibri" w:hAnsi="Calibri"/>
          <w:sz w:val="32"/>
          <w:szCs w:val="32"/>
        </w:rPr>
        <w:br w:type="page"/>
      </w:r>
      <w:r>
        <w:rPr>
          <w:rFonts w:hint="eastAsia" w:ascii="Calibri" w:hAnsi="Calibri"/>
          <w:sz w:val="32"/>
          <w:szCs w:val="32"/>
        </w:rPr>
        <w:drawing>
          <wp:inline distT="0" distB="0" distL="0" distR="0">
            <wp:extent cx="5592445" cy="7910830"/>
            <wp:effectExtent l="19050" t="0" r="8255" b="0"/>
            <wp:docPr id="9" name="图片 3" descr="精细化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descr="精细化2"/>
                    <pic:cNvPicPr>
                      <a:picLocks noChangeAspect="1" noChangeArrowheads="1"/>
                    </pic:cNvPicPr>
                  </pic:nvPicPr>
                  <pic:blipFill>
                    <a:blip r:embed="rId20" cstate="print"/>
                    <a:srcRect/>
                    <a:stretch>
                      <a:fillRect/>
                    </a:stretch>
                  </pic:blipFill>
                  <pic:spPr>
                    <a:xfrm>
                      <a:off x="0" y="0"/>
                      <a:ext cx="5592445" cy="7910830"/>
                    </a:xfrm>
                    <a:prstGeom prst="rect">
                      <a:avLst/>
                    </a:prstGeom>
                    <a:noFill/>
                    <a:ln w="9525" cmpd="sng">
                      <a:noFill/>
                      <a:miter lim="800000"/>
                      <a:headEnd/>
                      <a:tailEnd/>
                    </a:ln>
                  </pic:spPr>
                </pic:pic>
              </a:graphicData>
            </a:graphic>
          </wp:inline>
        </w:drawing>
      </w:r>
      <w:r>
        <w:rPr>
          <w:rFonts w:hint="eastAsia" w:ascii="Calibri" w:hAnsi="Calibri"/>
          <w:sz w:val="32"/>
          <w:szCs w:val="32"/>
        </w:rPr>
        <w:drawing>
          <wp:inline distT="0" distB="0" distL="0" distR="0">
            <wp:extent cx="5624830" cy="7953375"/>
            <wp:effectExtent l="19050" t="0" r="0" b="0"/>
            <wp:docPr id="10" name="图片 4" descr="精细化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descr="精细化3"/>
                    <pic:cNvPicPr>
                      <a:picLocks noChangeAspect="1" noChangeArrowheads="1"/>
                    </pic:cNvPicPr>
                  </pic:nvPicPr>
                  <pic:blipFill>
                    <a:blip r:embed="rId21" cstate="print"/>
                    <a:srcRect/>
                    <a:stretch>
                      <a:fillRect/>
                    </a:stretch>
                  </pic:blipFill>
                  <pic:spPr>
                    <a:xfrm>
                      <a:off x="0" y="0"/>
                      <a:ext cx="5624830" cy="7953375"/>
                    </a:xfrm>
                    <a:prstGeom prst="rect">
                      <a:avLst/>
                    </a:prstGeom>
                    <a:noFill/>
                    <a:ln w="9525" cmpd="sng">
                      <a:noFill/>
                      <a:miter lim="800000"/>
                      <a:headEnd/>
                      <a:tailEnd/>
                    </a:ln>
                  </pic:spPr>
                </pic:pic>
              </a:graphicData>
            </a:graphic>
          </wp:inline>
        </w:drawing>
      </w:r>
      <w:r>
        <w:rPr>
          <w:rFonts w:hint="eastAsia" w:ascii="Calibri" w:hAnsi="Calibri"/>
          <w:sz w:val="32"/>
          <w:szCs w:val="32"/>
        </w:rPr>
        <w:drawing>
          <wp:inline distT="0" distB="0" distL="0" distR="0">
            <wp:extent cx="5667375" cy="8016875"/>
            <wp:effectExtent l="19050" t="0" r="9525" b="0"/>
            <wp:docPr id="11" name="图片 5" descr="精细化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descr="精细化4"/>
                    <pic:cNvPicPr>
                      <a:picLocks noChangeAspect="1" noChangeArrowheads="1"/>
                    </pic:cNvPicPr>
                  </pic:nvPicPr>
                  <pic:blipFill>
                    <a:blip r:embed="rId22" cstate="print"/>
                    <a:srcRect/>
                    <a:stretch>
                      <a:fillRect/>
                    </a:stretch>
                  </pic:blipFill>
                  <pic:spPr>
                    <a:xfrm>
                      <a:off x="0" y="0"/>
                      <a:ext cx="5667375" cy="8016875"/>
                    </a:xfrm>
                    <a:prstGeom prst="rect">
                      <a:avLst/>
                    </a:prstGeom>
                    <a:noFill/>
                    <a:ln w="9525" cmpd="sng">
                      <a:noFill/>
                      <a:miter lim="800000"/>
                      <a:headEnd/>
                      <a:tailEnd/>
                    </a:ln>
                  </pic:spPr>
                </pic:pic>
              </a:graphicData>
            </a:graphic>
          </wp:inline>
        </w:drawing>
      </w:r>
      <w:r>
        <w:rPr>
          <w:rFonts w:hint="eastAsia" w:ascii="Calibri" w:hAnsi="Calibri"/>
          <w:sz w:val="32"/>
          <w:szCs w:val="32"/>
        </w:rPr>
        <w:drawing>
          <wp:inline distT="0" distB="0" distL="0" distR="0">
            <wp:extent cx="5571490" cy="7878445"/>
            <wp:effectExtent l="19050" t="0" r="0" b="0"/>
            <wp:docPr id="12" name="图片 6" descr="精细化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descr="精细化5"/>
                    <pic:cNvPicPr>
                      <a:picLocks noChangeAspect="1" noChangeArrowheads="1"/>
                    </pic:cNvPicPr>
                  </pic:nvPicPr>
                  <pic:blipFill>
                    <a:blip r:embed="rId23" cstate="print"/>
                    <a:srcRect/>
                    <a:stretch>
                      <a:fillRect/>
                    </a:stretch>
                  </pic:blipFill>
                  <pic:spPr>
                    <a:xfrm>
                      <a:off x="0" y="0"/>
                      <a:ext cx="5571490" cy="7878445"/>
                    </a:xfrm>
                    <a:prstGeom prst="rect">
                      <a:avLst/>
                    </a:prstGeom>
                    <a:noFill/>
                    <a:ln w="9525" cmpd="sng">
                      <a:noFill/>
                      <a:miter lim="800000"/>
                      <a:headEnd/>
                      <a:tailEnd/>
                    </a:ln>
                  </pic:spPr>
                </pic:pic>
              </a:graphicData>
            </a:graphic>
          </wp:inline>
        </w:drawing>
      </w:r>
      <w:r>
        <w:rPr>
          <w:rFonts w:hint="eastAsia" w:ascii="Calibri" w:hAnsi="Calibri"/>
          <w:sz w:val="32"/>
          <w:szCs w:val="32"/>
        </w:rPr>
        <w:drawing>
          <wp:inline distT="0" distB="0" distL="0" distR="0">
            <wp:extent cx="5539740" cy="7825740"/>
            <wp:effectExtent l="19050" t="0" r="3810" b="0"/>
            <wp:docPr id="13" name="图片 7" descr="精细化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7" descr="精细化6"/>
                    <pic:cNvPicPr>
                      <a:picLocks noChangeAspect="1" noChangeArrowheads="1"/>
                    </pic:cNvPicPr>
                  </pic:nvPicPr>
                  <pic:blipFill>
                    <a:blip r:embed="rId24" cstate="print"/>
                    <a:srcRect/>
                    <a:stretch>
                      <a:fillRect/>
                    </a:stretch>
                  </pic:blipFill>
                  <pic:spPr>
                    <a:xfrm>
                      <a:off x="0" y="0"/>
                      <a:ext cx="5539740" cy="7825740"/>
                    </a:xfrm>
                    <a:prstGeom prst="rect">
                      <a:avLst/>
                    </a:prstGeom>
                    <a:noFill/>
                    <a:ln w="9525" cmpd="sng">
                      <a:noFill/>
                      <a:miter lim="800000"/>
                      <a:headEnd/>
                      <a:tailEnd/>
                    </a:ln>
                  </pic:spPr>
                </pic:pic>
              </a:graphicData>
            </a:graphic>
          </wp:inline>
        </w:drawing>
      </w:r>
      <w:r>
        <w:rPr>
          <w:rFonts w:hint="eastAsia" w:ascii="Calibri" w:hAnsi="Calibri"/>
          <w:sz w:val="32"/>
          <w:szCs w:val="32"/>
        </w:rPr>
        <w:drawing>
          <wp:inline distT="0" distB="0" distL="0" distR="0">
            <wp:extent cx="5688330" cy="8048625"/>
            <wp:effectExtent l="19050" t="0" r="7620" b="0"/>
            <wp:docPr id="14" name="图片 8" descr="精细化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descr="精细化7"/>
                    <pic:cNvPicPr>
                      <a:picLocks noChangeAspect="1" noChangeArrowheads="1"/>
                    </pic:cNvPicPr>
                  </pic:nvPicPr>
                  <pic:blipFill>
                    <a:blip r:embed="rId25" cstate="print"/>
                    <a:srcRect/>
                    <a:stretch>
                      <a:fillRect/>
                    </a:stretch>
                  </pic:blipFill>
                  <pic:spPr>
                    <a:xfrm>
                      <a:off x="0" y="0"/>
                      <a:ext cx="5688330" cy="8048625"/>
                    </a:xfrm>
                    <a:prstGeom prst="rect">
                      <a:avLst/>
                    </a:prstGeom>
                    <a:noFill/>
                    <a:ln w="9525" cmpd="sng">
                      <a:noFill/>
                      <a:miter lim="800000"/>
                      <a:headEnd/>
                      <a:tailEnd/>
                    </a:ln>
                  </pic:spPr>
                </pic:pic>
              </a:graphicData>
            </a:graphic>
          </wp:inline>
        </w:drawing>
      </w:r>
      <w:r>
        <w:rPr>
          <w:rFonts w:hint="eastAsia" w:ascii="Calibri" w:hAnsi="Calibri"/>
          <w:sz w:val="32"/>
          <w:szCs w:val="32"/>
        </w:rPr>
        <w:drawing>
          <wp:inline distT="0" distB="0" distL="0" distR="0">
            <wp:extent cx="5699125" cy="8059420"/>
            <wp:effectExtent l="19050" t="0" r="0" b="0"/>
            <wp:docPr id="15" name="图片 9" descr="精细化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9" descr="精细化8"/>
                    <pic:cNvPicPr>
                      <a:picLocks noChangeAspect="1" noChangeArrowheads="1"/>
                    </pic:cNvPicPr>
                  </pic:nvPicPr>
                  <pic:blipFill>
                    <a:blip r:embed="rId26" cstate="print"/>
                    <a:srcRect/>
                    <a:stretch>
                      <a:fillRect/>
                    </a:stretch>
                  </pic:blipFill>
                  <pic:spPr>
                    <a:xfrm>
                      <a:off x="0" y="0"/>
                      <a:ext cx="5699125" cy="8059420"/>
                    </a:xfrm>
                    <a:prstGeom prst="rect">
                      <a:avLst/>
                    </a:prstGeom>
                    <a:noFill/>
                    <a:ln w="9525" cmpd="sng">
                      <a:noFill/>
                      <a:miter lim="800000"/>
                      <a:headEnd/>
                      <a:tailEnd/>
                    </a:ln>
                  </pic:spPr>
                </pic:pic>
              </a:graphicData>
            </a:graphic>
          </wp:inline>
        </w:drawing>
      </w:r>
      <w:r>
        <w:rPr>
          <w:rFonts w:hint="eastAsia" w:ascii="Calibri" w:hAnsi="Calibri"/>
          <w:sz w:val="32"/>
          <w:szCs w:val="32"/>
        </w:rPr>
        <w:drawing>
          <wp:inline distT="0" distB="0" distL="0" distR="0">
            <wp:extent cx="5634990" cy="7974330"/>
            <wp:effectExtent l="19050" t="0" r="3810" b="0"/>
            <wp:docPr id="16" name="图片 10" descr="精细化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0" descr="精细化9"/>
                    <pic:cNvPicPr>
                      <a:picLocks noChangeAspect="1" noChangeArrowheads="1"/>
                    </pic:cNvPicPr>
                  </pic:nvPicPr>
                  <pic:blipFill>
                    <a:blip r:embed="rId27" cstate="print"/>
                    <a:srcRect/>
                    <a:stretch>
                      <a:fillRect/>
                    </a:stretch>
                  </pic:blipFill>
                  <pic:spPr>
                    <a:xfrm>
                      <a:off x="0" y="0"/>
                      <a:ext cx="5634990" cy="7974330"/>
                    </a:xfrm>
                    <a:prstGeom prst="rect">
                      <a:avLst/>
                    </a:prstGeom>
                    <a:noFill/>
                    <a:ln w="9525" cmpd="sng">
                      <a:noFill/>
                      <a:miter lim="800000"/>
                      <a:headEnd/>
                      <a:tailEnd/>
                    </a:ln>
                  </pic:spPr>
                </pic:pic>
              </a:graphicData>
            </a:graphic>
          </wp:inline>
        </w:drawing>
      </w:r>
      <w:r>
        <w:rPr>
          <w:rFonts w:hint="eastAsia" w:ascii="Calibri" w:hAnsi="Calibri"/>
          <w:sz w:val="32"/>
          <w:szCs w:val="32"/>
        </w:rPr>
        <w:drawing>
          <wp:inline distT="0" distB="0" distL="0" distR="0">
            <wp:extent cx="5592445" cy="7900035"/>
            <wp:effectExtent l="19050" t="0" r="8255" b="0"/>
            <wp:docPr id="17" name="图片 11" descr="精细化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1" descr="精细化10"/>
                    <pic:cNvPicPr>
                      <a:picLocks noChangeAspect="1" noChangeArrowheads="1"/>
                    </pic:cNvPicPr>
                  </pic:nvPicPr>
                  <pic:blipFill>
                    <a:blip r:embed="rId28" cstate="print"/>
                    <a:srcRect/>
                    <a:stretch>
                      <a:fillRect/>
                    </a:stretch>
                  </pic:blipFill>
                  <pic:spPr>
                    <a:xfrm>
                      <a:off x="0" y="0"/>
                      <a:ext cx="5592445" cy="7900035"/>
                    </a:xfrm>
                    <a:prstGeom prst="rect">
                      <a:avLst/>
                    </a:prstGeom>
                    <a:noFill/>
                    <a:ln w="9525" cmpd="sng">
                      <a:noFill/>
                      <a:miter lim="800000"/>
                      <a:headEnd/>
                      <a:tailEnd/>
                    </a:ln>
                  </pic:spPr>
                </pic:pic>
              </a:graphicData>
            </a:graphic>
          </wp:inline>
        </w:drawing>
      </w:r>
      <w:r>
        <w:rPr>
          <w:rFonts w:hint="eastAsia" w:ascii="Calibri" w:hAnsi="Calibri"/>
          <w:sz w:val="32"/>
          <w:szCs w:val="32"/>
        </w:rPr>
        <w:drawing>
          <wp:inline distT="0" distB="0" distL="0" distR="0">
            <wp:extent cx="5614035" cy="7942580"/>
            <wp:effectExtent l="19050" t="0" r="5715" b="0"/>
            <wp:docPr id="18" name="图片 12" descr="精细化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2" descr="精细化11"/>
                    <pic:cNvPicPr>
                      <a:picLocks noChangeAspect="1" noChangeArrowheads="1"/>
                    </pic:cNvPicPr>
                  </pic:nvPicPr>
                  <pic:blipFill>
                    <a:blip r:embed="rId29" cstate="print"/>
                    <a:srcRect/>
                    <a:stretch>
                      <a:fillRect/>
                    </a:stretch>
                  </pic:blipFill>
                  <pic:spPr>
                    <a:xfrm>
                      <a:off x="0" y="0"/>
                      <a:ext cx="5614035" cy="7942580"/>
                    </a:xfrm>
                    <a:prstGeom prst="rect">
                      <a:avLst/>
                    </a:prstGeom>
                    <a:noFill/>
                    <a:ln w="9525" cmpd="sng">
                      <a:noFill/>
                      <a:miter lim="800000"/>
                      <a:headEnd/>
                      <a:tailEnd/>
                    </a:ln>
                  </pic:spPr>
                </pic:pic>
              </a:graphicData>
            </a:graphic>
          </wp:inline>
        </w:drawing>
      </w:r>
      <w:r>
        <w:rPr>
          <w:rFonts w:hint="eastAsia" w:ascii="Calibri" w:hAnsi="Calibri"/>
          <w:sz w:val="32"/>
          <w:szCs w:val="32"/>
        </w:rPr>
        <w:drawing>
          <wp:inline distT="0" distB="0" distL="0" distR="0">
            <wp:extent cx="5539740" cy="7835900"/>
            <wp:effectExtent l="19050" t="0" r="3810" b="0"/>
            <wp:docPr id="19" name="图片 13" descr="精细化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3" descr="精细化12"/>
                    <pic:cNvPicPr>
                      <a:picLocks noChangeAspect="1" noChangeArrowheads="1"/>
                    </pic:cNvPicPr>
                  </pic:nvPicPr>
                  <pic:blipFill>
                    <a:blip r:embed="rId30" cstate="print"/>
                    <a:srcRect/>
                    <a:stretch>
                      <a:fillRect/>
                    </a:stretch>
                  </pic:blipFill>
                  <pic:spPr>
                    <a:xfrm>
                      <a:off x="0" y="0"/>
                      <a:ext cx="5539740" cy="7835900"/>
                    </a:xfrm>
                    <a:prstGeom prst="rect">
                      <a:avLst/>
                    </a:prstGeom>
                    <a:noFill/>
                    <a:ln w="9525" cmpd="sng">
                      <a:noFill/>
                      <a:miter lim="800000"/>
                      <a:headEnd/>
                      <a:tailEnd/>
                    </a:ln>
                  </pic:spPr>
                </pic:pic>
              </a:graphicData>
            </a:graphic>
          </wp:inline>
        </w:drawing>
      </w:r>
      <w:r>
        <w:rPr>
          <w:rFonts w:hint="eastAsia" w:ascii="Calibri" w:hAnsi="Calibri"/>
          <w:sz w:val="32"/>
          <w:szCs w:val="32"/>
        </w:rPr>
        <w:drawing>
          <wp:inline distT="0" distB="0" distL="0" distR="0">
            <wp:extent cx="5582285" cy="7889240"/>
            <wp:effectExtent l="19050" t="0" r="0" b="0"/>
            <wp:docPr id="1" name="图片 14" descr="精细化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4" descr="精细化13"/>
                    <pic:cNvPicPr>
                      <a:picLocks noChangeAspect="1" noChangeArrowheads="1"/>
                    </pic:cNvPicPr>
                  </pic:nvPicPr>
                  <pic:blipFill>
                    <a:blip r:embed="rId31" cstate="print"/>
                    <a:srcRect/>
                    <a:stretch>
                      <a:fillRect/>
                    </a:stretch>
                  </pic:blipFill>
                  <pic:spPr>
                    <a:xfrm>
                      <a:off x="0" y="0"/>
                      <a:ext cx="5582285" cy="7889240"/>
                    </a:xfrm>
                    <a:prstGeom prst="rect">
                      <a:avLst/>
                    </a:prstGeom>
                    <a:noFill/>
                    <a:ln w="9525" cmpd="sng">
                      <a:noFill/>
                      <a:miter lim="800000"/>
                      <a:headEnd/>
                      <a:tailEnd/>
                    </a:ln>
                  </pic:spPr>
                </pic:pic>
              </a:graphicData>
            </a:graphic>
          </wp:inline>
        </w:drawing>
      </w:r>
      <w:r>
        <w:rPr>
          <w:rFonts w:hint="eastAsia" w:ascii="Calibri" w:hAnsi="Calibri"/>
          <w:sz w:val="32"/>
          <w:szCs w:val="32"/>
        </w:rPr>
        <w:drawing>
          <wp:inline distT="0" distB="0" distL="0" distR="0">
            <wp:extent cx="5518150" cy="7804150"/>
            <wp:effectExtent l="19050" t="0" r="6350" b="0"/>
            <wp:docPr id="21" name="图片 15" descr="精细化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5" descr="精细化14"/>
                    <pic:cNvPicPr>
                      <a:picLocks noChangeAspect="1" noChangeArrowheads="1"/>
                    </pic:cNvPicPr>
                  </pic:nvPicPr>
                  <pic:blipFill>
                    <a:blip r:embed="rId32" cstate="print"/>
                    <a:srcRect/>
                    <a:stretch>
                      <a:fillRect/>
                    </a:stretch>
                  </pic:blipFill>
                  <pic:spPr>
                    <a:xfrm>
                      <a:off x="0" y="0"/>
                      <a:ext cx="5518150" cy="7804150"/>
                    </a:xfrm>
                    <a:prstGeom prst="rect">
                      <a:avLst/>
                    </a:prstGeom>
                    <a:noFill/>
                    <a:ln w="9525" cmpd="sng">
                      <a:noFill/>
                      <a:miter lim="800000"/>
                      <a:headEnd/>
                      <a:tailEnd/>
                    </a:ln>
                  </pic:spPr>
                </pic:pic>
              </a:graphicData>
            </a:graphic>
          </wp:inline>
        </w:drawing>
      </w:r>
      <w:r>
        <w:rPr>
          <w:rFonts w:hint="eastAsia" w:ascii="Calibri" w:hAnsi="Calibri"/>
          <w:sz w:val="32"/>
          <w:szCs w:val="32"/>
        </w:rPr>
        <w:drawing>
          <wp:inline distT="0" distB="0" distL="0" distR="0">
            <wp:extent cx="5720080" cy="8091170"/>
            <wp:effectExtent l="19050" t="0" r="0" b="0"/>
            <wp:docPr id="22" name="图片 16" descr="精细化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6" descr="精细化15"/>
                    <pic:cNvPicPr>
                      <a:picLocks noChangeAspect="1" noChangeArrowheads="1"/>
                    </pic:cNvPicPr>
                  </pic:nvPicPr>
                  <pic:blipFill>
                    <a:blip r:embed="rId33" cstate="print"/>
                    <a:srcRect/>
                    <a:stretch>
                      <a:fillRect/>
                    </a:stretch>
                  </pic:blipFill>
                  <pic:spPr>
                    <a:xfrm>
                      <a:off x="0" y="0"/>
                      <a:ext cx="5720080" cy="8091170"/>
                    </a:xfrm>
                    <a:prstGeom prst="rect">
                      <a:avLst/>
                    </a:prstGeom>
                    <a:noFill/>
                    <a:ln w="9525" cmpd="sng">
                      <a:noFill/>
                      <a:miter lim="800000"/>
                      <a:headEnd/>
                      <a:tailEnd/>
                    </a:ln>
                  </pic:spPr>
                </pic:pic>
              </a:graphicData>
            </a:graphic>
          </wp:inline>
        </w:drawing>
      </w:r>
      <w:r>
        <w:rPr>
          <w:rFonts w:hint="eastAsia" w:ascii="Calibri" w:hAnsi="Calibri"/>
          <w:sz w:val="32"/>
          <w:szCs w:val="32"/>
        </w:rPr>
        <w:drawing>
          <wp:inline distT="0" distB="0" distL="0" distR="0">
            <wp:extent cx="5656580" cy="7995920"/>
            <wp:effectExtent l="19050" t="0" r="1270" b="0"/>
            <wp:docPr id="23" name="图片 70" descr="精细化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70" descr="精细化16"/>
                    <pic:cNvPicPr>
                      <a:picLocks noChangeAspect="1" noChangeArrowheads="1"/>
                    </pic:cNvPicPr>
                  </pic:nvPicPr>
                  <pic:blipFill>
                    <a:blip r:embed="rId34" cstate="print"/>
                    <a:srcRect/>
                    <a:stretch>
                      <a:fillRect/>
                    </a:stretch>
                  </pic:blipFill>
                  <pic:spPr>
                    <a:xfrm>
                      <a:off x="0" y="0"/>
                      <a:ext cx="5656580" cy="7995920"/>
                    </a:xfrm>
                    <a:prstGeom prst="rect">
                      <a:avLst/>
                    </a:prstGeom>
                    <a:noFill/>
                    <a:ln w="9525" cmpd="sng">
                      <a:noFill/>
                      <a:miter lim="800000"/>
                      <a:headEnd/>
                      <a:tailEnd/>
                    </a:ln>
                  </pic:spPr>
                </pic:pic>
              </a:graphicData>
            </a:graphic>
          </wp:inline>
        </w:drawing>
      </w:r>
      <w:r>
        <w:rPr>
          <w:rFonts w:hint="eastAsia" w:ascii="Calibri" w:hAnsi="Calibri"/>
          <w:sz w:val="32"/>
          <w:szCs w:val="32"/>
        </w:rPr>
        <w:drawing>
          <wp:inline distT="0" distB="0" distL="0" distR="0">
            <wp:extent cx="5507355" cy="7783195"/>
            <wp:effectExtent l="19050" t="0" r="0" b="0"/>
            <wp:docPr id="24" name="图片 18" descr="精细化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8" descr="精细化18"/>
                    <pic:cNvPicPr>
                      <a:picLocks noChangeAspect="1" noChangeArrowheads="1"/>
                    </pic:cNvPicPr>
                  </pic:nvPicPr>
                  <pic:blipFill>
                    <a:blip r:embed="rId35" cstate="print"/>
                    <a:srcRect/>
                    <a:stretch>
                      <a:fillRect/>
                    </a:stretch>
                  </pic:blipFill>
                  <pic:spPr>
                    <a:xfrm>
                      <a:off x="0" y="0"/>
                      <a:ext cx="5507355" cy="7783195"/>
                    </a:xfrm>
                    <a:prstGeom prst="rect">
                      <a:avLst/>
                    </a:prstGeom>
                    <a:noFill/>
                    <a:ln w="9525" cmpd="sng">
                      <a:noFill/>
                      <a:miter lim="800000"/>
                      <a:headEnd/>
                      <a:tailEnd/>
                    </a:ln>
                  </pic:spPr>
                </pic:pic>
              </a:graphicData>
            </a:graphic>
          </wp:inline>
        </w:drawing>
      </w:r>
      <w:r>
        <w:rPr>
          <w:rFonts w:hint="eastAsia" w:ascii="Calibri" w:hAnsi="Calibri"/>
          <w:sz w:val="32"/>
          <w:szCs w:val="32"/>
        </w:rPr>
        <w:drawing>
          <wp:inline distT="0" distB="0" distL="0" distR="0">
            <wp:extent cx="5656580" cy="8006080"/>
            <wp:effectExtent l="19050" t="0" r="1270" b="0"/>
            <wp:docPr id="25" name="图片 19" descr="精细化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9" descr="精细化19"/>
                    <pic:cNvPicPr>
                      <a:picLocks noChangeAspect="1" noChangeArrowheads="1"/>
                    </pic:cNvPicPr>
                  </pic:nvPicPr>
                  <pic:blipFill>
                    <a:blip r:embed="rId36" cstate="print"/>
                    <a:srcRect/>
                    <a:stretch>
                      <a:fillRect/>
                    </a:stretch>
                  </pic:blipFill>
                  <pic:spPr>
                    <a:xfrm>
                      <a:off x="0" y="0"/>
                      <a:ext cx="5656580" cy="8006080"/>
                    </a:xfrm>
                    <a:prstGeom prst="rect">
                      <a:avLst/>
                    </a:prstGeom>
                    <a:noFill/>
                    <a:ln w="9525" cmpd="sng">
                      <a:noFill/>
                      <a:miter lim="800000"/>
                      <a:headEnd/>
                      <a:tailEnd/>
                    </a:ln>
                  </pic:spPr>
                </pic:pic>
              </a:graphicData>
            </a:graphic>
          </wp:inline>
        </w:drawing>
      </w:r>
      <w:r>
        <w:rPr>
          <w:rFonts w:hint="eastAsia" w:ascii="Calibri" w:hAnsi="Calibri"/>
          <w:sz w:val="32"/>
          <w:szCs w:val="32"/>
        </w:rPr>
        <w:drawing>
          <wp:inline distT="0" distB="0" distL="0" distR="0">
            <wp:extent cx="5624830" cy="7953375"/>
            <wp:effectExtent l="19050" t="0" r="0" b="0"/>
            <wp:docPr id="26" name="图片 20" descr="精细化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0" descr="精细化20"/>
                    <pic:cNvPicPr>
                      <a:picLocks noChangeAspect="1" noChangeArrowheads="1"/>
                    </pic:cNvPicPr>
                  </pic:nvPicPr>
                  <pic:blipFill>
                    <a:blip r:embed="rId37" cstate="print"/>
                    <a:srcRect/>
                    <a:stretch>
                      <a:fillRect/>
                    </a:stretch>
                  </pic:blipFill>
                  <pic:spPr>
                    <a:xfrm>
                      <a:off x="0" y="0"/>
                      <a:ext cx="5624830" cy="7953375"/>
                    </a:xfrm>
                    <a:prstGeom prst="rect">
                      <a:avLst/>
                    </a:prstGeom>
                    <a:noFill/>
                    <a:ln w="9525" cmpd="sng">
                      <a:noFill/>
                      <a:miter lim="800000"/>
                      <a:headEnd/>
                      <a:tailEnd/>
                    </a:ln>
                  </pic:spPr>
                </pic:pic>
              </a:graphicData>
            </a:graphic>
          </wp:inline>
        </w:drawing>
      </w:r>
      <w:r>
        <w:rPr>
          <w:rFonts w:hint="eastAsia" w:ascii="Calibri" w:hAnsi="Calibri"/>
          <w:sz w:val="32"/>
          <w:szCs w:val="32"/>
        </w:rPr>
        <w:drawing>
          <wp:inline distT="0" distB="0" distL="0" distR="0">
            <wp:extent cx="5815965" cy="8229600"/>
            <wp:effectExtent l="19050" t="0" r="0" b="0"/>
            <wp:docPr id="27" name="图片 21" descr="精细化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1" descr="精细化21"/>
                    <pic:cNvPicPr>
                      <a:picLocks noChangeAspect="1" noChangeArrowheads="1"/>
                    </pic:cNvPicPr>
                  </pic:nvPicPr>
                  <pic:blipFill>
                    <a:blip r:embed="rId38" cstate="print"/>
                    <a:srcRect/>
                    <a:stretch>
                      <a:fillRect/>
                    </a:stretch>
                  </pic:blipFill>
                  <pic:spPr>
                    <a:xfrm>
                      <a:off x="0" y="0"/>
                      <a:ext cx="5815965" cy="8229600"/>
                    </a:xfrm>
                    <a:prstGeom prst="rect">
                      <a:avLst/>
                    </a:prstGeom>
                    <a:noFill/>
                    <a:ln w="9525" cmpd="sng">
                      <a:noFill/>
                      <a:miter lim="800000"/>
                      <a:headEnd/>
                      <a:tailEnd/>
                    </a:ln>
                  </pic:spPr>
                </pic:pic>
              </a:graphicData>
            </a:graphic>
          </wp:inline>
        </w:drawing>
      </w:r>
      <w:r>
        <w:rPr>
          <w:rFonts w:hint="eastAsia" w:ascii="Calibri" w:hAnsi="Calibri"/>
          <w:sz w:val="32"/>
          <w:szCs w:val="32"/>
        </w:rPr>
        <w:drawing>
          <wp:inline distT="0" distB="0" distL="0" distR="0">
            <wp:extent cx="5582285" cy="7889240"/>
            <wp:effectExtent l="19050" t="0" r="0" b="0"/>
            <wp:docPr id="28" name="图片 22" descr="精细化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2" descr="精细化22"/>
                    <pic:cNvPicPr>
                      <a:picLocks noChangeAspect="1" noChangeArrowheads="1"/>
                    </pic:cNvPicPr>
                  </pic:nvPicPr>
                  <pic:blipFill>
                    <a:blip r:embed="rId39" cstate="print"/>
                    <a:srcRect/>
                    <a:stretch>
                      <a:fillRect/>
                    </a:stretch>
                  </pic:blipFill>
                  <pic:spPr>
                    <a:xfrm>
                      <a:off x="0" y="0"/>
                      <a:ext cx="5582285" cy="7889240"/>
                    </a:xfrm>
                    <a:prstGeom prst="rect">
                      <a:avLst/>
                    </a:prstGeom>
                    <a:noFill/>
                    <a:ln w="9525" cmpd="sng">
                      <a:noFill/>
                      <a:miter lim="800000"/>
                      <a:headEnd/>
                      <a:tailEnd/>
                    </a:ln>
                  </pic:spPr>
                </pic:pic>
              </a:graphicData>
            </a:graphic>
          </wp:inline>
        </w:drawing>
      </w:r>
      <w:r>
        <w:rPr>
          <w:rFonts w:hint="eastAsia" w:ascii="Calibri" w:hAnsi="Calibri"/>
          <w:sz w:val="32"/>
          <w:szCs w:val="32"/>
        </w:rPr>
        <w:drawing>
          <wp:inline distT="0" distB="0" distL="0" distR="0">
            <wp:extent cx="5709920" cy="8070215"/>
            <wp:effectExtent l="19050" t="0" r="5080" b="0"/>
            <wp:docPr id="29" name="图片 23" descr="精细化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3" descr="精细化23"/>
                    <pic:cNvPicPr>
                      <a:picLocks noChangeAspect="1" noChangeArrowheads="1"/>
                    </pic:cNvPicPr>
                  </pic:nvPicPr>
                  <pic:blipFill>
                    <a:blip r:embed="rId40" cstate="print"/>
                    <a:srcRect/>
                    <a:stretch>
                      <a:fillRect/>
                    </a:stretch>
                  </pic:blipFill>
                  <pic:spPr>
                    <a:xfrm>
                      <a:off x="0" y="0"/>
                      <a:ext cx="5709920" cy="8070215"/>
                    </a:xfrm>
                    <a:prstGeom prst="rect">
                      <a:avLst/>
                    </a:prstGeom>
                    <a:noFill/>
                    <a:ln w="9525" cmpd="sng">
                      <a:noFill/>
                      <a:miter lim="800000"/>
                      <a:headEnd/>
                      <a:tailEnd/>
                    </a:ln>
                  </pic:spPr>
                </pic:pic>
              </a:graphicData>
            </a:graphic>
          </wp:inline>
        </w:drawing>
      </w:r>
      <w:r>
        <w:rPr>
          <w:rFonts w:hint="eastAsia" w:ascii="Calibri" w:hAnsi="Calibri"/>
          <w:sz w:val="32"/>
          <w:szCs w:val="32"/>
        </w:rPr>
        <w:drawing>
          <wp:inline distT="0" distB="0" distL="0" distR="0">
            <wp:extent cx="5603240" cy="7920990"/>
            <wp:effectExtent l="19050" t="0" r="0" b="0"/>
            <wp:docPr id="30" name="图片 24" descr="精细化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4" descr="精细化24"/>
                    <pic:cNvPicPr>
                      <a:picLocks noChangeAspect="1" noChangeArrowheads="1"/>
                    </pic:cNvPicPr>
                  </pic:nvPicPr>
                  <pic:blipFill>
                    <a:blip r:embed="rId41" cstate="print"/>
                    <a:srcRect/>
                    <a:stretch>
                      <a:fillRect/>
                    </a:stretch>
                  </pic:blipFill>
                  <pic:spPr>
                    <a:xfrm>
                      <a:off x="0" y="0"/>
                      <a:ext cx="5603240" cy="7920990"/>
                    </a:xfrm>
                    <a:prstGeom prst="rect">
                      <a:avLst/>
                    </a:prstGeom>
                    <a:noFill/>
                    <a:ln w="9525" cmpd="sng">
                      <a:noFill/>
                      <a:miter lim="800000"/>
                      <a:headEnd/>
                      <a:tailEnd/>
                    </a:ln>
                  </pic:spPr>
                </pic:pic>
              </a:graphicData>
            </a:graphic>
          </wp:inline>
        </w:drawing>
      </w:r>
      <w:r>
        <w:rPr>
          <w:rFonts w:hint="eastAsia" w:ascii="Calibri" w:hAnsi="Calibri"/>
          <w:sz w:val="32"/>
          <w:szCs w:val="32"/>
        </w:rPr>
        <w:drawing>
          <wp:inline distT="0" distB="0" distL="0" distR="0">
            <wp:extent cx="5634990" cy="7974330"/>
            <wp:effectExtent l="19050" t="0" r="3810" b="0"/>
            <wp:docPr id="31" name="图片 25" descr="精细化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5" descr="精细化25"/>
                    <pic:cNvPicPr>
                      <a:picLocks noChangeAspect="1" noChangeArrowheads="1"/>
                    </pic:cNvPicPr>
                  </pic:nvPicPr>
                  <pic:blipFill>
                    <a:blip r:embed="rId42" cstate="print"/>
                    <a:srcRect/>
                    <a:stretch>
                      <a:fillRect/>
                    </a:stretch>
                  </pic:blipFill>
                  <pic:spPr>
                    <a:xfrm>
                      <a:off x="0" y="0"/>
                      <a:ext cx="5634990" cy="7974330"/>
                    </a:xfrm>
                    <a:prstGeom prst="rect">
                      <a:avLst/>
                    </a:prstGeom>
                    <a:noFill/>
                    <a:ln w="9525" cmpd="sng">
                      <a:noFill/>
                      <a:miter lim="800000"/>
                      <a:headEnd/>
                      <a:tailEnd/>
                    </a:ln>
                  </pic:spPr>
                </pic:pic>
              </a:graphicData>
            </a:graphic>
          </wp:inline>
        </w:drawing>
      </w:r>
      <w:r>
        <w:rPr>
          <w:rFonts w:hint="eastAsia" w:ascii="Calibri" w:hAnsi="Calibri"/>
          <w:sz w:val="32"/>
          <w:szCs w:val="32"/>
        </w:rPr>
        <w:drawing>
          <wp:inline distT="0" distB="0" distL="0" distR="0">
            <wp:extent cx="5634990" cy="7974330"/>
            <wp:effectExtent l="19050" t="0" r="3810" b="0"/>
            <wp:docPr id="32" name="图片 26" descr="精细化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6" descr="精细化26"/>
                    <pic:cNvPicPr>
                      <a:picLocks noChangeAspect="1" noChangeArrowheads="1"/>
                    </pic:cNvPicPr>
                  </pic:nvPicPr>
                  <pic:blipFill>
                    <a:blip r:embed="rId43" cstate="print"/>
                    <a:srcRect/>
                    <a:stretch>
                      <a:fillRect/>
                    </a:stretch>
                  </pic:blipFill>
                  <pic:spPr>
                    <a:xfrm>
                      <a:off x="0" y="0"/>
                      <a:ext cx="5634990" cy="7974330"/>
                    </a:xfrm>
                    <a:prstGeom prst="rect">
                      <a:avLst/>
                    </a:prstGeom>
                    <a:noFill/>
                    <a:ln w="9525" cmpd="sng">
                      <a:noFill/>
                      <a:miter lim="800000"/>
                      <a:headEnd/>
                      <a:tailEnd/>
                    </a:ln>
                  </pic:spPr>
                </pic:pic>
              </a:graphicData>
            </a:graphic>
          </wp:inline>
        </w:drawing>
      </w:r>
      <w:r>
        <w:rPr>
          <w:rFonts w:hint="eastAsia" w:ascii="Calibri" w:hAnsi="Calibri"/>
          <w:sz w:val="32"/>
          <w:szCs w:val="32"/>
        </w:rPr>
        <w:drawing>
          <wp:inline distT="0" distB="0" distL="0" distR="0">
            <wp:extent cx="5752465" cy="8133715"/>
            <wp:effectExtent l="19050" t="0" r="635" b="0"/>
            <wp:docPr id="33" name="图片 27" descr="精细化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7" descr="精细化27"/>
                    <pic:cNvPicPr>
                      <a:picLocks noChangeAspect="1" noChangeArrowheads="1"/>
                    </pic:cNvPicPr>
                  </pic:nvPicPr>
                  <pic:blipFill>
                    <a:blip r:embed="rId44" cstate="print"/>
                    <a:srcRect/>
                    <a:stretch>
                      <a:fillRect/>
                    </a:stretch>
                  </pic:blipFill>
                  <pic:spPr>
                    <a:xfrm>
                      <a:off x="0" y="0"/>
                      <a:ext cx="5752465" cy="8133715"/>
                    </a:xfrm>
                    <a:prstGeom prst="rect">
                      <a:avLst/>
                    </a:prstGeom>
                    <a:noFill/>
                    <a:ln w="9525" cmpd="sng">
                      <a:noFill/>
                      <a:miter lim="800000"/>
                      <a:headEnd/>
                      <a:tailEnd/>
                    </a:ln>
                  </pic:spPr>
                </pic:pic>
              </a:graphicData>
            </a:graphic>
          </wp:inline>
        </w:drawing>
      </w:r>
    </w:p>
    <w:p>
      <w:pPr>
        <w:outlineLvl w:val="3"/>
        <w:rPr>
          <w:rFonts w:ascii="Calibri" w:hAnsi="Calibri"/>
          <w:sz w:val="32"/>
          <w:szCs w:val="32"/>
        </w:rPr>
      </w:pPr>
      <w:r>
        <w:rPr>
          <w:rFonts w:hint="eastAsia" w:ascii="Calibri" w:hAnsi="Calibri"/>
          <w:sz w:val="32"/>
          <w:szCs w:val="32"/>
        </w:rPr>
        <w:br w:type="page"/>
      </w:r>
      <w:r>
        <w:rPr>
          <w:rFonts w:hint="eastAsia" w:ascii="Calibri" w:hAnsi="Calibri"/>
          <w:sz w:val="32"/>
          <w:szCs w:val="32"/>
        </w:rPr>
        <w:t>附件2：</w:t>
      </w:r>
    </w:p>
    <w:p>
      <w:pPr>
        <w:rPr>
          <w:rFonts w:ascii="Calibri" w:hAnsi="Calibri"/>
          <w:sz w:val="32"/>
          <w:szCs w:val="32"/>
        </w:rPr>
      </w:pPr>
      <w:r>
        <w:rPr>
          <w:rFonts w:hint="eastAsia" w:ascii="Calibri" w:hAnsi="Calibri"/>
          <w:sz w:val="32"/>
          <w:szCs w:val="32"/>
        </w:rPr>
        <w:drawing>
          <wp:inline distT="0" distB="0" distL="0" distR="0">
            <wp:extent cx="5582285" cy="8081010"/>
            <wp:effectExtent l="19050" t="0" r="0" b="0"/>
            <wp:docPr id="34" name="图片 28" descr="22d6c370d58f4bffa2b45c2d5ab2e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8" descr="22d6c370d58f4bffa2b45c2d5ab2e64"/>
                    <pic:cNvPicPr>
                      <a:picLocks noChangeAspect="1" noChangeArrowheads="1"/>
                    </pic:cNvPicPr>
                  </pic:nvPicPr>
                  <pic:blipFill>
                    <a:blip r:embed="rId45" cstate="print"/>
                    <a:srcRect/>
                    <a:stretch>
                      <a:fillRect/>
                    </a:stretch>
                  </pic:blipFill>
                  <pic:spPr>
                    <a:xfrm>
                      <a:off x="0" y="0"/>
                      <a:ext cx="5582285" cy="8081010"/>
                    </a:xfrm>
                    <a:prstGeom prst="rect">
                      <a:avLst/>
                    </a:prstGeom>
                    <a:noFill/>
                    <a:ln w="9525" cmpd="sng">
                      <a:noFill/>
                      <a:miter lim="800000"/>
                      <a:headEnd/>
                      <a:tailEnd/>
                    </a:ln>
                  </pic:spPr>
                </pic:pic>
              </a:graphicData>
            </a:graphic>
          </wp:inline>
        </w:drawing>
      </w:r>
      <w:r>
        <w:rPr>
          <w:rFonts w:hint="eastAsia" w:ascii="Calibri" w:hAnsi="Calibri"/>
          <w:szCs w:val="22"/>
        </w:rPr>
        <w:drawing>
          <wp:inline distT="0" distB="0" distL="0" distR="0">
            <wp:extent cx="5603240" cy="7931785"/>
            <wp:effectExtent l="19050" t="0" r="0" b="0"/>
            <wp:docPr id="35" name="图片 1" descr="15845160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descr="1584516047(1)"/>
                    <pic:cNvPicPr>
                      <a:picLocks noChangeAspect="1" noChangeArrowheads="1"/>
                    </pic:cNvPicPr>
                  </pic:nvPicPr>
                  <pic:blipFill>
                    <a:blip r:embed="rId46" cstate="print"/>
                    <a:srcRect/>
                    <a:stretch>
                      <a:fillRect/>
                    </a:stretch>
                  </pic:blipFill>
                  <pic:spPr>
                    <a:xfrm>
                      <a:off x="0" y="0"/>
                      <a:ext cx="5603240" cy="7931785"/>
                    </a:xfrm>
                    <a:prstGeom prst="rect">
                      <a:avLst/>
                    </a:prstGeom>
                    <a:noFill/>
                    <a:ln w="9525" cmpd="sng">
                      <a:noFill/>
                      <a:miter lim="800000"/>
                      <a:headEnd/>
                      <a:tailEnd/>
                    </a:ln>
                  </pic:spPr>
                </pic:pic>
              </a:graphicData>
            </a:graphic>
          </wp:inline>
        </w:drawing>
      </w:r>
    </w:p>
    <w:p>
      <w:pPr>
        <w:rPr>
          <w:rFonts w:ascii="Calibri" w:hAnsi="Calibri"/>
          <w:sz w:val="32"/>
          <w:szCs w:val="32"/>
        </w:rPr>
      </w:pPr>
      <w:r>
        <w:rPr>
          <w:rFonts w:hint="eastAsia" w:ascii="Calibri" w:hAnsi="Calibri"/>
          <w:sz w:val="32"/>
          <w:szCs w:val="32"/>
        </w:rPr>
        <w:drawing>
          <wp:inline distT="0" distB="0" distL="0" distR="0">
            <wp:extent cx="5645785" cy="8101965"/>
            <wp:effectExtent l="19050" t="0" r="0" b="0"/>
            <wp:docPr id="36" name="图片 29" descr="d163286c87c66dcbf29ed9a7deccb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9" descr="d163286c87c66dcbf29ed9a7deccb82"/>
                    <pic:cNvPicPr>
                      <a:picLocks noChangeAspect="1" noChangeArrowheads="1"/>
                    </pic:cNvPicPr>
                  </pic:nvPicPr>
                  <pic:blipFill>
                    <a:blip r:embed="rId47" cstate="print"/>
                    <a:srcRect/>
                    <a:stretch>
                      <a:fillRect/>
                    </a:stretch>
                  </pic:blipFill>
                  <pic:spPr>
                    <a:xfrm>
                      <a:off x="0" y="0"/>
                      <a:ext cx="5645785" cy="8101965"/>
                    </a:xfrm>
                    <a:prstGeom prst="rect">
                      <a:avLst/>
                    </a:prstGeom>
                    <a:noFill/>
                    <a:ln w="9525" cmpd="sng">
                      <a:noFill/>
                      <a:miter lim="800000"/>
                      <a:headEnd/>
                      <a:tailEnd/>
                    </a:ln>
                  </pic:spPr>
                </pic:pic>
              </a:graphicData>
            </a:graphic>
          </wp:inline>
        </w:drawing>
      </w:r>
    </w:p>
    <w:p>
      <w:pPr>
        <w:outlineLvl w:val="3"/>
        <w:rPr>
          <w:rFonts w:ascii="Calibri" w:hAnsi="Calibri"/>
          <w:sz w:val="32"/>
          <w:szCs w:val="32"/>
        </w:rPr>
      </w:pPr>
      <w:r>
        <w:rPr>
          <w:rFonts w:hint="eastAsia" w:ascii="Calibri" w:hAnsi="Calibri"/>
          <w:sz w:val="32"/>
          <w:szCs w:val="32"/>
        </w:rPr>
        <w:br w:type="page"/>
      </w:r>
      <w:r>
        <w:rPr>
          <w:rFonts w:hint="eastAsia" w:ascii="Calibri" w:hAnsi="Calibri"/>
          <w:sz w:val="32"/>
          <w:szCs w:val="32"/>
        </w:rPr>
        <w:t>附件3：</w:t>
      </w:r>
    </w:p>
    <w:p>
      <w:pPr>
        <w:rPr>
          <w:rFonts w:ascii="Calibri" w:hAnsi="Calibri"/>
          <w:sz w:val="32"/>
          <w:szCs w:val="32"/>
        </w:rPr>
      </w:pPr>
      <w:r>
        <w:rPr>
          <w:rFonts w:hint="eastAsia" w:ascii="Calibri" w:hAnsi="Calibri"/>
          <w:sz w:val="32"/>
          <w:szCs w:val="32"/>
        </w:rPr>
        <w:drawing>
          <wp:inline distT="0" distB="0" distL="0" distR="0">
            <wp:extent cx="5262880" cy="7442835"/>
            <wp:effectExtent l="19050" t="0" r="0" b="0"/>
            <wp:docPr id="37" name="图片 87" descr="监督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87" descr="监督1"/>
                    <pic:cNvPicPr>
                      <a:picLocks noChangeAspect="1" noChangeArrowheads="1"/>
                    </pic:cNvPicPr>
                  </pic:nvPicPr>
                  <pic:blipFill>
                    <a:blip r:embed="rId48" cstate="print"/>
                    <a:srcRect/>
                    <a:stretch>
                      <a:fillRect/>
                    </a:stretch>
                  </pic:blipFill>
                  <pic:spPr>
                    <a:xfrm>
                      <a:off x="0" y="0"/>
                      <a:ext cx="5262880" cy="7442835"/>
                    </a:xfrm>
                    <a:prstGeom prst="rect">
                      <a:avLst/>
                    </a:prstGeom>
                    <a:noFill/>
                    <a:ln w="9525" cmpd="sng">
                      <a:noFill/>
                      <a:miter lim="800000"/>
                      <a:headEnd/>
                      <a:tailEnd/>
                    </a:ln>
                  </pic:spPr>
                </pic:pic>
              </a:graphicData>
            </a:graphic>
          </wp:inline>
        </w:drawing>
      </w:r>
      <w:r>
        <w:rPr>
          <w:rFonts w:hint="eastAsia" w:ascii="Calibri" w:hAnsi="Calibri"/>
          <w:sz w:val="32"/>
          <w:szCs w:val="32"/>
        </w:rPr>
        <w:drawing>
          <wp:inline distT="0" distB="0" distL="0" distR="0">
            <wp:extent cx="5262880" cy="7442835"/>
            <wp:effectExtent l="19050" t="0" r="0" b="0"/>
            <wp:docPr id="38" name="图片 88" descr="监督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88" descr="监督2"/>
                    <pic:cNvPicPr>
                      <a:picLocks noChangeAspect="1" noChangeArrowheads="1"/>
                    </pic:cNvPicPr>
                  </pic:nvPicPr>
                  <pic:blipFill>
                    <a:blip r:embed="rId49" cstate="print"/>
                    <a:srcRect/>
                    <a:stretch>
                      <a:fillRect/>
                    </a:stretch>
                  </pic:blipFill>
                  <pic:spPr>
                    <a:xfrm>
                      <a:off x="0" y="0"/>
                      <a:ext cx="5262880" cy="7442835"/>
                    </a:xfrm>
                    <a:prstGeom prst="rect">
                      <a:avLst/>
                    </a:prstGeom>
                    <a:noFill/>
                    <a:ln w="9525" cmpd="sng">
                      <a:noFill/>
                      <a:miter lim="800000"/>
                      <a:headEnd/>
                      <a:tailEnd/>
                    </a:ln>
                  </pic:spPr>
                </pic:pic>
              </a:graphicData>
            </a:graphic>
          </wp:inline>
        </w:drawing>
      </w:r>
      <w:r>
        <w:rPr>
          <w:rFonts w:hint="eastAsia" w:ascii="Calibri" w:hAnsi="Calibri"/>
          <w:sz w:val="32"/>
          <w:szCs w:val="32"/>
        </w:rPr>
        <w:drawing>
          <wp:inline distT="0" distB="0" distL="0" distR="0">
            <wp:extent cx="5262880" cy="7442835"/>
            <wp:effectExtent l="19050" t="0" r="0" b="0"/>
            <wp:docPr id="39" name="图片 89" descr="监督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89" descr="监督3"/>
                    <pic:cNvPicPr>
                      <a:picLocks noChangeAspect="1" noChangeArrowheads="1"/>
                    </pic:cNvPicPr>
                  </pic:nvPicPr>
                  <pic:blipFill>
                    <a:blip r:embed="rId50" cstate="print"/>
                    <a:srcRect/>
                    <a:stretch>
                      <a:fillRect/>
                    </a:stretch>
                  </pic:blipFill>
                  <pic:spPr>
                    <a:xfrm>
                      <a:off x="0" y="0"/>
                      <a:ext cx="5262880" cy="7442835"/>
                    </a:xfrm>
                    <a:prstGeom prst="rect">
                      <a:avLst/>
                    </a:prstGeom>
                    <a:noFill/>
                    <a:ln w="9525" cmpd="sng">
                      <a:noFill/>
                      <a:miter lim="800000"/>
                      <a:headEnd/>
                      <a:tailEnd/>
                    </a:ln>
                  </pic:spPr>
                </pic:pic>
              </a:graphicData>
            </a:graphic>
          </wp:inline>
        </w:drawing>
      </w:r>
      <w:r>
        <w:rPr>
          <w:rFonts w:hint="eastAsia" w:ascii="Calibri" w:hAnsi="Calibri"/>
          <w:sz w:val="32"/>
          <w:szCs w:val="32"/>
        </w:rPr>
        <w:drawing>
          <wp:inline distT="0" distB="0" distL="0" distR="0">
            <wp:extent cx="5262880" cy="7442835"/>
            <wp:effectExtent l="19050" t="0" r="0" b="0"/>
            <wp:docPr id="40" name="图片 90" descr="监督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90" descr="监督4"/>
                    <pic:cNvPicPr>
                      <a:picLocks noChangeAspect="1" noChangeArrowheads="1"/>
                    </pic:cNvPicPr>
                  </pic:nvPicPr>
                  <pic:blipFill>
                    <a:blip r:embed="rId51" cstate="print"/>
                    <a:srcRect/>
                    <a:stretch>
                      <a:fillRect/>
                    </a:stretch>
                  </pic:blipFill>
                  <pic:spPr>
                    <a:xfrm>
                      <a:off x="0" y="0"/>
                      <a:ext cx="5262880" cy="7442835"/>
                    </a:xfrm>
                    <a:prstGeom prst="rect">
                      <a:avLst/>
                    </a:prstGeom>
                    <a:noFill/>
                    <a:ln w="9525" cmpd="sng">
                      <a:noFill/>
                      <a:miter lim="800000"/>
                      <a:headEnd/>
                      <a:tailEnd/>
                    </a:ln>
                  </pic:spPr>
                </pic:pic>
              </a:graphicData>
            </a:graphic>
          </wp:inline>
        </w:drawing>
      </w:r>
      <w:r>
        <w:rPr>
          <w:rFonts w:hint="eastAsia" w:ascii="Calibri" w:hAnsi="Calibri"/>
          <w:sz w:val="32"/>
          <w:szCs w:val="32"/>
        </w:rPr>
        <w:drawing>
          <wp:inline distT="0" distB="0" distL="0" distR="0">
            <wp:extent cx="5262880" cy="7442835"/>
            <wp:effectExtent l="19050" t="0" r="0" b="0"/>
            <wp:docPr id="41" name="图片 91" descr="监督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91" descr="监督5"/>
                    <pic:cNvPicPr>
                      <a:picLocks noChangeAspect="1" noChangeArrowheads="1"/>
                    </pic:cNvPicPr>
                  </pic:nvPicPr>
                  <pic:blipFill>
                    <a:blip r:embed="rId52" cstate="print"/>
                    <a:srcRect/>
                    <a:stretch>
                      <a:fillRect/>
                    </a:stretch>
                  </pic:blipFill>
                  <pic:spPr>
                    <a:xfrm>
                      <a:off x="0" y="0"/>
                      <a:ext cx="5262880" cy="7442835"/>
                    </a:xfrm>
                    <a:prstGeom prst="rect">
                      <a:avLst/>
                    </a:prstGeom>
                    <a:noFill/>
                    <a:ln w="9525" cmpd="sng">
                      <a:noFill/>
                      <a:miter lim="800000"/>
                      <a:headEnd/>
                      <a:tailEnd/>
                    </a:ln>
                  </pic:spPr>
                </pic:pic>
              </a:graphicData>
            </a:graphic>
          </wp:inline>
        </w:drawing>
      </w:r>
      <w:r>
        <w:rPr>
          <w:rFonts w:hint="eastAsia" w:ascii="Calibri" w:hAnsi="Calibri"/>
          <w:sz w:val="32"/>
          <w:szCs w:val="32"/>
        </w:rPr>
        <w:drawing>
          <wp:inline distT="0" distB="0" distL="0" distR="0">
            <wp:extent cx="5262880" cy="7442835"/>
            <wp:effectExtent l="19050" t="0" r="0" b="0"/>
            <wp:docPr id="42" name="图片 92" descr="监督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92" descr="监督6"/>
                    <pic:cNvPicPr>
                      <a:picLocks noChangeAspect="1" noChangeArrowheads="1"/>
                    </pic:cNvPicPr>
                  </pic:nvPicPr>
                  <pic:blipFill>
                    <a:blip r:embed="rId53" cstate="print"/>
                    <a:srcRect/>
                    <a:stretch>
                      <a:fillRect/>
                    </a:stretch>
                  </pic:blipFill>
                  <pic:spPr>
                    <a:xfrm>
                      <a:off x="0" y="0"/>
                      <a:ext cx="5262880" cy="7442835"/>
                    </a:xfrm>
                    <a:prstGeom prst="rect">
                      <a:avLst/>
                    </a:prstGeom>
                    <a:noFill/>
                    <a:ln w="9525" cmpd="sng">
                      <a:noFill/>
                      <a:miter lim="800000"/>
                      <a:headEnd/>
                      <a:tailEnd/>
                    </a:ln>
                  </pic:spPr>
                </pic:pic>
              </a:graphicData>
            </a:graphic>
          </wp:inline>
        </w:drawing>
      </w:r>
      <w:r>
        <w:rPr>
          <w:rFonts w:hint="eastAsia" w:ascii="Calibri" w:hAnsi="Calibri"/>
          <w:sz w:val="32"/>
          <w:szCs w:val="32"/>
        </w:rPr>
        <w:drawing>
          <wp:inline distT="0" distB="0" distL="0" distR="0">
            <wp:extent cx="5262880" cy="7442835"/>
            <wp:effectExtent l="19050" t="0" r="0" b="0"/>
            <wp:docPr id="43" name="图片 93" descr="监督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93" descr="监督7"/>
                    <pic:cNvPicPr>
                      <a:picLocks noChangeAspect="1" noChangeArrowheads="1"/>
                    </pic:cNvPicPr>
                  </pic:nvPicPr>
                  <pic:blipFill>
                    <a:blip r:embed="rId54" cstate="print"/>
                    <a:srcRect/>
                    <a:stretch>
                      <a:fillRect/>
                    </a:stretch>
                  </pic:blipFill>
                  <pic:spPr>
                    <a:xfrm>
                      <a:off x="0" y="0"/>
                      <a:ext cx="5262880" cy="7442835"/>
                    </a:xfrm>
                    <a:prstGeom prst="rect">
                      <a:avLst/>
                    </a:prstGeom>
                    <a:noFill/>
                    <a:ln w="9525" cmpd="sng">
                      <a:noFill/>
                      <a:miter lim="800000"/>
                      <a:headEnd/>
                      <a:tailEnd/>
                    </a:ln>
                  </pic:spPr>
                </pic:pic>
              </a:graphicData>
            </a:graphic>
          </wp:inline>
        </w:drawing>
      </w:r>
      <w:r>
        <w:rPr>
          <w:rFonts w:hint="eastAsia" w:ascii="Calibri" w:hAnsi="Calibri"/>
          <w:sz w:val="32"/>
          <w:szCs w:val="32"/>
        </w:rPr>
        <w:drawing>
          <wp:inline distT="0" distB="0" distL="0" distR="0">
            <wp:extent cx="5262880" cy="7442835"/>
            <wp:effectExtent l="19050" t="0" r="0" b="0"/>
            <wp:docPr id="44" name="图片 94" descr="监督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94" descr="监督8"/>
                    <pic:cNvPicPr>
                      <a:picLocks noChangeAspect="1" noChangeArrowheads="1"/>
                    </pic:cNvPicPr>
                  </pic:nvPicPr>
                  <pic:blipFill>
                    <a:blip r:embed="rId55" cstate="print"/>
                    <a:srcRect/>
                    <a:stretch>
                      <a:fillRect/>
                    </a:stretch>
                  </pic:blipFill>
                  <pic:spPr>
                    <a:xfrm>
                      <a:off x="0" y="0"/>
                      <a:ext cx="5262880" cy="7442835"/>
                    </a:xfrm>
                    <a:prstGeom prst="rect">
                      <a:avLst/>
                    </a:prstGeom>
                    <a:noFill/>
                    <a:ln w="9525" cmpd="sng">
                      <a:noFill/>
                      <a:miter lim="800000"/>
                      <a:headEnd/>
                      <a:tailEnd/>
                    </a:ln>
                  </pic:spPr>
                </pic:pic>
              </a:graphicData>
            </a:graphic>
          </wp:inline>
        </w:drawing>
      </w:r>
      <w:r>
        <w:rPr>
          <w:rFonts w:hint="eastAsia" w:ascii="Calibri" w:hAnsi="Calibri"/>
          <w:sz w:val="32"/>
          <w:szCs w:val="32"/>
        </w:rPr>
        <w:drawing>
          <wp:inline distT="0" distB="0" distL="0" distR="0">
            <wp:extent cx="5262880" cy="7442835"/>
            <wp:effectExtent l="19050" t="0" r="0" b="0"/>
            <wp:docPr id="45" name="图片 95" descr="监督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95" descr="监督9"/>
                    <pic:cNvPicPr>
                      <a:picLocks noChangeAspect="1" noChangeArrowheads="1"/>
                    </pic:cNvPicPr>
                  </pic:nvPicPr>
                  <pic:blipFill>
                    <a:blip r:embed="rId56" cstate="print"/>
                    <a:srcRect/>
                    <a:stretch>
                      <a:fillRect/>
                    </a:stretch>
                  </pic:blipFill>
                  <pic:spPr>
                    <a:xfrm>
                      <a:off x="0" y="0"/>
                      <a:ext cx="5262880" cy="7442835"/>
                    </a:xfrm>
                    <a:prstGeom prst="rect">
                      <a:avLst/>
                    </a:prstGeom>
                    <a:noFill/>
                    <a:ln w="9525" cmpd="sng">
                      <a:noFill/>
                      <a:miter lim="800000"/>
                      <a:headEnd/>
                      <a:tailEnd/>
                    </a:ln>
                  </pic:spPr>
                </pic:pic>
              </a:graphicData>
            </a:graphic>
          </wp:inline>
        </w:drawing>
      </w:r>
      <w:r>
        <w:rPr>
          <w:rFonts w:hint="eastAsia" w:ascii="Calibri" w:hAnsi="Calibri"/>
          <w:sz w:val="32"/>
          <w:szCs w:val="32"/>
        </w:rPr>
        <w:drawing>
          <wp:inline distT="0" distB="0" distL="0" distR="0">
            <wp:extent cx="5262880" cy="7442835"/>
            <wp:effectExtent l="19050" t="0" r="0" b="0"/>
            <wp:docPr id="46" name="图片 96" descr="监督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96" descr="监督10"/>
                    <pic:cNvPicPr>
                      <a:picLocks noChangeAspect="1" noChangeArrowheads="1"/>
                    </pic:cNvPicPr>
                  </pic:nvPicPr>
                  <pic:blipFill>
                    <a:blip r:embed="rId57" cstate="print"/>
                    <a:srcRect/>
                    <a:stretch>
                      <a:fillRect/>
                    </a:stretch>
                  </pic:blipFill>
                  <pic:spPr>
                    <a:xfrm>
                      <a:off x="0" y="0"/>
                      <a:ext cx="5262880" cy="7442835"/>
                    </a:xfrm>
                    <a:prstGeom prst="rect">
                      <a:avLst/>
                    </a:prstGeom>
                    <a:noFill/>
                    <a:ln w="9525" cmpd="sng">
                      <a:noFill/>
                      <a:miter lim="800000"/>
                      <a:headEnd/>
                      <a:tailEnd/>
                    </a:ln>
                  </pic:spPr>
                </pic:pic>
              </a:graphicData>
            </a:graphic>
          </wp:inline>
        </w:drawing>
      </w:r>
      <w:r>
        <w:rPr>
          <w:rFonts w:hint="eastAsia" w:ascii="Calibri" w:hAnsi="Calibri"/>
          <w:sz w:val="32"/>
          <w:szCs w:val="32"/>
        </w:rPr>
        <w:drawing>
          <wp:inline distT="0" distB="0" distL="0" distR="0">
            <wp:extent cx="5262880" cy="7442835"/>
            <wp:effectExtent l="19050" t="0" r="0" b="0"/>
            <wp:docPr id="47" name="图片 97" descr="监督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97" descr="监督11"/>
                    <pic:cNvPicPr>
                      <a:picLocks noChangeAspect="1" noChangeArrowheads="1"/>
                    </pic:cNvPicPr>
                  </pic:nvPicPr>
                  <pic:blipFill>
                    <a:blip r:embed="rId58" cstate="print"/>
                    <a:srcRect/>
                    <a:stretch>
                      <a:fillRect/>
                    </a:stretch>
                  </pic:blipFill>
                  <pic:spPr>
                    <a:xfrm>
                      <a:off x="0" y="0"/>
                      <a:ext cx="5262880" cy="7442835"/>
                    </a:xfrm>
                    <a:prstGeom prst="rect">
                      <a:avLst/>
                    </a:prstGeom>
                    <a:noFill/>
                    <a:ln w="9525" cmpd="sng">
                      <a:noFill/>
                      <a:miter lim="800000"/>
                      <a:headEnd/>
                      <a:tailEnd/>
                    </a:ln>
                  </pic:spPr>
                </pic:pic>
              </a:graphicData>
            </a:graphic>
          </wp:inline>
        </w:drawing>
      </w:r>
      <w:r>
        <w:rPr>
          <w:rFonts w:hint="eastAsia" w:ascii="Calibri" w:hAnsi="Calibri"/>
          <w:sz w:val="32"/>
          <w:szCs w:val="32"/>
        </w:rPr>
        <w:drawing>
          <wp:inline distT="0" distB="0" distL="0" distR="0">
            <wp:extent cx="5262880" cy="7442835"/>
            <wp:effectExtent l="19050" t="0" r="0" b="0"/>
            <wp:docPr id="48" name="图片 98" descr="监督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98" descr="监督12"/>
                    <pic:cNvPicPr>
                      <a:picLocks noChangeAspect="1" noChangeArrowheads="1"/>
                    </pic:cNvPicPr>
                  </pic:nvPicPr>
                  <pic:blipFill>
                    <a:blip r:embed="rId59" cstate="print"/>
                    <a:srcRect/>
                    <a:stretch>
                      <a:fillRect/>
                    </a:stretch>
                  </pic:blipFill>
                  <pic:spPr>
                    <a:xfrm>
                      <a:off x="0" y="0"/>
                      <a:ext cx="5262880" cy="7442835"/>
                    </a:xfrm>
                    <a:prstGeom prst="rect">
                      <a:avLst/>
                    </a:prstGeom>
                    <a:noFill/>
                    <a:ln w="9525" cmpd="sng">
                      <a:noFill/>
                      <a:miter lim="800000"/>
                      <a:headEnd/>
                      <a:tailEnd/>
                    </a:ln>
                  </pic:spPr>
                </pic:pic>
              </a:graphicData>
            </a:graphic>
          </wp:inline>
        </w:drawing>
      </w:r>
      <w:r>
        <w:rPr>
          <w:rFonts w:hint="eastAsia" w:ascii="Calibri" w:hAnsi="Calibri"/>
          <w:sz w:val="32"/>
          <w:szCs w:val="32"/>
        </w:rPr>
        <w:drawing>
          <wp:inline distT="0" distB="0" distL="0" distR="0">
            <wp:extent cx="5262880" cy="7442835"/>
            <wp:effectExtent l="19050" t="0" r="0" b="0"/>
            <wp:docPr id="49" name="图片 99" descr="监督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99" descr="监督13"/>
                    <pic:cNvPicPr>
                      <a:picLocks noChangeAspect="1" noChangeArrowheads="1"/>
                    </pic:cNvPicPr>
                  </pic:nvPicPr>
                  <pic:blipFill>
                    <a:blip r:embed="rId60" cstate="print"/>
                    <a:srcRect/>
                    <a:stretch>
                      <a:fillRect/>
                    </a:stretch>
                  </pic:blipFill>
                  <pic:spPr>
                    <a:xfrm>
                      <a:off x="0" y="0"/>
                      <a:ext cx="5262880" cy="7442835"/>
                    </a:xfrm>
                    <a:prstGeom prst="rect">
                      <a:avLst/>
                    </a:prstGeom>
                    <a:noFill/>
                    <a:ln w="9525" cmpd="sng">
                      <a:noFill/>
                      <a:miter lim="800000"/>
                      <a:headEnd/>
                      <a:tailEnd/>
                    </a:ln>
                  </pic:spPr>
                </pic:pic>
              </a:graphicData>
            </a:graphic>
          </wp:inline>
        </w:drawing>
      </w:r>
      <w:r>
        <w:rPr>
          <w:rFonts w:hint="eastAsia" w:ascii="Calibri" w:hAnsi="Calibri"/>
          <w:sz w:val="32"/>
          <w:szCs w:val="32"/>
        </w:rPr>
        <w:drawing>
          <wp:inline distT="0" distB="0" distL="0" distR="0">
            <wp:extent cx="5262880" cy="7442835"/>
            <wp:effectExtent l="19050" t="0" r="0" b="0"/>
            <wp:docPr id="50" name="图片 100" descr="监督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00" descr="监督14"/>
                    <pic:cNvPicPr>
                      <a:picLocks noChangeAspect="1" noChangeArrowheads="1"/>
                    </pic:cNvPicPr>
                  </pic:nvPicPr>
                  <pic:blipFill>
                    <a:blip r:embed="rId61" cstate="print"/>
                    <a:srcRect/>
                    <a:stretch>
                      <a:fillRect/>
                    </a:stretch>
                  </pic:blipFill>
                  <pic:spPr>
                    <a:xfrm>
                      <a:off x="0" y="0"/>
                      <a:ext cx="5262880" cy="7442835"/>
                    </a:xfrm>
                    <a:prstGeom prst="rect">
                      <a:avLst/>
                    </a:prstGeom>
                    <a:noFill/>
                    <a:ln w="9525" cmpd="sng">
                      <a:noFill/>
                      <a:miter lim="800000"/>
                      <a:headEnd/>
                      <a:tailEnd/>
                    </a:ln>
                  </pic:spPr>
                </pic:pic>
              </a:graphicData>
            </a:graphic>
          </wp:inline>
        </w:drawing>
      </w:r>
      <w:r>
        <w:rPr>
          <w:rFonts w:hint="eastAsia" w:ascii="Calibri" w:hAnsi="Calibri"/>
          <w:sz w:val="32"/>
          <w:szCs w:val="32"/>
        </w:rPr>
        <w:drawing>
          <wp:inline distT="0" distB="0" distL="0" distR="0">
            <wp:extent cx="5262880" cy="7442835"/>
            <wp:effectExtent l="19050" t="0" r="0" b="0"/>
            <wp:docPr id="51" name="图片 101" descr="监督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01" descr="监督15"/>
                    <pic:cNvPicPr>
                      <a:picLocks noChangeAspect="1" noChangeArrowheads="1"/>
                    </pic:cNvPicPr>
                  </pic:nvPicPr>
                  <pic:blipFill>
                    <a:blip r:embed="rId62" cstate="print"/>
                    <a:srcRect/>
                    <a:stretch>
                      <a:fillRect/>
                    </a:stretch>
                  </pic:blipFill>
                  <pic:spPr>
                    <a:xfrm>
                      <a:off x="0" y="0"/>
                      <a:ext cx="5262880" cy="7442835"/>
                    </a:xfrm>
                    <a:prstGeom prst="rect">
                      <a:avLst/>
                    </a:prstGeom>
                    <a:noFill/>
                    <a:ln w="9525" cmpd="sng">
                      <a:noFill/>
                      <a:miter lim="800000"/>
                      <a:headEnd/>
                      <a:tailEnd/>
                    </a:ln>
                  </pic:spPr>
                </pic:pic>
              </a:graphicData>
            </a:graphic>
          </wp:inline>
        </w:drawing>
      </w:r>
      <w:r>
        <w:rPr>
          <w:rFonts w:hint="eastAsia" w:ascii="Calibri" w:hAnsi="Calibri"/>
          <w:sz w:val="32"/>
          <w:szCs w:val="32"/>
        </w:rPr>
        <w:drawing>
          <wp:inline distT="0" distB="0" distL="0" distR="0">
            <wp:extent cx="5262880" cy="7442835"/>
            <wp:effectExtent l="19050" t="0" r="0" b="0"/>
            <wp:docPr id="52" name="图片 102" descr="监督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02" descr="监督16"/>
                    <pic:cNvPicPr>
                      <a:picLocks noChangeAspect="1" noChangeArrowheads="1"/>
                    </pic:cNvPicPr>
                  </pic:nvPicPr>
                  <pic:blipFill>
                    <a:blip r:embed="rId63" cstate="print"/>
                    <a:srcRect/>
                    <a:stretch>
                      <a:fillRect/>
                    </a:stretch>
                  </pic:blipFill>
                  <pic:spPr>
                    <a:xfrm>
                      <a:off x="0" y="0"/>
                      <a:ext cx="5262880" cy="7442835"/>
                    </a:xfrm>
                    <a:prstGeom prst="rect">
                      <a:avLst/>
                    </a:prstGeom>
                    <a:noFill/>
                    <a:ln w="9525" cmpd="sng">
                      <a:noFill/>
                      <a:miter lim="800000"/>
                      <a:headEnd/>
                      <a:tailEnd/>
                    </a:ln>
                  </pic:spPr>
                </pic:pic>
              </a:graphicData>
            </a:graphic>
          </wp:inline>
        </w:drawing>
      </w:r>
      <w:r>
        <w:rPr>
          <w:rFonts w:hint="eastAsia" w:ascii="Calibri" w:hAnsi="Calibri"/>
          <w:sz w:val="32"/>
          <w:szCs w:val="32"/>
        </w:rPr>
        <w:drawing>
          <wp:inline distT="0" distB="0" distL="0" distR="0">
            <wp:extent cx="5262880" cy="7442835"/>
            <wp:effectExtent l="19050" t="0" r="0" b="0"/>
            <wp:docPr id="53" name="图片 103" descr="监督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03" descr="监督17"/>
                    <pic:cNvPicPr>
                      <a:picLocks noChangeAspect="1" noChangeArrowheads="1"/>
                    </pic:cNvPicPr>
                  </pic:nvPicPr>
                  <pic:blipFill>
                    <a:blip r:embed="rId64" cstate="print"/>
                    <a:srcRect/>
                    <a:stretch>
                      <a:fillRect/>
                    </a:stretch>
                  </pic:blipFill>
                  <pic:spPr>
                    <a:xfrm>
                      <a:off x="0" y="0"/>
                      <a:ext cx="5262880" cy="7442835"/>
                    </a:xfrm>
                    <a:prstGeom prst="rect">
                      <a:avLst/>
                    </a:prstGeom>
                    <a:noFill/>
                    <a:ln w="9525" cmpd="sng">
                      <a:noFill/>
                      <a:miter lim="800000"/>
                      <a:headEnd/>
                      <a:tailEnd/>
                    </a:ln>
                  </pic:spPr>
                </pic:pic>
              </a:graphicData>
            </a:graphic>
          </wp:inline>
        </w:drawing>
      </w:r>
      <w:r>
        <w:rPr>
          <w:rFonts w:hint="eastAsia" w:ascii="Calibri" w:hAnsi="Calibri"/>
          <w:sz w:val="32"/>
          <w:szCs w:val="32"/>
        </w:rPr>
        <w:drawing>
          <wp:inline distT="0" distB="0" distL="0" distR="0">
            <wp:extent cx="5273675" cy="3721100"/>
            <wp:effectExtent l="19050" t="0" r="3175" b="0"/>
            <wp:docPr id="54" name="图片 104" descr="监督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04" descr="监督18"/>
                    <pic:cNvPicPr>
                      <a:picLocks noChangeAspect="1" noChangeArrowheads="1"/>
                    </pic:cNvPicPr>
                  </pic:nvPicPr>
                  <pic:blipFill>
                    <a:blip r:embed="rId65" cstate="print"/>
                    <a:srcRect/>
                    <a:stretch>
                      <a:fillRect/>
                    </a:stretch>
                  </pic:blipFill>
                  <pic:spPr>
                    <a:xfrm>
                      <a:off x="0" y="0"/>
                      <a:ext cx="5273675" cy="3721100"/>
                    </a:xfrm>
                    <a:prstGeom prst="rect">
                      <a:avLst/>
                    </a:prstGeom>
                    <a:noFill/>
                    <a:ln w="9525" cmpd="sng">
                      <a:noFill/>
                      <a:miter lim="800000"/>
                      <a:headEnd/>
                      <a:tailEnd/>
                    </a:ln>
                  </pic:spPr>
                </pic:pic>
              </a:graphicData>
            </a:graphic>
          </wp:inline>
        </w:drawing>
      </w:r>
      <w:r>
        <w:rPr>
          <w:rFonts w:hint="eastAsia" w:ascii="Calibri" w:hAnsi="Calibri"/>
          <w:sz w:val="32"/>
          <w:szCs w:val="32"/>
        </w:rPr>
        <w:drawing>
          <wp:inline distT="0" distB="0" distL="0" distR="0">
            <wp:extent cx="5273675" cy="3721100"/>
            <wp:effectExtent l="19050" t="0" r="3175" b="0"/>
            <wp:docPr id="55" name="图片 105" descr="监督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05" descr="监督19"/>
                    <pic:cNvPicPr>
                      <a:picLocks noChangeAspect="1" noChangeArrowheads="1"/>
                    </pic:cNvPicPr>
                  </pic:nvPicPr>
                  <pic:blipFill>
                    <a:blip r:embed="rId66" cstate="print"/>
                    <a:srcRect/>
                    <a:stretch>
                      <a:fillRect/>
                    </a:stretch>
                  </pic:blipFill>
                  <pic:spPr>
                    <a:xfrm>
                      <a:off x="0" y="0"/>
                      <a:ext cx="5273675" cy="3721100"/>
                    </a:xfrm>
                    <a:prstGeom prst="rect">
                      <a:avLst/>
                    </a:prstGeom>
                    <a:noFill/>
                    <a:ln w="9525" cmpd="sng">
                      <a:noFill/>
                      <a:miter lim="800000"/>
                      <a:headEnd/>
                      <a:tailEnd/>
                    </a:ln>
                  </pic:spPr>
                </pic:pic>
              </a:graphicData>
            </a:graphic>
          </wp:inline>
        </w:drawing>
      </w:r>
    </w:p>
    <w:p>
      <w:pPr>
        <w:rPr>
          <w:rFonts w:ascii="Calibri" w:hAnsi="Calibri"/>
          <w:sz w:val="32"/>
          <w:szCs w:val="32"/>
        </w:rPr>
      </w:pPr>
    </w:p>
    <w:p>
      <w:pPr>
        <w:outlineLvl w:val="3"/>
        <w:rPr>
          <w:rFonts w:ascii="Calibri" w:hAnsi="Calibri"/>
          <w:sz w:val="32"/>
          <w:szCs w:val="32"/>
        </w:rPr>
      </w:pPr>
      <w:r>
        <w:rPr>
          <w:rFonts w:hint="eastAsia" w:ascii="Calibri" w:hAnsi="Calibri"/>
          <w:sz w:val="32"/>
          <w:szCs w:val="32"/>
        </w:rPr>
        <w:br w:type="page"/>
      </w:r>
      <w:r>
        <w:rPr>
          <w:rFonts w:hint="eastAsia" w:ascii="Calibri" w:hAnsi="Calibri"/>
          <w:sz w:val="32"/>
          <w:szCs w:val="32"/>
        </w:rPr>
        <w:t>附件4：</w:t>
      </w:r>
    </w:p>
    <w:p>
      <w:pPr>
        <w:rPr>
          <w:rFonts w:ascii="Calibri" w:hAnsi="Calibri"/>
          <w:sz w:val="32"/>
          <w:szCs w:val="32"/>
        </w:rPr>
      </w:pPr>
      <w:r>
        <w:rPr>
          <w:rFonts w:hint="eastAsia" w:ascii="Calibri" w:hAnsi="Calibri"/>
          <w:sz w:val="32"/>
          <w:szCs w:val="32"/>
        </w:rPr>
        <w:drawing>
          <wp:inline distT="0" distB="0" distL="0" distR="0">
            <wp:extent cx="5262880" cy="7442835"/>
            <wp:effectExtent l="19050" t="0" r="0" b="0"/>
            <wp:docPr id="56" name="图片 49" descr="219号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9" descr="219号1"/>
                    <pic:cNvPicPr>
                      <a:picLocks noChangeAspect="1" noChangeArrowheads="1"/>
                    </pic:cNvPicPr>
                  </pic:nvPicPr>
                  <pic:blipFill>
                    <a:blip r:embed="rId67" cstate="print"/>
                    <a:srcRect/>
                    <a:stretch>
                      <a:fillRect/>
                    </a:stretch>
                  </pic:blipFill>
                  <pic:spPr>
                    <a:xfrm>
                      <a:off x="0" y="0"/>
                      <a:ext cx="5262880" cy="7442835"/>
                    </a:xfrm>
                    <a:prstGeom prst="rect">
                      <a:avLst/>
                    </a:prstGeom>
                    <a:noFill/>
                    <a:ln w="9525" cmpd="sng">
                      <a:noFill/>
                      <a:miter lim="800000"/>
                      <a:headEnd/>
                      <a:tailEnd/>
                    </a:ln>
                  </pic:spPr>
                </pic:pic>
              </a:graphicData>
            </a:graphic>
          </wp:inline>
        </w:drawing>
      </w:r>
    </w:p>
    <w:p>
      <w:pPr>
        <w:rPr>
          <w:rFonts w:ascii="Calibri" w:hAnsi="Calibri"/>
          <w:sz w:val="32"/>
          <w:szCs w:val="32"/>
        </w:rPr>
      </w:pPr>
      <w:r>
        <w:rPr>
          <w:rFonts w:hint="eastAsia" w:ascii="Calibri" w:hAnsi="Calibri"/>
          <w:sz w:val="32"/>
          <w:szCs w:val="32"/>
        </w:rPr>
        <w:br w:type="page"/>
      </w:r>
      <w:r>
        <w:rPr>
          <w:rFonts w:hint="eastAsia" w:ascii="Calibri" w:hAnsi="Calibri"/>
          <w:sz w:val="32"/>
          <w:szCs w:val="32"/>
        </w:rPr>
        <w:drawing>
          <wp:inline distT="0" distB="0" distL="0" distR="0">
            <wp:extent cx="5518150" cy="7804150"/>
            <wp:effectExtent l="19050" t="0" r="6350" b="0"/>
            <wp:docPr id="57" name="图片 50" descr="219号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0" descr="219号2"/>
                    <pic:cNvPicPr>
                      <a:picLocks noChangeAspect="1" noChangeArrowheads="1"/>
                    </pic:cNvPicPr>
                  </pic:nvPicPr>
                  <pic:blipFill>
                    <a:blip r:embed="rId68" cstate="print"/>
                    <a:srcRect/>
                    <a:stretch>
                      <a:fillRect/>
                    </a:stretch>
                  </pic:blipFill>
                  <pic:spPr>
                    <a:xfrm>
                      <a:off x="0" y="0"/>
                      <a:ext cx="5518150" cy="7804150"/>
                    </a:xfrm>
                    <a:prstGeom prst="rect">
                      <a:avLst/>
                    </a:prstGeom>
                    <a:noFill/>
                    <a:ln w="9525" cmpd="sng">
                      <a:noFill/>
                      <a:miter lim="800000"/>
                      <a:headEnd/>
                      <a:tailEnd/>
                    </a:ln>
                  </pic:spPr>
                </pic:pic>
              </a:graphicData>
            </a:graphic>
          </wp:inline>
        </w:drawing>
      </w:r>
    </w:p>
    <w:p>
      <w:pPr>
        <w:rPr>
          <w:rFonts w:ascii="Calibri" w:hAnsi="Calibri"/>
          <w:sz w:val="32"/>
          <w:szCs w:val="32"/>
        </w:rPr>
      </w:pPr>
      <w:r>
        <w:rPr>
          <w:rFonts w:hint="eastAsia" w:ascii="Calibri" w:hAnsi="Calibri"/>
          <w:sz w:val="32"/>
          <w:szCs w:val="32"/>
        </w:rPr>
        <w:br w:type="page"/>
      </w:r>
      <w:r>
        <w:rPr>
          <w:rFonts w:hint="eastAsia" w:ascii="Calibri" w:hAnsi="Calibri"/>
          <w:sz w:val="32"/>
          <w:szCs w:val="32"/>
        </w:rPr>
        <w:drawing>
          <wp:inline distT="0" distB="0" distL="0" distR="0">
            <wp:extent cx="5634990" cy="7974330"/>
            <wp:effectExtent l="19050" t="0" r="3810" b="0"/>
            <wp:docPr id="58" name="图片 51" descr="219号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1" descr="219号3"/>
                    <pic:cNvPicPr>
                      <a:picLocks noChangeAspect="1" noChangeArrowheads="1"/>
                    </pic:cNvPicPr>
                  </pic:nvPicPr>
                  <pic:blipFill>
                    <a:blip r:embed="rId69" cstate="print"/>
                    <a:srcRect/>
                    <a:stretch>
                      <a:fillRect/>
                    </a:stretch>
                  </pic:blipFill>
                  <pic:spPr>
                    <a:xfrm>
                      <a:off x="0" y="0"/>
                      <a:ext cx="5634990" cy="7974330"/>
                    </a:xfrm>
                    <a:prstGeom prst="rect">
                      <a:avLst/>
                    </a:prstGeom>
                    <a:noFill/>
                    <a:ln w="9525" cmpd="sng">
                      <a:noFill/>
                      <a:miter lim="800000"/>
                      <a:headEnd/>
                      <a:tailEnd/>
                    </a:ln>
                  </pic:spPr>
                </pic:pic>
              </a:graphicData>
            </a:graphic>
          </wp:inline>
        </w:drawing>
      </w:r>
    </w:p>
    <w:p>
      <w:pPr>
        <w:rPr>
          <w:rFonts w:ascii="Calibri" w:hAnsi="Calibri"/>
          <w:sz w:val="32"/>
          <w:szCs w:val="32"/>
        </w:rPr>
      </w:pPr>
      <w:r>
        <w:rPr>
          <w:rFonts w:hint="eastAsia" w:ascii="Calibri" w:hAnsi="Calibri"/>
          <w:sz w:val="32"/>
          <w:szCs w:val="32"/>
        </w:rPr>
        <w:br w:type="page"/>
      </w:r>
      <w:r>
        <w:rPr>
          <w:rFonts w:hint="eastAsia" w:ascii="Calibri" w:hAnsi="Calibri"/>
          <w:sz w:val="32"/>
          <w:szCs w:val="32"/>
        </w:rPr>
        <w:drawing>
          <wp:inline distT="0" distB="0" distL="0" distR="0">
            <wp:extent cx="5699125" cy="8059420"/>
            <wp:effectExtent l="19050" t="0" r="0" b="0"/>
            <wp:docPr id="59" name="图片 52" descr="219号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2" descr="219号4"/>
                    <pic:cNvPicPr>
                      <a:picLocks noChangeAspect="1" noChangeArrowheads="1"/>
                    </pic:cNvPicPr>
                  </pic:nvPicPr>
                  <pic:blipFill>
                    <a:blip r:embed="rId70" cstate="print"/>
                    <a:srcRect/>
                    <a:stretch>
                      <a:fillRect/>
                    </a:stretch>
                  </pic:blipFill>
                  <pic:spPr>
                    <a:xfrm>
                      <a:off x="0" y="0"/>
                      <a:ext cx="5699125" cy="8059420"/>
                    </a:xfrm>
                    <a:prstGeom prst="rect">
                      <a:avLst/>
                    </a:prstGeom>
                    <a:noFill/>
                    <a:ln w="9525" cmpd="sng">
                      <a:noFill/>
                      <a:miter lim="800000"/>
                      <a:headEnd/>
                      <a:tailEnd/>
                    </a:ln>
                  </pic:spPr>
                </pic:pic>
              </a:graphicData>
            </a:graphic>
          </wp:inline>
        </w:drawing>
      </w:r>
    </w:p>
    <w:p>
      <w:pPr>
        <w:rPr>
          <w:rFonts w:ascii="Calibri" w:hAnsi="Calibri"/>
          <w:sz w:val="32"/>
          <w:szCs w:val="32"/>
        </w:rPr>
      </w:pPr>
      <w:r>
        <w:rPr>
          <w:rFonts w:hint="eastAsia" w:ascii="Calibri" w:hAnsi="Calibri"/>
          <w:sz w:val="32"/>
          <w:szCs w:val="32"/>
        </w:rPr>
        <w:br w:type="page"/>
      </w:r>
      <w:r>
        <w:rPr>
          <w:rFonts w:hint="eastAsia" w:ascii="Calibri" w:hAnsi="Calibri"/>
          <w:sz w:val="32"/>
          <w:szCs w:val="32"/>
        </w:rPr>
        <w:drawing>
          <wp:inline distT="0" distB="0" distL="0" distR="0">
            <wp:extent cx="5720080" cy="8091170"/>
            <wp:effectExtent l="19050" t="0" r="0" b="0"/>
            <wp:docPr id="60" name="图片 53" descr="219号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3" descr="219号5"/>
                    <pic:cNvPicPr>
                      <a:picLocks noChangeAspect="1" noChangeArrowheads="1"/>
                    </pic:cNvPicPr>
                  </pic:nvPicPr>
                  <pic:blipFill>
                    <a:blip r:embed="rId71" cstate="print"/>
                    <a:srcRect/>
                    <a:stretch>
                      <a:fillRect/>
                    </a:stretch>
                  </pic:blipFill>
                  <pic:spPr>
                    <a:xfrm>
                      <a:off x="0" y="0"/>
                      <a:ext cx="5720080" cy="8091170"/>
                    </a:xfrm>
                    <a:prstGeom prst="rect">
                      <a:avLst/>
                    </a:prstGeom>
                    <a:noFill/>
                    <a:ln w="9525" cmpd="sng">
                      <a:noFill/>
                      <a:miter lim="800000"/>
                      <a:headEnd/>
                      <a:tailEnd/>
                    </a:ln>
                  </pic:spPr>
                </pic:pic>
              </a:graphicData>
            </a:graphic>
          </wp:inline>
        </w:drawing>
      </w:r>
    </w:p>
    <w:p>
      <w:pPr>
        <w:rPr>
          <w:rFonts w:ascii="Calibri" w:hAnsi="Calibri"/>
          <w:sz w:val="32"/>
          <w:szCs w:val="32"/>
        </w:rPr>
      </w:pPr>
      <w:r>
        <w:rPr>
          <w:rFonts w:hint="eastAsia" w:ascii="Calibri" w:hAnsi="Calibri"/>
          <w:sz w:val="32"/>
          <w:szCs w:val="32"/>
        </w:rPr>
        <w:br w:type="page"/>
      </w:r>
      <w:r>
        <w:rPr>
          <w:rFonts w:hint="eastAsia" w:ascii="Calibri" w:hAnsi="Calibri"/>
          <w:sz w:val="32"/>
          <w:szCs w:val="32"/>
        </w:rPr>
        <w:drawing>
          <wp:inline distT="0" distB="0" distL="0" distR="0">
            <wp:extent cx="5720080" cy="8091170"/>
            <wp:effectExtent l="0" t="0" r="13970" b="5080"/>
            <wp:docPr id="61" name="图片 54" descr="219号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4" descr="219号6"/>
                    <pic:cNvPicPr>
                      <a:picLocks noChangeAspect="1" noChangeArrowheads="1"/>
                    </pic:cNvPicPr>
                  </pic:nvPicPr>
                  <pic:blipFill>
                    <a:blip r:embed="rId72" cstate="print"/>
                    <a:srcRect/>
                    <a:stretch>
                      <a:fillRect/>
                    </a:stretch>
                  </pic:blipFill>
                  <pic:spPr>
                    <a:xfrm>
                      <a:off x="0" y="0"/>
                      <a:ext cx="5720080" cy="8091170"/>
                    </a:xfrm>
                    <a:prstGeom prst="rect">
                      <a:avLst/>
                    </a:prstGeom>
                    <a:noFill/>
                    <a:ln w="9525" cmpd="sng">
                      <a:noFill/>
                      <a:miter lim="800000"/>
                      <a:headEnd/>
                      <a:tailEnd/>
                    </a:ln>
                  </pic:spPr>
                </pic:pic>
              </a:graphicData>
            </a:graphic>
          </wp:inline>
        </w:drawing>
      </w:r>
    </w:p>
    <w:p>
      <w:pPr>
        <w:rPr>
          <w:rFonts w:ascii="Calibri" w:hAnsi="Calibri"/>
          <w:sz w:val="32"/>
          <w:szCs w:val="32"/>
        </w:rPr>
      </w:pPr>
    </w:p>
    <w:p>
      <w:pPr>
        <w:shd w:val="clear" w:color="auto" w:fill="FFFFFF"/>
        <w:spacing w:line="520" w:lineRule="exact"/>
        <w:outlineLvl w:val="3"/>
        <w:rPr>
          <w:rFonts w:ascii="黑体" w:hAnsi="黑体" w:eastAsia="黑体" w:cs="黑体"/>
          <w:sz w:val="32"/>
          <w:szCs w:val="32"/>
        </w:rPr>
      </w:pPr>
      <w:r>
        <w:rPr>
          <w:rFonts w:hint="eastAsia" w:ascii="Calibri" w:hAnsi="Calibri"/>
          <w:sz w:val="32"/>
          <w:szCs w:val="32"/>
        </w:rPr>
        <w:br w:type="page"/>
      </w:r>
      <w:r>
        <w:rPr>
          <w:rFonts w:hint="eastAsia" w:ascii="黑体" w:hAnsi="黑体" w:eastAsia="黑体" w:cs="黑体"/>
          <w:sz w:val="32"/>
          <w:szCs w:val="32"/>
        </w:rPr>
        <w:t>附件5：</w:t>
      </w:r>
    </w:p>
    <w:p>
      <w:pPr>
        <w:shd w:val="clear" w:color="auto" w:fill="FFFFFF"/>
        <w:spacing w:line="520" w:lineRule="exact"/>
        <w:jc w:val="center"/>
        <w:rPr>
          <w:rFonts w:hint="eastAsia" w:ascii="仿宋_GB2312" w:hAnsi="黑体" w:eastAsia="仿宋_GB2312" w:cs="黑体"/>
          <w:sz w:val="32"/>
          <w:szCs w:val="32"/>
        </w:rPr>
      </w:pPr>
      <w:r>
        <w:rPr>
          <w:rFonts w:hint="eastAsia" w:ascii="仿宋_GB2312" w:hAnsi="黑体" w:eastAsia="仿宋_GB2312" w:cs="黑体"/>
          <w:sz w:val="32"/>
          <w:szCs w:val="32"/>
        </w:rPr>
        <w:t xml:space="preserve">  </w:t>
      </w:r>
    </w:p>
    <w:p>
      <w:pPr>
        <w:shd w:val="clear" w:color="auto" w:fill="FFFFFF"/>
        <w:spacing w:line="520" w:lineRule="exact"/>
        <w:jc w:val="center"/>
        <w:rPr>
          <w:rFonts w:ascii="方正小标宋简体" w:hAnsi="黑体" w:eastAsia="方正小标宋简体" w:cs="黑体"/>
          <w:sz w:val="44"/>
          <w:szCs w:val="44"/>
        </w:rPr>
      </w:pPr>
      <w:r>
        <w:rPr>
          <w:rFonts w:hint="eastAsia" w:ascii="方正小标宋简体" w:hAnsi="黑体" w:eastAsia="方正小标宋简体" w:cs="黑体"/>
          <w:sz w:val="44"/>
          <w:szCs w:val="44"/>
        </w:rPr>
        <w:t>成都市郫都区城镇环卫作业监督考核办法</w:t>
      </w:r>
    </w:p>
    <w:p>
      <w:pPr>
        <w:shd w:val="clear" w:color="auto" w:fill="FFFFFF"/>
        <w:spacing w:line="520" w:lineRule="exact"/>
        <w:ind w:firstLine="640" w:firstLineChars="200"/>
        <w:jc w:val="center"/>
        <w:rPr>
          <w:rFonts w:ascii="楷体_GB2312" w:hAnsi="黑体" w:eastAsia="楷体_GB2312" w:cs="宋体"/>
          <w:sz w:val="32"/>
          <w:szCs w:val="32"/>
        </w:rPr>
      </w:pPr>
    </w:p>
    <w:p>
      <w:pPr>
        <w:shd w:val="clear" w:color="auto" w:fill="FFFFFF"/>
        <w:spacing w:line="520" w:lineRule="exact"/>
        <w:ind w:firstLine="640" w:firstLineChars="200"/>
        <w:rPr>
          <w:rFonts w:ascii="黑体" w:hAnsi="黑体" w:eastAsia="黑体" w:cs="宋体"/>
          <w:sz w:val="32"/>
          <w:szCs w:val="32"/>
        </w:rPr>
      </w:pPr>
      <w:r>
        <w:rPr>
          <w:rFonts w:hint="eastAsia" w:ascii="黑体" w:hAnsi="黑体" w:eastAsia="黑体" w:cs="宋体"/>
          <w:sz w:val="32"/>
          <w:szCs w:val="32"/>
        </w:rPr>
        <w:t>一、</w:t>
      </w:r>
      <w:r>
        <w:rPr>
          <w:rFonts w:hint="eastAsia" w:ascii="黑体" w:hAnsi="黑体" w:eastAsia="黑体"/>
          <w:sz w:val="32"/>
          <w:szCs w:val="32"/>
        </w:rPr>
        <w:t>考核对象</w:t>
      </w:r>
    </w:p>
    <w:p>
      <w:pPr>
        <w:shd w:val="clear" w:color="auto" w:fill="FFFFFF"/>
        <w:spacing w:line="520" w:lineRule="exact"/>
        <w:ind w:firstLine="640" w:firstLineChars="200"/>
        <w:rPr>
          <w:rFonts w:ascii="仿宋_GB2312" w:hAnsi="仿宋" w:eastAsia="仿宋_GB2312" w:cs="仿宋"/>
          <w:sz w:val="32"/>
          <w:szCs w:val="32"/>
        </w:rPr>
      </w:pPr>
      <w:r>
        <w:rPr>
          <w:rFonts w:hint="eastAsia" w:ascii="仿宋_GB2312" w:hAnsi="仿宋" w:eastAsia="仿宋_GB2312" w:cs="仿宋"/>
          <w:sz w:val="32"/>
          <w:szCs w:val="32"/>
        </w:rPr>
        <w:t>（一）区城乡环境卫生管护中心负责组织实施并考核郫筒城区、犀浦片区直管区域环卫作业公司；</w:t>
      </w:r>
    </w:p>
    <w:p>
      <w:pPr>
        <w:shd w:val="clear" w:color="auto" w:fill="FFFFFF"/>
        <w:spacing w:line="520" w:lineRule="exact"/>
        <w:ind w:firstLine="640" w:firstLineChars="200"/>
        <w:rPr>
          <w:rFonts w:ascii="仿宋_GB2312" w:hAnsi="仿宋" w:eastAsia="仿宋_GB2312" w:cs="仿宋"/>
          <w:sz w:val="32"/>
          <w:szCs w:val="32"/>
        </w:rPr>
      </w:pPr>
      <w:r>
        <w:rPr>
          <w:rFonts w:hint="eastAsia" w:ascii="仿宋_GB2312" w:hAnsi="仿宋" w:eastAsia="仿宋_GB2312" w:cs="仿宋"/>
          <w:sz w:val="32"/>
          <w:szCs w:val="32"/>
        </w:rPr>
        <w:t>（二）区城乡环境卫生管护中心指导监督各街道（镇）环卫作业并提出考核意见；</w:t>
      </w:r>
    </w:p>
    <w:p>
      <w:pPr>
        <w:shd w:val="clear" w:color="auto" w:fill="FFFFFF"/>
        <w:spacing w:line="520" w:lineRule="exact"/>
        <w:ind w:firstLine="640" w:firstLineChars="200"/>
        <w:rPr>
          <w:rFonts w:ascii="仿宋_GB2312" w:hAnsi="仿宋" w:eastAsia="仿宋_GB2312" w:cs="仿宋"/>
          <w:sz w:val="32"/>
          <w:szCs w:val="32"/>
        </w:rPr>
      </w:pPr>
      <w:r>
        <w:rPr>
          <w:rFonts w:hint="eastAsia" w:ascii="仿宋_GB2312" w:hAnsi="仿宋" w:eastAsia="仿宋_GB2312" w:cs="仿宋"/>
          <w:sz w:val="32"/>
          <w:szCs w:val="32"/>
        </w:rPr>
        <w:t>（三）各街道（镇）负责组织实施并考核本辖区域内环卫作业公司，结合本街道（镇）实际情况，参照制定考核得分运用方案。</w:t>
      </w:r>
    </w:p>
    <w:p>
      <w:pPr>
        <w:shd w:val="clear" w:color="auto" w:fill="FFFFFF"/>
        <w:spacing w:line="520" w:lineRule="exact"/>
        <w:ind w:firstLine="640" w:firstLineChars="200"/>
        <w:rPr>
          <w:rFonts w:ascii="黑体" w:hAnsi="黑体" w:eastAsia="黑体" w:cs="宋体"/>
          <w:sz w:val="32"/>
          <w:szCs w:val="32"/>
        </w:rPr>
      </w:pPr>
      <w:r>
        <w:rPr>
          <w:rFonts w:hint="eastAsia" w:ascii="黑体" w:hAnsi="黑体" w:eastAsia="黑体" w:cs="宋体"/>
          <w:sz w:val="32"/>
          <w:szCs w:val="32"/>
        </w:rPr>
        <w:t>二、考核原则</w:t>
      </w:r>
    </w:p>
    <w:p>
      <w:pPr>
        <w:shd w:val="clear" w:color="auto" w:fill="FFFFFF"/>
        <w:spacing w:line="520" w:lineRule="exact"/>
        <w:ind w:firstLine="640" w:firstLineChars="200"/>
        <w:rPr>
          <w:rFonts w:ascii="仿宋_GB2312" w:hAnsi="仿宋" w:eastAsia="仿宋_GB2312" w:cs="仿宋"/>
          <w:sz w:val="32"/>
          <w:szCs w:val="32"/>
        </w:rPr>
      </w:pPr>
      <w:r>
        <w:rPr>
          <w:rFonts w:hint="eastAsia" w:ascii="仿宋_GB2312" w:hAnsi="仿宋" w:eastAsia="仿宋_GB2312" w:cs="仿宋"/>
          <w:sz w:val="32"/>
          <w:szCs w:val="32"/>
        </w:rPr>
        <w:t>坚持“客观公正、公平合理、公开透明”的监督考核原则。</w:t>
      </w:r>
    </w:p>
    <w:p>
      <w:pPr>
        <w:shd w:val="clear" w:color="auto" w:fill="FFFFFF"/>
        <w:spacing w:line="520" w:lineRule="exact"/>
        <w:ind w:firstLine="640" w:firstLineChars="200"/>
        <w:rPr>
          <w:rFonts w:ascii="黑体" w:hAnsi="黑体" w:eastAsia="黑体" w:cs="宋体"/>
          <w:sz w:val="32"/>
          <w:szCs w:val="32"/>
        </w:rPr>
      </w:pPr>
      <w:r>
        <w:rPr>
          <w:rFonts w:hint="eastAsia" w:ascii="黑体" w:hAnsi="黑体" w:eastAsia="黑体" w:cs="宋体"/>
          <w:sz w:val="32"/>
          <w:szCs w:val="32"/>
        </w:rPr>
        <w:t>三、考核标准</w:t>
      </w:r>
    </w:p>
    <w:p>
      <w:pPr>
        <w:shd w:val="clear" w:color="auto" w:fill="FFFFFF"/>
        <w:spacing w:line="520" w:lineRule="exact"/>
        <w:ind w:firstLine="640" w:firstLineChars="200"/>
        <w:rPr>
          <w:rFonts w:ascii="仿宋_GB2312" w:hAnsi="黑体" w:eastAsia="仿宋_GB2312" w:cs="黑体"/>
          <w:sz w:val="32"/>
          <w:szCs w:val="32"/>
        </w:rPr>
      </w:pPr>
      <w:r>
        <w:rPr>
          <w:rFonts w:hint="eastAsia" w:ascii="仿宋_GB2312" w:hAnsi="仿宋" w:eastAsia="仿宋_GB2312" w:cs="仿宋"/>
          <w:sz w:val="32"/>
          <w:szCs w:val="32"/>
        </w:rPr>
        <w:t>按照《成都市</w:t>
      </w:r>
      <w:r>
        <w:rPr>
          <w:rFonts w:hint="eastAsia" w:ascii="仿宋_GB2312" w:hAnsi="黑体" w:eastAsia="仿宋_GB2312"/>
          <w:sz w:val="32"/>
          <w:szCs w:val="32"/>
        </w:rPr>
        <w:t>郫都区城镇环卫作业及质量标准</w:t>
      </w:r>
      <w:r>
        <w:rPr>
          <w:rFonts w:hint="eastAsia" w:ascii="仿宋_GB2312" w:hAnsi="仿宋" w:eastAsia="仿宋_GB2312" w:cs="仿宋"/>
          <w:sz w:val="32"/>
          <w:szCs w:val="32"/>
        </w:rPr>
        <w:t>》、《成都市</w:t>
      </w:r>
      <w:r>
        <w:rPr>
          <w:rFonts w:hint="eastAsia" w:ascii="仿宋_GB2312" w:hAnsi="黑体" w:eastAsia="仿宋_GB2312"/>
          <w:sz w:val="32"/>
          <w:szCs w:val="32"/>
        </w:rPr>
        <w:t>郫都区城镇环卫作业及质量检查评分标准</w:t>
      </w:r>
      <w:r>
        <w:rPr>
          <w:rFonts w:hint="eastAsia" w:ascii="仿宋_GB2312" w:hAnsi="仿宋" w:eastAsia="仿宋_GB2312" w:cs="仿宋"/>
          <w:sz w:val="32"/>
          <w:szCs w:val="32"/>
        </w:rPr>
        <w:t>》执行。</w:t>
      </w:r>
    </w:p>
    <w:p>
      <w:pPr>
        <w:shd w:val="clear" w:color="auto" w:fill="FFFFFF"/>
        <w:spacing w:line="520" w:lineRule="exact"/>
        <w:ind w:firstLine="640" w:firstLineChars="200"/>
        <w:rPr>
          <w:rFonts w:ascii="黑体" w:hAnsi="黑体" w:eastAsia="黑体" w:cs="宋体"/>
          <w:sz w:val="32"/>
          <w:szCs w:val="32"/>
        </w:rPr>
      </w:pPr>
      <w:r>
        <w:rPr>
          <w:rFonts w:hint="eastAsia" w:ascii="黑体" w:hAnsi="黑体" w:eastAsia="黑体" w:cs="宋体"/>
          <w:sz w:val="32"/>
          <w:szCs w:val="32"/>
        </w:rPr>
        <w:t>四、考核方式</w:t>
      </w:r>
    </w:p>
    <w:p>
      <w:pPr>
        <w:shd w:val="clear" w:color="auto" w:fill="FFFFFF"/>
        <w:spacing w:line="520" w:lineRule="exact"/>
        <w:ind w:firstLine="640" w:firstLineChars="200"/>
        <w:rPr>
          <w:rFonts w:ascii="仿宋_GB2312" w:hAnsi="仿宋" w:eastAsia="仿宋_GB2312" w:cs="仿宋"/>
          <w:sz w:val="32"/>
          <w:szCs w:val="32"/>
        </w:rPr>
      </w:pPr>
      <w:r>
        <w:rPr>
          <w:rFonts w:hint="eastAsia" w:ascii="仿宋_GB2312" w:hAnsi="仿宋" w:eastAsia="仿宋_GB2312" w:cs="仿宋"/>
          <w:sz w:val="32"/>
          <w:szCs w:val="32"/>
        </w:rPr>
        <w:t>（一）日常检查和定期检查相结合；</w:t>
      </w:r>
    </w:p>
    <w:p>
      <w:pPr>
        <w:shd w:val="clear" w:color="auto" w:fill="FFFFFF"/>
        <w:spacing w:line="520" w:lineRule="exact"/>
        <w:ind w:firstLine="640" w:firstLineChars="200"/>
        <w:rPr>
          <w:rFonts w:ascii="仿宋_GB2312" w:hAnsi="仿宋" w:eastAsia="仿宋_GB2312" w:cs="仿宋"/>
          <w:sz w:val="32"/>
          <w:szCs w:val="32"/>
        </w:rPr>
      </w:pPr>
      <w:r>
        <w:rPr>
          <w:rFonts w:hint="eastAsia" w:ascii="仿宋_GB2312" w:hAnsi="仿宋" w:eastAsia="仿宋_GB2312" w:cs="仿宋"/>
          <w:sz w:val="32"/>
          <w:szCs w:val="32"/>
        </w:rPr>
        <w:t>（二）组织考核与社会评价相结合；</w:t>
      </w:r>
    </w:p>
    <w:p>
      <w:pPr>
        <w:shd w:val="clear" w:color="auto" w:fill="FFFFFF"/>
        <w:spacing w:line="520" w:lineRule="exact"/>
        <w:ind w:firstLine="640" w:firstLineChars="200"/>
        <w:rPr>
          <w:rFonts w:ascii="仿宋_GB2312" w:hAnsi="仿宋" w:eastAsia="仿宋_GB2312" w:cs="仿宋"/>
          <w:sz w:val="32"/>
          <w:szCs w:val="32"/>
        </w:rPr>
      </w:pPr>
      <w:r>
        <w:rPr>
          <w:rFonts w:hint="eastAsia" w:ascii="仿宋_GB2312" w:hAnsi="仿宋" w:eastAsia="仿宋_GB2312" w:cs="仿宋"/>
          <w:sz w:val="32"/>
          <w:szCs w:val="32"/>
        </w:rPr>
        <w:t>（三）明查和暗访相结合。</w:t>
      </w:r>
    </w:p>
    <w:p>
      <w:pPr>
        <w:shd w:val="clear" w:color="auto" w:fill="FFFFFF"/>
        <w:spacing w:line="520" w:lineRule="exact"/>
        <w:ind w:firstLine="640" w:firstLineChars="200"/>
        <w:rPr>
          <w:rFonts w:ascii="仿宋_GB2312" w:hAnsi="黑体" w:eastAsia="仿宋_GB2312" w:cs="宋体"/>
          <w:sz w:val="32"/>
          <w:szCs w:val="32"/>
        </w:rPr>
      </w:pPr>
      <w:r>
        <w:rPr>
          <w:rFonts w:hint="eastAsia" w:ascii="仿宋_GB2312" w:hAnsi="仿宋" w:eastAsia="仿宋_GB2312" w:cs="仿宋"/>
          <w:sz w:val="32"/>
          <w:szCs w:val="32"/>
        </w:rPr>
        <w:t>包含但不限于区综合执法局随机巡查、城市管理数字化网络平台、各级人大政协代表检查、新闻媒体监督检查、各级领导随机检查、成都市和郫都区组织的专项检查或第三方测评、社区日常检查、网络理政、网络舆情、阳光政务平台和群众来信来访中的有效投诉等。</w:t>
      </w:r>
    </w:p>
    <w:p>
      <w:pPr>
        <w:shd w:val="clear" w:color="auto" w:fill="FFFFFF"/>
        <w:spacing w:line="520" w:lineRule="exact"/>
        <w:ind w:firstLine="640" w:firstLineChars="200"/>
        <w:rPr>
          <w:rFonts w:ascii="黑体" w:hAnsi="黑体" w:eastAsia="黑体" w:cs="宋体"/>
          <w:sz w:val="32"/>
          <w:szCs w:val="32"/>
        </w:rPr>
      </w:pPr>
      <w:r>
        <w:rPr>
          <w:rFonts w:hint="eastAsia" w:ascii="黑体" w:hAnsi="黑体" w:eastAsia="黑体" w:cs="宋体"/>
          <w:sz w:val="32"/>
          <w:szCs w:val="32"/>
        </w:rPr>
        <w:t>五、考核时间</w:t>
      </w:r>
    </w:p>
    <w:p>
      <w:pPr>
        <w:shd w:val="clear" w:color="auto" w:fill="FFFFFF"/>
        <w:spacing w:line="520" w:lineRule="exact"/>
        <w:ind w:firstLine="640" w:firstLineChars="200"/>
        <w:rPr>
          <w:rFonts w:ascii="仿宋_GB2312" w:hAnsi="仿宋" w:eastAsia="仿宋_GB2312" w:cs="仿宋"/>
          <w:sz w:val="32"/>
          <w:szCs w:val="32"/>
        </w:rPr>
      </w:pPr>
      <w:r>
        <w:rPr>
          <w:rFonts w:hint="eastAsia" w:ascii="仿宋_GB2312" w:hAnsi="仿宋" w:eastAsia="仿宋_GB2312" w:cs="仿宋"/>
          <w:sz w:val="32"/>
          <w:szCs w:val="32"/>
        </w:rPr>
        <w:t>（一）区城乡环境卫生管护中心对郫筒城区、犀浦片区直管区域环卫作业公司实行“日巡查、周考核、月汇总”模式；</w:t>
      </w:r>
    </w:p>
    <w:p>
      <w:pPr>
        <w:shd w:val="clear" w:color="auto" w:fill="FFFFFF"/>
        <w:spacing w:line="520" w:lineRule="exact"/>
        <w:ind w:firstLine="640" w:firstLineChars="200"/>
        <w:rPr>
          <w:rFonts w:ascii="仿宋_GB2312" w:hAnsi="仿宋" w:eastAsia="仿宋_GB2312" w:cs="仿宋"/>
          <w:sz w:val="32"/>
          <w:szCs w:val="32"/>
        </w:rPr>
      </w:pPr>
      <w:r>
        <w:rPr>
          <w:rFonts w:hint="eastAsia" w:ascii="仿宋_GB2312" w:hAnsi="仿宋" w:eastAsia="仿宋_GB2312" w:cs="仿宋"/>
          <w:sz w:val="32"/>
          <w:szCs w:val="32"/>
        </w:rPr>
        <w:t>（二）区城乡环境卫生管护中心对各街道（镇）的监督考核实行月度考核排名通报模式；</w:t>
      </w:r>
    </w:p>
    <w:p>
      <w:pPr>
        <w:shd w:val="clear" w:color="auto" w:fill="FFFFFF"/>
        <w:spacing w:line="520" w:lineRule="exact"/>
        <w:ind w:firstLine="640" w:firstLineChars="200"/>
        <w:rPr>
          <w:rFonts w:ascii="仿宋_GB2312" w:hAnsi="仿宋" w:eastAsia="仿宋_GB2312" w:cs="仿宋"/>
          <w:sz w:val="32"/>
          <w:szCs w:val="32"/>
        </w:rPr>
      </w:pPr>
      <w:r>
        <w:rPr>
          <w:rFonts w:hint="eastAsia" w:ascii="仿宋_GB2312" w:hAnsi="仿宋" w:eastAsia="仿宋_GB2312" w:cs="仿宋"/>
          <w:sz w:val="32"/>
          <w:szCs w:val="32"/>
        </w:rPr>
        <w:t>（三）各街道（镇）对辖区内环卫作业公司参照区城乡环境卫生管护中心对郫筒城区、犀浦片区直管区域环卫作业公司，结合本街道（镇）实际制定具体考核时间方案。</w:t>
      </w:r>
    </w:p>
    <w:p>
      <w:pPr>
        <w:shd w:val="clear" w:color="auto" w:fill="FFFFFF"/>
        <w:spacing w:line="520" w:lineRule="exact"/>
        <w:ind w:firstLine="640" w:firstLineChars="200"/>
        <w:rPr>
          <w:rFonts w:ascii="黑体" w:hAnsi="黑体" w:eastAsia="黑体" w:cs="宋体"/>
          <w:sz w:val="32"/>
          <w:szCs w:val="32"/>
        </w:rPr>
      </w:pPr>
      <w:r>
        <w:rPr>
          <w:rFonts w:hint="eastAsia" w:ascii="黑体" w:hAnsi="黑体" w:eastAsia="黑体" w:cs="宋体"/>
          <w:sz w:val="32"/>
          <w:szCs w:val="32"/>
        </w:rPr>
        <w:t>六、考核内容</w:t>
      </w:r>
    </w:p>
    <w:p>
      <w:pPr>
        <w:spacing w:line="520" w:lineRule="exact"/>
        <w:ind w:firstLine="640" w:firstLineChars="200"/>
        <w:rPr>
          <w:rFonts w:ascii="仿宋_GB2312" w:hAnsi="仿宋" w:eastAsia="仿宋_GB2312" w:cs="仿宋"/>
          <w:sz w:val="32"/>
          <w:szCs w:val="32"/>
        </w:rPr>
      </w:pPr>
      <w:r>
        <w:rPr>
          <w:rFonts w:hint="eastAsia" w:ascii="仿宋_GB2312" w:hAnsi="仿宋" w:eastAsia="仿宋_GB2312" w:cs="仿宋"/>
          <w:sz w:val="32"/>
          <w:szCs w:val="32"/>
        </w:rPr>
        <w:t>《成都市</w:t>
      </w:r>
      <w:r>
        <w:rPr>
          <w:rFonts w:hint="eastAsia" w:ascii="仿宋_GB2312" w:hAnsi="黑体" w:eastAsia="仿宋_GB2312"/>
          <w:sz w:val="32"/>
          <w:szCs w:val="32"/>
        </w:rPr>
        <w:t>郫都区城镇环卫作业及质量标准</w:t>
      </w:r>
      <w:r>
        <w:rPr>
          <w:rFonts w:hint="eastAsia" w:ascii="仿宋_GB2312" w:hAnsi="仿宋" w:eastAsia="仿宋_GB2312" w:cs="仿宋"/>
          <w:sz w:val="32"/>
          <w:szCs w:val="32"/>
        </w:rPr>
        <w:t>》内所有作业项目内容。</w:t>
      </w:r>
    </w:p>
    <w:p>
      <w:pPr>
        <w:shd w:val="clear" w:color="auto" w:fill="FFFFFF"/>
        <w:spacing w:line="520" w:lineRule="exact"/>
        <w:ind w:firstLine="640" w:firstLineChars="200"/>
        <w:rPr>
          <w:rFonts w:ascii="黑体" w:hAnsi="黑体" w:eastAsia="黑体" w:cs="宋体"/>
          <w:sz w:val="32"/>
          <w:szCs w:val="32"/>
        </w:rPr>
      </w:pPr>
      <w:r>
        <w:rPr>
          <w:rFonts w:hint="eastAsia" w:ascii="黑体" w:hAnsi="黑体" w:eastAsia="黑体" w:cs="宋体"/>
          <w:sz w:val="32"/>
          <w:szCs w:val="32"/>
        </w:rPr>
        <w:t>七、考核计分</w:t>
      </w:r>
    </w:p>
    <w:p>
      <w:pPr>
        <w:shd w:val="clear" w:color="auto" w:fill="FFFFFF"/>
        <w:spacing w:line="520" w:lineRule="exact"/>
        <w:ind w:firstLine="640" w:firstLineChars="200"/>
        <w:rPr>
          <w:rFonts w:ascii="仿宋_GB2312" w:hAnsi="仿宋" w:eastAsia="仿宋_GB2312" w:cs="仿宋"/>
          <w:sz w:val="32"/>
          <w:szCs w:val="32"/>
        </w:rPr>
      </w:pPr>
      <w:r>
        <w:rPr>
          <w:rFonts w:hint="eastAsia" w:ascii="仿宋_GB2312" w:hAnsi="仿宋" w:eastAsia="仿宋_GB2312" w:cs="仿宋"/>
          <w:sz w:val="32"/>
          <w:szCs w:val="32"/>
        </w:rPr>
        <w:t>考核采用百分制，倒扣分的方式计分。</w:t>
      </w:r>
    </w:p>
    <w:p>
      <w:pPr>
        <w:shd w:val="clear" w:color="auto" w:fill="FFFFFF"/>
        <w:spacing w:line="520" w:lineRule="exact"/>
        <w:ind w:firstLine="640" w:firstLineChars="200"/>
        <w:rPr>
          <w:rFonts w:ascii="黑体" w:hAnsi="黑体" w:eastAsia="黑体" w:cs="宋体"/>
          <w:sz w:val="32"/>
          <w:szCs w:val="32"/>
        </w:rPr>
      </w:pPr>
      <w:r>
        <w:rPr>
          <w:rFonts w:hint="eastAsia" w:ascii="黑体" w:hAnsi="黑体" w:eastAsia="黑体" w:cs="宋体"/>
          <w:sz w:val="32"/>
          <w:szCs w:val="32"/>
        </w:rPr>
        <w:t>八、考核结果运用</w:t>
      </w:r>
    </w:p>
    <w:p>
      <w:pPr>
        <w:shd w:val="clear" w:color="auto" w:fill="FFFFFF"/>
        <w:spacing w:line="600" w:lineRule="exact"/>
        <w:ind w:firstLine="640" w:firstLineChars="200"/>
        <w:rPr>
          <w:rFonts w:ascii="仿宋_GB2312" w:hAnsi="仿宋" w:eastAsia="仿宋_GB2312" w:cs="仿宋"/>
          <w:sz w:val="32"/>
          <w:szCs w:val="32"/>
        </w:rPr>
      </w:pPr>
      <w:r>
        <w:rPr>
          <w:rFonts w:hint="eastAsia" w:ascii="楷体_GB2312" w:hAnsi="仿宋" w:eastAsia="楷体_GB2312" w:cs="仿宋"/>
          <w:sz w:val="32"/>
          <w:szCs w:val="32"/>
        </w:rPr>
        <w:t>（一）</w:t>
      </w:r>
      <w:r>
        <w:rPr>
          <w:rFonts w:hint="eastAsia" w:ascii="仿宋_GB2312" w:hAnsi="仿宋" w:eastAsia="仿宋_GB2312" w:cs="仿宋"/>
          <w:sz w:val="32"/>
          <w:szCs w:val="32"/>
        </w:rPr>
        <w:t>区综合行政执法局对各街道（镇）的环卫考核结果将抄送区治理办作为城乡环境综合治理考核的重要依据，并纳入全区城市精细化管理目标环卫保洁精细化单项考核中：当月考核得分在90分（含）以上的，城市精细化管理目标环卫保洁精细化单项考核计满分；当月考核得分在90分以下的，城市精细化管理目标环卫保洁精细化单项考核按实际得分百分比计分。同时，考核得分在90分以下的街道（镇），应按照本街道考核结果运用相关规定对作业公司进行经费扣减，并将扣减情况同步抄告区综合执法局。</w:t>
      </w:r>
    </w:p>
    <w:p>
      <w:pPr>
        <w:shd w:val="clear" w:color="auto" w:fill="FFFFFF"/>
        <w:spacing w:line="600" w:lineRule="exact"/>
        <w:ind w:firstLine="640" w:firstLineChars="200"/>
        <w:rPr>
          <w:rFonts w:ascii="仿宋_GB2312" w:hAnsi="仿宋" w:eastAsia="仿宋_GB2312" w:cs="仿宋"/>
          <w:sz w:val="32"/>
          <w:szCs w:val="32"/>
        </w:rPr>
      </w:pPr>
      <w:r>
        <w:rPr>
          <w:rFonts w:hint="eastAsia" w:ascii="楷体_GB2312" w:hAnsi="仿宋" w:eastAsia="楷体_GB2312" w:cs="仿宋"/>
          <w:sz w:val="32"/>
          <w:szCs w:val="32"/>
        </w:rPr>
        <w:t>（二）</w:t>
      </w:r>
      <w:r>
        <w:rPr>
          <w:rFonts w:hint="eastAsia" w:ascii="仿宋_GB2312" w:hAnsi="仿宋" w:eastAsia="仿宋_GB2312" w:cs="仿宋"/>
          <w:sz w:val="32"/>
          <w:szCs w:val="32"/>
        </w:rPr>
        <w:t>区综合行政执法局郫筒、犀浦直管区域的环卫作业公司实行单项运用和综合运用相结合的方式，具体如下：</w:t>
      </w:r>
    </w:p>
    <w:p>
      <w:pPr>
        <w:shd w:val="clear" w:color="auto" w:fill="FFFFFF"/>
        <w:spacing w:line="600" w:lineRule="exact"/>
        <w:ind w:firstLine="640" w:firstLineChars="200"/>
        <w:rPr>
          <w:rFonts w:ascii="仿宋_GB2312" w:hAnsi="仿宋" w:eastAsia="仿宋_GB2312" w:cs="仿宋"/>
          <w:sz w:val="32"/>
          <w:szCs w:val="32"/>
        </w:rPr>
      </w:pPr>
      <w:r>
        <w:rPr>
          <w:rFonts w:hint="eastAsia" w:ascii="仿宋_GB2312" w:hAnsi="仿宋" w:eastAsia="仿宋_GB2312" w:cs="仿宋"/>
          <w:sz w:val="32"/>
          <w:szCs w:val="32"/>
        </w:rPr>
        <w:t>1.单项运用：</w:t>
      </w:r>
    </w:p>
    <w:p>
      <w:pPr>
        <w:shd w:val="clear" w:color="auto" w:fill="FFFFFF"/>
        <w:spacing w:line="600" w:lineRule="exact"/>
        <w:ind w:firstLine="640" w:firstLineChars="200"/>
        <w:rPr>
          <w:rFonts w:ascii="仿宋_GB2312" w:hAnsi="仿宋" w:eastAsia="仿宋_GB2312" w:cs="仿宋"/>
          <w:sz w:val="32"/>
          <w:szCs w:val="32"/>
        </w:rPr>
      </w:pPr>
      <w:r>
        <w:rPr>
          <w:rFonts w:hint="eastAsia" w:ascii="仿宋_GB2312" w:hAnsi="仿宋" w:eastAsia="仿宋_GB2312" w:cs="仿宋"/>
          <w:sz w:val="32"/>
          <w:szCs w:val="32"/>
        </w:rPr>
        <w:t>（1）任意一种检查考核对违反《成都市郫都区城镇环卫作业监督考核办法》及相关管理规定且情节严重的，将对被检公司实施单项经费扣减，并予以通报。视情节轻重，分别按2000元、5000元、10000元三个梯次一次性扣减，月底在该公司环卫作业服务经费中扣除,同时月考核对应扣减金额扣除得分2分、5分、10分。三个梯次扣款、扣分，分别在当月结算作业经费中予以运用。</w:t>
      </w:r>
    </w:p>
    <w:p>
      <w:pPr>
        <w:shd w:val="clear" w:color="auto" w:fill="FFFFFF"/>
        <w:spacing w:line="520" w:lineRule="exact"/>
        <w:ind w:firstLine="640" w:firstLineChars="200"/>
        <w:rPr>
          <w:rFonts w:ascii="仿宋_GB2312" w:hAnsi="仿宋" w:eastAsia="仿宋_GB2312" w:cs="仿宋"/>
          <w:sz w:val="32"/>
          <w:szCs w:val="32"/>
        </w:rPr>
      </w:pPr>
      <w:r>
        <w:rPr>
          <w:rFonts w:hint="eastAsia" w:ascii="仿宋_GB2312" w:hAnsi="仿宋" w:eastAsia="仿宋_GB2312" w:cs="仿宋"/>
          <w:sz w:val="32"/>
          <w:szCs w:val="32"/>
        </w:rPr>
        <w:t>（2）被中央、省、市、区各级专项督查暗访、日常巡查通报、批示的，在中央、省、市、区各级的阶段性专项活动、临时性重大保障工作中保障不到位、问题突出的，按行政等级分别予以单次经费扣减5000元、4000元、3000元、2000元，月底在该公司环卫作业服务经费中扣除。</w:t>
      </w:r>
    </w:p>
    <w:p>
      <w:pPr>
        <w:shd w:val="clear" w:color="auto" w:fill="FFFFFF"/>
        <w:spacing w:line="600" w:lineRule="exact"/>
        <w:ind w:firstLine="640" w:firstLineChars="200"/>
        <w:rPr>
          <w:rFonts w:ascii="仿宋_GB2312" w:hAnsi="仿宋" w:eastAsia="仿宋_GB2312" w:cs="仿宋"/>
          <w:sz w:val="32"/>
          <w:szCs w:val="32"/>
        </w:rPr>
      </w:pPr>
      <w:r>
        <w:rPr>
          <w:rFonts w:hint="eastAsia" w:ascii="仿宋_GB2312" w:hAnsi="仿宋" w:eastAsia="仿宋_GB2312" w:cs="仿宋"/>
          <w:sz w:val="32"/>
          <w:szCs w:val="32"/>
        </w:rPr>
        <w:t>2.综合运用：每月末对日巡查、周考核结果按比例汇总形成月末综合考核评比得分排名通报。同时，对得分在90分以下（不含90分）的作业包件公司按下列标准实施综合扣减作业经费：</w:t>
      </w:r>
    </w:p>
    <w:p>
      <w:pPr>
        <w:shd w:val="clear" w:color="auto" w:fill="FFFFFF"/>
        <w:spacing w:line="600" w:lineRule="exact"/>
        <w:ind w:firstLine="640" w:firstLineChars="200"/>
        <w:rPr>
          <w:rFonts w:ascii="仿宋_GB2312" w:hAnsi="仿宋" w:eastAsia="仿宋_GB2312" w:cs="仿宋"/>
          <w:sz w:val="32"/>
          <w:szCs w:val="32"/>
        </w:rPr>
      </w:pPr>
      <w:r>
        <w:rPr>
          <w:rFonts w:hint="eastAsia" w:ascii="仿宋_GB2312" w:hAnsi="仿宋" w:eastAsia="仿宋_GB2312" w:cs="仿宋"/>
          <w:sz w:val="32"/>
          <w:szCs w:val="32"/>
        </w:rPr>
        <w:t>（1）当月得分在90分至85分（含85分）的，每减少1分扣除2000元。</w:t>
      </w:r>
    </w:p>
    <w:p>
      <w:pPr>
        <w:shd w:val="clear" w:color="auto" w:fill="FFFFFF"/>
        <w:spacing w:line="600" w:lineRule="exact"/>
        <w:ind w:firstLine="640" w:firstLineChars="200"/>
        <w:rPr>
          <w:rFonts w:ascii="仿宋_GB2312" w:hAnsi="仿宋" w:eastAsia="仿宋_GB2312" w:cs="仿宋"/>
          <w:sz w:val="32"/>
          <w:szCs w:val="32"/>
        </w:rPr>
      </w:pPr>
      <w:r>
        <w:rPr>
          <w:rFonts w:hint="eastAsia" w:ascii="仿宋_GB2312" w:hAnsi="仿宋" w:eastAsia="仿宋_GB2312" w:cs="仿宋"/>
          <w:sz w:val="32"/>
          <w:szCs w:val="32"/>
        </w:rPr>
        <w:t>（2）当月得分在85分至80分（含80分）的，每减少1分扣除6000元。</w:t>
      </w:r>
    </w:p>
    <w:p>
      <w:pPr>
        <w:shd w:val="clear" w:color="auto" w:fill="FFFFFF"/>
        <w:spacing w:line="600" w:lineRule="exact"/>
        <w:ind w:firstLine="640" w:firstLineChars="200"/>
        <w:rPr>
          <w:rFonts w:ascii="仿宋_GB2312" w:hAnsi="仿宋" w:eastAsia="仿宋_GB2312" w:cs="仿宋"/>
          <w:sz w:val="32"/>
          <w:szCs w:val="32"/>
        </w:rPr>
      </w:pPr>
      <w:r>
        <w:rPr>
          <w:rFonts w:hint="eastAsia" w:ascii="仿宋_GB2312" w:hAnsi="仿宋" w:eastAsia="仿宋_GB2312" w:cs="仿宋"/>
          <w:sz w:val="32"/>
          <w:szCs w:val="32"/>
        </w:rPr>
        <w:t>（3）当月得分在80分至75分（含75分）的，每减少1分扣除10000元。</w:t>
      </w:r>
    </w:p>
    <w:p>
      <w:pPr>
        <w:shd w:val="clear" w:color="auto" w:fill="FFFFFF"/>
        <w:spacing w:line="600" w:lineRule="exact"/>
        <w:ind w:firstLine="640" w:firstLineChars="200"/>
        <w:rPr>
          <w:rFonts w:ascii="仿宋_GB2312" w:hAnsi="仿宋" w:eastAsia="仿宋_GB2312" w:cs="仿宋"/>
          <w:sz w:val="32"/>
          <w:szCs w:val="32"/>
        </w:rPr>
      </w:pPr>
      <w:r>
        <w:rPr>
          <w:rFonts w:hint="eastAsia" w:ascii="仿宋_GB2312" w:hAnsi="仿宋" w:eastAsia="仿宋_GB2312" w:cs="仿宋"/>
          <w:sz w:val="32"/>
          <w:szCs w:val="32"/>
        </w:rPr>
        <w:t>（4）当月得分在75分（不含75分）以下的，一次性扣除60000元，且成都市郫都区综合行政执法局有权解除其环卫作业承包权（即解除合同）并不退还履约保证金，由此产生的经济损失，由作业公司自行承担。</w:t>
      </w:r>
    </w:p>
    <w:p>
      <w:pPr>
        <w:shd w:val="clear" w:color="auto" w:fill="FFFFFF"/>
        <w:spacing w:line="600" w:lineRule="exact"/>
        <w:ind w:firstLine="640" w:firstLineChars="200"/>
        <w:rPr>
          <w:rFonts w:ascii="仿宋_GB2312" w:hAnsi="仿宋" w:eastAsia="仿宋_GB2312" w:cs="仿宋"/>
          <w:sz w:val="32"/>
          <w:szCs w:val="32"/>
        </w:rPr>
      </w:pPr>
      <w:r>
        <w:rPr>
          <w:rFonts w:hint="eastAsia" w:ascii="仿宋_GB2312" w:hAnsi="仿宋" w:eastAsia="仿宋_GB2312" w:cs="仿宋"/>
          <w:sz w:val="32"/>
          <w:szCs w:val="32"/>
        </w:rPr>
        <w:t>3.建立质量评价档案，坚决淘汰作业质量不达标的环卫作业公司。</w:t>
      </w:r>
    </w:p>
    <w:p>
      <w:pPr>
        <w:shd w:val="clear" w:color="auto" w:fill="FFFFFF"/>
        <w:spacing w:line="600" w:lineRule="exact"/>
        <w:rPr>
          <w:rFonts w:ascii="仿宋_GB2312" w:hAnsi="仿宋" w:eastAsia="仿宋_GB2312" w:cs="仿宋"/>
          <w:sz w:val="32"/>
          <w:szCs w:val="32"/>
        </w:rPr>
      </w:pPr>
      <w:r>
        <w:rPr>
          <w:rFonts w:hint="eastAsia" w:ascii="仿宋_GB2312" w:hAnsi="仿宋" w:eastAsia="仿宋_GB2312" w:cs="仿宋"/>
          <w:sz w:val="32"/>
          <w:szCs w:val="32"/>
        </w:rPr>
        <w:t xml:space="preserve">    （1）同一包件，环卫作业公司月末综合考核评比得分在80分（不含80分）以下的，第一次由其分公司负责人向环卫管护中心提交书面整改意见；第二次由其公司法人向成都市郫都区综合行政执法局提交书面整改意见。若连续三个月或年度累计三次月末综合考核评比得分低于80分（不含80分），成都市郫都区综合行政执法局有权与该公司解除合同，并不退还履约保证金，由此产生的经济损失，由作业公司自行承担。</w:t>
      </w:r>
    </w:p>
    <w:p>
      <w:pPr>
        <w:shd w:val="clear" w:color="auto" w:fill="FFFFFF"/>
        <w:spacing w:line="600" w:lineRule="exact"/>
        <w:ind w:firstLine="640" w:firstLineChars="200"/>
        <w:rPr>
          <w:rFonts w:ascii="仿宋_GB2312" w:hAnsi="仿宋" w:eastAsia="仿宋_GB2312" w:cs="仿宋"/>
          <w:sz w:val="32"/>
          <w:szCs w:val="32"/>
        </w:rPr>
      </w:pPr>
      <w:r>
        <w:rPr>
          <w:rFonts w:hint="eastAsia" w:ascii="仿宋_GB2312" w:hAnsi="仿宋" w:eastAsia="仿宋_GB2312" w:cs="仿宋"/>
          <w:sz w:val="32"/>
          <w:szCs w:val="32"/>
        </w:rPr>
        <w:t>（2）同一包件，年度平均得分在80分（不含80分）以下的环卫作业公司，成都市郫都区综合行政执法局有权与该公司解除合同，并不退还履约保证金，由此产生的经济损失，由作业公司自行承担。</w:t>
      </w:r>
    </w:p>
    <w:p>
      <w:pPr>
        <w:shd w:val="clear" w:color="auto" w:fill="FFFFFF"/>
        <w:spacing w:line="520" w:lineRule="exact"/>
        <w:ind w:firstLine="640" w:firstLineChars="200"/>
        <w:rPr>
          <w:rFonts w:ascii="仿宋_GB2312" w:hAnsi="仿宋" w:eastAsia="仿宋_GB2312" w:cs="仿宋"/>
          <w:sz w:val="32"/>
          <w:szCs w:val="32"/>
        </w:rPr>
      </w:pPr>
      <w:r>
        <w:rPr>
          <w:rFonts w:hint="eastAsia" w:ascii="仿宋_GB2312" w:hAnsi="仿宋" w:eastAsia="仿宋_GB2312" w:cs="仿宋"/>
          <w:sz w:val="32"/>
          <w:szCs w:val="32"/>
        </w:rPr>
        <w:t>（3）同一包件，在市级或区级组织实施的清标工作中，未按照合同如实履行人员、机具、办公场所等配备的，第一次由其分公司负责人向区城乡环境卫生管护中心提交书面整改意见；第二次由其公司法人向成都市郫都区综合行政执法局提交书面整改意见。若连续三次出现以上情况的，成都市郫都区综合行政执法局有权与该公司解除合同，并不退还履约保证金，由此产生的经济损失，由作业公司自行承担。</w:t>
      </w:r>
    </w:p>
    <w:p>
      <w:pPr>
        <w:shd w:val="clear" w:color="auto" w:fill="FFFFFF"/>
        <w:spacing w:line="600" w:lineRule="exact"/>
        <w:ind w:firstLine="640" w:firstLineChars="200"/>
        <w:rPr>
          <w:rFonts w:ascii="仿宋_GB2312" w:hAnsi="仿宋" w:eastAsia="仿宋_GB2312" w:cs="仿宋"/>
          <w:sz w:val="32"/>
          <w:szCs w:val="32"/>
        </w:rPr>
      </w:pPr>
      <w:r>
        <w:rPr>
          <w:rFonts w:hint="eastAsia" w:ascii="仿宋_GB2312" w:hAnsi="仿宋" w:eastAsia="仿宋_GB2312" w:cs="仿宋"/>
          <w:sz w:val="32"/>
          <w:szCs w:val="32"/>
        </w:rPr>
        <w:t>4.在服务期限内（含委托代管期间），如发生公司人员消极怠工、罢工、集体上访等群体性事件，或因工人工资发放问题、安全生产问题，导致作业包件未按合同履约的，一次扣除作业费用30000元；情节严重的，一次扣除作业费用50000元。</w:t>
      </w:r>
    </w:p>
    <w:p>
      <w:pPr>
        <w:shd w:val="clear" w:color="auto" w:fill="FFFFFF"/>
        <w:spacing w:line="520" w:lineRule="exact"/>
        <w:ind w:firstLine="640" w:firstLineChars="200"/>
        <w:rPr>
          <w:rFonts w:ascii="仿宋_GB2312" w:hAnsi="仿宋" w:eastAsia="仿宋_GB2312" w:cs="仿宋"/>
          <w:sz w:val="32"/>
          <w:szCs w:val="32"/>
        </w:rPr>
      </w:pPr>
      <w:r>
        <w:rPr>
          <w:rFonts w:hint="eastAsia" w:ascii="仿宋_GB2312" w:hAnsi="仿宋" w:eastAsia="仿宋_GB2312" w:cs="仿宋"/>
          <w:sz w:val="32"/>
          <w:szCs w:val="32"/>
        </w:rPr>
        <w:t>5.同一包件，因环卫作业公司原因导致成都市郫都区综合行政执法局被成都市郫都区区委、区政府和成都市城管委诫勉，一次扣除作业费用20000-40000元。两次（含）以上，成都市郫都区综合行政执法局有权与该公司解除合同，并不退还履约保证金，由此产生的经济损失，由作业公司自行承担。</w:t>
      </w:r>
    </w:p>
    <w:p>
      <w:pPr>
        <w:shd w:val="clear" w:color="auto" w:fill="FFFFFF"/>
        <w:spacing w:line="520" w:lineRule="exact"/>
        <w:ind w:firstLine="640" w:firstLineChars="200"/>
        <w:rPr>
          <w:rFonts w:ascii="仿宋_GB2312" w:hAnsi="仿宋" w:eastAsia="仿宋_GB2312" w:cs="仿宋"/>
          <w:sz w:val="32"/>
          <w:szCs w:val="32"/>
        </w:rPr>
      </w:pPr>
      <w:r>
        <w:rPr>
          <w:rFonts w:hint="eastAsia" w:ascii="仿宋_GB2312" w:hAnsi="仿宋" w:eastAsia="仿宋_GB2312" w:cs="仿宋"/>
          <w:sz w:val="32"/>
          <w:szCs w:val="32"/>
        </w:rPr>
        <w:t>6.被中央国家级、省级、市级、区级主流媒体及所对应的网络媒体曝光的，对问题涉及的作业公司按30000、20000、10000、5000元扣减其当月作业费用（实行一事一扣）。</w:t>
      </w:r>
    </w:p>
    <w:p>
      <w:pPr>
        <w:shd w:val="clear" w:color="auto" w:fill="FFFFFF"/>
        <w:spacing w:line="520" w:lineRule="exact"/>
        <w:ind w:firstLine="640" w:firstLineChars="200"/>
        <w:rPr>
          <w:rFonts w:ascii="仿宋_GB2312" w:hAnsi="仿宋" w:eastAsia="仿宋_GB2312" w:cs="仿宋"/>
          <w:sz w:val="32"/>
          <w:szCs w:val="32"/>
        </w:rPr>
      </w:pPr>
      <w:r>
        <w:rPr>
          <w:rFonts w:hint="eastAsia" w:ascii="仿宋_GB2312" w:hAnsi="仿宋" w:eastAsia="仿宋_GB2312" w:cs="仿宋"/>
          <w:sz w:val="32"/>
          <w:szCs w:val="32"/>
        </w:rPr>
        <w:t>7.对违反法律法规、行业管理条例的行为，严格按照《城市市容和环境卫生管理条例》（国务院101号令）、《四川省城乡环境综合治理条例》、《成都市生活垃圾管理条例》等相关法律法规依法处理。</w:t>
      </w:r>
    </w:p>
    <w:p>
      <w:pPr>
        <w:shd w:val="clear" w:color="auto" w:fill="FFFFFF"/>
        <w:spacing w:line="520" w:lineRule="exact"/>
        <w:ind w:firstLine="640" w:firstLineChars="200"/>
        <w:rPr>
          <w:rFonts w:ascii="楷体_GB2312" w:hAnsi="仿宋" w:eastAsia="楷体_GB2312" w:cs="仿宋"/>
          <w:sz w:val="32"/>
          <w:szCs w:val="32"/>
        </w:rPr>
      </w:pPr>
      <w:r>
        <w:rPr>
          <w:rFonts w:hint="eastAsia" w:ascii="楷体_GB2312" w:hAnsi="仿宋" w:eastAsia="楷体_GB2312" w:cs="仿宋"/>
          <w:sz w:val="32"/>
          <w:szCs w:val="32"/>
        </w:rPr>
        <w:t>（三）各街道（镇）对辖区内环卫作业公司的考核结果运用。</w:t>
      </w:r>
      <w:r>
        <w:rPr>
          <w:rFonts w:hint="eastAsia" w:ascii="仿宋_GB2312" w:hAnsi="仿宋" w:eastAsia="仿宋_GB2312" w:cs="仿宋"/>
          <w:sz w:val="32"/>
          <w:szCs w:val="32"/>
        </w:rPr>
        <w:t>结合属地实际情况，参照区城乡环境卫生管护中心对郫筒城区、犀浦片区直管区域环卫作业公司的考核结果运用方式制定本街道（镇）考核结果运用方案，方案经费扣减标准不得低于郫筒城区、犀浦片区直管区域标准。</w:t>
      </w:r>
    </w:p>
    <w:p>
      <w:pPr>
        <w:shd w:val="clear" w:color="auto" w:fill="FFFFFF"/>
        <w:spacing w:line="520" w:lineRule="exact"/>
        <w:ind w:firstLine="640" w:firstLineChars="200"/>
        <w:rPr>
          <w:rFonts w:ascii="黑体" w:hAnsi="黑体" w:eastAsia="黑体" w:cs="仿宋"/>
          <w:sz w:val="32"/>
          <w:szCs w:val="32"/>
        </w:rPr>
      </w:pPr>
      <w:r>
        <w:rPr>
          <w:rFonts w:hint="eastAsia" w:ascii="黑体" w:hAnsi="黑体" w:eastAsia="黑体" w:cs="仿宋"/>
          <w:sz w:val="32"/>
          <w:szCs w:val="32"/>
        </w:rPr>
        <w:t>九、各街道（镇）及被考核作业公司对考核结果有异议，可以向考核组织单位（成都市郫都区综合行政执法局或镇政府、街道办事处）提出书面复核认定申请，复核只进行一次。</w:t>
      </w:r>
    </w:p>
    <w:p>
      <w:pPr>
        <w:shd w:val="clear" w:color="auto" w:fill="FFFFFF"/>
        <w:spacing w:line="520" w:lineRule="exact"/>
        <w:ind w:firstLine="640" w:firstLineChars="200"/>
        <w:rPr>
          <w:rFonts w:ascii="黑体" w:hAnsi="黑体" w:eastAsia="黑体" w:cs="仿宋"/>
          <w:sz w:val="32"/>
          <w:szCs w:val="32"/>
        </w:rPr>
      </w:pPr>
      <w:r>
        <w:rPr>
          <w:rFonts w:hint="eastAsia" w:ascii="黑体" w:hAnsi="黑体" w:eastAsia="黑体" w:cs="仿宋"/>
          <w:sz w:val="32"/>
          <w:szCs w:val="32"/>
        </w:rPr>
        <w:t>十、本考核办法由成都市郫都区综合行政执法局负责解释，自印发之日起开始实施。</w:t>
      </w:r>
    </w:p>
    <w:p>
      <w:pPr>
        <w:shd w:val="clear" w:color="auto" w:fill="FFFFFF"/>
        <w:spacing w:line="520" w:lineRule="exact"/>
        <w:ind w:firstLine="640" w:firstLineChars="200"/>
        <w:rPr>
          <w:rFonts w:ascii="仿宋_GB2312" w:hAnsi="黑体" w:eastAsia="仿宋_GB2312" w:cs="仿宋"/>
          <w:sz w:val="32"/>
          <w:szCs w:val="32"/>
        </w:rPr>
      </w:pPr>
    </w:p>
    <w:p>
      <w:pPr>
        <w:shd w:val="clear" w:color="auto" w:fill="FFFFFF"/>
        <w:spacing w:line="520" w:lineRule="exact"/>
        <w:ind w:firstLine="640" w:firstLineChars="200"/>
        <w:rPr>
          <w:rFonts w:ascii="仿宋_GB2312" w:hAnsi="仿宋" w:eastAsia="仿宋_GB2312" w:cs="仿宋"/>
          <w:sz w:val="32"/>
          <w:szCs w:val="32"/>
        </w:rPr>
      </w:pPr>
      <w:r>
        <w:rPr>
          <w:rFonts w:hint="eastAsia" w:ascii="仿宋_GB2312" w:hAnsi="仿宋" w:eastAsia="仿宋_GB2312" w:cs="仿宋"/>
          <w:sz w:val="32"/>
          <w:szCs w:val="32"/>
        </w:rPr>
        <w:t>附件：1.成都市</w:t>
      </w:r>
      <w:r>
        <w:rPr>
          <w:rFonts w:hint="eastAsia" w:ascii="仿宋_GB2312" w:hAnsi="黑体" w:eastAsia="仿宋_GB2312"/>
          <w:sz w:val="32"/>
          <w:szCs w:val="32"/>
        </w:rPr>
        <w:t>郫都区城镇环卫作业及质量标准</w:t>
      </w:r>
    </w:p>
    <w:p>
      <w:pPr>
        <w:shd w:val="clear" w:color="auto" w:fill="FFFFFF"/>
        <w:spacing w:line="520" w:lineRule="exact"/>
        <w:ind w:left="2000" w:leftChars="800" w:hanging="320" w:hangingChars="100"/>
        <w:rPr>
          <w:rFonts w:ascii="仿宋_GB2312" w:hAnsi="黑体" w:eastAsia="仿宋_GB2312" w:cs="黑体"/>
          <w:sz w:val="32"/>
          <w:szCs w:val="32"/>
        </w:rPr>
      </w:pPr>
      <w:r>
        <w:rPr>
          <w:rFonts w:hint="eastAsia" w:ascii="仿宋_GB2312" w:hAnsi="黑体" w:eastAsia="仿宋_GB2312"/>
          <w:sz w:val="32"/>
          <w:szCs w:val="32"/>
        </w:rPr>
        <w:t>2.</w:t>
      </w:r>
      <w:r>
        <w:rPr>
          <w:rFonts w:hint="eastAsia" w:ascii="仿宋_GB2312" w:hAnsi="仿宋" w:eastAsia="仿宋_GB2312" w:cs="仿宋"/>
          <w:sz w:val="32"/>
          <w:szCs w:val="32"/>
        </w:rPr>
        <w:t>成都市</w:t>
      </w:r>
      <w:r>
        <w:rPr>
          <w:rFonts w:hint="eastAsia" w:ascii="仿宋_GB2312" w:hAnsi="黑体" w:eastAsia="仿宋_GB2312"/>
          <w:sz w:val="32"/>
          <w:szCs w:val="32"/>
        </w:rPr>
        <w:t>郫都区城镇环卫作业及质量检查评分标准</w:t>
      </w:r>
    </w:p>
    <w:p>
      <w:pPr>
        <w:shd w:val="clear" w:color="auto" w:fill="FFFFFF"/>
        <w:spacing w:line="520" w:lineRule="exact"/>
        <w:rPr>
          <w:rFonts w:ascii="仿宋_GB2312" w:hAnsi="黑体" w:eastAsia="仿宋_GB2312" w:cs="黑体"/>
          <w:sz w:val="32"/>
          <w:szCs w:val="32"/>
        </w:rPr>
      </w:pPr>
    </w:p>
    <w:p>
      <w:pPr>
        <w:shd w:val="clear" w:color="auto" w:fill="FFFFFF"/>
        <w:spacing w:line="520" w:lineRule="exact"/>
        <w:rPr>
          <w:rFonts w:ascii="仿宋_GB2312" w:hAnsi="黑体" w:eastAsia="仿宋_GB2312" w:cs="黑体"/>
          <w:sz w:val="32"/>
          <w:szCs w:val="32"/>
        </w:rPr>
      </w:pPr>
    </w:p>
    <w:p>
      <w:pPr>
        <w:shd w:val="clear" w:color="auto" w:fill="FFFFFF"/>
        <w:spacing w:line="520" w:lineRule="exact"/>
        <w:rPr>
          <w:rFonts w:ascii="仿宋_GB2312" w:hAnsi="黑体" w:eastAsia="仿宋_GB2312" w:cs="黑体"/>
          <w:sz w:val="32"/>
          <w:szCs w:val="32"/>
        </w:rPr>
      </w:pPr>
    </w:p>
    <w:p>
      <w:pPr>
        <w:shd w:val="clear" w:color="auto" w:fill="FFFFFF"/>
        <w:spacing w:line="520" w:lineRule="exact"/>
        <w:rPr>
          <w:rFonts w:ascii="仿宋_GB2312" w:hAnsi="黑体" w:eastAsia="仿宋_GB2312" w:cs="黑体"/>
          <w:sz w:val="32"/>
          <w:szCs w:val="32"/>
        </w:rPr>
      </w:pPr>
    </w:p>
    <w:p>
      <w:pPr>
        <w:shd w:val="clear" w:color="auto" w:fill="FFFFFF"/>
        <w:spacing w:line="520" w:lineRule="exact"/>
        <w:rPr>
          <w:rFonts w:ascii="仿宋_GB2312" w:hAnsi="黑体" w:eastAsia="仿宋_GB2312" w:cs="黑体"/>
          <w:sz w:val="32"/>
          <w:szCs w:val="32"/>
        </w:rPr>
      </w:pPr>
    </w:p>
    <w:p>
      <w:pPr>
        <w:shd w:val="clear" w:color="auto" w:fill="FFFFFF"/>
        <w:spacing w:line="520" w:lineRule="exact"/>
        <w:rPr>
          <w:rFonts w:ascii="仿宋_GB2312" w:hAnsi="黑体" w:eastAsia="仿宋_GB2312" w:cs="黑体"/>
          <w:sz w:val="32"/>
          <w:szCs w:val="32"/>
        </w:rPr>
      </w:pPr>
    </w:p>
    <w:p>
      <w:pPr>
        <w:shd w:val="clear" w:color="auto" w:fill="FFFFFF"/>
        <w:spacing w:line="520" w:lineRule="exact"/>
        <w:rPr>
          <w:rFonts w:ascii="仿宋_GB2312" w:hAnsi="黑体" w:eastAsia="仿宋_GB2312" w:cs="黑体"/>
          <w:sz w:val="32"/>
          <w:szCs w:val="32"/>
        </w:rPr>
      </w:pPr>
    </w:p>
    <w:p>
      <w:pPr>
        <w:shd w:val="clear" w:color="auto" w:fill="FFFFFF"/>
        <w:spacing w:line="520" w:lineRule="exact"/>
        <w:rPr>
          <w:rFonts w:ascii="仿宋_GB2312" w:hAnsi="黑体" w:eastAsia="仿宋_GB2312" w:cs="黑体"/>
          <w:sz w:val="32"/>
          <w:szCs w:val="32"/>
        </w:rPr>
      </w:pPr>
    </w:p>
    <w:p>
      <w:pPr>
        <w:shd w:val="clear" w:color="auto" w:fill="FFFFFF"/>
        <w:spacing w:line="520" w:lineRule="exact"/>
        <w:rPr>
          <w:rFonts w:ascii="仿宋_GB2312" w:hAnsi="黑体" w:eastAsia="仿宋_GB2312" w:cs="黑体"/>
          <w:sz w:val="32"/>
          <w:szCs w:val="32"/>
        </w:rPr>
      </w:pPr>
    </w:p>
    <w:p>
      <w:pPr>
        <w:shd w:val="clear" w:color="auto" w:fill="FFFFFF"/>
        <w:spacing w:line="520" w:lineRule="exact"/>
        <w:rPr>
          <w:rFonts w:ascii="仿宋_GB2312" w:hAnsi="黑体" w:eastAsia="仿宋_GB2312" w:cs="黑体"/>
          <w:sz w:val="32"/>
          <w:szCs w:val="32"/>
        </w:rPr>
      </w:pPr>
    </w:p>
    <w:p>
      <w:pPr>
        <w:shd w:val="clear" w:color="auto" w:fill="FFFFFF"/>
        <w:spacing w:line="520" w:lineRule="exact"/>
        <w:rPr>
          <w:rFonts w:ascii="仿宋_GB2312" w:hAnsi="黑体" w:eastAsia="仿宋_GB2312" w:cs="黑体"/>
          <w:sz w:val="32"/>
          <w:szCs w:val="32"/>
        </w:rPr>
      </w:pPr>
    </w:p>
    <w:p>
      <w:pPr>
        <w:shd w:val="clear" w:color="auto" w:fill="FFFFFF"/>
        <w:spacing w:line="520" w:lineRule="exact"/>
        <w:rPr>
          <w:rFonts w:ascii="仿宋_GB2312" w:hAnsi="黑体" w:eastAsia="仿宋_GB2312" w:cs="黑体"/>
          <w:sz w:val="32"/>
          <w:szCs w:val="32"/>
        </w:rPr>
      </w:pPr>
    </w:p>
    <w:p>
      <w:pPr>
        <w:shd w:val="clear" w:color="auto" w:fill="FFFFFF"/>
        <w:spacing w:line="520" w:lineRule="exact"/>
        <w:rPr>
          <w:rFonts w:ascii="仿宋_GB2312" w:hAnsi="黑体" w:eastAsia="仿宋_GB2312" w:cs="黑体"/>
          <w:sz w:val="32"/>
          <w:szCs w:val="32"/>
        </w:rPr>
      </w:pPr>
    </w:p>
    <w:p>
      <w:pPr>
        <w:shd w:val="clear" w:color="auto" w:fill="FFFFFF"/>
        <w:spacing w:line="520" w:lineRule="exact"/>
        <w:rPr>
          <w:rFonts w:ascii="仿宋_GB2312" w:hAnsi="黑体" w:eastAsia="仿宋_GB2312" w:cs="黑体"/>
          <w:sz w:val="32"/>
          <w:szCs w:val="32"/>
        </w:rPr>
      </w:pPr>
    </w:p>
    <w:p>
      <w:pPr>
        <w:shd w:val="clear" w:color="auto" w:fill="FFFFFF"/>
        <w:spacing w:line="520" w:lineRule="exact"/>
        <w:rPr>
          <w:rFonts w:ascii="仿宋_GB2312" w:hAnsi="黑体" w:eastAsia="仿宋_GB2312" w:cs="黑体"/>
          <w:sz w:val="32"/>
          <w:szCs w:val="32"/>
        </w:rPr>
      </w:pPr>
    </w:p>
    <w:p>
      <w:pPr>
        <w:shd w:val="clear" w:color="auto" w:fill="FFFFFF"/>
        <w:spacing w:line="520" w:lineRule="exact"/>
        <w:rPr>
          <w:rFonts w:ascii="仿宋_GB2312" w:hAnsi="黑体" w:eastAsia="仿宋_GB2312" w:cs="黑体"/>
          <w:sz w:val="32"/>
          <w:szCs w:val="32"/>
        </w:rPr>
      </w:pPr>
    </w:p>
    <w:p>
      <w:pPr>
        <w:shd w:val="clear" w:color="auto" w:fill="FFFFFF"/>
        <w:spacing w:line="520" w:lineRule="exact"/>
        <w:rPr>
          <w:rFonts w:ascii="仿宋_GB2312" w:hAnsi="黑体" w:eastAsia="仿宋_GB2312" w:cs="黑体"/>
          <w:sz w:val="32"/>
          <w:szCs w:val="32"/>
        </w:rPr>
      </w:pPr>
    </w:p>
    <w:p>
      <w:pPr>
        <w:shd w:val="clear" w:color="auto" w:fill="FFFFFF"/>
        <w:spacing w:line="520" w:lineRule="exact"/>
        <w:rPr>
          <w:rFonts w:ascii="仿宋_GB2312" w:hAnsi="黑体" w:eastAsia="仿宋_GB2312" w:cs="黑体"/>
          <w:sz w:val="32"/>
          <w:szCs w:val="32"/>
        </w:rPr>
      </w:pPr>
    </w:p>
    <w:p>
      <w:pPr>
        <w:shd w:val="clear" w:color="auto" w:fill="FFFFFF"/>
        <w:spacing w:line="520" w:lineRule="exact"/>
        <w:rPr>
          <w:rFonts w:ascii="仿宋_GB2312" w:hAnsi="黑体" w:eastAsia="仿宋_GB2312" w:cs="黑体"/>
          <w:sz w:val="32"/>
          <w:szCs w:val="32"/>
        </w:rPr>
      </w:pPr>
    </w:p>
    <w:p>
      <w:pPr>
        <w:shd w:val="clear" w:color="auto" w:fill="FFFFFF"/>
        <w:spacing w:line="520" w:lineRule="exact"/>
        <w:outlineLvl w:val="3"/>
        <w:rPr>
          <w:rFonts w:ascii="黑体" w:hAnsi="黑体" w:eastAsia="黑体" w:cs="黑体"/>
          <w:sz w:val="32"/>
          <w:szCs w:val="32"/>
        </w:rPr>
      </w:pPr>
      <w:r>
        <w:rPr>
          <w:rFonts w:hint="eastAsia" w:ascii="黑体" w:hAnsi="黑体" w:eastAsia="黑体" w:cs="黑体"/>
          <w:sz w:val="32"/>
          <w:szCs w:val="32"/>
        </w:rPr>
        <w:br w:type="page"/>
      </w:r>
    </w:p>
    <w:p>
      <w:pPr>
        <w:shd w:val="clear" w:color="auto" w:fill="FFFFFF"/>
        <w:spacing w:line="520" w:lineRule="exact"/>
        <w:jc w:val="left"/>
        <w:rPr>
          <w:rFonts w:ascii="黑体" w:hAnsi="黑体" w:eastAsia="黑体" w:cs="黑体"/>
          <w:sz w:val="32"/>
          <w:szCs w:val="32"/>
        </w:rPr>
      </w:pPr>
    </w:p>
    <w:p>
      <w:pPr>
        <w:shd w:val="clear" w:color="auto" w:fill="FFFFFF"/>
        <w:spacing w:line="520" w:lineRule="exact"/>
        <w:jc w:val="left"/>
        <w:rPr>
          <w:rFonts w:ascii="仿宋_GB2312" w:hAnsi="黑体" w:eastAsia="仿宋_GB2312" w:cs="黑体"/>
          <w:sz w:val="32"/>
          <w:szCs w:val="32"/>
        </w:rPr>
      </w:pPr>
    </w:p>
    <w:p>
      <w:pPr>
        <w:shd w:val="clear" w:color="auto" w:fill="FFFFFF"/>
        <w:spacing w:line="520" w:lineRule="exact"/>
        <w:jc w:val="center"/>
        <w:rPr>
          <w:rFonts w:ascii="方正小标宋简体" w:hAnsi="黑体" w:eastAsia="方正小标宋简体" w:cs="黑体"/>
          <w:sz w:val="44"/>
          <w:szCs w:val="44"/>
        </w:rPr>
      </w:pPr>
      <w:r>
        <w:rPr>
          <w:rFonts w:hint="eastAsia" w:ascii="方正小标宋简体" w:hAnsi="黑体" w:eastAsia="方正小标宋简体" w:cs="黑体"/>
          <w:sz w:val="44"/>
          <w:szCs w:val="44"/>
        </w:rPr>
        <w:t>成都市郫都区城镇环卫作业及质量标准</w:t>
      </w:r>
    </w:p>
    <w:p>
      <w:pPr>
        <w:shd w:val="clear" w:color="auto" w:fill="FFFFFF"/>
        <w:spacing w:line="520" w:lineRule="exact"/>
        <w:jc w:val="center"/>
        <w:rPr>
          <w:rFonts w:ascii="仿宋_GB2312" w:hAnsi="黑体" w:eastAsia="仿宋_GB2312" w:cs="黑体"/>
          <w:sz w:val="32"/>
          <w:szCs w:val="32"/>
        </w:rPr>
      </w:pPr>
    </w:p>
    <w:p>
      <w:pPr>
        <w:spacing w:line="520" w:lineRule="exact"/>
        <w:ind w:firstLine="640" w:firstLineChars="200"/>
        <w:jc w:val="left"/>
        <w:rPr>
          <w:rFonts w:ascii="黑体" w:hAnsi="黑体" w:eastAsia="黑体" w:cs="宋体"/>
          <w:sz w:val="32"/>
          <w:szCs w:val="32"/>
        </w:rPr>
      </w:pPr>
      <w:r>
        <w:rPr>
          <w:rFonts w:hint="eastAsia" w:ascii="黑体" w:hAnsi="黑体" w:eastAsia="黑体" w:cs="黑体"/>
          <w:sz w:val="32"/>
          <w:szCs w:val="32"/>
        </w:rPr>
        <w:t>一、</w:t>
      </w:r>
      <w:r>
        <w:rPr>
          <w:rFonts w:hint="eastAsia" w:ascii="黑体" w:hAnsi="黑体" w:eastAsia="黑体" w:cs="宋体"/>
          <w:sz w:val="32"/>
          <w:szCs w:val="32"/>
        </w:rPr>
        <w:t>环卫作业公司规范化管理</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1.设立分公司和项目部，并配备办公场地和停车场地管理人员。分公司办公场地面积不低于60平方米，集中管理，统一着装并佩戴工作牌上岗。</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2.严格按照招标文件要求和投标文件响应内容，配备项目管理人员、督查人员、环卫作业人员和作业机具。</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3.各项管理制度（包含但不限于项目部作业方案、安全文明作业制度、各工种岗位职责、垃圾分类收运方案）健全上墙，作业示意图上墙，作业示意图标明各包件管理人员及作业人员分布。</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4.建立健全应急保障机制，制定应急预案，采购应急物资，形成应急处置流程图健全上墙。</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5.管理人员现场检查到位，人员考勤、检查记录完整。</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6.按要求为从业人员购买社会保险、安全生产意外保险，严格执行《成都市人民政府关于印发成都市环卫工人健康安全关爱办法的通知》（成府发〔2019〕6号）文件精神核发环卫工人工资，按时核发工人工资及各类国家规定的补贴（如有新文件，按照合约期内最新印发的文件精神执行）。</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7.按规定及通知要求参加各类会议、培训、技能竞赛等。</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8.接受和服从工作指令和安排，项目经理原则上不得离开郫都区，项目经理离开城区半天，必须向环卫管护中心请假；请假一天及以上必须有公司（分公司）书面盖章及公司副总签字后交环卫管护中心备案，同时作业公司必须派相应管理人员到项目部履行职责。</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9.环卫作业公司不得擅自收取道路污染、冲洗、清扫保洁等费用。</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10.按规定上报各类图文资料、报表等；及时汇报各类突发事件。</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11.按要求及时处理数字化城管案件及网络理政案件，处理上级部门和领导指出的重大问题，群众举报、投诉和新闻曝光等反映的重大问题，突击活动或迎检过程中暴露的重大问题等问题的时效性。</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12.按要求圆满完成中央、省、市、区各级督查暗访、日常考核和专项检查的迎检工作。</w:t>
      </w:r>
    </w:p>
    <w:p>
      <w:pPr>
        <w:spacing w:line="520" w:lineRule="exact"/>
        <w:ind w:firstLine="640" w:firstLineChars="200"/>
        <w:jc w:val="left"/>
        <w:rPr>
          <w:rFonts w:ascii="黑体" w:hAnsi="黑体" w:eastAsia="黑体" w:cs="黑体"/>
          <w:sz w:val="32"/>
          <w:szCs w:val="32"/>
        </w:rPr>
      </w:pPr>
      <w:r>
        <w:rPr>
          <w:rFonts w:hint="eastAsia" w:ascii="黑体" w:hAnsi="黑体" w:eastAsia="黑体" w:cs="黑体"/>
          <w:sz w:val="32"/>
          <w:szCs w:val="32"/>
        </w:rPr>
        <w:t>二、清扫保洁</w:t>
      </w:r>
    </w:p>
    <w:p>
      <w:pPr>
        <w:shd w:val="clear" w:color="auto" w:fill="FFFFFF"/>
        <w:spacing w:line="520" w:lineRule="exact"/>
        <w:ind w:firstLine="465"/>
        <w:jc w:val="left"/>
        <w:rPr>
          <w:rFonts w:ascii="楷体_GB2312" w:hAnsi="黑体" w:eastAsia="楷体_GB2312" w:cs="黑体"/>
          <w:sz w:val="32"/>
          <w:szCs w:val="32"/>
        </w:rPr>
      </w:pPr>
      <w:r>
        <w:rPr>
          <w:rFonts w:hint="eastAsia" w:ascii="楷体_GB2312" w:hAnsi="黑体" w:eastAsia="楷体_GB2312" w:cs="黑体"/>
          <w:sz w:val="32"/>
          <w:szCs w:val="32"/>
        </w:rPr>
        <w:t>（一）作业时间</w:t>
      </w:r>
    </w:p>
    <w:p>
      <w:pPr>
        <w:numPr>
          <w:ilvl w:val="0"/>
          <w:numId w:val="9"/>
        </w:numPr>
        <w:shd w:val="clear" w:color="auto" w:fill="FFFFFF"/>
        <w:spacing w:line="520" w:lineRule="exact"/>
        <w:ind w:firstLine="640" w:firstLineChars="200"/>
        <w:jc w:val="left"/>
        <w:rPr>
          <w:rFonts w:ascii="仿宋_GB2312" w:hAnsi="黑体" w:eastAsia="仿宋_GB2312" w:cs="黑体"/>
          <w:sz w:val="32"/>
          <w:szCs w:val="32"/>
        </w:rPr>
      </w:pPr>
      <w:r>
        <w:rPr>
          <w:rFonts w:hint="eastAsia" w:ascii="仿宋_GB2312" w:hAnsi="黑体" w:eastAsia="仿宋_GB2312" w:cs="黑体"/>
          <w:sz w:val="32"/>
          <w:szCs w:val="32"/>
        </w:rPr>
        <w:t>普扫：一、二级道路应于每日7:00前完成普扫作业；三、四级道路应于每日7:30前完成普扫作业。其余时段实行不间断保洁。</w:t>
      </w:r>
    </w:p>
    <w:p>
      <w:pPr>
        <w:shd w:val="clear" w:color="auto" w:fill="FFFFFF"/>
        <w:spacing w:line="520" w:lineRule="exact"/>
        <w:jc w:val="left"/>
        <w:rPr>
          <w:rFonts w:ascii="仿宋_GB2312" w:hAnsi="Calibri" w:eastAsia="仿宋_GB2312"/>
          <w:sz w:val="32"/>
          <w:szCs w:val="32"/>
        </w:rPr>
      </w:pPr>
      <w:r>
        <w:rPr>
          <w:rFonts w:hint="eastAsia" w:ascii="仿宋_GB2312" w:hAnsi="Calibri" w:eastAsia="仿宋_GB2312"/>
          <w:sz w:val="32"/>
          <w:szCs w:val="32"/>
        </w:rPr>
        <w:t xml:space="preserve">    2.快速巡回保洁：</w:t>
      </w:r>
    </w:p>
    <w:p>
      <w:pPr>
        <w:spacing w:line="520" w:lineRule="exact"/>
        <w:ind w:firstLine="480"/>
        <w:rPr>
          <w:rFonts w:ascii="仿宋_GB2312" w:hAnsi="Calibri" w:eastAsia="仿宋_GB2312"/>
          <w:sz w:val="32"/>
          <w:szCs w:val="32"/>
        </w:rPr>
      </w:pPr>
      <w:r>
        <w:rPr>
          <w:rFonts w:hint="eastAsia" w:ascii="仿宋_GB2312" w:hAnsi="Calibri" w:eastAsia="仿宋_GB2312"/>
          <w:sz w:val="32"/>
          <w:szCs w:val="32"/>
        </w:rPr>
        <w:t>（1）每次巡回保洁时间为15分钟内。巡回保洁中发现的污渍污迹，必须在20分钟内实施处置。</w:t>
      </w:r>
    </w:p>
    <w:p>
      <w:pPr>
        <w:spacing w:line="520" w:lineRule="exact"/>
        <w:ind w:firstLine="480"/>
        <w:rPr>
          <w:rFonts w:ascii="仿宋_GB2312" w:hAnsi="Calibri" w:eastAsia="仿宋_GB2312"/>
          <w:sz w:val="32"/>
          <w:szCs w:val="32"/>
        </w:rPr>
      </w:pPr>
      <w:r>
        <w:rPr>
          <w:rFonts w:hint="eastAsia" w:ascii="仿宋_GB2312" w:hAnsi="Calibri" w:eastAsia="仿宋_GB2312"/>
          <w:sz w:val="32"/>
          <w:szCs w:val="32"/>
        </w:rPr>
        <w:t>（2）夏季（4月1日至10月31日）保洁时间为7:00至22：00，夜保路段至24:00。</w:t>
      </w:r>
    </w:p>
    <w:p>
      <w:pPr>
        <w:spacing w:line="520" w:lineRule="exact"/>
        <w:ind w:firstLine="480"/>
        <w:rPr>
          <w:rFonts w:ascii="仿宋_GB2312" w:hAnsi="Calibri" w:eastAsia="仿宋_GB2312"/>
          <w:sz w:val="32"/>
          <w:szCs w:val="32"/>
        </w:rPr>
      </w:pPr>
      <w:r>
        <w:rPr>
          <w:rFonts w:hint="eastAsia" w:ascii="仿宋_GB2312" w:hAnsi="Calibri" w:eastAsia="仿宋_GB2312"/>
          <w:sz w:val="32"/>
          <w:szCs w:val="32"/>
        </w:rPr>
        <w:t>（3）冬季（11月1日至次年3月31日）保洁时间为7:30至21：30，夜保路段至23:00。</w:t>
      </w:r>
    </w:p>
    <w:p>
      <w:pPr>
        <w:spacing w:line="520" w:lineRule="exact"/>
        <w:ind w:firstLine="480"/>
        <w:rPr>
          <w:rFonts w:ascii="仿宋_GB2312" w:hAnsi="Calibri" w:eastAsia="仿宋_GB2312"/>
          <w:sz w:val="32"/>
          <w:szCs w:val="32"/>
        </w:rPr>
      </w:pPr>
      <w:r>
        <w:rPr>
          <w:rFonts w:hint="eastAsia" w:ascii="仿宋_GB2312" w:hAnsi="Calibri" w:eastAsia="仿宋_GB2312"/>
          <w:sz w:val="32"/>
          <w:szCs w:val="32"/>
        </w:rPr>
        <w:t>3.水体保洁：</w:t>
      </w:r>
    </w:p>
    <w:p>
      <w:pPr>
        <w:spacing w:line="520" w:lineRule="exact"/>
        <w:ind w:firstLine="480"/>
        <w:rPr>
          <w:rFonts w:ascii="仿宋_GB2312" w:hAnsi="Calibri" w:eastAsia="仿宋_GB2312"/>
          <w:sz w:val="32"/>
          <w:szCs w:val="32"/>
        </w:rPr>
      </w:pPr>
      <w:r>
        <w:rPr>
          <w:rFonts w:hint="eastAsia" w:ascii="仿宋_GB2312" w:hAnsi="Calibri" w:eastAsia="仿宋_GB2312"/>
          <w:sz w:val="32"/>
          <w:szCs w:val="32"/>
        </w:rPr>
        <w:t>（1）夏季（4月1日至10月31日）保洁时间为8:00至20：00。</w:t>
      </w:r>
    </w:p>
    <w:p>
      <w:pPr>
        <w:spacing w:line="520" w:lineRule="exact"/>
        <w:ind w:firstLine="480"/>
        <w:rPr>
          <w:rFonts w:ascii="仿宋_GB2312" w:hAnsi="Calibri" w:eastAsia="仿宋_GB2312"/>
          <w:sz w:val="32"/>
          <w:szCs w:val="32"/>
        </w:rPr>
      </w:pPr>
      <w:r>
        <w:rPr>
          <w:rFonts w:hint="eastAsia" w:ascii="仿宋_GB2312" w:hAnsi="Calibri" w:eastAsia="仿宋_GB2312"/>
          <w:sz w:val="32"/>
          <w:szCs w:val="32"/>
        </w:rPr>
        <w:t>（2）冬季（11月1日至次年3月31日）保洁时间为8:30至19：30。</w:t>
      </w:r>
    </w:p>
    <w:p>
      <w:pPr>
        <w:spacing w:line="520" w:lineRule="exact"/>
        <w:ind w:firstLine="480"/>
        <w:rPr>
          <w:rFonts w:ascii="楷体_GB2312" w:hAnsi="黑体" w:eastAsia="楷体_GB2312" w:cs="黑体"/>
          <w:sz w:val="32"/>
          <w:szCs w:val="32"/>
        </w:rPr>
      </w:pPr>
      <w:r>
        <w:rPr>
          <w:rFonts w:hint="eastAsia" w:ascii="楷体_GB2312" w:hAnsi="黑体" w:eastAsia="楷体_GB2312" w:cs="黑体"/>
          <w:sz w:val="32"/>
          <w:szCs w:val="32"/>
        </w:rPr>
        <w:t>（二）作业方式及要求</w:t>
      </w:r>
    </w:p>
    <w:p>
      <w:pPr>
        <w:shd w:val="clear" w:color="auto" w:fill="FFFFFF"/>
        <w:spacing w:line="520" w:lineRule="exact"/>
        <w:ind w:firstLine="640" w:firstLineChars="200"/>
        <w:jc w:val="left"/>
        <w:rPr>
          <w:rFonts w:ascii="仿宋_GB2312" w:hAnsi="黑体" w:eastAsia="仿宋_GB2312" w:cs="黑体"/>
          <w:sz w:val="32"/>
          <w:szCs w:val="32"/>
        </w:rPr>
      </w:pPr>
      <w:r>
        <w:rPr>
          <w:rFonts w:hint="eastAsia" w:ascii="仿宋_GB2312" w:hAnsi="黑体" w:eastAsia="仿宋_GB2312" w:cs="黑体"/>
          <w:sz w:val="32"/>
          <w:szCs w:val="32"/>
        </w:rPr>
        <w:t>1.大力推行环卫作业机械化，一、二级道路（区域）主、辅道机械化作业率应达到100%，非机动车道机械化作业率应达到90%，人行道机械化作业率应达到60%。机械化作业率平均达到75%。三、四级道路按不低于一、二级道路标准执行。</w:t>
      </w:r>
    </w:p>
    <w:p>
      <w:pPr>
        <w:shd w:val="clear" w:color="auto" w:fill="FFFFFF"/>
        <w:spacing w:line="520" w:lineRule="exact"/>
        <w:ind w:firstLine="640" w:firstLineChars="200"/>
        <w:jc w:val="left"/>
        <w:rPr>
          <w:rFonts w:ascii="仿宋_GB2312" w:hAnsi="黑体" w:eastAsia="仿宋_GB2312" w:cs="黑体"/>
          <w:sz w:val="32"/>
          <w:szCs w:val="32"/>
        </w:rPr>
      </w:pPr>
      <w:r>
        <w:rPr>
          <w:rFonts w:hint="eastAsia" w:ascii="仿宋_GB2312" w:hAnsi="黑体" w:eastAsia="仿宋_GB2312" w:cs="黑体"/>
          <w:sz w:val="32"/>
          <w:szCs w:val="32"/>
        </w:rPr>
        <w:t>2.机动车道、立交桥、高架桥、跨线桥、非机动车道、人行道、绿道、人行天桥、广场及城市家具、栏杆、隔离墩（桩、墙）等环卫保洁，适合机械清扫的，应当以大、中、小型吸尘车、扫地车或洗扫一体车作业为主，机械清扫作业时速不超过5公里；不适合机械清扫作业的，应匹配相应作业人员，实行人工清扫作业。人工清扫作业主要采用防尘软扫帚，避免产生扬尘。</w:t>
      </w:r>
    </w:p>
    <w:p>
      <w:pPr>
        <w:shd w:val="clear" w:color="auto" w:fill="FFFFFF"/>
        <w:spacing w:line="520" w:lineRule="exact"/>
        <w:ind w:firstLine="640" w:firstLineChars="200"/>
        <w:jc w:val="left"/>
        <w:rPr>
          <w:rFonts w:ascii="仿宋_GB2312" w:hAnsi="黑体" w:eastAsia="仿宋_GB2312" w:cs="黑体"/>
          <w:sz w:val="32"/>
          <w:szCs w:val="32"/>
        </w:rPr>
      </w:pPr>
      <w:r>
        <w:rPr>
          <w:rFonts w:hint="eastAsia" w:ascii="仿宋_GB2312" w:hAnsi="黑体" w:eastAsia="仿宋_GB2312" w:cs="黑体"/>
          <w:sz w:val="32"/>
          <w:szCs w:val="32"/>
        </w:rPr>
        <w:t>3.绿化带、花台、树池杂物清理，果屑箱清掏、外部保洁实行人工与机械相结合方式作业。</w:t>
      </w:r>
    </w:p>
    <w:p>
      <w:pPr>
        <w:shd w:val="clear" w:color="auto" w:fill="FFFFFF"/>
        <w:spacing w:line="520" w:lineRule="exact"/>
        <w:ind w:firstLine="640" w:firstLineChars="200"/>
        <w:jc w:val="left"/>
        <w:rPr>
          <w:rFonts w:ascii="仿宋_GB2312" w:hAnsi="黑体" w:eastAsia="仿宋_GB2312" w:cs="黑体"/>
          <w:sz w:val="32"/>
          <w:szCs w:val="32"/>
        </w:rPr>
      </w:pPr>
      <w:r>
        <w:rPr>
          <w:rFonts w:hint="eastAsia" w:ascii="仿宋_GB2312" w:hAnsi="黑体" w:eastAsia="仿宋_GB2312" w:cs="黑体"/>
          <w:sz w:val="32"/>
          <w:szCs w:val="32"/>
        </w:rPr>
        <w:t>4.快速巡回保洁实行定人、定时、定段、定责的“四定”作业模式。</w:t>
      </w:r>
    </w:p>
    <w:p>
      <w:pPr>
        <w:shd w:val="clear" w:color="auto" w:fill="FFFFFF"/>
        <w:spacing w:line="520" w:lineRule="exact"/>
        <w:ind w:firstLine="640" w:firstLineChars="200"/>
        <w:jc w:val="left"/>
        <w:rPr>
          <w:rFonts w:ascii="仿宋_GB2312" w:hAnsi="黑体" w:eastAsia="仿宋_GB2312" w:cs="黑体"/>
          <w:sz w:val="32"/>
          <w:szCs w:val="32"/>
        </w:rPr>
      </w:pPr>
      <w:r>
        <w:rPr>
          <w:rFonts w:hint="eastAsia" w:ascii="仿宋_GB2312" w:hAnsi="黑体" w:eastAsia="仿宋_GB2312" w:cs="黑体"/>
          <w:sz w:val="32"/>
          <w:szCs w:val="32"/>
        </w:rPr>
        <w:t>5.水体保洁：</w:t>
      </w:r>
    </w:p>
    <w:p>
      <w:pPr>
        <w:shd w:val="clear" w:color="auto" w:fill="FFFFFF"/>
        <w:spacing w:line="520" w:lineRule="exact"/>
        <w:ind w:firstLine="640" w:firstLineChars="200"/>
        <w:jc w:val="left"/>
        <w:rPr>
          <w:rFonts w:ascii="仿宋_GB2312" w:hAnsi="黑体" w:eastAsia="仿宋_GB2312" w:cs="黑体"/>
          <w:sz w:val="32"/>
          <w:szCs w:val="32"/>
        </w:rPr>
      </w:pPr>
      <w:r>
        <w:rPr>
          <w:rFonts w:hint="eastAsia" w:ascii="仿宋_GB2312" w:hAnsi="黑体" w:eastAsia="仿宋_GB2312" w:cs="黑体"/>
          <w:sz w:val="32"/>
          <w:szCs w:val="32"/>
        </w:rPr>
        <w:t>主要采用岸边打捞方式进行，具备条件的配备小型橡皮舟，进行水面打捞。水体保洁人员作业时必须身着救生衣。</w:t>
      </w:r>
    </w:p>
    <w:p>
      <w:pPr>
        <w:shd w:val="clear" w:color="auto" w:fill="FFFFFF"/>
        <w:spacing w:line="520" w:lineRule="exact"/>
        <w:ind w:firstLine="640" w:firstLineChars="200"/>
        <w:rPr>
          <w:rFonts w:ascii="楷体_GB2312" w:hAnsi="Calibri" w:eastAsia="楷体_GB2312"/>
          <w:sz w:val="32"/>
          <w:szCs w:val="32"/>
        </w:rPr>
      </w:pPr>
      <w:r>
        <w:rPr>
          <w:rFonts w:hint="eastAsia" w:ascii="楷体_GB2312" w:hAnsi="Calibri" w:eastAsia="楷体_GB2312"/>
          <w:sz w:val="32"/>
          <w:szCs w:val="32"/>
        </w:rPr>
        <w:t>（三）作业频次</w:t>
      </w:r>
    </w:p>
    <w:p>
      <w:pPr>
        <w:shd w:val="clear" w:color="auto" w:fill="FFFFFF"/>
        <w:spacing w:line="520" w:lineRule="exact"/>
        <w:jc w:val="left"/>
        <w:rPr>
          <w:rFonts w:ascii="仿宋_GB2312" w:hAnsi="黑体" w:eastAsia="仿宋_GB2312" w:cs="黑体"/>
          <w:sz w:val="32"/>
          <w:szCs w:val="32"/>
        </w:rPr>
      </w:pPr>
      <w:r>
        <w:rPr>
          <w:rFonts w:hint="eastAsia" w:ascii="仿宋_GB2312" w:hAnsi="黑体" w:eastAsia="仿宋_GB2312" w:cs="黑体"/>
          <w:sz w:val="32"/>
          <w:szCs w:val="32"/>
        </w:rPr>
        <w:t xml:space="preserve">    1.一、二级道路（区域）机械吸（洗）扫作业每日不少于3次。每日05:00-07:00、12:30-15:30、18:30-21:30各作业一次；1月-3月，10月-12月适时增加作业次数，清理落叶和灰带。</w:t>
      </w:r>
    </w:p>
    <w:p>
      <w:pPr>
        <w:shd w:val="clear" w:color="auto" w:fill="FFFFFF"/>
        <w:spacing w:line="520" w:lineRule="exact"/>
        <w:ind w:firstLine="640" w:firstLineChars="200"/>
        <w:jc w:val="left"/>
        <w:rPr>
          <w:rFonts w:ascii="仿宋_GB2312" w:hAnsi="黑体" w:eastAsia="仿宋_GB2312" w:cs="黑体"/>
          <w:sz w:val="32"/>
          <w:szCs w:val="32"/>
        </w:rPr>
      </w:pPr>
      <w:r>
        <w:rPr>
          <w:rFonts w:hint="eastAsia" w:ascii="仿宋_GB2312" w:hAnsi="黑体" w:eastAsia="仿宋_GB2312" w:cs="黑体"/>
          <w:sz w:val="32"/>
          <w:szCs w:val="32"/>
        </w:rPr>
        <w:t>2.三、四级道路（区域）机械吸（洗）扫作业每日不少于2次。每日05:00-07:00、19:00-21:00各作业1次；1月-3月，10月-12月适时增加作业次数，清理落叶和灰带。</w:t>
      </w:r>
    </w:p>
    <w:p>
      <w:pPr>
        <w:shd w:val="clear" w:color="auto" w:fill="FFFFFF"/>
        <w:spacing w:line="520" w:lineRule="exact"/>
        <w:ind w:firstLine="640" w:firstLineChars="200"/>
        <w:rPr>
          <w:rFonts w:ascii="仿宋_GB2312" w:hAnsi="黑体" w:eastAsia="仿宋_GB2312" w:cs="黑体"/>
          <w:sz w:val="32"/>
          <w:szCs w:val="32"/>
        </w:rPr>
      </w:pPr>
      <w:r>
        <w:rPr>
          <w:rFonts w:hint="eastAsia" w:ascii="仿宋_GB2312" w:hAnsi="黑体" w:eastAsia="仿宋_GB2312" w:cs="黑体"/>
          <w:sz w:val="32"/>
          <w:szCs w:val="32"/>
        </w:rPr>
        <w:t>3.一、二、三、四级道路（区域）非机动车道、人行道、绿道、十字路口、绿化带、花台、树池、城市家具、果屑箱（垃圾桶）、井盖表面等局部污渍清洗，餐饮饭店、集贸市场、车站、公交站台、医院等人流密集场所和建设工地周边，其巡回保洁和快速巡捡保洁每15分钟不少于1次。</w:t>
      </w:r>
    </w:p>
    <w:p>
      <w:pPr>
        <w:shd w:val="clear" w:color="auto" w:fill="FFFFFF"/>
        <w:spacing w:line="520" w:lineRule="exact"/>
        <w:ind w:firstLine="640" w:firstLineChars="200"/>
        <w:rPr>
          <w:rFonts w:ascii="仿宋_GB2312" w:hAnsi="黑体" w:eastAsia="仿宋_GB2312" w:cs="黑体"/>
          <w:sz w:val="32"/>
          <w:szCs w:val="32"/>
        </w:rPr>
      </w:pPr>
      <w:r>
        <w:rPr>
          <w:rFonts w:hint="eastAsia" w:ascii="仿宋_GB2312" w:hAnsi="黑体" w:eastAsia="仿宋_GB2312" w:cs="黑体"/>
          <w:sz w:val="32"/>
          <w:szCs w:val="32"/>
        </w:rPr>
        <w:t>4.立交桥、人行天桥栏杆，隔离栏、隔离墩（桩）清洁除尘，每日不少于1次。</w:t>
      </w:r>
    </w:p>
    <w:p>
      <w:pPr>
        <w:shd w:val="clear" w:color="auto" w:fill="FFFFFF"/>
        <w:spacing w:line="520" w:lineRule="exact"/>
        <w:ind w:firstLine="640" w:firstLineChars="200"/>
        <w:rPr>
          <w:rFonts w:ascii="仿宋_GB2312" w:hAnsi="黑体" w:eastAsia="仿宋_GB2312" w:cs="黑体"/>
          <w:sz w:val="32"/>
          <w:szCs w:val="32"/>
        </w:rPr>
      </w:pPr>
      <w:r>
        <w:rPr>
          <w:rFonts w:hint="eastAsia" w:ascii="仿宋_GB2312" w:hAnsi="黑体" w:eastAsia="仿宋_GB2312" w:cs="黑体"/>
          <w:sz w:val="32"/>
          <w:szCs w:val="32"/>
        </w:rPr>
        <w:t>5.水体保洁:</w:t>
      </w:r>
    </w:p>
    <w:p>
      <w:pPr>
        <w:shd w:val="clear" w:color="auto" w:fill="FFFFFF"/>
        <w:spacing w:line="520" w:lineRule="exact"/>
        <w:ind w:firstLine="640" w:firstLineChars="200"/>
        <w:rPr>
          <w:rFonts w:ascii="仿宋_GB2312" w:hAnsi="黑体" w:eastAsia="仿宋_GB2312" w:cs="黑体"/>
          <w:sz w:val="32"/>
          <w:szCs w:val="32"/>
        </w:rPr>
      </w:pPr>
      <w:r>
        <w:rPr>
          <w:rFonts w:hint="eastAsia" w:ascii="仿宋_GB2312" w:hAnsi="黑体" w:eastAsia="仿宋_GB2312" w:cs="黑体"/>
          <w:sz w:val="32"/>
          <w:szCs w:val="32"/>
        </w:rPr>
        <w:t>每日巡查不低于两次，适时打捞各类漂浮物、污染物。</w:t>
      </w:r>
    </w:p>
    <w:p>
      <w:pPr>
        <w:shd w:val="clear" w:color="auto" w:fill="FFFFFF"/>
        <w:spacing w:line="520" w:lineRule="exact"/>
        <w:ind w:firstLine="640" w:firstLineChars="200"/>
        <w:rPr>
          <w:rFonts w:ascii="楷体_GB2312" w:hAnsi="黑体" w:eastAsia="楷体_GB2312" w:cs="黑体"/>
          <w:sz w:val="32"/>
          <w:szCs w:val="32"/>
        </w:rPr>
      </w:pPr>
      <w:r>
        <w:rPr>
          <w:rFonts w:hint="eastAsia" w:ascii="楷体_GB2312" w:hAnsi="Calibri" w:eastAsia="楷体_GB2312"/>
          <w:sz w:val="32"/>
          <w:szCs w:val="32"/>
        </w:rPr>
        <w:t>（四）作业质量标准</w:t>
      </w:r>
    </w:p>
    <w:p>
      <w:pPr>
        <w:spacing w:line="520" w:lineRule="exact"/>
        <w:ind w:firstLine="630"/>
        <w:rPr>
          <w:rFonts w:ascii="仿宋_GB2312" w:hAnsi="Calibri" w:eastAsia="仿宋_GB2312"/>
          <w:sz w:val="32"/>
          <w:szCs w:val="32"/>
        </w:rPr>
      </w:pPr>
      <w:r>
        <w:rPr>
          <w:rFonts w:hint="eastAsia" w:ascii="仿宋_GB2312" w:hAnsi="Calibri" w:eastAsia="仿宋_GB2312"/>
          <w:sz w:val="32"/>
          <w:szCs w:val="32"/>
        </w:rPr>
        <w:t>1.作业标准:</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1）清扫保洁作业区域，质量达到“九无”，即:①无积尘、积泥、灰带，②无白色垃圾（果皮、纸屑、塑膜、烟头、口香糖等），③无积水，④无碎砖瓦砾，⑤无牛皮癣，⑥无痰迹、污迹，⑦无堆积物、杂物，⑧无卫生死角，⑨无杂草和人畜粪便；“七净”，即：①车行道净，②人行道净，③河堤坡面净、边沟净、水面净，④绿化带及周边净，⑤路沿石净，⑥树池净，⑦水篦子净。</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（2）实行快速巡回保洁的路段，各类点状及小件垃圾不得停留超过15分钟。</w:t>
      </w:r>
    </w:p>
    <w:p>
      <w:pPr>
        <w:spacing w:line="520" w:lineRule="exact"/>
        <w:ind w:firstLine="630"/>
        <w:rPr>
          <w:rFonts w:ascii="仿宋_GB2312" w:hAnsi="Calibri" w:eastAsia="仿宋_GB2312"/>
          <w:sz w:val="32"/>
          <w:szCs w:val="32"/>
        </w:rPr>
      </w:pPr>
      <w:r>
        <w:rPr>
          <w:rFonts w:hint="eastAsia" w:ascii="仿宋_GB2312" w:hAnsi="Calibri" w:eastAsia="仿宋_GB2312"/>
          <w:sz w:val="32"/>
          <w:szCs w:val="32"/>
        </w:rPr>
        <w:t>2.质量要求:</w:t>
      </w:r>
    </w:p>
    <w:p>
      <w:pPr>
        <w:spacing w:line="520" w:lineRule="exact"/>
        <w:ind w:firstLine="630"/>
        <w:rPr>
          <w:rFonts w:ascii="仿宋_GB2312" w:hAnsi="Calibri" w:eastAsia="仿宋_GB2312"/>
          <w:sz w:val="32"/>
          <w:szCs w:val="32"/>
        </w:rPr>
      </w:pPr>
      <w:r>
        <w:rPr>
          <w:rFonts w:hint="eastAsia" w:ascii="仿宋_GB2312" w:hAnsi="Calibri" w:eastAsia="仿宋_GB2312"/>
          <w:sz w:val="32"/>
          <w:szCs w:val="32"/>
        </w:rPr>
        <w:t>果皮（片/1000</w:t>
      </w:r>
      <w:r>
        <w:rPr>
          <w:rFonts w:hint="eastAsia" w:ascii="仿宋_GB2312" w:hAnsi="宋体" w:cs="宋体"/>
          <w:sz w:val="32"/>
          <w:szCs w:val="32"/>
        </w:rPr>
        <w:t>㎡</w:t>
      </w:r>
      <w:r>
        <w:rPr>
          <w:rFonts w:hint="eastAsia" w:ascii="仿宋_GB2312" w:hAnsi="仿宋_GB2312" w:eastAsia="仿宋_GB2312" w:cs="仿宋_GB2312"/>
          <w:sz w:val="32"/>
          <w:szCs w:val="32"/>
        </w:rPr>
        <w:t>）≤</w:t>
      </w:r>
      <w:r>
        <w:rPr>
          <w:rFonts w:hint="eastAsia" w:ascii="仿宋_GB2312" w:hAnsi="Calibri" w:eastAsia="仿宋_GB2312"/>
          <w:sz w:val="32"/>
          <w:szCs w:val="32"/>
        </w:rPr>
        <w:t>4，纸屑、塑膜（片/1000</w:t>
      </w:r>
      <w:r>
        <w:rPr>
          <w:rFonts w:hint="eastAsia" w:ascii="仿宋_GB2312" w:hAnsi="宋体" w:cs="宋体"/>
          <w:sz w:val="32"/>
          <w:szCs w:val="32"/>
        </w:rPr>
        <w:t>㎡</w:t>
      </w:r>
      <w:r>
        <w:rPr>
          <w:rFonts w:hint="eastAsia" w:ascii="仿宋_GB2312" w:hAnsi="仿宋_GB2312" w:eastAsia="仿宋_GB2312" w:cs="仿宋_GB2312"/>
          <w:sz w:val="32"/>
          <w:szCs w:val="32"/>
        </w:rPr>
        <w:t>）≤</w:t>
      </w:r>
      <w:r>
        <w:rPr>
          <w:rFonts w:hint="eastAsia" w:ascii="仿宋_GB2312" w:hAnsi="Calibri" w:eastAsia="仿宋_GB2312"/>
          <w:sz w:val="32"/>
          <w:szCs w:val="32"/>
        </w:rPr>
        <w:t>4，烟蒂、口香糖（个/1000</w:t>
      </w:r>
      <w:r>
        <w:rPr>
          <w:rFonts w:hint="eastAsia" w:ascii="仿宋_GB2312" w:hAnsi="宋体" w:cs="宋体"/>
          <w:sz w:val="32"/>
          <w:szCs w:val="32"/>
        </w:rPr>
        <w:t>㎡</w:t>
      </w:r>
      <w:r>
        <w:rPr>
          <w:rFonts w:hint="eastAsia" w:ascii="仿宋_GB2312" w:hAnsi="仿宋_GB2312" w:eastAsia="仿宋_GB2312" w:cs="仿宋_GB2312"/>
          <w:sz w:val="32"/>
          <w:szCs w:val="32"/>
        </w:rPr>
        <w:t>）≤</w:t>
      </w:r>
      <w:r>
        <w:rPr>
          <w:rFonts w:hint="eastAsia" w:ascii="仿宋_GB2312" w:hAnsi="Calibri" w:eastAsia="仿宋_GB2312"/>
          <w:sz w:val="32"/>
          <w:szCs w:val="32"/>
        </w:rPr>
        <w:t>4，痰迹（处/1000</w:t>
      </w:r>
      <w:r>
        <w:rPr>
          <w:rFonts w:hint="eastAsia" w:ascii="仿宋_GB2312" w:hAnsi="宋体" w:cs="宋体"/>
          <w:sz w:val="32"/>
          <w:szCs w:val="32"/>
        </w:rPr>
        <w:t>㎡</w:t>
      </w:r>
      <w:r>
        <w:rPr>
          <w:rFonts w:hint="eastAsia" w:ascii="仿宋_GB2312" w:hAnsi="仿宋_GB2312" w:eastAsia="仿宋_GB2312" w:cs="仿宋_GB2312"/>
          <w:sz w:val="32"/>
          <w:szCs w:val="32"/>
        </w:rPr>
        <w:t>）≤</w:t>
      </w:r>
      <w:r>
        <w:rPr>
          <w:rFonts w:hint="eastAsia" w:ascii="仿宋_GB2312" w:hAnsi="Calibri" w:eastAsia="仿宋_GB2312"/>
          <w:sz w:val="32"/>
          <w:szCs w:val="32"/>
        </w:rPr>
        <w:t>4，牛皮癣无，污水无，其他无。路面见本色。</w:t>
      </w:r>
    </w:p>
    <w:p>
      <w:pPr>
        <w:spacing w:line="520" w:lineRule="exact"/>
        <w:ind w:firstLine="640" w:firstLineChars="200"/>
        <w:jc w:val="left"/>
        <w:rPr>
          <w:rFonts w:ascii="黑体" w:hAnsi="黑体" w:eastAsia="黑体" w:cs="黑体"/>
          <w:sz w:val="32"/>
          <w:szCs w:val="32"/>
        </w:rPr>
      </w:pPr>
      <w:r>
        <w:rPr>
          <w:rFonts w:hint="eastAsia" w:ascii="黑体" w:hAnsi="黑体" w:eastAsia="黑体" w:cs="黑体"/>
          <w:sz w:val="32"/>
          <w:szCs w:val="32"/>
        </w:rPr>
        <w:t>三、冲洗除尘</w:t>
      </w:r>
    </w:p>
    <w:p>
      <w:pPr>
        <w:shd w:val="clear" w:color="auto" w:fill="FFFFFF"/>
        <w:spacing w:line="520" w:lineRule="exact"/>
        <w:rPr>
          <w:rFonts w:ascii="楷体_GB2312" w:hAnsi="楷体_GB2312" w:eastAsia="楷体_GB2312" w:cs="楷体_GB2312"/>
          <w:sz w:val="32"/>
          <w:szCs w:val="32"/>
        </w:rPr>
      </w:pPr>
      <w:r>
        <w:rPr>
          <w:rFonts w:hint="eastAsia" w:ascii="仿宋_GB2312" w:hAnsi="楷体_GB2312" w:eastAsia="仿宋_GB2312" w:cs="楷体_GB2312"/>
          <w:sz w:val="32"/>
          <w:szCs w:val="32"/>
        </w:rPr>
        <w:t xml:space="preserve">   </w:t>
      </w:r>
      <w:r>
        <w:rPr>
          <w:rFonts w:hint="eastAsia" w:ascii="楷体_GB2312" w:hAnsi="楷体_GB2312" w:eastAsia="楷体_GB2312" w:cs="楷体_GB2312"/>
          <w:sz w:val="32"/>
          <w:szCs w:val="32"/>
        </w:rPr>
        <w:t xml:space="preserve"> （一）作业时间及频次</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1.道路冲洗除尘作业应在每日22:00－次日06:00进行，除应急处置外，白天时段一律不许冲洗作业。</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2.一、二、三、四级道路（区域）机动车道每日冲洗除尘2次（重污染天气原则不少于4次，并结合重污染天气启动预案等级按要求增加作业次数），人行道和护栏基座地面每周洗刷不低于2次，并适时清除锈迹、污垢、污渍。</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3.道路隔离栏、斑马线、果屑箱、人行道冲洗应错峰作业，除处置突发污染外，一律不得在早晚交通高峰时段作业，不得影响车辆和行人通行。</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4.气温降至零度或零度以下，暂停作业。未暂停而造成后果的，由作业公司自行承担。</w:t>
      </w:r>
    </w:p>
    <w:p>
      <w:pPr>
        <w:spacing w:line="520" w:lineRule="exact"/>
        <w:rPr>
          <w:rFonts w:ascii="楷体_GB2312" w:hAnsi="Calibri" w:eastAsia="楷体_GB2312"/>
          <w:sz w:val="32"/>
          <w:szCs w:val="32"/>
        </w:rPr>
      </w:pPr>
      <w:r>
        <w:rPr>
          <w:rFonts w:hint="eastAsia" w:ascii="仿宋_GB2312" w:hAnsi="Calibri" w:eastAsia="仿宋_GB2312"/>
          <w:sz w:val="32"/>
          <w:szCs w:val="32"/>
        </w:rPr>
        <w:t xml:space="preserve">    </w:t>
      </w:r>
      <w:r>
        <w:rPr>
          <w:rFonts w:hint="eastAsia" w:ascii="楷体_GB2312" w:hAnsi="Calibri" w:eastAsia="楷体_GB2312"/>
          <w:sz w:val="32"/>
          <w:szCs w:val="32"/>
        </w:rPr>
        <w:t>（二）作业方式</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1.道路冲洗除尘根据不同道路（区域）特点，制定清洗除尘方案。</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所有道路（区域）应以冲洗除尘为主，冲洗作业时车辆时速不超过5公里，出水口与地面之间角度调至最佳冲洗位置，压力不小于300kPa，开启警示灯或警示音乐（夜间禁用音乐）。</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2.道路冲洗除尘作业应当实行机械冲洗与人工辅助清扫相结合的方式，确保冲洗效果。</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3.道路冲洗除尘实行定人、定车、定时、定标、定责“五定”制度。作业单位应当将道路冲洗除尘班组责任人、项目经理、作业车辆、驾驶员、辅助人员等信息列入工作方案，明确作业时间、进度、范围、规范和责任。</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4.每条道路（区域）应有冲洗前的清晰图片（图片须显示作业日期、小时、分钟以及周边明显参照物），冲洗作业过程及冲洗后的效果资料。</w:t>
      </w:r>
    </w:p>
    <w:p>
      <w:pPr>
        <w:spacing w:line="520" w:lineRule="exact"/>
        <w:rPr>
          <w:rFonts w:ascii="楷体_GB2312" w:hAnsi="Calibri" w:eastAsia="楷体_GB2312"/>
          <w:sz w:val="32"/>
          <w:szCs w:val="32"/>
        </w:rPr>
      </w:pPr>
      <w:r>
        <w:rPr>
          <w:rFonts w:hint="eastAsia" w:ascii="仿宋_GB2312" w:hAnsi="Calibri" w:eastAsia="仿宋_GB2312"/>
          <w:sz w:val="32"/>
          <w:szCs w:val="32"/>
        </w:rPr>
        <w:t xml:space="preserve">   </w:t>
      </w:r>
      <w:r>
        <w:rPr>
          <w:rFonts w:hint="eastAsia" w:ascii="楷体_GB2312" w:hAnsi="Calibri" w:eastAsia="楷体_GB2312"/>
          <w:sz w:val="32"/>
          <w:szCs w:val="32"/>
        </w:rPr>
        <w:t xml:space="preserve"> （三）作业标准</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1.机动车道、非机动车道、路沿石应无积泥、积尘、积水，无残留垃圾，雨水箅表面洁净，交通标志线无污渍，现本色。</w:t>
      </w:r>
    </w:p>
    <w:p>
      <w:pPr>
        <w:spacing w:line="520" w:lineRule="exact"/>
        <w:rPr>
          <w:rFonts w:ascii="仿宋_GB2312" w:hAnsi="宋体" w:eastAsia="仿宋_GB2312" w:cs="Arial"/>
          <w:color w:val="000000"/>
          <w:kern w:val="0"/>
          <w:sz w:val="32"/>
          <w:szCs w:val="32"/>
        </w:rPr>
      </w:pPr>
      <w:r>
        <w:rPr>
          <w:rFonts w:hint="eastAsia" w:ascii="仿宋_GB2312" w:hAnsi="Calibri" w:eastAsia="仿宋_GB2312"/>
          <w:sz w:val="32"/>
          <w:szCs w:val="32"/>
        </w:rPr>
        <w:t xml:space="preserve">    2.人行道、绿道无积泥、积尘、积水、残留垃圾、油渍污垢、口香糖等，现本色。行道树树池无弃物、污渍。</w:t>
      </w:r>
    </w:p>
    <w:p>
      <w:pPr>
        <w:spacing w:line="520" w:lineRule="exact"/>
        <w:ind w:firstLine="640" w:firstLineChars="200"/>
        <w:jc w:val="left"/>
        <w:rPr>
          <w:rFonts w:ascii="仿宋_GB2312" w:hAnsi="黑体" w:eastAsia="仿宋_GB2312"/>
          <w:sz w:val="32"/>
          <w:szCs w:val="32"/>
        </w:rPr>
      </w:pPr>
      <w:r>
        <w:rPr>
          <w:rFonts w:hint="eastAsia" w:ascii="黑体" w:hAnsi="黑体" w:eastAsia="黑体" w:cs="黑体"/>
          <w:sz w:val="32"/>
          <w:szCs w:val="32"/>
        </w:rPr>
        <w:t>四、垃圾容器</w:t>
      </w:r>
    </w:p>
    <w:p>
      <w:pPr>
        <w:spacing w:line="520" w:lineRule="exact"/>
        <w:rPr>
          <w:rFonts w:ascii="楷体_GB2312" w:hAnsi="宋体" w:eastAsia="楷体_GB2312" w:cs="Arial"/>
          <w:color w:val="000000"/>
          <w:kern w:val="0"/>
          <w:sz w:val="32"/>
          <w:szCs w:val="32"/>
        </w:rPr>
      </w:pPr>
      <w:r>
        <w:rPr>
          <w:rFonts w:hint="eastAsia" w:ascii="仿宋_GB2312" w:hAnsi="宋体" w:eastAsia="仿宋_GB2312" w:cs="Arial"/>
          <w:color w:val="000000"/>
          <w:kern w:val="0"/>
          <w:sz w:val="32"/>
          <w:szCs w:val="32"/>
        </w:rPr>
        <w:t xml:space="preserve">    </w:t>
      </w:r>
      <w:r>
        <w:rPr>
          <w:rFonts w:hint="eastAsia" w:ascii="楷体_GB2312" w:hAnsi="宋体" w:eastAsia="楷体_GB2312" w:cs="Arial"/>
          <w:color w:val="000000"/>
          <w:kern w:val="0"/>
          <w:sz w:val="32"/>
          <w:szCs w:val="32"/>
        </w:rPr>
        <w:t>（一）作业时间及频次</w:t>
      </w:r>
    </w:p>
    <w:p>
      <w:pPr>
        <w:shd w:val="clear" w:color="auto" w:fill="FFFFFF"/>
        <w:spacing w:line="520" w:lineRule="exact"/>
        <w:ind w:firstLine="640" w:firstLineChars="200"/>
        <w:rPr>
          <w:rFonts w:ascii="仿宋_GB2312" w:hAnsi="宋体" w:eastAsia="仿宋_GB2312" w:cs="Arial"/>
          <w:color w:val="000000"/>
          <w:kern w:val="0"/>
          <w:sz w:val="32"/>
          <w:szCs w:val="32"/>
        </w:rPr>
      </w:pPr>
      <w:r>
        <w:rPr>
          <w:rFonts w:hint="eastAsia" w:ascii="仿宋_GB2312" w:hAnsi="宋体" w:eastAsia="仿宋_GB2312" w:cs="Arial"/>
          <w:color w:val="000000"/>
          <w:kern w:val="0"/>
          <w:sz w:val="32"/>
          <w:szCs w:val="32"/>
        </w:rPr>
        <w:t>1.一、二级道路（区域）果屑箱应当每日内部清掏、外部保洁，清掏和保洁每日不少于2次，7:00前完成第一次清掏。公交站台、小饮食店、繁华商业区等人口密集区域，应增加清掏、保洁频次。</w:t>
      </w:r>
    </w:p>
    <w:p>
      <w:pPr>
        <w:shd w:val="clear" w:color="auto" w:fill="FFFFFF"/>
        <w:spacing w:line="520" w:lineRule="exact"/>
        <w:ind w:firstLine="640" w:firstLineChars="200"/>
        <w:rPr>
          <w:rFonts w:ascii="仿宋_GB2312" w:hAnsi="宋体" w:eastAsia="仿宋_GB2312" w:cs="Arial"/>
          <w:color w:val="000000"/>
          <w:kern w:val="0"/>
          <w:sz w:val="32"/>
          <w:szCs w:val="32"/>
        </w:rPr>
      </w:pPr>
      <w:r>
        <w:rPr>
          <w:rFonts w:hint="eastAsia" w:ascii="仿宋_GB2312" w:hAnsi="宋体" w:eastAsia="仿宋_GB2312" w:cs="Arial"/>
          <w:color w:val="000000"/>
          <w:kern w:val="0"/>
          <w:sz w:val="32"/>
          <w:szCs w:val="32"/>
        </w:rPr>
        <w:t>2.三、四级道路（区域）果屑箱每日清掏和保洁不少于2次，07:30完成第一次清掏；并根据箱体内垃圾存量随时清掏、保洁。</w:t>
      </w:r>
    </w:p>
    <w:p>
      <w:pPr>
        <w:shd w:val="clear" w:color="auto" w:fill="FFFFFF"/>
        <w:spacing w:line="520" w:lineRule="exact"/>
        <w:ind w:firstLine="640" w:firstLineChars="200"/>
        <w:rPr>
          <w:rFonts w:ascii="仿宋_GB2312" w:hAnsi="宋体" w:eastAsia="仿宋_GB2312" w:cs="Arial"/>
          <w:color w:val="000000"/>
          <w:kern w:val="0"/>
          <w:sz w:val="32"/>
          <w:szCs w:val="32"/>
        </w:rPr>
      </w:pPr>
      <w:r>
        <w:rPr>
          <w:rFonts w:hint="eastAsia" w:ascii="仿宋_GB2312" w:hAnsi="宋体" w:eastAsia="仿宋_GB2312" w:cs="Arial"/>
          <w:color w:val="000000"/>
          <w:kern w:val="0"/>
          <w:sz w:val="32"/>
          <w:szCs w:val="32"/>
        </w:rPr>
        <w:t>3.城市道路两侧垃圾桶内的垃圾收运每日不少于2次，每日8:00前完成第一次收运；并根据桶内垃圾存量随时收运，收运后应对箱体及地面进行保洁。</w:t>
      </w:r>
    </w:p>
    <w:p>
      <w:pPr>
        <w:shd w:val="clear" w:color="auto" w:fill="FFFFFF"/>
        <w:spacing w:line="520" w:lineRule="exact"/>
        <w:ind w:firstLine="640" w:firstLineChars="200"/>
        <w:rPr>
          <w:rFonts w:ascii="楷体_GB2312" w:hAnsi="宋体" w:eastAsia="楷体_GB2312" w:cs="Arial"/>
          <w:color w:val="000000"/>
          <w:kern w:val="0"/>
          <w:sz w:val="32"/>
          <w:szCs w:val="32"/>
        </w:rPr>
      </w:pPr>
      <w:r>
        <w:rPr>
          <w:rFonts w:hint="eastAsia" w:ascii="楷体_GB2312" w:hAnsi="宋体" w:eastAsia="楷体_GB2312" w:cs="Arial"/>
          <w:color w:val="000000"/>
          <w:kern w:val="0"/>
          <w:sz w:val="32"/>
          <w:szCs w:val="32"/>
        </w:rPr>
        <w:t>（二）作业方式</w:t>
      </w:r>
    </w:p>
    <w:p>
      <w:pPr>
        <w:shd w:val="clear" w:color="auto" w:fill="FFFFFF"/>
        <w:spacing w:line="520" w:lineRule="exact"/>
        <w:ind w:firstLine="640" w:firstLineChars="200"/>
        <w:rPr>
          <w:rFonts w:ascii="仿宋_GB2312" w:hAnsi="宋体" w:eastAsia="仿宋_GB2312" w:cs="Arial"/>
          <w:color w:val="000000"/>
          <w:kern w:val="0"/>
          <w:sz w:val="32"/>
          <w:szCs w:val="32"/>
        </w:rPr>
      </w:pPr>
      <w:r>
        <w:rPr>
          <w:rFonts w:hint="eastAsia" w:ascii="仿宋_GB2312" w:hAnsi="宋体" w:eastAsia="仿宋_GB2312" w:cs="Arial"/>
          <w:color w:val="000000"/>
          <w:kern w:val="0"/>
          <w:sz w:val="32"/>
          <w:szCs w:val="32"/>
        </w:rPr>
        <w:t>1.果屑箱的内桶应套装专用环保垃圾袋，清掏时扎口连袋收运，禁止将零散垃圾直接倒入收集车内。</w:t>
      </w:r>
    </w:p>
    <w:p>
      <w:pPr>
        <w:shd w:val="clear" w:color="auto" w:fill="FFFFFF"/>
        <w:spacing w:line="520" w:lineRule="exact"/>
        <w:ind w:firstLine="640" w:firstLineChars="200"/>
        <w:rPr>
          <w:rFonts w:ascii="仿宋_GB2312" w:hAnsi="宋体" w:eastAsia="仿宋_GB2312" w:cs="Arial"/>
          <w:color w:val="000000"/>
          <w:kern w:val="0"/>
          <w:sz w:val="32"/>
          <w:szCs w:val="32"/>
        </w:rPr>
      </w:pPr>
      <w:r>
        <w:rPr>
          <w:rFonts w:hint="eastAsia" w:ascii="仿宋_GB2312" w:hAnsi="宋体" w:eastAsia="仿宋_GB2312" w:cs="Arial"/>
          <w:color w:val="000000"/>
          <w:kern w:val="0"/>
          <w:sz w:val="32"/>
          <w:szCs w:val="32"/>
        </w:rPr>
        <w:t>2.连袋清掏垃圾后内桶重新套装专用环保垃圾袋，须将重新套好垃圾袋的内桶复位并关闭箱门，再对箱体及地面进行保洁。</w:t>
      </w:r>
    </w:p>
    <w:p>
      <w:pPr>
        <w:shd w:val="clear" w:color="auto" w:fill="FFFFFF"/>
        <w:spacing w:line="520" w:lineRule="exact"/>
        <w:ind w:firstLine="640" w:firstLineChars="200"/>
        <w:rPr>
          <w:rFonts w:ascii="楷体_GB2312" w:hAnsi="宋体" w:eastAsia="楷体_GB2312" w:cs="Arial"/>
          <w:color w:val="000000"/>
          <w:kern w:val="0"/>
          <w:sz w:val="32"/>
          <w:szCs w:val="32"/>
        </w:rPr>
      </w:pPr>
      <w:r>
        <w:rPr>
          <w:rFonts w:hint="eastAsia" w:ascii="楷体_GB2312" w:hAnsi="宋体" w:eastAsia="楷体_GB2312" w:cs="Arial"/>
          <w:color w:val="000000"/>
          <w:kern w:val="0"/>
          <w:sz w:val="32"/>
          <w:szCs w:val="32"/>
        </w:rPr>
        <w:t>（三）作业标准</w:t>
      </w:r>
    </w:p>
    <w:p>
      <w:pPr>
        <w:shd w:val="clear" w:color="auto" w:fill="FFFFFF"/>
        <w:spacing w:line="520" w:lineRule="exact"/>
        <w:ind w:firstLine="640" w:firstLineChars="200"/>
        <w:rPr>
          <w:rFonts w:ascii="仿宋_GB2312" w:hAnsi="宋体" w:eastAsia="仿宋_GB2312" w:cs="Arial"/>
          <w:color w:val="000000"/>
          <w:kern w:val="0"/>
          <w:sz w:val="32"/>
          <w:szCs w:val="32"/>
        </w:rPr>
      </w:pPr>
      <w:r>
        <w:rPr>
          <w:rFonts w:hint="eastAsia" w:ascii="仿宋_GB2312" w:hAnsi="宋体" w:eastAsia="仿宋_GB2312" w:cs="Arial"/>
          <w:color w:val="000000"/>
          <w:kern w:val="0"/>
          <w:sz w:val="32"/>
          <w:szCs w:val="32"/>
        </w:rPr>
        <w:t>果屑箱、垃圾桶内的垃圾日产日清，无满溢现象，投放口周边整洁，无垃圾悬挂；箱（桶）体周围地面无撒落存留垃圾、无陈旧油污，箱（桶）体无破损、无锈迹、无污垢、无污渍，外观干净整洁。果屑箱清掏后及时套袋并复位关闭箱门；垃圾桶收运后及时复位。</w:t>
      </w:r>
    </w:p>
    <w:p>
      <w:pPr>
        <w:spacing w:line="520" w:lineRule="exact"/>
        <w:ind w:firstLine="640" w:firstLineChars="200"/>
        <w:jc w:val="left"/>
        <w:rPr>
          <w:rFonts w:ascii="仿宋_GB2312" w:hAnsi="黑体" w:eastAsia="仿宋_GB2312"/>
          <w:sz w:val="32"/>
          <w:szCs w:val="32"/>
        </w:rPr>
      </w:pPr>
      <w:r>
        <w:rPr>
          <w:rFonts w:hint="eastAsia" w:ascii="黑体" w:hAnsi="黑体" w:eastAsia="黑体" w:cs="黑体"/>
          <w:sz w:val="32"/>
          <w:szCs w:val="32"/>
        </w:rPr>
        <w:t>五、袋装化生活垃圾</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城市生活垃圾是指城区个人、单位和经营者在生活及经营服务中产生的废弃物，不包括工业垃圾、建筑垃圾、特种垃圾等。</w:t>
      </w:r>
    </w:p>
    <w:p>
      <w:pPr>
        <w:spacing w:line="520" w:lineRule="exact"/>
        <w:rPr>
          <w:rFonts w:ascii="楷体_GB2312" w:hAnsi="Calibri" w:eastAsia="楷体_GB2312"/>
          <w:sz w:val="32"/>
          <w:szCs w:val="32"/>
        </w:rPr>
      </w:pPr>
      <w:r>
        <w:rPr>
          <w:rFonts w:hint="eastAsia" w:ascii="仿宋_GB2312" w:hAnsi="Calibri" w:eastAsia="仿宋_GB2312"/>
          <w:sz w:val="32"/>
          <w:szCs w:val="32"/>
        </w:rPr>
        <w:t xml:space="preserve">    </w:t>
      </w:r>
      <w:r>
        <w:rPr>
          <w:rFonts w:hint="eastAsia" w:ascii="楷体_GB2312" w:hAnsi="Calibri" w:eastAsia="楷体_GB2312"/>
          <w:sz w:val="32"/>
          <w:szCs w:val="32"/>
        </w:rPr>
        <w:t>（一）作业时间及频次</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1.小区住户、机关企事业单位、居民小区实行全时段定人定时收运，按每天上午7：30—11：00，下午13:30</w:t>
      </w:r>
      <w:r>
        <w:rPr>
          <w:rFonts w:hint="eastAsia" w:ascii="仿宋_GB2312" w:hAnsi="Calibri" w:eastAsia="仿宋_GB2312"/>
          <w:sz w:val="32"/>
          <w:szCs w:val="32"/>
        </w:rPr>
        <w:softHyphen/>
      </w:r>
      <w:r>
        <w:rPr>
          <w:rFonts w:hint="eastAsia" w:ascii="仿宋_GB2312" w:hAnsi="Calibri" w:eastAsia="仿宋_GB2312"/>
          <w:sz w:val="32"/>
          <w:szCs w:val="32"/>
        </w:rPr>
        <w:t>—16：30，晚上20：00-23：00三个时段，集中进行。</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2.临街店铺生活垃圾、果屑箱垃圾实行全时段定人定时循环收运，每小时循环收集不少于1次。</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3.大型餐饮企业、重点企事业单位及小区实行预约收集。</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w:t>
      </w:r>
      <w:r>
        <w:rPr>
          <w:rFonts w:hint="eastAsia" w:ascii="楷体_GB2312" w:hAnsi="Calibri" w:eastAsia="楷体_GB2312"/>
          <w:sz w:val="32"/>
          <w:szCs w:val="32"/>
        </w:rPr>
        <w:t>（二）作业方式</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1.袋装垃圾应按定时、定点、定人、定线、定类的规定，及时分类收集、中转、清运，不得积存，不得混装混运，做到日产日清。</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2.大件垃圾采用专用大件垃圾收运汽车收运。</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w:t>
      </w:r>
      <w:r>
        <w:rPr>
          <w:rFonts w:hint="eastAsia" w:ascii="楷体_GB2312" w:hAnsi="Calibri" w:eastAsia="楷体_GB2312"/>
          <w:sz w:val="32"/>
          <w:szCs w:val="32"/>
        </w:rPr>
        <w:t xml:space="preserve"> （三）作业标准</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1.袋装垃圾收运车辆按照招标文件要求应做到密闭完好，保持车容整洁，不得在装卸、运输中抛、撒、滴、漏或乱倾倒生活垃圾。</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2.袋装化收运车辆、垃圾桶、中转房等设施必须保持完好、整洁，不得影响周边环境卫生。</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3.垃圾中转点（房）有专人管理。垃圾中转点（房）及其周边无积存袋装化垃圾，无其他杂物，每日地面随时保持干净，无蚊蝇、蛆虫，每日转运完毕后，必须进行消杀、清洗，并做好转运车辆、转运时间、消杀、清洗记录。</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4.大件垃圾及时收运处置。</w:t>
      </w:r>
    </w:p>
    <w:p>
      <w:pPr>
        <w:spacing w:line="520" w:lineRule="exact"/>
        <w:ind w:firstLine="640" w:firstLineChars="200"/>
        <w:rPr>
          <w:rFonts w:ascii="仿宋_GB2312" w:hAnsi="宋体" w:eastAsia="仿宋_GB2312" w:cs="Arial"/>
          <w:color w:val="000000"/>
          <w:kern w:val="0"/>
          <w:sz w:val="32"/>
          <w:szCs w:val="32"/>
        </w:rPr>
      </w:pPr>
      <w:r>
        <w:rPr>
          <w:rFonts w:hint="eastAsia" w:ascii="仿宋_GB2312" w:hAnsi="Calibri" w:eastAsia="仿宋_GB2312"/>
          <w:sz w:val="32"/>
          <w:szCs w:val="32"/>
        </w:rPr>
        <w:t>5.街面“黑包子”15分钟内完成收集转运，生活垃圾做到分类收集、分类运输。</w:t>
      </w:r>
    </w:p>
    <w:p>
      <w:pPr>
        <w:spacing w:line="520" w:lineRule="exact"/>
        <w:ind w:firstLine="640" w:firstLineChars="200"/>
        <w:jc w:val="left"/>
        <w:rPr>
          <w:rFonts w:ascii="仿宋_GB2312" w:hAnsi="黑体" w:eastAsia="仿宋_GB2312"/>
          <w:sz w:val="32"/>
          <w:szCs w:val="32"/>
        </w:rPr>
      </w:pPr>
      <w:r>
        <w:rPr>
          <w:rFonts w:hint="eastAsia" w:ascii="黑体" w:hAnsi="黑体" w:eastAsia="黑体" w:cs="黑体"/>
          <w:sz w:val="32"/>
          <w:szCs w:val="32"/>
        </w:rPr>
        <w:t>六、公共厕所</w:t>
      </w:r>
    </w:p>
    <w:p>
      <w:pPr>
        <w:shd w:val="clear" w:color="auto" w:fill="FFFFFF"/>
        <w:spacing w:line="520" w:lineRule="exact"/>
        <w:rPr>
          <w:rFonts w:ascii="楷体_GB2312" w:hAnsi="Calibri" w:eastAsia="楷体_GB2312"/>
          <w:sz w:val="32"/>
          <w:szCs w:val="32"/>
        </w:rPr>
      </w:pPr>
      <w:r>
        <w:rPr>
          <w:rFonts w:hint="eastAsia" w:ascii="仿宋_GB2312" w:hAnsi="Calibri" w:eastAsia="仿宋_GB2312"/>
          <w:sz w:val="32"/>
          <w:szCs w:val="32"/>
        </w:rPr>
        <w:t xml:space="preserve">    </w:t>
      </w:r>
      <w:r>
        <w:rPr>
          <w:rFonts w:hint="eastAsia" w:ascii="楷体_GB2312" w:hAnsi="Calibri" w:eastAsia="楷体_GB2312"/>
          <w:sz w:val="32"/>
          <w:szCs w:val="32"/>
        </w:rPr>
        <w:t>（一）作业时间及频次</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1.开放时间为每日06:00－23:00，具备条件的公厕实行24小时开放。</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2.使用清洁工具清除公厕内的蛛网及墙面积尘、污迹，每日1次。</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3.使用干净毛巾擦洗门窗、洗手器具、小便站位隔板、大便厕位门及隔断板、瓷砖墙面，每日至少1次。</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4.使用塑料扫帚清除地面及蹲台废弃物、使用干净湿拖把（不滴水）清洁地面、蹲台；每日至少2次并见脏及时清洁。使用清洁剂清洗便器，每日2次。</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5.使用水刮器、毛巾清除洗手盆台面、面镜积水，及时清洁。</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6.废纸容器内的废弃物即满即清。</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7.清除室外周边（5米）废弃物，每日3次。</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8.喷洒消毒药水，春冬两季每日一次、夏秋两季每日2次。</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9.每周全面清洁、消毒、除尘1次，并做好记录登记。</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10.每日3次巡查设施、设备并做好巡查记录登记，及时进行维护保养，保证给排水、照明、器具等功能完好。对合同约定自行维保范围内的，及时维保；合同约定自行维保范围外的，上报市容中心及时安排维保。</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11.每周对公共厕所化粪池和排溢口通道进行清理，保证畅通无阻塞。</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12.按要求提供厕纸及洗手液。</w:t>
      </w:r>
    </w:p>
    <w:p>
      <w:pPr>
        <w:shd w:val="clear" w:color="auto" w:fill="FFFFFF"/>
        <w:spacing w:line="520" w:lineRule="exact"/>
        <w:ind w:firstLine="640" w:firstLineChars="200"/>
        <w:rPr>
          <w:rFonts w:ascii="楷体_GB2312" w:hAnsi="Calibri" w:eastAsia="楷体_GB2312"/>
          <w:sz w:val="32"/>
          <w:szCs w:val="32"/>
        </w:rPr>
      </w:pPr>
      <w:r>
        <w:rPr>
          <w:rFonts w:hint="eastAsia" w:ascii="楷体_GB2312" w:hAnsi="Calibri" w:eastAsia="楷体_GB2312"/>
          <w:sz w:val="32"/>
          <w:szCs w:val="32"/>
        </w:rPr>
        <w:t>（二）作业标准</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1.公共厕所内采光、照明和通风良好，无异味。</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2.公共厕所内地面洁净，无积水，无烟头，无纸屑，无痰迹和其他杂物。</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3.墙面、天花板、门窗和隔断板洁净，无积灰，无污迹，无蛛网，无乱涂乱画。</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4.卫生洁具整洁，无积存物，无粪便痕迹，无积尿积水，管道畅通无堵塞。</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5.管理间（工具间）清洁工具、物品摆放整洁有序，无杂物，无闲杂人员，不得挪作它用。</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6.外墙、屋顶及责任区域内整洁，无杂物堆积，墙面光洁完好，无污蚀，无渗漏，窗栅、门窗玻璃无破损。</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7.贮粪池盖密闭，无污物满溢，周围无粪便，无积水，无蚊蝇，无杂草。</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8.公厕外3米范围内，环境整洁，无卫生死角、建设红线或实际管理范围内无垃圾、粪便、污水、杂草、废土以及乱堆杂物现象。</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 xml:space="preserve">9.公共厕所导向标识醒目、规范，配置齐全，使用完好。公共厕所等级、保洁标准、开放时间、责任人、监督电话等设置在公共厕所墙面醒目位置，便于社会监督。 </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10.公共厕所照明灯具、标志、洗手器具、镜子、挂衣钩、烘手器、窨井盖、给排水管道、照明线路等设施应定时检修，无缺损渗漏、无积灰、污物；无障碍通道畅通。</w:t>
      </w:r>
    </w:p>
    <w:p>
      <w:pPr>
        <w:spacing w:line="520" w:lineRule="exact"/>
        <w:ind w:firstLine="640" w:firstLineChars="200"/>
        <w:jc w:val="left"/>
        <w:rPr>
          <w:rFonts w:ascii="仿宋_GB2312" w:hAnsi="黑体" w:eastAsia="仿宋_GB2312"/>
          <w:sz w:val="32"/>
          <w:szCs w:val="32"/>
        </w:rPr>
      </w:pPr>
      <w:r>
        <w:rPr>
          <w:rFonts w:hint="eastAsia" w:ascii="黑体" w:hAnsi="黑体" w:eastAsia="黑体" w:cs="黑体"/>
          <w:sz w:val="32"/>
          <w:szCs w:val="32"/>
        </w:rPr>
        <w:t>七、机非隔离栏清洗</w:t>
      </w:r>
    </w:p>
    <w:p>
      <w:pPr>
        <w:spacing w:line="520" w:lineRule="exact"/>
        <w:jc w:val="left"/>
        <w:rPr>
          <w:rFonts w:ascii="楷体_GB2312" w:hAnsi="宋体" w:eastAsia="楷体_GB2312"/>
          <w:sz w:val="32"/>
          <w:szCs w:val="32"/>
        </w:rPr>
      </w:pPr>
      <w:r>
        <w:rPr>
          <w:rFonts w:hint="eastAsia" w:ascii="仿宋_GB2312" w:hAnsi="宋体" w:eastAsia="仿宋_GB2312"/>
          <w:sz w:val="32"/>
          <w:szCs w:val="32"/>
        </w:rPr>
        <w:t xml:space="preserve">  </w:t>
      </w:r>
      <w:r>
        <w:rPr>
          <w:rFonts w:hint="eastAsia" w:ascii="楷体_GB2312" w:hAnsi="宋体" w:eastAsia="楷体_GB2312"/>
          <w:sz w:val="32"/>
          <w:szCs w:val="32"/>
        </w:rPr>
        <w:t xml:space="preserve">  （一）作业时间及频次</w:t>
      </w:r>
    </w:p>
    <w:p>
      <w:pPr>
        <w:spacing w:line="520" w:lineRule="exact"/>
        <w:jc w:val="left"/>
        <w:rPr>
          <w:rFonts w:ascii="仿宋_GB2312" w:hAnsi="宋体" w:eastAsia="仿宋_GB2312"/>
          <w:sz w:val="32"/>
          <w:szCs w:val="32"/>
        </w:rPr>
      </w:pPr>
      <w:r>
        <w:rPr>
          <w:rFonts w:hint="eastAsia" w:ascii="仿宋_GB2312" w:hAnsi="宋体" w:eastAsia="仿宋_GB2312"/>
          <w:sz w:val="32"/>
          <w:szCs w:val="32"/>
        </w:rPr>
        <w:t xml:space="preserve">    每日上午9:00前对隔离墩、隔离栏完成擦洗，其余时段不间断巡回保洁。</w:t>
      </w:r>
    </w:p>
    <w:p>
      <w:pPr>
        <w:spacing w:line="520" w:lineRule="exact"/>
        <w:jc w:val="left"/>
        <w:rPr>
          <w:rFonts w:ascii="楷体_GB2312" w:hAnsi="宋体" w:eastAsia="楷体_GB2312"/>
          <w:sz w:val="32"/>
          <w:szCs w:val="32"/>
        </w:rPr>
      </w:pPr>
      <w:r>
        <w:rPr>
          <w:rFonts w:hint="eastAsia" w:ascii="仿宋_GB2312" w:hAnsi="宋体" w:eastAsia="仿宋_GB2312"/>
          <w:sz w:val="32"/>
          <w:szCs w:val="32"/>
        </w:rPr>
        <w:t xml:space="preserve">   </w:t>
      </w:r>
      <w:r>
        <w:rPr>
          <w:rFonts w:hint="eastAsia" w:ascii="楷体_GB2312" w:hAnsi="宋体" w:eastAsia="楷体_GB2312"/>
          <w:sz w:val="32"/>
          <w:szCs w:val="32"/>
        </w:rPr>
        <w:t xml:space="preserve"> （二）作业方式</w:t>
      </w:r>
    </w:p>
    <w:p>
      <w:pPr>
        <w:spacing w:line="520" w:lineRule="exact"/>
        <w:jc w:val="left"/>
        <w:rPr>
          <w:rFonts w:ascii="仿宋_GB2312" w:hAnsi="宋体" w:eastAsia="仿宋_GB2312"/>
          <w:sz w:val="32"/>
          <w:szCs w:val="32"/>
        </w:rPr>
      </w:pPr>
      <w:r>
        <w:rPr>
          <w:rFonts w:hint="eastAsia" w:ascii="仿宋_GB2312" w:hAnsi="宋体" w:eastAsia="仿宋_GB2312"/>
          <w:sz w:val="32"/>
          <w:szCs w:val="32"/>
        </w:rPr>
        <w:t xml:space="preserve">    1.适合机械化作业的，采用机械高压冲洗与人工干净毛巾相结合的方式进行擦洗。</w:t>
      </w:r>
    </w:p>
    <w:p>
      <w:pPr>
        <w:spacing w:line="520" w:lineRule="exact"/>
        <w:jc w:val="left"/>
        <w:rPr>
          <w:rFonts w:ascii="仿宋_GB2312" w:hAnsi="宋体" w:eastAsia="仿宋_GB2312"/>
          <w:sz w:val="32"/>
          <w:szCs w:val="32"/>
        </w:rPr>
      </w:pPr>
      <w:r>
        <w:rPr>
          <w:rFonts w:hint="eastAsia" w:ascii="仿宋_GB2312" w:hAnsi="宋体" w:eastAsia="仿宋_GB2312"/>
          <w:sz w:val="32"/>
          <w:szCs w:val="32"/>
        </w:rPr>
        <w:t xml:space="preserve">    2.不适合机械化作业的，使用干净湿毛巾与干毛巾相结合的方式进行擦洗。</w:t>
      </w:r>
    </w:p>
    <w:p>
      <w:pPr>
        <w:spacing w:line="520" w:lineRule="exact"/>
        <w:jc w:val="left"/>
        <w:rPr>
          <w:rFonts w:ascii="楷体_GB2312" w:hAnsi="宋体" w:eastAsia="楷体_GB2312"/>
          <w:sz w:val="32"/>
          <w:szCs w:val="32"/>
        </w:rPr>
      </w:pPr>
      <w:r>
        <w:rPr>
          <w:rFonts w:hint="eastAsia" w:ascii="仿宋_GB2312" w:hAnsi="宋体" w:eastAsia="仿宋_GB2312"/>
          <w:sz w:val="32"/>
          <w:szCs w:val="32"/>
        </w:rPr>
        <w:t xml:space="preserve">    </w:t>
      </w:r>
      <w:r>
        <w:rPr>
          <w:rFonts w:hint="eastAsia" w:ascii="楷体_GB2312" w:hAnsi="宋体" w:eastAsia="楷体_GB2312"/>
          <w:sz w:val="32"/>
          <w:szCs w:val="32"/>
        </w:rPr>
        <w:t>（三）作业标准</w:t>
      </w:r>
    </w:p>
    <w:p>
      <w:pPr>
        <w:spacing w:line="520" w:lineRule="exact"/>
        <w:jc w:val="left"/>
        <w:rPr>
          <w:rFonts w:ascii="仿宋_GB2312" w:hAnsi="宋体" w:eastAsia="仿宋_GB2312"/>
          <w:sz w:val="32"/>
          <w:szCs w:val="32"/>
        </w:rPr>
      </w:pPr>
      <w:r>
        <w:rPr>
          <w:rFonts w:hint="eastAsia" w:ascii="仿宋_GB2312" w:hAnsi="宋体" w:eastAsia="仿宋_GB2312"/>
          <w:sz w:val="32"/>
          <w:szCs w:val="32"/>
        </w:rPr>
        <w:t xml:space="preserve">    1.隔离墩、隔离栏无明显灰尘、污迹。</w:t>
      </w:r>
    </w:p>
    <w:p>
      <w:pPr>
        <w:spacing w:line="520" w:lineRule="exact"/>
        <w:jc w:val="left"/>
        <w:rPr>
          <w:rFonts w:ascii="仿宋_GB2312" w:hAnsi="宋体" w:eastAsia="仿宋_GB2312"/>
          <w:sz w:val="32"/>
          <w:szCs w:val="32"/>
        </w:rPr>
      </w:pPr>
      <w:r>
        <w:rPr>
          <w:rFonts w:hint="eastAsia" w:ascii="仿宋_GB2312" w:hAnsi="宋体" w:eastAsia="仿宋_GB2312"/>
          <w:sz w:val="32"/>
          <w:szCs w:val="32"/>
        </w:rPr>
        <w:t xml:space="preserve">    2.隔离墩各孔内干净，全天保持隔离墩、隔离栏干净。</w:t>
      </w:r>
    </w:p>
    <w:p>
      <w:pPr>
        <w:spacing w:line="520" w:lineRule="exact"/>
        <w:jc w:val="left"/>
        <w:rPr>
          <w:rFonts w:ascii="仿宋_GB2312" w:hAnsi="宋体" w:eastAsia="仿宋_GB2312"/>
          <w:sz w:val="32"/>
          <w:szCs w:val="32"/>
        </w:rPr>
      </w:pPr>
      <w:r>
        <w:rPr>
          <w:rFonts w:hint="eastAsia" w:ascii="仿宋_GB2312" w:hAnsi="宋体" w:eastAsia="仿宋_GB2312"/>
          <w:sz w:val="32"/>
          <w:szCs w:val="32"/>
        </w:rPr>
        <w:t xml:space="preserve">    3.及时处理因道路冲洗等原因造成对隔离墩、隔离栏的二次污染。</w:t>
      </w:r>
    </w:p>
    <w:p>
      <w:pPr>
        <w:spacing w:line="520" w:lineRule="exact"/>
        <w:ind w:firstLine="640" w:firstLineChars="200"/>
        <w:jc w:val="left"/>
        <w:rPr>
          <w:rFonts w:ascii="仿宋_GB2312" w:hAnsi="黑体" w:eastAsia="仿宋_GB2312"/>
          <w:sz w:val="32"/>
          <w:szCs w:val="32"/>
        </w:rPr>
      </w:pPr>
      <w:r>
        <w:rPr>
          <w:rFonts w:hint="eastAsia" w:ascii="仿宋_GB2312" w:hAnsi="黑体" w:eastAsia="仿宋_GB2312"/>
          <w:sz w:val="32"/>
          <w:szCs w:val="32"/>
        </w:rPr>
        <w:t xml:space="preserve"> </w:t>
      </w:r>
      <w:r>
        <w:rPr>
          <w:rFonts w:hint="eastAsia" w:ascii="黑体" w:hAnsi="黑体" w:eastAsia="黑体" w:cs="黑体"/>
          <w:sz w:val="32"/>
          <w:szCs w:val="32"/>
        </w:rPr>
        <w:t>八、环卫机具及人员</w:t>
      </w:r>
    </w:p>
    <w:p>
      <w:pPr>
        <w:widowControl/>
        <w:spacing w:line="520" w:lineRule="exact"/>
        <w:rPr>
          <w:rFonts w:ascii="楷体_GB2312" w:hAnsi="仿宋_GB2312" w:eastAsia="楷体_GB2312" w:cs="仿宋_GB2312"/>
          <w:sz w:val="32"/>
          <w:szCs w:val="32"/>
        </w:rPr>
      </w:pPr>
      <w:r>
        <w:rPr>
          <w:rFonts w:hint="eastAsia" w:ascii="仿宋_GB2312" w:hAnsi="仿宋_GB2312" w:eastAsia="仿宋_GB2312" w:cs="仿宋_GB2312"/>
          <w:sz w:val="32"/>
          <w:szCs w:val="32"/>
        </w:rPr>
        <w:t xml:space="preserve"> </w:t>
      </w:r>
      <w:r>
        <w:rPr>
          <w:rFonts w:hint="eastAsia" w:ascii="楷体_GB2312" w:hAnsi="仿宋_GB2312" w:eastAsia="楷体_GB2312" w:cs="仿宋_GB2312"/>
          <w:sz w:val="32"/>
          <w:szCs w:val="32"/>
        </w:rPr>
        <w:t xml:space="preserve">   （一）机具</w:t>
      </w:r>
    </w:p>
    <w:p>
      <w:pPr>
        <w:widowControl/>
        <w:spacing w:line="52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1.环卫作业公司应当严格执行合同约定，保证设施设备和作业机具的种类、功能、数量配置到位。</w:t>
      </w:r>
    </w:p>
    <w:p>
      <w:pPr>
        <w:widowControl/>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2.环卫作业机动车、督查车，车门两侧必须印制“郫都区城区环卫作业XX包件，XX公司项目部”；环卫作业机动车，后车厢驾驶员侧统一印制“美丽郫都”，后车厢副驾驶侧统一印制“服务民生”字样。合同期内市城管委如下发新标准，按新标准执行。</w:t>
      </w:r>
    </w:p>
    <w:p>
      <w:pPr>
        <w:widowControl/>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3.电动三轮快保车、电动三轮垃圾收运车等小型环卫作业车辆，按相关规定进行标识。</w:t>
      </w:r>
    </w:p>
    <w:p>
      <w:pPr>
        <w:spacing w:line="52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4.环卫作业机动车辆（专业环卫车（洒水车、洗（吸）扫车、垃圾压缩车、垃圾收（转）运车）须安装卫星定位系统装置（GPS），接入区综合执法局和属地街道（镇）监管平台。</w:t>
      </w:r>
    </w:p>
    <w:p>
      <w:pPr>
        <w:spacing w:line="52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5.环卫作业机动车辆尾部须悬挂“环卫作业，请勿靠近”放大反光标志牌或安装专用诱导指示灯；</w:t>
      </w:r>
      <w:r>
        <w:rPr>
          <w:rFonts w:hint="eastAsia" w:ascii="仿宋_GB2312" w:hAnsi="Calibri" w:eastAsia="仿宋_GB2312"/>
          <w:sz w:val="32"/>
          <w:szCs w:val="32"/>
        </w:rPr>
        <w:t>电动三轮快保车尾部须悬挂“保洁作业，注意避让”。</w:t>
      </w:r>
    </w:p>
    <w:p>
      <w:pPr>
        <w:widowControl/>
        <w:spacing w:line="52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6.环卫保洁作业机具应当自觉遵守“净身洁容”规定，保证车身洁净、无泥尘、无垃圾、无锈迹，整洁美观，并及时更新残损破旧标识。</w:t>
      </w:r>
    </w:p>
    <w:p>
      <w:pPr>
        <w:widowControl/>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7.作业机具未经同意不得跨区域作业。</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8.作业单位应当备存作业机具、人员的作业场景图片、有关人员签字记录、作业车辆车牌号和司机、辅助人员签字记录、作业车辆行驶轨迹记录等有关图、表、文字、影像记载。</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9.作业车辆年审、定期维保等，应提前两天书面报局市容中心备案，并同时报应急措施；车辆故障等突发情况，及时报市容中心备案，并同时报应急措施。</w:t>
      </w:r>
    </w:p>
    <w:p>
      <w:pPr>
        <w:widowControl/>
        <w:spacing w:line="520" w:lineRule="exact"/>
        <w:ind w:firstLine="640" w:firstLineChars="200"/>
        <w:rPr>
          <w:rFonts w:ascii="楷体_GB2312" w:hAnsi="仿宋_GB2312" w:eastAsia="楷体_GB2312" w:cs="仿宋_GB2312"/>
          <w:sz w:val="32"/>
          <w:szCs w:val="32"/>
        </w:rPr>
      </w:pPr>
      <w:r>
        <w:rPr>
          <w:rFonts w:hint="eastAsia" w:ascii="楷体_GB2312" w:hAnsi="仿宋_GB2312" w:eastAsia="楷体_GB2312" w:cs="仿宋_GB2312"/>
          <w:sz w:val="32"/>
          <w:szCs w:val="32"/>
        </w:rPr>
        <w:t>（二）作业人员</w:t>
      </w:r>
    </w:p>
    <w:p>
      <w:pPr>
        <w:spacing w:line="52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1.环卫作业公司应当严格执行服务项目合同约定，足额配置作业人员。</w:t>
      </w:r>
    </w:p>
    <w:p>
      <w:pPr>
        <w:spacing w:line="520" w:lineRule="exact"/>
        <w:rPr>
          <w:rFonts w:ascii="仿宋_GB2312" w:hAnsi="仿宋_GB2312" w:eastAsia="仿宋_GB2312" w:cs="仿宋_GB2312"/>
          <w:sz w:val="32"/>
          <w:szCs w:val="32"/>
        </w:rPr>
      </w:pPr>
      <w:r>
        <w:rPr>
          <w:rFonts w:hint="eastAsia" w:ascii="仿宋_GB2312" w:hAnsi="仿宋_GB2312" w:eastAsia="仿宋_GB2312" w:cs="仿宋_GB2312"/>
          <w:sz w:val="32"/>
          <w:szCs w:val="32"/>
        </w:rPr>
        <w:t xml:space="preserve">    2.环卫作业人员应当着带有夜间反光标志，统一印有所在单位（公司）中文名称、标识的作业服装，并佩戴工号牌上岗。</w:t>
      </w:r>
    </w:p>
    <w:p>
      <w:pPr>
        <w:spacing w:line="52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 xml:space="preserve">3.作业人员须参加所在公司组织的培训、岗位竞赛和应急演练活动，强化安全意识，提高清扫技能，提升街面保洁质量。 </w:t>
      </w:r>
    </w:p>
    <w:p>
      <w:pPr>
        <w:widowControl/>
        <w:spacing w:line="52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4.环卫作业机动车驾驶员必须取得相应证件，作业时随身携带，并严格遵守交通法规。</w:t>
      </w:r>
    </w:p>
    <w:p>
      <w:pPr>
        <w:spacing w:line="520" w:lineRule="exact"/>
        <w:rPr>
          <w:rFonts w:ascii="楷体_GB2312" w:hAnsi="Calibri" w:eastAsia="楷体_GB2312"/>
          <w:sz w:val="32"/>
          <w:szCs w:val="32"/>
        </w:rPr>
      </w:pPr>
      <w:r>
        <w:rPr>
          <w:rFonts w:hint="eastAsia" w:ascii="仿宋_GB2312" w:hAnsi="Calibri" w:eastAsia="仿宋_GB2312"/>
          <w:sz w:val="32"/>
          <w:szCs w:val="32"/>
        </w:rPr>
        <w:t xml:space="preserve">    </w:t>
      </w:r>
      <w:r>
        <w:rPr>
          <w:rFonts w:hint="eastAsia" w:ascii="楷体_GB2312" w:hAnsi="Calibri" w:eastAsia="楷体_GB2312"/>
          <w:sz w:val="32"/>
          <w:szCs w:val="32"/>
        </w:rPr>
        <w:t>（三）安全文明作业</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1.无脱岗、到岗不到位和聚集聊天现象，不翻捡垃圾，不做与工作无关的事；无乱堆、乱放作业工具现象。</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2.任何时段，严禁击打树叶或摇曳树木；禁止焚烧树叶等垃圾。</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3.禁止将垃圾扫入（倒入）水篦子、绿化带、河道和排水沟等。</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4.认真落实交接班制度，无断挡现象，服从工作安排，发现影响环境卫生的突发性问题及时汇报，积极解决。遇有恶意破坏环境卫生的行为时，环卫作业人员应耐心劝阻，并及时报告，不骂人打人。</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5.作业时须设置安全警示标志，无随意横穿车行道行为。</w:t>
      </w:r>
    </w:p>
    <w:p>
      <w:pPr>
        <w:spacing w:line="520" w:lineRule="exact"/>
        <w:ind w:firstLine="640" w:firstLineChars="200"/>
        <w:jc w:val="left"/>
        <w:rPr>
          <w:rFonts w:ascii="仿宋_GB2312" w:hAnsi="黑体" w:eastAsia="仿宋_GB2312" w:cs="黑体"/>
          <w:sz w:val="32"/>
          <w:szCs w:val="32"/>
        </w:rPr>
      </w:pPr>
      <w:r>
        <w:rPr>
          <w:rFonts w:hint="eastAsia" w:ascii="黑体" w:hAnsi="黑体" w:eastAsia="黑体" w:cs="黑体"/>
          <w:sz w:val="32"/>
          <w:szCs w:val="32"/>
        </w:rPr>
        <w:t>九、应急保障</w:t>
      </w:r>
    </w:p>
    <w:p>
      <w:pPr>
        <w:spacing w:line="52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1.城市道路环卫保洁应制定重要线路保障、各类测评及大风、暴雨、冰雪、落叶、扬尘等应急工作预案。</w:t>
      </w:r>
    </w:p>
    <w:p>
      <w:pPr>
        <w:widowControl/>
        <w:spacing w:line="520" w:lineRule="exact"/>
        <w:rPr>
          <w:rFonts w:ascii="仿宋_GB2312" w:hAnsi="仿宋_GB2312" w:eastAsia="仿宋_GB2312" w:cs="仿宋_GB2312"/>
          <w:sz w:val="32"/>
          <w:szCs w:val="32"/>
        </w:rPr>
      </w:pPr>
      <w:r>
        <w:rPr>
          <w:rFonts w:hint="eastAsia" w:ascii="仿宋_GB2312" w:hAnsi="仿宋_GB2312" w:eastAsia="仿宋_GB2312" w:cs="仿宋_GB2312"/>
          <w:sz w:val="32"/>
          <w:szCs w:val="32"/>
        </w:rPr>
        <w:t xml:space="preserve">    2.根据应急工作预案，各环卫公司每年至少开展一次应急处置实操演练，对机具、人员、设施及组织指挥等应急预案进行检验，确保应急时刻拿得出、用得上，处置得当。</w:t>
      </w:r>
    </w:p>
    <w:p>
      <w:pPr>
        <w:widowControl/>
        <w:spacing w:line="520" w:lineRule="exact"/>
        <w:jc w:val="left"/>
        <w:rPr>
          <w:rFonts w:ascii="仿宋_GB2312" w:hAnsi="黑体" w:eastAsia="仿宋_GB2312" w:cs="黑体"/>
          <w:sz w:val="32"/>
          <w:szCs w:val="32"/>
        </w:rPr>
      </w:pPr>
    </w:p>
    <w:p>
      <w:pPr>
        <w:widowControl/>
        <w:spacing w:line="520" w:lineRule="exact"/>
        <w:jc w:val="left"/>
        <w:rPr>
          <w:rFonts w:ascii="仿宋_GB2312" w:hAnsi="黑体" w:eastAsia="仿宋_GB2312" w:cs="黑体"/>
          <w:sz w:val="32"/>
          <w:szCs w:val="32"/>
        </w:rPr>
      </w:pPr>
    </w:p>
    <w:p>
      <w:pPr>
        <w:widowControl/>
        <w:spacing w:line="520" w:lineRule="exact"/>
        <w:jc w:val="left"/>
        <w:rPr>
          <w:rFonts w:ascii="仿宋_GB2312" w:hAnsi="黑体" w:eastAsia="仿宋_GB2312" w:cs="黑体"/>
          <w:sz w:val="32"/>
          <w:szCs w:val="32"/>
        </w:rPr>
      </w:pPr>
    </w:p>
    <w:p>
      <w:pPr>
        <w:widowControl/>
        <w:spacing w:line="520" w:lineRule="exact"/>
        <w:jc w:val="left"/>
        <w:rPr>
          <w:rFonts w:ascii="仿宋_GB2312" w:hAnsi="黑体" w:eastAsia="仿宋_GB2312" w:cs="黑体"/>
          <w:sz w:val="32"/>
          <w:szCs w:val="32"/>
        </w:rPr>
      </w:pPr>
    </w:p>
    <w:p>
      <w:pPr>
        <w:widowControl/>
        <w:spacing w:line="520" w:lineRule="exact"/>
        <w:jc w:val="left"/>
        <w:rPr>
          <w:rFonts w:ascii="仿宋_GB2312" w:hAnsi="黑体" w:eastAsia="仿宋_GB2312" w:cs="黑体"/>
          <w:sz w:val="32"/>
          <w:szCs w:val="32"/>
        </w:rPr>
      </w:pPr>
    </w:p>
    <w:p>
      <w:pPr>
        <w:widowControl/>
        <w:spacing w:line="520" w:lineRule="exact"/>
        <w:jc w:val="left"/>
        <w:rPr>
          <w:rFonts w:ascii="仿宋_GB2312" w:hAnsi="黑体" w:eastAsia="仿宋_GB2312" w:cs="黑体"/>
          <w:sz w:val="32"/>
          <w:szCs w:val="32"/>
        </w:rPr>
      </w:pPr>
    </w:p>
    <w:p>
      <w:pPr>
        <w:widowControl/>
        <w:spacing w:line="520" w:lineRule="exact"/>
        <w:jc w:val="left"/>
        <w:rPr>
          <w:rFonts w:ascii="仿宋_GB2312" w:hAnsi="黑体" w:eastAsia="仿宋_GB2312" w:cs="黑体"/>
          <w:sz w:val="32"/>
          <w:szCs w:val="32"/>
        </w:rPr>
      </w:pPr>
    </w:p>
    <w:p>
      <w:pPr>
        <w:widowControl/>
        <w:spacing w:line="520" w:lineRule="exact"/>
        <w:jc w:val="left"/>
        <w:rPr>
          <w:rFonts w:ascii="仿宋_GB2312" w:hAnsi="黑体" w:eastAsia="仿宋_GB2312" w:cs="黑体"/>
          <w:sz w:val="32"/>
          <w:szCs w:val="32"/>
        </w:rPr>
      </w:pPr>
    </w:p>
    <w:p>
      <w:pPr>
        <w:widowControl/>
        <w:spacing w:line="520" w:lineRule="exact"/>
        <w:jc w:val="left"/>
        <w:rPr>
          <w:rFonts w:ascii="仿宋_GB2312" w:hAnsi="黑体" w:eastAsia="仿宋_GB2312" w:cs="黑体"/>
          <w:sz w:val="32"/>
          <w:szCs w:val="32"/>
        </w:rPr>
      </w:pPr>
    </w:p>
    <w:p>
      <w:pPr>
        <w:widowControl/>
        <w:spacing w:line="520" w:lineRule="exact"/>
        <w:jc w:val="left"/>
        <w:rPr>
          <w:rFonts w:ascii="仿宋_GB2312" w:hAnsi="黑体" w:eastAsia="仿宋_GB2312" w:cs="黑体"/>
          <w:sz w:val="32"/>
          <w:szCs w:val="32"/>
        </w:rPr>
      </w:pPr>
    </w:p>
    <w:p>
      <w:pPr>
        <w:widowControl/>
        <w:spacing w:line="520" w:lineRule="exact"/>
        <w:jc w:val="left"/>
        <w:rPr>
          <w:rFonts w:ascii="仿宋_GB2312" w:hAnsi="黑体" w:eastAsia="仿宋_GB2312" w:cs="黑体"/>
          <w:sz w:val="32"/>
          <w:szCs w:val="32"/>
        </w:rPr>
      </w:pPr>
    </w:p>
    <w:p>
      <w:pPr>
        <w:widowControl/>
        <w:spacing w:line="520" w:lineRule="exact"/>
        <w:jc w:val="left"/>
        <w:rPr>
          <w:rFonts w:ascii="仿宋_GB2312" w:hAnsi="黑体" w:eastAsia="仿宋_GB2312" w:cs="黑体"/>
          <w:sz w:val="32"/>
          <w:szCs w:val="32"/>
        </w:rPr>
      </w:pPr>
    </w:p>
    <w:p>
      <w:pPr>
        <w:rPr>
          <w:rFonts w:ascii="黑体" w:hAnsi="黑体" w:eastAsia="黑体" w:cs="黑体"/>
          <w:sz w:val="32"/>
          <w:szCs w:val="32"/>
        </w:rPr>
      </w:pPr>
      <w:r>
        <w:rPr>
          <w:rFonts w:hint="eastAsia" w:ascii="黑体" w:hAnsi="黑体" w:eastAsia="黑体" w:cs="黑体"/>
          <w:sz w:val="32"/>
          <w:szCs w:val="32"/>
        </w:rPr>
        <w:br w:type="page"/>
      </w:r>
    </w:p>
    <w:p>
      <w:pPr>
        <w:shd w:val="clear" w:color="auto" w:fill="FFFFFF"/>
        <w:spacing w:line="520" w:lineRule="exact"/>
        <w:jc w:val="center"/>
        <w:rPr>
          <w:rFonts w:ascii="方正小标宋简体" w:hAnsi="黑体" w:eastAsia="方正小标宋简体" w:cs="黑体"/>
          <w:sz w:val="44"/>
          <w:szCs w:val="44"/>
        </w:rPr>
      </w:pPr>
      <w:r>
        <w:rPr>
          <w:rFonts w:hint="eastAsia" w:ascii="方正小标宋简体" w:hAnsi="黑体" w:eastAsia="方正小标宋简体" w:cs="黑体"/>
          <w:sz w:val="44"/>
          <w:szCs w:val="44"/>
        </w:rPr>
        <w:t>成都市郫都区城镇环卫作业及质量检查</w:t>
      </w:r>
    </w:p>
    <w:p>
      <w:pPr>
        <w:shd w:val="clear" w:color="auto" w:fill="FFFFFF"/>
        <w:spacing w:line="520" w:lineRule="exact"/>
        <w:jc w:val="center"/>
        <w:rPr>
          <w:rFonts w:ascii="方正小标宋简体" w:hAnsi="黑体" w:eastAsia="方正小标宋简体" w:cs="黑体"/>
          <w:sz w:val="44"/>
          <w:szCs w:val="44"/>
        </w:rPr>
      </w:pPr>
      <w:r>
        <w:rPr>
          <w:rFonts w:hint="eastAsia" w:ascii="方正小标宋简体" w:hAnsi="黑体" w:eastAsia="方正小标宋简体" w:cs="黑体"/>
          <w:sz w:val="44"/>
          <w:szCs w:val="44"/>
        </w:rPr>
        <w:t>评分标准</w:t>
      </w:r>
    </w:p>
    <w:p>
      <w:pPr>
        <w:shd w:val="clear" w:color="auto" w:fill="FFFFFF"/>
        <w:spacing w:line="520" w:lineRule="exact"/>
        <w:ind w:firstLine="640" w:firstLineChars="200"/>
        <w:rPr>
          <w:rFonts w:ascii="仿宋_GB2312" w:hAnsi="黑体" w:eastAsia="仿宋_GB2312"/>
          <w:sz w:val="32"/>
          <w:szCs w:val="32"/>
        </w:rPr>
      </w:pPr>
    </w:p>
    <w:p>
      <w:pPr>
        <w:spacing w:line="520" w:lineRule="exact"/>
        <w:rPr>
          <w:rFonts w:ascii="黑体" w:hAnsi="黑体" w:eastAsia="黑体" w:cs="宋体"/>
          <w:sz w:val="32"/>
          <w:szCs w:val="32"/>
        </w:rPr>
      </w:pPr>
      <w:r>
        <w:rPr>
          <w:rFonts w:hint="eastAsia" w:ascii="仿宋_GB2312" w:hAnsi="黑体" w:eastAsia="仿宋_GB2312" w:cs="黑体"/>
          <w:sz w:val="32"/>
          <w:szCs w:val="32"/>
        </w:rPr>
        <w:t xml:space="preserve">    </w:t>
      </w:r>
      <w:r>
        <w:rPr>
          <w:rFonts w:hint="eastAsia" w:ascii="黑体" w:hAnsi="黑体" w:eastAsia="黑体" w:cs="黑体"/>
          <w:sz w:val="32"/>
          <w:szCs w:val="32"/>
        </w:rPr>
        <w:t>一、</w:t>
      </w:r>
      <w:r>
        <w:rPr>
          <w:rFonts w:hint="eastAsia" w:ascii="黑体" w:hAnsi="黑体" w:eastAsia="黑体" w:cs="宋体"/>
          <w:sz w:val="32"/>
          <w:szCs w:val="32"/>
        </w:rPr>
        <w:t>环卫作业公司规范化管理</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1.设立分公司和项目部，并配备对应管理人员。分公司办公场地面积不低于60平方米，集中管理，统一着装并佩戴工作牌上岗。公司品质部定期与市容中心进行工作交流。未统一着装并佩戴工作牌上岗的，每人次扣0.5分；其他未达要求，每项扣5分。</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2.严格按照招标文件要求，配备项目督查人员、环卫作业人员和作业机具，未达要求，每人次扣0.5分。</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3.各项管理制度（包含但不限于项目部作业方案、安全文明作业制度、各工种岗位职责、生活垃圾分类收运方案）健全上墙，作业示意图上墙，作业示意图标明各包件管理人员及作业人员分布。未达要求，每项扣5分。</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4.建立健全应急保障机制，采购应急物资，并形成流程图健全上墙。未达要求，每项扣5分。</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5.管理人员现场检查到位，人员考勤、检查记录完整。未达要求，每人次扣0.5分。</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6.按要求为从业人员购买社会保险、安全生产意外保险，按市、区两级要求为作业人员核发工资，未按要求核发，每人次扣1分。</w:t>
      </w:r>
    </w:p>
    <w:p>
      <w:pPr>
        <w:shd w:val="clear" w:color="auto" w:fill="FFFFFF"/>
        <w:spacing w:line="520" w:lineRule="exact"/>
        <w:ind w:firstLine="640" w:firstLineChars="200"/>
        <w:jc w:val="left"/>
        <w:rPr>
          <w:rFonts w:ascii="仿宋_GB2312" w:hAnsi="Calibri" w:eastAsia="仿宋_GB2312"/>
          <w:sz w:val="32"/>
          <w:szCs w:val="32"/>
        </w:rPr>
      </w:pPr>
      <w:r>
        <w:rPr>
          <w:rFonts w:hint="eastAsia" w:ascii="仿宋_GB2312" w:hAnsi="Calibri" w:eastAsia="仿宋_GB2312"/>
          <w:sz w:val="32"/>
          <w:szCs w:val="32"/>
        </w:rPr>
        <w:t>7.不按规定及通知要求参加各类会议、培训、技能竞赛等，每次扣3分。</w:t>
      </w:r>
    </w:p>
    <w:p>
      <w:pPr>
        <w:shd w:val="clear" w:color="auto" w:fill="FFFFFF"/>
        <w:spacing w:line="600" w:lineRule="exact"/>
        <w:ind w:firstLine="640" w:firstLineChars="200"/>
        <w:rPr>
          <w:rFonts w:ascii="仿宋_GB2312" w:hAnsi="仿宋" w:eastAsia="仿宋_GB2312" w:cs="仿宋"/>
          <w:sz w:val="24"/>
        </w:rPr>
      </w:pPr>
      <w:r>
        <w:rPr>
          <w:rFonts w:hint="eastAsia" w:ascii="仿宋_GB2312" w:hAnsi="Calibri" w:eastAsia="仿宋_GB2312"/>
          <w:sz w:val="32"/>
          <w:szCs w:val="32"/>
        </w:rPr>
        <w:t>8.不接受和服从工作指令和安排，每次扣0.5分，项目经理未请假离开郫都区，每次扣5分，并对作业公司当月作业经费进行单项扣减，无故离岗超过3天（含3天）的，区环卫管护中心有权要求该公司更换项目经理</w:t>
      </w:r>
      <w:r>
        <w:rPr>
          <w:rFonts w:hint="eastAsia" w:ascii="仿宋_GB2312" w:hAnsi="仿宋" w:eastAsia="仿宋_GB2312" w:cs="仿宋"/>
          <w:sz w:val="32"/>
          <w:szCs w:val="32"/>
        </w:rPr>
        <w:t>。</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9.环卫作业公司擅自收取道路污染、冲洗、清扫保洁等费用，每次扣10分。</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10.未按规定上报各类图文资料、报表等；未及时汇报各类突发事件，每次扣0.5分。</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11.处理数字化城管案件及网络理政案件：发生信访投诉案件每次扣1分，未按要求处理各级、各类重大问题不及时、整改不到位，每次扣5分。</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12.</w:t>
      </w:r>
      <w:r>
        <w:rPr>
          <w:rFonts w:hint="eastAsia" w:ascii="仿宋_GB2312" w:hAnsi="仿宋" w:eastAsia="仿宋_GB2312" w:cs="仿宋"/>
          <w:sz w:val="32"/>
          <w:szCs w:val="32"/>
        </w:rPr>
        <w:t xml:space="preserve"> 被中央、省、市、区各级专项督查暗访、日常巡查通报批评或各级领导点名批评的，在中央、省、市、区各级的阶段性专项活动、临时性重大保障工作中保障不到位、问题突出的，</w:t>
      </w:r>
      <w:r>
        <w:rPr>
          <w:rFonts w:hint="eastAsia" w:ascii="仿宋_GB2312" w:hAnsi="Calibri" w:eastAsia="仿宋_GB2312"/>
          <w:sz w:val="32"/>
          <w:szCs w:val="32"/>
        </w:rPr>
        <w:t>每次每处分别扣5分、4分、3分、2分。</w:t>
      </w:r>
    </w:p>
    <w:p>
      <w:pPr>
        <w:spacing w:line="520" w:lineRule="exact"/>
        <w:rPr>
          <w:rFonts w:ascii="仿宋_GB2312" w:hAnsi="黑体" w:eastAsia="仿宋_GB2312" w:cs="黑体"/>
          <w:sz w:val="32"/>
          <w:szCs w:val="32"/>
        </w:rPr>
      </w:pPr>
      <w:r>
        <w:rPr>
          <w:rFonts w:hint="eastAsia" w:ascii="仿宋_GB2312" w:hAnsi="黑体" w:eastAsia="仿宋_GB2312" w:cs="黑体"/>
          <w:sz w:val="32"/>
          <w:szCs w:val="32"/>
        </w:rPr>
        <w:t xml:space="preserve">    </w:t>
      </w:r>
      <w:r>
        <w:rPr>
          <w:rFonts w:hint="eastAsia" w:ascii="黑体" w:hAnsi="黑体" w:eastAsia="黑体" w:cs="黑体"/>
          <w:sz w:val="32"/>
          <w:szCs w:val="32"/>
        </w:rPr>
        <w:t>二、清扫保洁</w:t>
      </w:r>
    </w:p>
    <w:p>
      <w:pPr>
        <w:shd w:val="clear" w:color="auto" w:fill="FFFFFF"/>
        <w:spacing w:line="520" w:lineRule="exact"/>
        <w:jc w:val="left"/>
        <w:rPr>
          <w:rFonts w:ascii="楷体_GB2312" w:hAnsi="黑体" w:eastAsia="楷体_GB2312" w:cs="黑体"/>
          <w:sz w:val="32"/>
          <w:szCs w:val="32"/>
        </w:rPr>
      </w:pPr>
      <w:r>
        <w:rPr>
          <w:rFonts w:hint="eastAsia" w:ascii="仿宋_GB2312" w:hAnsi="黑体" w:eastAsia="仿宋_GB2312" w:cs="黑体"/>
          <w:sz w:val="32"/>
          <w:szCs w:val="32"/>
        </w:rPr>
        <w:t xml:space="preserve">    </w:t>
      </w:r>
      <w:r>
        <w:rPr>
          <w:rFonts w:hint="eastAsia" w:ascii="楷体_GB2312" w:hAnsi="黑体" w:eastAsia="楷体_GB2312" w:cs="黑体"/>
          <w:sz w:val="32"/>
          <w:szCs w:val="32"/>
        </w:rPr>
        <w:t>（一）作业时间</w:t>
      </w:r>
    </w:p>
    <w:p>
      <w:pPr>
        <w:shd w:val="clear" w:color="auto" w:fill="FFFFFF"/>
        <w:spacing w:line="520" w:lineRule="exact"/>
        <w:ind w:firstLine="640" w:firstLineChars="200"/>
        <w:jc w:val="left"/>
        <w:rPr>
          <w:rFonts w:ascii="仿宋_GB2312" w:hAnsi="黑体" w:eastAsia="仿宋_GB2312" w:cs="黑体"/>
          <w:sz w:val="32"/>
          <w:szCs w:val="32"/>
        </w:rPr>
      </w:pPr>
      <w:r>
        <w:rPr>
          <w:rFonts w:hint="eastAsia" w:ascii="仿宋_GB2312" w:hAnsi="黑体" w:eastAsia="仿宋_GB2312" w:cs="黑体"/>
          <w:sz w:val="32"/>
          <w:szCs w:val="32"/>
        </w:rPr>
        <w:t>1.一、二级道路应于每日7:00前完成普扫作业；三、四级道路应于每日7:30前完成普扫作业。其余时段实行不间断保洁。超时或未按要求实施，每次（处）扣1分。</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2.快速巡回保洁：</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（1）每次巡回保洁时间15分钟内。巡回保洁中发现的污渍污迹，必须在20分钟内实施处置。</w:t>
      </w:r>
      <w:r>
        <w:rPr>
          <w:rFonts w:hint="eastAsia" w:ascii="仿宋_GB2312" w:hAnsi="黑体" w:eastAsia="仿宋_GB2312" w:cs="黑体"/>
          <w:sz w:val="32"/>
          <w:szCs w:val="32"/>
        </w:rPr>
        <w:t>未按要求实施，每处扣1分。</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（2）夏季（4月1日至10月31日）保洁时间为7:00至22：00，夜保路段至24:00。</w:t>
      </w:r>
      <w:r>
        <w:rPr>
          <w:rFonts w:hint="eastAsia" w:ascii="仿宋_GB2312" w:hAnsi="黑体" w:eastAsia="仿宋_GB2312" w:cs="黑体"/>
          <w:sz w:val="32"/>
          <w:szCs w:val="32"/>
        </w:rPr>
        <w:t>未按要求实施，每处扣1分。</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（3）冬季（11月1日至次年3月31日）保洁时间为7:30至21：30，夜保路段至23:00。</w:t>
      </w:r>
      <w:r>
        <w:rPr>
          <w:rFonts w:hint="eastAsia" w:ascii="仿宋_GB2312" w:hAnsi="黑体" w:eastAsia="仿宋_GB2312" w:cs="黑体"/>
          <w:sz w:val="32"/>
          <w:szCs w:val="32"/>
        </w:rPr>
        <w:t>未按要求实施，每处扣1分。</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3.水体保洁：</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（1）夏季（4月1日至10月31日）保洁时间为8:00至20：00。</w:t>
      </w:r>
      <w:r>
        <w:rPr>
          <w:rFonts w:hint="eastAsia" w:ascii="仿宋_GB2312" w:hAnsi="黑体" w:eastAsia="仿宋_GB2312" w:cs="黑体"/>
          <w:sz w:val="32"/>
          <w:szCs w:val="32"/>
        </w:rPr>
        <w:t>未按要求实施，每处扣1分。</w:t>
      </w:r>
    </w:p>
    <w:p>
      <w:pPr>
        <w:spacing w:line="520" w:lineRule="exact"/>
        <w:ind w:firstLine="480"/>
        <w:rPr>
          <w:rFonts w:ascii="仿宋_GB2312" w:hAnsi="黑体" w:eastAsia="仿宋_GB2312" w:cs="黑体"/>
          <w:sz w:val="32"/>
          <w:szCs w:val="32"/>
        </w:rPr>
      </w:pPr>
      <w:r>
        <w:rPr>
          <w:rFonts w:hint="eastAsia" w:ascii="仿宋_GB2312" w:hAnsi="Calibri" w:eastAsia="仿宋_GB2312"/>
          <w:sz w:val="32"/>
          <w:szCs w:val="32"/>
        </w:rPr>
        <w:t>（2）冬季（11月1日至次年3月31日）保洁时间为8:30至19：30。</w:t>
      </w:r>
      <w:r>
        <w:rPr>
          <w:rFonts w:hint="eastAsia" w:ascii="仿宋_GB2312" w:hAnsi="黑体" w:eastAsia="仿宋_GB2312" w:cs="黑体"/>
          <w:sz w:val="32"/>
          <w:szCs w:val="32"/>
        </w:rPr>
        <w:t>未按要求实施，每处扣1分。</w:t>
      </w:r>
    </w:p>
    <w:p>
      <w:pPr>
        <w:shd w:val="clear" w:color="auto" w:fill="FFFFFF"/>
        <w:spacing w:line="520" w:lineRule="exact"/>
        <w:jc w:val="left"/>
        <w:rPr>
          <w:rFonts w:ascii="楷体_GB2312" w:hAnsi="黑体" w:eastAsia="楷体_GB2312" w:cs="黑体"/>
          <w:sz w:val="32"/>
          <w:szCs w:val="32"/>
        </w:rPr>
      </w:pPr>
      <w:r>
        <w:rPr>
          <w:rFonts w:hint="eastAsia" w:ascii="仿宋_GB2312" w:hAnsi="黑体" w:eastAsia="仿宋_GB2312" w:cs="黑体"/>
          <w:sz w:val="32"/>
          <w:szCs w:val="32"/>
        </w:rPr>
        <w:t xml:space="preserve">    </w:t>
      </w:r>
      <w:r>
        <w:rPr>
          <w:rFonts w:hint="eastAsia" w:ascii="楷体_GB2312" w:hAnsi="黑体" w:eastAsia="楷体_GB2312" w:cs="黑体"/>
          <w:sz w:val="32"/>
          <w:szCs w:val="32"/>
        </w:rPr>
        <w:t>（二）作业方式及要求</w:t>
      </w:r>
    </w:p>
    <w:p>
      <w:pPr>
        <w:shd w:val="clear" w:color="auto" w:fill="FFFFFF"/>
        <w:spacing w:line="520" w:lineRule="exact"/>
        <w:ind w:firstLine="640" w:firstLineChars="200"/>
        <w:jc w:val="left"/>
        <w:rPr>
          <w:rFonts w:ascii="仿宋_GB2312" w:hAnsi="黑体" w:eastAsia="仿宋_GB2312" w:cs="黑体"/>
          <w:sz w:val="32"/>
          <w:szCs w:val="32"/>
        </w:rPr>
      </w:pPr>
      <w:r>
        <w:rPr>
          <w:rFonts w:hint="eastAsia" w:ascii="仿宋_GB2312" w:hAnsi="黑体" w:eastAsia="仿宋_GB2312" w:cs="黑体"/>
          <w:sz w:val="32"/>
          <w:szCs w:val="32"/>
        </w:rPr>
        <w:t>1.大力推行环卫作业机械化，一、二级道路（区域）主、辅道机械化作业率应达到100%，非机动车道机械化作业率应达到90%，人行道机械化作业率应达到60%。机械化作业率平均达到75%。三、四级道路按不低于一、二级道路标准执行。未达要求，每处扣2分。</w:t>
      </w:r>
    </w:p>
    <w:p>
      <w:pPr>
        <w:shd w:val="clear" w:color="auto" w:fill="FFFFFF"/>
        <w:spacing w:line="520" w:lineRule="exact"/>
        <w:ind w:firstLine="640" w:firstLineChars="200"/>
        <w:jc w:val="left"/>
        <w:rPr>
          <w:rFonts w:ascii="仿宋_GB2312" w:hAnsi="黑体" w:eastAsia="仿宋_GB2312" w:cs="黑体"/>
          <w:sz w:val="32"/>
          <w:szCs w:val="32"/>
        </w:rPr>
      </w:pPr>
      <w:r>
        <w:rPr>
          <w:rFonts w:hint="eastAsia" w:ascii="仿宋_GB2312" w:hAnsi="黑体" w:eastAsia="仿宋_GB2312" w:cs="黑体"/>
          <w:sz w:val="32"/>
          <w:szCs w:val="32"/>
        </w:rPr>
        <w:t>2.机动车道、立交桥、高架桥、跨线桥、非机动车道、人行道、绿道、人行天桥、广场及城市家具、栏杆、隔离墩（桩、墙）等环卫保洁，适合机械清扫的，应当以大、中、小型吸尘车、扫地车或洗扫一体车作业为主，机械清扫作业时速不超过5公里；不适合机械清扫作业的，应匹配相应作业人员，实行人工清扫作业。人工清扫作业主要采用防尘软扫帚，避免产生扬尘。未达要求，每处扣2分。</w:t>
      </w:r>
    </w:p>
    <w:p>
      <w:pPr>
        <w:shd w:val="clear" w:color="auto" w:fill="FFFFFF"/>
        <w:spacing w:line="520" w:lineRule="exact"/>
        <w:ind w:firstLine="640" w:firstLineChars="200"/>
        <w:jc w:val="left"/>
        <w:rPr>
          <w:rFonts w:ascii="仿宋_GB2312" w:hAnsi="黑体" w:eastAsia="仿宋_GB2312" w:cs="黑体"/>
          <w:sz w:val="32"/>
          <w:szCs w:val="32"/>
        </w:rPr>
      </w:pPr>
      <w:r>
        <w:rPr>
          <w:rFonts w:hint="eastAsia" w:ascii="仿宋_GB2312" w:hAnsi="黑体" w:eastAsia="仿宋_GB2312" w:cs="黑体"/>
          <w:sz w:val="32"/>
          <w:szCs w:val="32"/>
        </w:rPr>
        <w:t>3.绿化带、花台、树池杂物清理，果屑箱清掏、外部保洁实行人工与机械相结合方式作业。未达要求，每处扣2分。</w:t>
      </w:r>
    </w:p>
    <w:p>
      <w:pPr>
        <w:shd w:val="clear" w:color="auto" w:fill="FFFFFF"/>
        <w:spacing w:line="520" w:lineRule="exact"/>
        <w:ind w:firstLine="640" w:firstLineChars="200"/>
        <w:jc w:val="left"/>
        <w:rPr>
          <w:rFonts w:ascii="仿宋_GB2312" w:hAnsi="黑体" w:eastAsia="仿宋_GB2312" w:cs="黑体"/>
          <w:sz w:val="32"/>
          <w:szCs w:val="32"/>
        </w:rPr>
      </w:pPr>
      <w:r>
        <w:rPr>
          <w:rFonts w:hint="eastAsia" w:ascii="仿宋_GB2312" w:hAnsi="黑体" w:eastAsia="仿宋_GB2312" w:cs="黑体"/>
          <w:sz w:val="32"/>
          <w:szCs w:val="32"/>
        </w:rPr>
        <w:t>4.快速巡回保洁实行定人、定时、定段、定责的“四定”作业模式。未达要求，每处扣2分。</w:t>
      </w:r>
    </w:p>
    <w:p>
      <w:pPr>
        <w:shd w:val="clear" w:color="auto" w:fill="FFFFFF"/>
        <w:spacing w:line="520" w:lineRule="exact"/>
        <w:ind w:firstLine="640" w:firstLineChars="200"/>
        <w:jc w:val="left"/>
        <w:rPr>
          <w:rFonts w:ascii="仿宋_GB2312" w:hAnsi="黑体" w:eastAsia="仿宋_GB2312" w:cs="黑体"/>
          <w:sz w:val="32"/>
          <w:szCs w:val="32"/>
        </w:rPr>
      </w:pPr>
      <w:r>
        <w:rPr>
          <w:rFonts w:hint="eastAsia" w:ascii="仿宋_GB2312" w:hAnsi="黑体" w:eastAsia="仿宋_GB2312" w:cs="黑体"/>
          <w:sz w:val="32"/>
          <w:szCs w:val="32"/>
        </w:rPr>
        <w:t>5.水体保洁：</w:t>
      </w:r>
    </w:p>
    <w:p>
      <w:pPr>
        <w:shd w:val="clear" w:color="auto" w:fill="FFFFFF"/>
        <w:spacing w:line="520" w:lineRule="exact"/>
        <w:ind w:firstLine="640" w:firstLineChars="200"/>
        <w:jc w:val="left"/>
        <w:rPr>
          <w:rFonts w:ascii="仿宋_GB2312" w:hAnsi="黑体" w:eastAsia="仿宋_GB2312" w:cs="黑体"/>
          <w:sz w:val="32"/>
          <w:szCs w:val="32"/>
        </w:rPr>
      </w:pPr>
      <w:r>
        <w:rPr>
          <w:rFonts w:hint="eastAsia" w:ascii="仿宋_GB2312" w:hAnsi="黑体" w:eastAsia="仿宋_GB2312" w:cs="黑体"/>
          <w:sz w:val="32"/>
          <w:szCs w:val="32"/>
        </w:rPr>
        <w:t>主要采用岸边打捞方式进行，具备条件的配备小型橡皮舟，进行水面打捞。水体保洁人员作业时必须身着救生衣。未按要求实施，每次扣2分。</w:t>
      </w:r>
    </w:p>
    <w:p>
      <w:pPr>
        <w:shd w:val="clear" w:color="auto" w:fill="FFFFFF"/>
        <w:spacing w:line="520" w:lineRule="exact"/>
        <w:rPr>
          <w:rFonts w:ascii="楷体_GB2312" w:hAnsi="Calibri" w:eastAsia="楷体_GB2312"/>
          <w:sz w:val="32"/>
          <w:szCs w:val="32"/>
        </w:rPr>
      </w:pPr>
      <w:r>
        <w:rPr>
          <w:rFonts w:hint="eastAsia" w:ascii="仿宋_GB2312" w:hAnsi="Calibri" w:eastAsia="仿宋_GB2312"/>
          <w:sz w:val="32"/>
          <w:szCs w:val="32"/>
        </w:rPr>
        <w:t xml:space="preserve">    </w:t>
      </w:r>
      <w:r>
        <w:rPr>
          <w:rFonts w:hint="eastAsia" w:ascii="楷体_GB2312" w:hAnsi="Calibri" w:eastAsia="楷体_GB2312"/>
          <w:sz w:val="32"/>
          <w:szCs w:val="32"/>
        </w:rPr>
        <w:t>（三）作业频次</w:t>
      </w:r>
    </w:p>
    <w:p>
      <w:pPr>
        <w:shd w:val="clear" w:color="auto" w:fill="FFFFFF"/>
        <w:spacing w:line="520" w:lineRule="exact"/>
        <w:ind w:firstLine="640" w:firstLineChars="200"/>
        <w:jc w:val="left"/>
        <w:rPr>
          <w:rFonts w:ascii="仿宋_GB2312" w:hAnsi="黑体" w:eastAsia="仿宋_GB2312" w:cs="黑体"/>
          <w:sz w:val="32"/>
          <w:szCs w:val="32"/>
        </w:rPr>
      </w:pPr>
      <w:r>
        <w:rPr>
          <w:rFonts w:hint="eastAsia" w:ascii="仿宋_GB2312" w:hAnsi="黑体" w:eastAsia="仿宋_GB2312" w:cs="黑体"/>
          <w:sz w:val="32"/>
          <w:szCs w:val="32"/>
        </w:rPr>
        <w:t>1.一、二级道路（区域）机械吸（洗）扫作业每日不少于3次。每日05:00-07:00、12:30-15:30、18:30-21:30各作业一次；11月-3月，10月-12月适时增加作业次数，清理落叶和灰带。未按要求实施，每次每处扣2分。</w:t>
      </w:r>
    </w:p>
    <w:p>
      <w:pPr>
        <w:shd w:val="clear" w:color="auto" w:fill="FFFFFF"/>
        <w:spacing w:line="520" w:lineRule="exact"/>
        <w:ind w:firstLine="640" w:firstLineChars="200"/>
        <w:jc w:val="left"/>
        <w:rPr>
          <w:rFonts w:ascii="仿宋_GB2312" w:hAnsi="黑体" w:eastAsia="仿宋_GB2312" w:cs="黑体"/>
          <w:sz w:val="32"/>
          <w:szCs w:val="32"/>
        </w:rPr>
      </w:pPr>
      <w:r>
        <w:rPr>
          <w:rFonts w:hint="eastAsia" w:ascii="仿宋_GB2312" w:hAnsi="黑体" w:eastAsia="仿宋_GB2312" w:cs="黑体"/>
          <w:sz w:val="32"/>
          <w:szCs w:val="32"/>
        </w:rPr>
        <w:t>2.三、四级道路（区域）机械吸（洗）扫作业每日不少于2次。每日05:00-07:00、19:00-21:00各作业1次；1月-3月，10月-12月适时增加作业次数，清理落叶和灰带。未按要求实施，每次每处扣2分。</w:t>
      </w:r>
    </w:p>
    <w:p>
      <w:pPr>
        <w:shd w:val="clear" w:color="auto" w:fill="FFFFFF"/>
        <w:spacing w:line="520" w:lineRule="exact"/>
        <w:ind w:firstLine="640" w:firstLineChars="200"/>
        <w:rPr>
          <w:rFonts w:ascii="仿宋_GB2312" w:hAnsi="黑体" w:eastAsia="仿宋_GB2312" w:cs="黑体"/>
          <w:sz w:val="32"/>
          <w:szCs w:val="32"/>
        </w:rPr>
      </w:pPr>
      <w:r>
        <w:rPr>
          <w:rFonts w:hint="eastAsia" w:ascii="仿宋_GB2312" w:hAnsi="黑体" w:eastAsia="仿宋_GB2312" w:cs="黑体"/>
          <w:sz w:val="32"/>
          <w:szCs w:val="32"/>
        </w:rPr>
        <w:t>3.一、二、三、四级道路（区域）非机动车道、人行道、绿道、十字路口、绿化带花台、树池、城市家具、果屑箱（垃圾桶）、井盖表面等局部污渍清洗，餐饮饭店、集贸市场、车站、公交站台、医院等人流密集场所和建设工地周边，其巡回保洁和快速巡捡保洁每15分钟不少于1次。未按要求实施，每次每处扣0.5分。</w:t>
      </w:r>
    </w:p>
    <w:p>
      <w:pPr>
        <w:shd w:val="clear" w:color="auto" w:fill="FFFFFF"/>
        <w:spacing w:line="520" w:lineRule="exact"/>
        <w:ind w:firstLine="640" w:firstLineChars="200"/>
        <w:rPr>
          <w:rFonts w:ascii="仿宋_GB2312" w:hAnsi="黑体" w:eastAsia="仿宋_GB2312" w:cs="黑体"/>
          <w:sz w:val="32"/>
          <w:szCs w:val="32"/>
        </w:rPr>
      </w:pPr>
      <w:r>
        <w:rPr>
          <w:rFonts w:hint="eastAsia" w:ascii="仿宋_GB2312" w:hAnsi="黑体" w:eastAsia="仿宋_GB2312" w:cs="黑体"/>
          <w:sz w:val="32"/>
          <w:szCs w:val="32"/>
        </w:rPr>
        <w:t>4.立交桥、人行天桥栏杆，隔离栏、隔离墩（桩）清洁除尘，每日不少于1次。未按要求实施，每次每处扣2分。</w:t>
      </w:r>
    </w:p>
    <w:p>
      <w:pPr>
        <w:shd w:val="clear" w:color="auto" w:fill="FFFFFF"/>
        <w:spacing w:line="520" w:lineRule="exact"/>
        <w:ind w:firstLine="640" w:firstLineChars="200"/>
        <w:rPr>
          <w:rFonts w:ascii="仿宋_GB2312" w:hAnsi="黑体" w:eastAsia="仿宋_GB2312" w:cs="黑体"/>
          <w:sz w:val="32"/>
          <w:szCs w:val="32"/>
        </w:rPr>
      </w:pPr>
      <w:r>
        <w:rPr>
          <w:rFonts w:hint="eastAsia" w:ascii="仿宋_GB2312" w:hAnsi="黑体" w:eastAsia="仿宋_GB2312" w:cs="黑体"/>
          <w:sz w:val="32"/>
          <w:szCs w:val="32"/>
        </w:rPr>
        <w:t>5.水体保洁:</w:t>
      </w:r>
    </w:p>
    <w:p>
      <w:pPr>
        <w:shd w:val="clear" w:color="auto" w:fill="FFFFFF"/>
        <w:spacing w:line="520" w:lineRule="exact"/>
        <w:ind w:firstLine="640" w:firstLineChars="200"/>
        <w:rPr>
          <w:rFonts w:ascii="仿宋_GB2312" w:hAnsi="黑体" w:eastAsia="仿宋_GB2312" w:cs="黑体"/>
          <w:sz w:val="32"/>
          <w:szCs w:val="32"/>
        </w:rPr>
      </w:pPr>
      <w:r>
        <w:rPr>
          <w:rFonts w:hint="eastAsia" w:ascii="仿宋_GB2312" w:hAnsi="黑体" w:eastAsia="仿宋_GB2312" w:cs="黑体"/>
          <w:sz w:val="32"/>
          <w:szCs w:val="32"/>
        </w:rPr>
        <w:t>每日巡查不低于两次，适时打捞各类漂浮物、污染物。未按要求实施，每次每处扣1分。</w:t>
      </w:r>
    </w:p>
    <w:p>
      <w:pPr>
        <w:shd w:val="clear" w:color="auto" w:fill="FFFFFF"/>
        <w:spacing w:line="520" w:lineRule="exact"/>
        <w:rPr>
          <w:rFonts w:ascii="楷体_GB2312" w:hAnsi="宋体" w:eastAsia="楷体_GB2312" w:cs="宋体"/>
          <w:sz w:val="32"/>
          <w:szCs w:val="32"/>
        </w:rPr>
      </w:pPr>
      <w:r>
        <w:rPr>
          <w:rFonts w:hint="eastAsia" w:ascii="仿宋_GB2312" w:hAnsi="Calibri" w:eastAsia="仿宋_GB2312"/>
          <w:sz w:val="32"/>
          <w:szCs w:val="32"/>
        </w:rPr>
        <w:t xml:space="preserve">    </w:t>
      </w:r>
      <w:r>
        <w:rPr>
          <w:rFonts w:hint="eastAsia" w:ascii="楷体_GB2312" w:hAnsi="Calibri" w:eastAsia="楷体_GB2312"/>
          <w:sz w:val="32"/>
          <w:szCs w:val="32"/>
        </w:rPr>
        <w:t>（四）作业质量标准</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1.清扫保洁作业区域，质量达到“九无”，即:①无积尘、积泥、灰带，②无白色垃圾（果皮、纸屑、塑膜、烟头、口香糖等），③无积水，④无碎砖瓦砾，⑤无牛皮癣，⑥无痰迹、污迹，⑦无堆积物、杂物，⑧无卫生死角，⑨无杂草和人畜粪便；“七净”，即：①车行道净，②人行道净，③河堤坡面净、边沟净、水面净，④绿化带及周边净，⑤路沿石净，⑥树池净，⑦水篦子净。未达标，每项每处扣0.5分。</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2.实行快速巡回保洁的路段，各类垃圾、黑包子不得停留超过15分钟。未达标，每处扣0.5分。</w:t>
      </w:r>
    </w:p>
    <w:p>
      <w:pPr>
        <w:shd w:val="clear" w:color="auto" w:fill="FFFFFF"/>
        <w:spacing w:line="520" w:lineRule="exact"/>
        <w:ind w:firstLine="640" w:firstLineChars="200"/>
        <w:rPr>
          <w:rFonts w:ascii="黑体" w:hAnsi="黑体" w:eastAsia="黑体"/>
          <w:sz w:val="32"/>
          <w:szCs w:val="32"/>
        </w:rPr>
      </w:pPr>
      <w:r>
        <w:rPr>
          <w:rFonts w:hint="eastAsia" w:ascii="黑体" w:hAnsi="黑体" w:eastAsia="黑体"/>
          <w:sz w:val="32"/>
          <w:szCs w:val="32"/>
        </w:rPr>
        <w:t>三、冲洗除尘</w:t>
      </w:r>
    </w:p>
    <w:p>
      <w:pPr>
        <w:shd w:val="clear" w:color="auto" w:fill="FFFFFF"/>
        <w:spacing w:line="520" w:lineRule="exact"/>
        <w:rPr>
          <w:rFonts w:ascii="楷体_GB2312" w:hAnsi="楷体_GB2312" w:eastAsia="楷体_GB2312" w:cs="楷体_GB2312"/>
          <w:sz w:val="32"/>
          <w:szCs w:val="32"/>
        </w:rPr>
      </w:pPr>
      <w:r>
        <w:rPr>
          <w:rFonts w:hint="eastAsia" w:ascii="仿宋_GB2312" w:hAnsi="楷体_GB2312" w:eastAsia="仿宋_GB2312" w:cs="楷体_GB2312"/>
          <w:sz w:val="32"/>
          <w:szCs w:val="32"/>
        </w:rPr>
        <w:t xml:space="preserve">    </w:t>
      </w:r>
      <w:r>
        <w:rPr>
          <w:rFonts w:hint="eastAsia" w:ascii="楷体_GB2312" w:hAnsi="楷体_GB2312" w:eastAsia="楷体_GB2312" w:cs="楷体_GB2312"/>
          <w:sz w:val="32"/>
          <w:szCs w:val="32"/>
        </w:rPr>
        <w:t>（一）作业时间及频次</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1.道路冲洗除尘作业应在每日22:00－次日06:00进行，除应急处置外，白天时段一律不许冲洗作业。未按要求实施，每处扣2分。</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2.一、二、三、四级道路（区域）机动车道每日冲洗除尘2次（重污染天气原则不少于4次，并结合重污染天气启动预案等级按要求增加作业次数），人行道和护栏基座地面每周洗刷不低于2次，并适时清除锈迹、污垢、污渍。未按要求实施，每处扣2分。</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3.道路隔离栏、斑马线、果屑箱、人行道冲洗应错峰作业，除处置突发污染外，一律不得在早晚交通高峰时段作业，不得影响车辆和行人通行。未按要求实施，每处扣2分。</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4.气温降至零度或零度以下，暂停作业。未按要求实施，每次扣2分。</w:t>
      </w:r>
    </w:p>
    <w:p>
      <w:pPr>
        <w:spacing w:line="520" w:lineRule="exact"/>
        <w:rPr>
          <w:rFonts w:ascii="楷体_GB2312" w:hAnsi="Calibri" w:eastAsia="楷体_GB2312"/>
          <w:sz w:val="32"/>
          <w:szCs w:val="32"/>
        </w:rPr>
      </w:pPr>
      <w:r>
        <w:rPr>
          <w:rFonts w:hint="eastAsia" w:ascii="仿宋_GB2312" w:hAnsi="Calibri" w:eastAsia="仿宋_GB2312"/>
          <w:sz w:val="32"/>
          <w:szCs w:val="32"/>
        </w:rPr>
        <w:t xml:space="preserve">    </w:t>
      </w:r>
      <w:r>
        <w:rPr>
          <w:rFonts w:hint="eastAsia" w:ascii="楷体_GB2312" w:hAnsi="Calibri" w:eastAsia="楷体_GB2312"/>
          <w:sz w:val="32"/>
          <w:szCs w:val="32"/>
        </w:rPr>
        <w:t>（二）作业方式</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1.道路冲洗除尘根据不同道路（区域）特点，制定清洗除尘方案。未制定扣3分，制定不合理，扣2分。</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所有道路（区域）应以冲洗除尘为主，冲洗作业时车辆时速不超过5公里，出水口与地面之间角度调至最佳冲洗位置，压力不小于300kPa，开启警示灯或警示音乐（夜间禁用音乐）。未按要求实施，每处扣1分。</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2.道路冲洗除尘作业应当实行机械冲洗与人工辅助清扫相结合的方式，确保冲洗效果。未按要求实施，每处扣1分。</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3.道路冲洗除尘实行定人、定车、定时、定标、定责“五定”制度。作业单位应当将道路冲洗除尘班组责任人、项目经理、作业车辆、驾驶员、辅助人员等信息列入工作方案，明确作业时间、进度、范围、规范和责任。未按要求实施，每处扣2分。</w:t>
      </w:r>
    </w:p>
    <w:p>
      <w:pPr>
        <w:spacing w:line="520" w:lineRule="exact"/>
        <w:rPr>
          <w:rFonts w:ascii="楷体_GB2312" w:hAnsi="Calibri" w:eastAsia="楷体_GB2312"/>
          <w:sz w:val="32"/>
          <w:szCs w:val="32"/>
        </w:rPr>
      </w:pPr>
      <w:r>
        <w:rPr>
          <w:rFonts w:hint="eastAsia" w:ascii="仿宋_GB2312" w:hAnsi="Calibri" w:eastAsia="仿宋_GB2312"/>
          <w:sz w:val="32"/>
          <w:szCs w:val="32"/>
        </w:rPr>
        <w:t xml:space="preserve">    </w:t>
      </w:r>
      <w:r>
        <w:rPr>
          <w:rFonts w:hint="eastAsia" w:ascii="楷体_GB2312" w:hAnsi="Calibri" w:eastAsia="楷体_GB2312"/>
          <w:sz w:val="32"/>
          <w:szCs w:val="32"/>
        </w:rPr>
        <w:t>（三）作业标准</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1.机动车道、非机动车道、路沿石应无积泥、积尘、积水，无残留垃圾，雨水箅表面洁净，交通标志线无污渍，现本色。未达标，每项每处扣0.5分。</w:t>
      </w:r>
    </w:p>
    <w:p>
      <w:pPr>
        <w:spacing w:line="520" w:lineRule="exact"/>
        <w:rPr>
          <w:rFonts w:ascii="仿宋_GB2312" w:hAnsi="宋体" w:eastAsia="仿宋_GB2312" w:cs="Arial"/>
          <w:color w:val="000000"/>
          <w:kern w:val="0"/>
          <w:sz w:val="32"/>
          <w:szCs w:val="32"/>
        </w:rPr>
      </w:pPr>
      <w:r>
        <w:rPr>
          <w:rFonts w:hint="eastAsia" w:ascii="仿宋_GB2312" w:hAnsi="Calibri" w:eastAsia="仿宋_GB2312"/>
          <w:sz w:val="32"/>
          <w:szCs w:val="32"/>
        </w:rPr>
        <w:t xml:space="preserve">    2.人行道、绿道无积泥、积尘、积水、残留垃圾、油渍污垢、口香糖等，现本色。行道树树池无弃物、污渍。未达标，每项每处扣0.5分。</w:t>
      </w:r>
    </w:p>
    <w:p>
      <w:pPr>
        <w:shd w:val="clear" w:color="auto" w:fill="FFFFFF"/>
        <w:spacing w:line="520" w:lineRule="exact"/>
        <w:ind w:firstLine="640" w:firstLineChars="200"/>
        <w:rPr>
          <w:rFonts w:ascii="黑体" w:hAnsi="黑体" w:eastAsia="黑体"/>
          <w:sz w:val="32"/>
          <w:szCs w:val="32"/>
        </w:rPr>
      </w:pPr>
      <w:r>
        <w:rPr>
          <w:rFonts w:hint="eastAsia" w:ascii="黑体" w:hAnsi="黑体" w:eastAsia="黑体"/>
          <w:sz w:val="32"/>
          <w:szCs w:val="32"/>
        </w:rPr>
        <w:t>四、垃圾容器</w:t>
      </w:r>
    </w:p>
    <w:p>
      <w:pPr>
        <w:spacing w:line="520" w:lineRule="exact"/>
        <w:rPr>
          <w:rFonts w:ascii="楷体_GB2312" w:hAnsi="宋体" w:eastAsia="楷体_GB2312" w:cs="Arial"/>
          <w:color w:val="000000"/>
          <w:kern w:val="0"/>
          <w:sz w:val="32"/>
          <w:szCs w:val="32"/>
        </w:rPr>
      </w:pPr>
      <w:r>
        <w:rPr>
          <w:rFonts w:hint="eastAsia" w:ascii="仿宋_GB2312" w:hAnsi="宋体" w:eastAsia="仿宋_GB2312" w:cs="Arial"/>
          <w:color w:val="000000"/>
          <w:kern w:val="0"/>
          <w:sz w:val="32"/>
          <w:szCs w:val="32"/>
        </w:rPr>
        <w:t xml:space="preserve">    </w:t>
      </w:r>
      <w:r>
        <w:rPr>
          <w:rFonts w:hint="eastAsia" w:ascii="楷体_GB2312" w:hAnsi="宋体" w:eastAsia="楷体_GB2312" w:cs="Arial"/>
          <w:color w:val="000000"/>
          <w:kern w:val="0"/>
          <w:sz w:val="32"/>
          <w:szCs w:val="32"/>
        </w:rPr>
        <w:t>（一）作业时间及频次</w:t>
      </w:r>
    </w:p>
    <w:p>
      <w:pPr>
        <w:shd w:val="clear" w:color="auto" w:fill="FFFFFF"/>
        <w:spacing w:line="520" w:lineRule="exact"/>
        <w:ind w:firstLine="640" w:firstLineChars="200"/>
        <w:rPr>
          <w:rFonts w:ascii="仿宋_GB2312" w:hAnsi="宋体" w:eastAsia="仿宋_GB2312" w:cs="Arial"/>
          <w:color w:val="000000"/>
          <w:kern w:val="0"/>
          <w:sz w:val="32"/>
          <w:szCs w:val="32"/>
        </w:rPr>
      </w:pPr>
      <w:r>
        <w:rPr>
          <w:rFonts w:hint="eastAsia" w:ascii="仿宋_GB2312" w:hAnsi="宋体" w:eastAsia="仿宋_GB2312" w:cs="Arial"/>
          <w:color w:val="000000"/>
          <w:kern w:val="0"/>
          <w:sz w:val="32"/>
          <w:szCs w:val="32"/>
        </w:rPr>
        <w:t>1.一、二级道路（区域）果屑箱应当每日内部清掏、外部保洁，清掏和保洁每日不少于2次，7:00前完成第一次清掏。公交站台、小饮食店、繁华商业区等人口密集区域，应增加清掏、保洁频次。</w:t>
      </w:r>
      <w:r>
        <w:rPr>
          <w:rFonts w:hint="eastAsia" w:ascii="仿宋_GB2312" w:hAnsi="Calibri" w:eastAsia="仿宋_GB2312"/>
          <w:sz w:val="32"/>
          <w:szCs w:val="32"/>
        </w:rPr>
        <w:t>未按要求实施，每项每处扣2分。</w:t>
      </w:r>
    </w:p>
    <w:p>
      <w:pPr>
        <w:shd w:val="clear" w:color="auto" w:fill="FFFFFF"/>
        <w:spacing w:line="520" w:lineRule="exact"/>
        <w:rPr>
          <w:rFonts w:ascii="仿宋_GB2312" w:hAnsi="宋体" w:eastAsia="仿宋_GB2312" w:cs="Arial"/>
          <w:color w:val="000000"/>
          <w:kern w:val="0"/>
          <w:sz w:val="32"/>
          <w:szCs w:val="32"/>
        </w:rPr>
      </w:pPr>
      <w:r>
        <w:rPr>
          <w:rFonts w:hint="eastAsia" w:ascii="仿宋_GB2312" w:hAnsi="宋体" w:eastAsia="仿宋_GB2312" w:cs="Arial"/>
          <w:color w:val="000000"/>
          <w:kern w:val="0"/>
          <w:sz w:val="32"/>
          <w:szCs w:val="32"/>
        </w:rPr>
        <w:t xml:space="preserve">    2.三、四级道路（区域）果屑箱每日清掏和保洁不少于2次，07:30完成第一次清掏；并根据箱体内垃圾存量随时清掏、保洁。</w:t>
      </w:r>
      <w:r>
        <w:rPr>
          <w:rFonts w:hint="eastAsia" w:ascii="仿宋_GB2312" w:hAnsi="Calibri" w:eastAsia="仿宋_GB2312"/>
          <w:sz w:val="32"/>
          <w:szCs w:val="32"/>
        </w:rPr>
        <w:t>未按要求实施，每项每处扣2分。</w:t>
      </w:r>
    </w:p>
    <w:p>
      <w:pPr>
        <w:shd w:val="clear" w:color="auto" w:fill="FFFFFF"/>
        <w:spacing w:line="520" w:lineRule="exact"/>
        <w:ind w:firstLine="640" w:firstLineChars="200"/>
        <w:rPr>
          <w:rFonts w:ascii="仿宋_GB2312" w:hAnsi="宋体" w:eastAsia="仿宋_GB2312" w:cs="Arial"/>
          <w:color w:val="000000"/>
          <w:kern w:val="0"/>
          <w:sz w:val="32"/>
          <w:szCs w:val="32"/>
        </w:rPr>
      </w:pPr>
      <w:r>
        <w:rPr>
          <w:rFonts w:hint="eastAsia" w:ascii="仿宋_GB2312" w:hAnsi="宋体" w:eastAsia="仿宋_GB2312" w:cs="Arial"/>
          <w:color w:val="000000"/>
          <w:kern w:val="0"/>
          <w:sz w:val="32"/>
          <w:szCs w:val="32"/>
        </w:rPr>
        <w:t>3.城市道路两侧垃圾桶内的垃圾收运每日不少于2次，每日8:00前完成第一次收运；并根据桶内垃圾存量随时收运，收运后应对箱体及地面进行保洁。</w:t>
      </w:r>
      <w:r>
        <w:rPr>
          <w:rFonts w:hint="eastAsia" w:ascii="仿宋_GB2312" w:hAnsi="Calibri" w:eastAsia="仿宋_GB2312"/>
          <w:sz w:val="32"/>
          <w:szCs w:val="32"/>
        </w:rPr>
        <w:t>未按要求实施，每项每处扣2分。</w:t>
      </w:r>
    </w:p>
    <w:p>
      <w:pPr>
        <w:shd w:val="clear" w:color="auto" w:fill="FFFFFF"/>
        <w:spacing w:line="520" w:lineRule="exact"/>
        <w:ind w:firstLine="640" w:firstLineChars="200"/>
        <w:rPr>
          <w:rFonts w:ascii="楷体_GB2312" w:hAnsi="宋体" w:eastAsia="楷体_GB2312" w:cs="Arial"/>
          <w:color w:val="000000"/>
          <w:kern w:val="0"/>
          <w:sz w:val="32"/>
          <w:szCs w:val="32"/>
        </w:rPr>
      </w:pPr>
      <w:r>
        <w:rPr>
          <w:rFonts w:hint="eastAsia" w:ascii="楷体_GB2312" w:hAnsi="宋体" w:eastAsia="楷体_GB2312" w:cs="Arial"/>
          <w:color w:val="000000"/>
          <w:kern w:val="0"/>
          <w:sz w:val="32"/>
          <w:szCs w:val="32"/>
        </w:rPr>
        <w:t>（二）作业方式</w:t>
      </w:r>
    </w:p>
    <w:p>
      <w:pPr>
        <w:shd w:val="clear" w:color="auto" w:fill="FFFFFF"/>
        <w:spacing w:line="520" w:lineRule="exact"/>
        <w:ind w:firstLine="640" w:firstLineChars="200"/>
        <w:rPr>
          <w:rFonts w:ascii="仿宋_GB2312" w:hAnsi="宋体" w:eastAsia="仿宋_GB2312" w:cs="Arial"/>
          <w:color w:val="000000"/>
          <w:kern w:val="0"/>
          <w:sz w:val="32"/>
          <w:szCs w:val="32"/>
        </w:rPr>
      </w:pPr>
      <w:r>
        <w:rPr>
          <w:rFonts w:hint="eastAsia" w:ascii="仿宋_GB2312" w:hAnsi="宋体" w:eastAsia="仿宋_GB2312" w:cs="Arial"/>
          <w:color w:val="000000"/>
          <w:kern w:val="0"/>
          <w:sz w:val="32"/>
          <w:szCs w:val="32"/>
        </w:rPr>
        <w:t>1.果屑箱的内桶应套装专用环保垃圾袋，清掏时扎口连袋收运，禁止将零散垃圾直接倒入收集车内。</w:t>
      </w:r>
      <w:r>
        <w:rPr>
          <w:rFonts w:hint="eastAsia" w:ascii="仿宋_GB2312" w:hAnsi="Calibri" w:eastAsia="仿宋_GB2312"/>
          <w:sz w:val="32"/>
          <w:szCs w:val="32"/>
        </w:rPr>
        <w:t>未按要求实施，每项每处扣0.5分。</w:t>
      </w:r>
    </w:p>
    <w:p>
      <w:pPr>
        <w:shd w:val="clear" w:color="auto" w:fill="FFFFFF"/>
        <w:spacing w:line="520" w:lineRule="exact"/>
        <w:ind w:firstLine="640" w:firstLineChars="200"/>
        <w:rPr>
          <w:rFonts w:ascii="仿宋_GB2312" w:hAnsi="宋体" w:eastAsia="仿宋_GB2312" w:cs="Arial"/>
          <w:color w:val="000000"/>
          <w:kern w:val="0"/>
          <w:sz w:val="32"/>
          <w:szCs w:val="32"/>
        </w:rPr>
      </w:pPr>
      <w:r>
        <w:rPr>
          <w:rFonts w:hint="eastAsia" w:ascii="仿宋_GB2312" w:hAnsi="宋体" w:eastAsia="仿宋_GB2312" w:cs="Arial"/>
          <w:color w:val="000000"/>
          <w:kern w:val="0"/>
          <w:sz w:val="32"/>
          <w:szCs w:val="32"/>
        </w:rPr>
        <w:t>2.连袋清掏垃圾后内桶重新套装专用环保垃圾袋，须将重新套好垃圾袋的内桶复位并关闭箱门，再对箱体及地面进行保洁。</w:t>
      </w:r>
      <w:r>
        <w:rPr>
          <w:rFonts w:hint="eastAsia" w:ascii="仿宋_GB2312" w:hAnsi="Calibri" w:eastAsia="仿宋_GB2312"/>
          <w:sz w:val="32"/>
          <w:szCs w:val="32"/>
        </w:rPr>
        <w:t>未按要求实施，每项每处扣0.5分。</w:t>
      </w:r>
    </w:p>
    <w:p>
      <w:pPr>
        <w:shd w:val="clear" w:color="auto" w:fill="FFFFFF"/>
        <w:spacing w:line="520" w:lineRule="exact"/>
        <w:ind w:firstLine="640" w:firstLineChars="200"/>
        <w:rPr>
          <w:rFonts w:ascii="楷体_GB2312" w:hAnsi="宋体" w:eastAsia="楷体_GB2312" w:cs="Arial"/>
          <w:color w:val="000000"/>
          <w:kern w:val="0"/>
          <w:sz w:val="32"/>
          <w:szCs w:val="32"/>
        </w:rPr>
      </w:pPr>
      <w:r>
        <w:rPr>
          <w:rFonts w:hint="eastAsia" w:ascii="楷体_GB2312" w:hAnsi="宋体" w:eastAsia="楷体_GB2312" w:cs="Arial"/>
          <w:color w:val="000000"/>
          <w:kern w:val="0"/>
          <w:sz w:val="32"/>
          <w:szCs w:val="32"/>
        </w:rPr>
        <w:t>（三）作业标准</w:t>
      </w:r>
    </w:p>
    <w:p>
      <w:pPr>
        <w:shd w:val="clear" w:color="auto" w:fill="FFFFFF"/>
        <w:spacing w:line="520" w:lineRule="exact"/>
        <w:ind w:firstLine="640" w:firstLineChars="200"/>
        <w:rPr>
          <w:rFonts w:ascii="仿宋_GB2312" w:hAnsi="宋体" w:eastAsia="仿宋_GB2312" w:cs="Arial"/>
          <w:color w:val="000000"/>
          <w:kern w:val="0"/>
          <w:sz w:val="32"/>
          <w:szCs w:val="32"/>
        </w:rPr>
      </w:pPr>
      <w:r>
        <w:rPr>
          <w:rFonts w:hint="eastAsia" w:ascii="仿宋_GB2312" w:hAnsi="宋体" w:eastAsia="仿宋_GB2312" w:cs="Arial"/>
          <w:color w:val="000000"/>
          <w:kern w:val="0"/>
          <w:sz w:val="32"/>
          <w:szCs w:val="32"/>
        </w:rPr>
        <w:t>果屑箱、垃圾桶内的垃圾日产日清，无满溢现象，投放口周边整洁，无垃圾悬挂；箱（桶）体周围地面无撒落存留垃圾、无陈旧油污，箱（桶）体无破损、无锈迹、无污垢、无污渍，外观干净整洁。果屑箱清掏后及时套袋并复位关闭箱门；垃圾桶收运后及时复位。</w:t>
      </w:r>
      <w:r>
        <w:rPr>
          <w:rFonts w:hint="eastAsia" w:ascii="仿宋_GB2312" w:hAnsi="Calibri" w:eastAsia="仿宋_GB2312"/>
          <w:sz w:val="32"/>
          <w:szCs w:val="32"/>
        </w:rPr>
        <w:t>未达标，每项每处扣0.5分。</w:t>
      </w:r>
    </w:p>
    <w:p>
      <w:pPr>
        <w:shd w:val="clear" w:color="auto" w:fill="FFFFFF"/>
        <w:spacing w:line="520" w:lineRule="exact"/>
        <w:ind w:firstLine="640" w:firstLineChars="200"/>
        <w:rPr>
          <w:rFonts w:ascii="黑体" w:hAnsi="黑体" w:eastAsia="黑体"/>
          <w:sz w:val="32"/>
          <w:szCs w:val="32"/>
        </w:rPr>
      </w:pPr>
      <w:r>
        <w:rPr>
          <w:rFonts w:hint="eastAsia" w:ascii="黑体" w:hAnsi="黑体" w:eastAsia="黑体"/>
          <w:sz w:val="32"/>
          <w:szCs w:val="32"/>
        </w:rPr>
        <w:t>五、袋装化生活垃圾</w:t>
      </w:r>
    </w:p>
    <w:p>
      <w:pPr>
        <w:spacing w:line="520" w:lineRule="exact"/>
        <w:rPr>
          <w:rFonts w:ascii="楷体_GB2312" w:hAnsi="Calibri" w:eastAsia="楷体_GB2312"/>
          <w:sz w:val="32"/>
          <w:szCs w:val="32"/>
        </w:rPr>
      </w:pPr>
      <w:r>
        <w:rPr>
          <w:rFonts w:hint="eastAsia" w:ascii="仿宋_GB2312" w:hAnsi="Calibri" w:eastAsia="仿宋_GB2312"/>
          <w:sz w:val="32"/>
          <w:szCs w:val="32"/>
        </w:rPr>
        <w:t xml:space="preserve">    </w:t>
      </w:r>
      <w:r>
        <w:rPr>
          <w:rFonts w:hint="eastAsia" w:ascii="楷体_GB2312" w:hAnsi="Calibri" w:eastAsia="楷体_GB2312"/>
          <w:sz w:val="32"/>
          <w:szCs w:val="32"/>
        </w:rPr>
        <w:t>（一）作业时间及频次</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1.小区住户、机关企事业单位、居民小区实行全时段定人定时收运，按每天上午7：30—11：00，下午13:30</w:t>
      </w:r>
      <w:r>
        <w:rPr>
          <w:rFonts w:hint="eastAsia" w:ascii="仿宋_GB2312" w:hAnsi="Calibri" w:eastAsia="仿宋_GB2312"/>
          <w:sz w:val="32"/>
          <w:szCs w:val="32"/>
        </w:rPr>
        <w:softHyphen/>
      </w:r>
      <w:r>
        <w:rPr>
          <w:rFonts w:hint="eastAsia" w:ascii="仿宋_GB2312" w:hAnsi="Calibri" w:eastAsia="仿宋_GB2312"/>
          <w:sz w:val="32"/>
          <w:szCs w:val="32"/>
        </w:rPr>
        <w:t>—16：30，晚上20：00-23：00三个时段，集中进行。未按要求实施，每项每处扣2分。</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2.临街店铺生活垃圾、果屑箱垃圾实行全时段定人定时循环收运，每小时循环收集不少于1次。未按要求实施，每项每处扣2分。</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3.大型餐饮企业、重点企事业单位及小区实行预约收集。未按要求实施，每项每处扣2分。</w:t>
      </w:r>
    </w:p>
    <w:p>
      <w:pPr>
        <w:spacing w:line="520" w:lineRule="exact"/>
        <w:rPr>
          <w:rFonts w:ascii="楷体_GB2312" w:hAnsi="Calibri" w:eastAsia="楷体_GB2312"/>
          <w:sz w:val="32"/>
          <w:szCs w:val="32"/>
        </w:rPr>
      </w:pPr>
      <w:r>
        <w:rPr>
          <w:rFonts w:hint="eastAsia" w:ascii="仿宋_GB2312" w:hAnsi="Calibri" w:eastAsia="仿宋_GB2312"/>
          <w:sz w:val="32"/>
          <w:szCs w:val="32"/>
        </w:rPr>
        <w:t xml:space="preserve">    </w:t>
      </w:r>
      <w:r>
        <w:rPr>
          <w:rFonts w:hint="eastAsia" w:ascii="楷体_GB2312" w:hAnsi="Calibri" w:eastAsia="楷体_GB2312"/>
          <w:sz w:val="32"/>
          <w:szCs w:val="32"/>
        </w:rPr>
        <w:t>（二）作业方式</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1.袋装垃圾应按定时、定点、定人的规定，及时收集、中转、清运，不得积存，做到日产日清。未按要求实施，每项每处扣2分。</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2.大件垃圾采用专用大件垃圾收运汽车收运。未按要求实施，每次每处扣2分。</w:t>
      </w:r>
    </w:p>
    <w:p>
      <w:pPr>
        <w:spacing w:line="520" w:lineRule="exact"/>
        <w:rPr>
          <w:rFonts w:ascii="楷体_GB2312" w:hAnsi="Calibri" w:eastAsia="楷体_GB2312"/>
          <w:sz w:val="32"/>
          <w:szCs w:val="32"/>
        </w:rPr>
      </w:pPr>
      <w:r>
        <w:rPr>
          <w:rFonts w:hint="eastAsia" w:ascii="仿宋_GB2312" w:hAnsi="Calibri" w:eastAsia="仿宋_GB2312"/>
          <w:sz w:val="32"/>
          <w:szCs w:val="32"/>
        </w:rPr>
        <w:t xml:space="preserve">    </w:t>
      </w:r>
      <w:r>
        <w:rPr>
          <w:rFonts w:hint="eastAsia" w:ascii="楷体_GB2312" w:hAnsi="Calibri" w:eastAsia="楷体_GB2312"/>
          <w:sz w:val="32"/>
          <w:szCs w:val="32"/>
        </w:rPr>
        <w:t>（三）作业标准</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1.袋装垃圾收运车辆按照招标文件要求应做到密闭完好，保持车容整洁，不得在装卸、运输中抛、撒、滴、漏或乱倾倒生活垃圾。未达标准，每项每处扣0.5分。</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2.袋装化收运车辆、垃圾桶、中转房等设施必须保持完好、整洁，不得影响周边环境卫生。未达标准，每项每处扣0.5分。</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3.垃圾中转点（房）有专人管理。垃圾中转点（房）及其周边无积存袋装化垃圾，无其他杂物，每日地面随时保持干净，无蚊蝇、蛆虫，每日转运完毕后，必须进行消杀、清洗，并做好转运车辆、转运时间、消杀、清洗记录。未达标准，每项每处扣0.5分。</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4.大件垃圾未及时收运处置，每次每处扣1分。</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5.街面“黑包子”清运不及时，每次每处扣1分。</w:t>
      </w:r>
    </w:p>
    <w:p>
      <w:pPr>
        <w:shd w:val="clear" w:color="auto" w:fill="FFFFFF"/>
        <w:spacing w:line="520" w:lineRule="exact"/>
        <w:ind w:firstLine="640" w:firstLineChars="200"/>
        <w:rPr>
          <w:rFonts w:ascii="黑体" w:hAnsi="黑体" w:eastAsia="黑体"/>
          <w:sz w:val="32"/>
          <w:szCs w:val="32"/>
        </w:rPr>
      </w:pPr>
      <w:r>
        <w:rPr>
          <w:rFonts w:hint="eastAsia" w:ascii="黑体" w:hAnsi="黑体" w:eastAsia="黑体"/>
          <w:sz w:val="32"/>
          <w:szCs w:val="32"/>
        </w:rPr>
        <w:t>六、公共厕所</w:t>
      </w:r>
    </w:p>
    <w:p>
      <w:pPr>
        <w:spacing w:line="520" w:lineRule="exact"/>
        <w:ind w:firstLine="640" w:firstLineChars="200"/>
        <w:rPr>
          <w:rFonts w:ascii="楷体_GB2312" w:hAnsi="Calibri" w:eastAsia="楷体_GB2312"/>
          <w:sz w:val="32"/>
          <w:szCs w:val="32"/>
        </w:rPr>
      </w:pPr>
      <w:r>
        <w:rPr>
          <w:rFonts w:hint="eastAsia" w:ascii="楷体_GB2312" w:hAnsi="Calibri" w:eastAsia="楷体_GB2312"/>
          <w:sz w:val="32"/>
          <w:szCs w:val="32"/>
        </w:rPr>
        <w:t>（一）作业时间及频次</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1.开放时间为每日06:00－23:00，具备条件的公厕实行24小时开放。未按要求实施，每座扣2分。</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2.使用清洁工具清除公厕内的蛛网及墙面积尘、污迹，每日1次。未按要求实施，每座扣0.5分。</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3.使用干净毛巾擦洗门窗、洗手器具、小便站位隔板、大便厕位门及隔断板、瓷砖墙面，每日至少1次。未按要求实施，每座扣0.5分。</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4.使用塑料扫帚清除地面及蹲台废弃物、使用干净湿拖把（不滴水）清洁地面、蹲台；每日至少2次并见脏及时清洁。使用清洁剂清洗便器，每日2次。未按要求实施，每座扣0.5分。</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5.使用水刮器、毛巾清除洗手盆台面、面镜积水，及时清洁。每处积水扣0.5分</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6.废纸容器内的废弃物即满即清。未按要求实施，每座扣0.5分。</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7.清除室外周边（5米）废弃物，每日3次。未按要求实施，每座扣0.5分。</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8.喷洒消毒药水，春冬两季每日一次、夏秋两季每日2次。每少一次，扣1分。</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9.每周全面清洁、消毒、除尘1次，并做好记录登记。未按要求实施，每座扣0.5分。</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10.每日3次巡查设施、设备并做好巡查记录登记，及时进行维护保养，保证给排水、照明、器具等功能完好。对合同约定自行维保范围内的，及时维保；合同约定自行维保范围外的，上报市容中心及时安排维保。未按要求实施，每次扣1分。</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11.每周对公共厕所化粪池和排溢口通道进行清理，保证畅通无阻塞。未按要求实施，每处扣2分。</w:t>
      </w:r>
    </w:p>
    <w:p>
      <w:pPr>
        <w:spacing w:line="520" w:lineRule="exact"/>
        <w:ind w:firstLine="640" w:firstLineChars="200"/>
        <w:rPr>
          <w:rFonts w:ascii="楷体_GB2312" w:hAnsi="Calibri" w:eastAsia="楷体_GB2312"/>
          <w:sz w:val="32"/>
          <w:szCs w:val="32"/>
        </w:rPr>
      </w:pPr>
      <w:r>
        <w:rPr>
          <w:rFonts w:hint="eastAsia" w:ascii="楷体_GB2312" w:hAnsi="Calibri" w:eastAsia="楷体_GB2312"/>
          <w:sz w:val="32"/>
          <w:szCs w:val="32"/>
        </w:rPr>
        <w:t>（二）作业标准</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1.公共厕所内采光、照明和通风良好，无异味。未达标准，每项每处扣0.5分。</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2.公共厕所内地面洁净，无积水，无烟头，无纸屑，无痰迹和其他杂物。未达标准，每项每处扣0.5分。</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3.墙面、天花板、门窗和隔断板洁净，无积灰，无污迹，无蛛网，无乱涂乱画。未达标准，每项每处扣0.5分。</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4.卫生洁具整洁，无积存物，无粪便痕迹，无积尿积水，管道畅通无堵塞。未达标准，每项每处扣0.5分。</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5.管理间（工具间）清洁工具、物品摆放整洁有序，无杂物，无闲杂人员，不得挪作它用。未达标准，每项每处扣0.5分。</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6.外墙、屋顶及责任区域内整洁，无杂物堆积，墙面光洁完好，无污蚀，无渗漏，窗栅、门窗玻璃无破损。未达标准，每项每处扣0.5分。</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7.贮粪池盖密闭，无污物满溢，周围无粪便，无积水，无蚊蝇，无杂草。未达标准，每项每处扣0.5分。</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8.公厕外3米范围内，环境整洁，无卫生死角、建设红线或实际管理范围内无垃圾、粪便、污水、杂草、废土以及乱堆杂物现象。未达标准，每项每处扣0.5分。</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9.公共厕所导向标识醒目、规范，配置齐全，使用完好。公共厕所等级、保洁标准、开放时间、责任人、监督电话等设置在公共厕所墙面醒目位置，便于社会监督。未达标准，每项每处扣0.5分。</w:t>
      </w:r>
    </w:p>
    <w:p>
      <w:pPr>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10.公共厕所照明灯具、标志、洗手器具、镜子、挂衣钩、烘手器、窨井盖、给排水管道、照明线路等设施应定时检修，无缺损渗漏、无积灰、污物；无障碍通道畅通。未达标准，每项每处扣0.5分。</w:t>
      </w:r>
    </w:p>
    <w:p>
      <w:pPr>
        <w:shd w:val="clear" w:color="auto" w:fill="FFFFFF"/>
        <w:spacing w:line="520" w:lineRule="exact"/>
        <w:ind w:firstLine="640" w:firstLineChars="200"/>
        <w:rPr>
          <w:rFonts w:ascii="黑体" w:hAnsi="黑体" w:eastAsia="黑体"/>
          <w:sz w:val="32"/>
          <w:szCs w:val="32"/>
        </w:rPr>
      </w:pPr>
      <w:r>
        <w:rPr>
          <w:rFonts w:hint="eastAsia" w:ascii="黑体" w:hAnsi="黑体" w:eastAsia="黑体" w:cs="宋体"/>
          <w:sz w:val="32"/>
          <w:szCs w:val="32"/>
        </w:rPr>
        <w:t>七、</w:t>
      </w:r>
      <w:r>
        <w:rPr>
          <w:rFonts w:hint="eastAsia" w:ascii="黑体" w:hAnsi="黑体" w:eastAsia="黑体"/>
          <w:sz w:val="32"/>
          <w:szCs w:val="32"/>
        </w:rPr>
        <w:t>机非隔离栏清洗</w:t>
      </w:r>
    </w:p>
    <w:p>
      <w:pPr>
        <w:spacing w:line="520" w:lineRule="exact"/>
        <w:ind w:firstLine="573"/>
        <w:jc w:val="left"/>
        <w:rPr>
          <w:rFonts w:ascii="楷体_GB2312" w:hAnsi="宋体" w:eastAsia="楷体_GB2312"/>
          <w:sz w:val="32"/>
          <w:szCs w:val="32"/>
        </w:rPr>
      </w:pPr>
      <w:r>
        <w:rPr>
          <w:rFonts w:hint="eastAsia" w:ascii="楷体_GB2312" w:hAnsi="宋体" w:eastAsia="楷体_GB2312"/>
          <w:sz w:val="32"/>
          <w:szCs w:val="32"/>
        </w:rPr>
        <w:t>（一）作业时间及频次</w:t>
      </w:r>
    </w:p>
    <w:p>
      <w:pPr>
        <w:spacing w:line="520" w:lineRule="exact"/>
        <w:ind w:firstLine="573"/>
        <w:jc w:val="left"/>
        <w:rPr>
          <w:rFonts w:ascii="仿宋_GB2312" w:hAnsi="宋体" w:eastAsia="仿宋_GB2312"/>
          <w:sz w:val="32"/>
          <w:szCs w:val="32"/>
        </w:rPr>
      </w:pPr>
      <w:r>
        <w:rPr>
          <w:rFonts w:hint="eastAsia" w:ascii="仿宋_GB2312" w:hAnsi="宋体" w:eastAsia="仿宋_GB2312"/>
          <w:sz w:val="32"/>
          <w:szCs w:val="32"/>
        </w:rPr>
        <w:t>1.每日上午9:00前对隔离墩、隔离栏完成擦洗，其余时段不间断巡回保洁。</w:t>
      </w:r>
      <w:r>
        <w:rPr>
          <w:rFonts w:hint="eastAsia" w:ascii="仿宋_GB2312" w:hAnsi="Calibri" w:eastAsia="仿宋_GB2312"/>
          <w:sz w:val="32"/>
          <w:szCs w:val="32"/>
        </w:rPr>
        <w:t>未按要求实施，每处扣2分。</w:t>
      </w:r>
    </w:p>
    <w:p>
      <w:pPr>
        <w:spacing w:line="520" w:lineRule="exact"/>
        <w:ind w:firstLine="573"/>
        <w:jc w:val="left"/>
        <w:rPr>
          <w:rFonts w:ascii="楷体_GB2312" w:hAnsi="宋体" w:eastAsia="楷体_GB2312"/>
          <w:sz w:val="32"/>
          <w:szCs w:val="32"/>
        </w:rPr>
      </w:pPr>
      <w:r>
        <w:rPr>
          <w:rFonts w:hint="eastAsia" w:ascii="楷体_GB2312" w:hAnsi="宋体" w:eastAsia="楷体_GB2312"/>
          <w:sz w:val="32"/>
          <w:szCs w:val="32"/>
        </w:rPr>
        <w:t>（二）作业方式</w:t>
      </w:r>
    </w:p>
    <w:p>
      <w:pPr>
        <w:spacing w:line="520" w:lineRule="exact"/>
        <w:ind w:firstLine="573"/>
        <w:jc w:val="left"/>
        <w:rPr>
          <w:rFonts w:ascii="仿宋_GB2312" w:hAnsi="宋体" w:eastAsia="仿宋_GB2312"/>
          <w:sz w:val="32"/>
          <w:szCs w:val="32"/>
        </w:rPr>
      </w:pPr>
      <w:r>
        <w:rPr>
          <w:rFonts w:hint="eastAsia" w:ascii="仿宋_GB2312" w:hAnsi="宋体" w:eastAsia="仿宋_GB2312"/>
          <w:sz w:val="32"/>
          <w:szCs w:val="32"/>
        </w:rPr>
        <w:t>1.适合机械化作业的，采用机械高压冲洗与人工干</w:t>
      </w:r>
      <w:r>
        <w:rPr>
          <w:rFonts w:hint="eastAsia" w:ascii="仿宋_GB2312" w:hAnsi="宋体" w:eastAsia="仿宋_GB2312"/>
          <w:spacing w:val="-13"/>
          <w:sz w:val="32"/>
          <w:szCs w:val="32"/>
        </w:rPr>
        <w:t>净毛巾相结合的方式进行擦洗。</w:t>
      </w:r>
      <w:r>
        <w:rPr>
          <w:rFonts w:hint="eastAsia" w:ascii="仿宋_GB2312" w:hAnsi="Calibri" w:eastAsia="仿宋_GB2312"/>
          <w:spacing w:val="-13"/>
          <w:sz w:val="32"/>
          <w:szCs w:val="32"/>
        </w:rPr>
        <w:t>未按要求实施，每处扣2</w:t>
      </w:r>
      <w:r>
        <w:rPr>
          <w:rFonts w:hint="eastAsia" w:ascii="仿宋_GB2312" w:hAnsi="Calibri" w:eastAsia="仿宋_GB2312"/>
          <w:sz w:val="32"/>
          <w:szCs w:val="32"/>
        </w:rPr>
        <w:t>分。</w:t>
      </w:r>
    </w:p>
    <w:p>
      <w:pPr>
        <w:spacing w:line="520" w:lineRule="exact"/>
        <w:jc w:val="left"/>
        <w:rPr>
          <w:rFonts w:ascii="仿宋_GB2312" w:hAnsi="宋体" w:eastAsia="仿宋_GB2312"/>
          <w:sz w:val="32"/>
          <w:szCs w:val="32"/>
        </w:rPr>
      </w:pPr>
      <w:r>
        <w:rPr>
          <w:rFonts w:hint="eastAsia" w:ascii="仿宋_GB2312" w:hAnsi="宋体" w:eastAsia="仿宋_GB2312"/>
          <w:sz w:val="32"/>
          <w:szCs w:val="32"/>
        </w:rPr>
        <w:t xml:space="preserve">    2.不适合机械化作业的，使用干净湿毛巾与干毛巾相结合的方式进行擦洗。</w:t>
      </w:r>
      <w:r>
        <w:rPr>
          <w:rFonts w:hint="eastAsia" w:ascii="仿宋_GB2312" w:hAnsi="Calibri" w:eastAsia="仿宋_GB2312"/>
          <w:sz w:val="32"/>
          <w:szCs w:val="32"/>
        </w:rPr>
        <w:t>未按要求实施，每处扣2分。</w:t>
      </w:r>
    </w:p>
    <w:p>
      <w:pPr>
        <w:spacing w:line="520" w:lineRule="exact"/>
        <w:jc w:val="left"/>
        <w:rPr>
          <w:rFonts w:ascii="楷体_GB2312" w:hAnsi="宋体" w:eastAsia="楷体_GB2312"/>
          <w:sz w:val="32"/>
          <w:szCs w:val="32"/>
        </w:rPr>
      </w:pPr>
      <w:r>
        <w:rPr>
          <w:rFonts w:hint="eastAsia" w:ascii="仿宋_GB2312" w:hAnsi="宋体" w:eastAsia="仿宋_GB2312"/>
          <w:sz w:val="32"/>
          <w:szCs w:val="32"/>
        </w:rPr>
        <w:t xml:space="preserve">   </w:t>
      </w:r>
      <w:r>
        <w:rPr>
          <w:rFonts w:hint="eastAsia" w:ascii="楷体_GB2312" w:hAnsi="宋体" w:eastAsia="楷体_GB2312"/>
          <w:sz w:val="32"/>
          <w:szCs w:val="32"/>
        </w:rPr>
        <w:t xml:space="preserve"> （三）作业标准</w:t>
      </w:r>
    </w:p>
    <w:p>
      <w:pPr>
        <w:spacing w:line="520" w:lineRule="exact"/>
        <w:jc w:val="left"/>
        <w:rPr>
          <w:rFonts w:ascii="仿宋_GB2312" w:hAnsi="宋体" w:eastAsia="仿宋_GB2312"/>
          <w:sz w:val="32"/>
          <w:szCs w:val="32"/>
        </w:rPr>
      </w:pPr>
      <w:r>
        <w:rPr>
          <w:rFonts w:hint="eastAsia" w:ascii="仿宋_GB2312" w:hAnsi="宋体" w:eastAsia="仿宋_GB2312"/>
          <w:sz w:val="32"/>
          <w:szCs w:val="32"/>
        </w:rPr>
        <w:t xml:space="preserve">    1.隔离墩、隔离栏无明显灰尘、污迹。未达标，每项每处扣0.5分。</w:t>
      </w:r>
    </w:p>
    <w:p>
      <w:pPr>
        <w:spacing w:line="520" w:lineRule="exact"/>
        <w:jc w:val="left"/>
        <w:rPr>
          <w:rFonts w:ascii="仿宋_GB2312" w:hAnsi="宋体" w:eastAsia="仿宋_GB2312"/>
          <w:sz w:val="32"/>
          <w:szCs w:val="32"/>
        </w:rPr>
      </w:pPr>
      <w:r>
        <w:rPr>
          <w:rFonts w:hint="eastAsia" w:ascii="仿宋_GB2312" w:hAnsi="宋体" w:eastAsia="仿宋_GB2312"/>
          <w:sz w:val="32"/>
          <w:szCs w:val="32"/>
        </w:rPr>
        <w:t xml:space="preserve">    2.隔离墩各孔内干净，全天保持隔离墩、隔离栏干净。未达标，每项每处扣0.5分。</w:t>
      </w:r>
    </w:p>
    <w:p>
      <w:pPr>
        <w:spacing w:line="520" w:lineRule="exact"/>
        <w:jc w:val="left"/>
        <w:rPr>
          <w:rFonts w:ascii="仿宋_GB2312" w:hAnsi="宋体" w:eastAsia="仿宋_GB2312"/>
          <w:sz w:val="32"/>
          <w:szCs w:val="32"/>
        </w:rPr>
      </w:pPr>
      <w:r>
        <w:rPr>
          <w:rFonts w:hint="eastAsia" w:ascii="仿宋_GB2312" w:hAnsi="宋体" w:eastAsia="仿宋_GB2312"/>
          <w:sz w:val="32"/>
          <w:szCs w:val="32"/>
        </w:rPr>
        <w:t xml:space="preserve">    3.及时处理因道路冲洗等原因造成对隔离墩、隔离栏的二次污染。未达标，每项每处扣0.5分。</w:t>
      </w:r>
    </w:p>
    <w:p>
      <w:pPr>
        <w:shd w:val="clear" w:color="auto" w:fill="FFFFFF"/>
        <w:spacing w:line="520" w:lineRule="exact"/>
        <w:ind w:firstLine="640" w:firstLineChars="200"/>
        <w:rPr>
          <w:rFonts w:ascii="黑体" w:hAnsi="黑体" w:eastAsia="黑体"/>
          <w:sz w:val="32"/>
          <w:szCs w:val="32"/>
        </w:rPr>
      </w:pPr>
      <w:r>
        <w:rPr>
          <w:rFonts w:hint="eastAsia" w:ascii="黑体" w:hAnsi="黑体" w:eastAsia="黑体"/>
          <w:sz w:val="32"/>
          <w:szCs w:val="32"/>
        </w:rPr>
        <w:t>八、环卫机具人员</w:t>
      </w:r>
    </w:p>
    <w:p>
      <w:pPr>
        <w:widowControl/>
        <w:spacing w:line="520" w:lineRule="exact"/>
        <w:rPr>
          <w:rFonts w:ascii="楷体_GB2312" w:hAnsi="仿宋_GB2312" w:eastAsia="楷体_GB2312" w:cs="仿宋_GB2312"/>
          <w:sz w:val="32"/>
          <w:szCs w:val="32"/>
        </w:rPr>
      </w:pPr>
      <w:r>
        <w:rPr>
          <w:rFonts w:hint="eastAsia" w:ascii="仿宋_GB2312" w:hAnsi="仿宋_GB2312" w:eastAsia="仿宋_GB2312" w:cs="仿宋_GB2312"/>
          <w:sz w:val="32"/>
          <w:szCs w:val="32"/>
        </w:rPr>
        <w:t xml:space="preserve">    </w:t>
      </w:r>
      <w:r>
        <w:rPr>
          <w:rFonts w:hint="eastAsia" w:ascii="楷体_GB2312" w:hAnsi="仿宋_GB2312" w:eastAsia="楷体_GB2312" w:cs="仿宋_GB2312"/>
          <w:sz w:val="32"/>
          <w:szCs w:val="32"/>
        </w:rPr>
        <w:t>（一）机具</w:t>
      </w:r>
    </w:p>
    <w:p>
      <w:pPr>
        <w:widowControl/>
        <w:spacing w:line="52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1.环卫作业公司应当严格执行合同约定，保证设施设备和作业机具的种类、功能、数量配置到位。</w:t>
      </w:r>
      <w:r>
        <w:rPr>
          <w:rFonts w:hint="eastAsia" w:ascii="仿宋_GB2312" w:hAnsi="Calibri" w:eastAsia="仿宋_GB2312"/>
          <w:sz w:val="32"/>
          <w:szCs w:val="32"/>
        </w:rPr>
        <w:t>未达标准，每台次扣5分。</w:t>
      </w:r>
    </w:p>
    <w:p>
      <w:pPr>
        <w:widowControl/>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2.环卫作业机动车、督查车，车门两侧必须印制“郫都区城区环卫作业XX包件，XX公司项目部”；环卫作业机动车，后车厢驾驶员侧统一印制“美丽郫都”，后车厢副驾驶侧统一印制“服务民生”字样。市城管委下发新标准后，按新标准执行。未达标准，每台次扣5分。</w:t>
      </w:r>
    </w:p>
    <w:p>
      <w:pPr>
        <w:widowControl/>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3.电动三轮快保车、电动三轮垃圾收集车等小型环卫作业车辆，</w:t>
      </w:r>
      <w:r>
        <w:rPr>
          <w:rFonts w:hint="eastAsia" w:ascii="仿宋_GB2312" w:hAnsi="仿宋_GB2312" w:eastAsia="仿宋_GB2312" w:cs="仿宋_GB2312"/>
          <w:sz w:val="32"/>
          <w:szCs w:val="32"/>
        </w:rPr>
        <w:t>按相关规定进行标识。</w:t>
      </w:r>
      <w:r>
        <w:rPr>
          <w:rFonts w:hint="eastAsia" w:ascii="仿宋_GB2312" w:hAnsi="Calibri" w:eastAsia="仿宋_GB2312"/>
          <w:sz w:val="32"/>
          <w:szCs w:val="32"/>
        </w:rPr>
        <w:t>未达标准，每台次扣5分。</w:t>
      </w:r>
    </w:p>
    <w:p>
      <w:pPr>
        <w:shd w:val="clear" w:color="auto" w:fill="FFFFFF"/>
        <w:spacing w:line="520" w:lineRule="exact"/>
        <w:ind w:firstLine="640" w:firstLineChars="200"/>
        <w:jc w:val="left"/>
        <w:rPr>
          <w:rFonts w:ascii="仿宋_GB2312" w:hAnsi="Calibri" w:eastAsia="仿宋_GB2312"/>
          <w:sz w:val="32"/>
          <w:szCs w:val="32"/>
        </w:rPr>
      </w:pPr>
      <w:r>
        <w:rPr>
          <w:rFonts w:hint="eastAsia" w:ascii="仿宋_GB2312" w:hAnsi="仿宋_GB2312" w:eastAsia="仿宋_GB2312" w:cs="仿宋_GB2312"/>
          <w:sz w:val="32"/>
          <w:szCs w:val="32"/>
        </w:rPr>
        <w:t>4.</w:t>
      </w:r>
      <w:r>
        <w:rPr>
          <w:rFonts w:hint="eastAsia" w:ascii="仿宋_GB2312" w:hAnsi="Calibri" w:eastAsia="仿宋_GB2312"/>
          <w:sz w:val="32"/>
          <w:szCs w:val="32"/>
        </w:rPr>
        <w:t xml:space="preserve"> 作业机具未安装GPS或未接驳属地街道（镇）和区综合执法局监管平台、卫星定位（GPS）运行不正常，每台次扣5分。</w:t>
      </w:r>
    </w:p>
    <w:p>
      <w:pPr>
        <w:spacing w:line="520" w:lineRule="exact"/>
        <w:ind w:firstLine="640" w:firstLineChars="200"/>
        <w:rPr>
          <w:rFonts w:ascii="仿宋_GB2312" w:hAnsi="Calibri" w:eastAsia="仿宋_GB2312"/>
          <w:sz w:val="32"/>
          <w:szCs w:val="32"/>
        </w:rPr>
      </w:pPr>
      <w:r>
        <w:rPr>
          <w:rFonts w:hint="eastAsia" w:ascii="仿宋_GB2312" w:hAnsi="仿宋_GB2312" w:eastAsia="仿宋_GB2312" w:cs="仿宋_GB2312"/>
          <w:sz w:val="32"/>
          <w:szCs w:val="32"/>
        </w:rPr>
        <w:t>5.环卫作业机动车辆尾部须悬挂“环卫作业，请勿靠近”放大反光标志牌或安装专用诱导指示灯；</w:t>
      </w:r>
      <w:r>
        <w:rPr>
          <w:rFonts w:hint="eastAsia" w:ascii="仿宋_GB2312" w:hAnsi="Calibri" w:eastAsia="仿宋_GB2312"/>
          <w:sz w:val="32"/>
          <w:szCs w:val="32"/>
        </w:rPr>
        <w:t>电动三轮快保车尾部须悬挂“保洁作业，注意避让”。未达标准，每台次扣5分。</w:t>
      </w:r>
    </w:p>
    <w:p>
      <w:pPr>
        <w:spacing w:line="520" w:lineRule="exact"/>
        <w:ind w:firstLine="640" w:firstLineChars="200"/>
        <w:rPr>
          <w:rFonts w:ascii="仿宋_GB2312" w:hAnsi="Calibri" w:eastAsia="仿宋_GB2312"/>
          <w:sz w:val="32"/>
          <w:szCs w:val="32"/>
        </w:rPr>
      </w:pPr>
      <w:r>
        <w:rPr>
          <w:rFonts w:hint="eastAsia" w:ascii="仿宋_GB2312" w:hAnsi="仿宋_GB2312" w:eastAsia="仿宋_GB2312" w:cs="仿宋_GB2312"/>
          <w:sz w:val="32"/>
          <w:szCs w:val="32"/>
        </w:rPr>
        <w:t>6.环卫保洁作业机具应当自觉遵守“净身洁容”规定，保证车身洁净、无泥尘、无垃圾、无锈迹，整洁美观。</w:t>
      </w:r>
      <w:r>
        <w:rPr>
          <w:rFonts w:hint="eastAsia" w:ascii="仿宋_GB2312" w:hAnsi="Calibri" w:eastAsia="仿宋_GB2312"/>
          <w:sz w:val="32"/>
          <w:szCs w:val="32"/>
        </w:rPr>
        <w:t>未达标准，每项每台次扣1分。</w:t>
      </w:r>
    </w:p>
    <w:p>
      <w:pPr>
        <w:widowControl/>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7.作业机具未经同意跨区域作业，每台次扣5分。</w:t>
      </w:r>
    </w:p>
    <w:p>
      <w:pPr>
        <w:widowControl/>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8.GPS运行轨迹不正常的，每台次扣2分。</w:t>
      </w:r>
    </w:p>
    <w:p>
      <w:pPr>
        <w:widowControl/>
        <w:spacing w:line="520" w:lineRule="exact"/>
        <w:ind w:firstLine="640" w:firstLineChars="200"/>
        <w:rPr>
          <w:rFonts w:ascii="仿宋_GB2312" w:hAnsi="Calibri" w:eastAsia="仿宋_GB2312"/>
          <w:sz w:val="32"/>
          <w:szCs w:val="32"/>
        </w:rPr>
      </w:pPr>
      <w:r>
        <w:rPr>
          <w:rFonts w:hint="eastAsia" w:ascii="仿宋_GB2312" w:hAnsi="Calibri" w:eastAsia="仿宋_GB2312"/>
          <w:sz w:val="32"/>
          <w:szCs w:val="32"/>
        </w:rPr>
        <w:t>9.作业单位应当备存作业机具、人员的作业场景图片、有关人员签字记录、作业车辆车牌号和司机、辅助人员签字记录、作业车辆行驶轨迹记录等有关图、表、文字、影像记载。未达标准，每项扣0.5分。</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10.作业车辆年审、定期维保等，未提前两天书面报局市容中心备案，或未同时报应急措施的，每台次扣5分。车辆故障等突发情况，未及时报市容中心备案，或未同时报应急措施的，每台次扣2分。</w:t>
      </w:r>
    </w:p>
    <w:p>
      <w:pPr>
        <w:widowControl/>
        <w:spacing w:line="520" w:lineRule="exact"/>
        <w:rPr>
          <w:rFonts w:ascii="楷体_GB2312" w:hAnsi="仿宋_GB2312" w:eastAsia="楷体_GB2312" w:cs="仿宋_GB2312"/>
          <w:sz w:val="32"/>
          <w:szCs w:val="32"/>
        </w:rPr>
      </w:pPr>
      <w:r>
        <w:rPr>
          <w:rFonts w:hint="eastAsia" w:ascii="仿宋_GB2312" w:hAnsi="仿宋_GB2312" w:eastAsia="仿宋_GB2312" w:cs="仿宋_GB2312"/>
          <w:sz w:val="32"/>
          <w:szCs w:val="32"/>
        </w:rPr>
        <w:t xml:space="preserve"> </w:t>
      </w:r>
      <w:r>
        <w:rPr>
          <w:rFonts w:hint="eastAsia" w:ascii="楷体_GB2312" w:hAnsi="仿宋_GB2312" w:eastAsia="楷体_GB2312" w:cs="仿宋_GB2312"/>
          <w:sz w:val="32"/>
          <w:szCs w:val="32"/>
        </w:rPr>
        <w:t xml:space="preserve">   （二）作业人员</w:t>
      </w:r>
    </w:p>
    <w:p>
      <w:pPr>
        <w:widowControl/>
        <w:spacing w:line="52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1.环卫作业公司应当严格执行服务项目合同约定，足额配置作业人员。</w:t>
      </w:r>
      <w:r>
        <w:rPr>
          <w:rFonts w:hint="eastAsia" w:ascii="仿宋_GB2312" w:hAnsi="Calibri" w:eastAsia="仿宋_GB2312"/>
          <w:sz w:val="32"/>
          <w:szCs w:val="32"/>
        </w:rPr>
        <w:t>未达标准，每人次扣0.5分。</w:t>
      </w:r>
    </w:p>
    <w:p>
      <w:pPr>
        <w:spacing w:line="520" w:lineRule="exact"/>
        <w:ind w:firstLine="640" w:firstLineChars="200"/>
        <w:rPr>
          <w:rFonts w:ascii="仿宋_GB2312" w:hAnsi="Calibri" w:eastAsia="仿宋_GB2312"/>
          <w:sz w:val="32"/>
          <w:szCs w:val="32"/>
        </w:rPr>
      </w:pPr>
      <w:r>
        <w:rPr>
          <w:rFonts w:hint="eastAsia" w:ascii="仿宋_GB2312" w:hAnsi="仿宋_GB2312" w:eastAsia="仿宋_GB2312" w:cs="仿宋_GB2312"/>
          <w:sz w:val="32"/>
          <w:szCs w:val="32"/>
        </w:rPr>
        <w:t>2.环卫作业人员应当着带有夜间反光标志，统一印有所在单位（公司）中文名称、标识的服装，并佩戴工号牌上岗。</w:t>
      </w:r>
      <w:r>
        <w:rPr>
          <w:rFonts w:hint="eastAsia" w:ascii="仿宋_GB2312" w:hAnsi="Calibri" w:eastAsia="仿宋_GB2312"/>
          <w:sz w:val="32"/>
          <w:szCs w:val="32"/>
        </w:rPr>
        <w:t>未达标准，每人次扣0.5分。</w:t>
      </w:r>
    </w:p>
    <w:p>
      <w:pPr>
        <w:spacing w:line="52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3.作业人员须参加所在公司组织的培训、岗位竞赛和应急演练活动，强化安全意识，提高清扫技能，提升街面保洁质量。</w:t>
      </w:r>
      <w:r>
        <w:rPr>
          <w:rFonts w:hint="eastAsia" w:ascii="仿宋_GB2312" w:hAnsi="Calibri" w:eastAsia="仿宋_GB2312"/>
          <w:sz w:val="32"/>
          <w:szCs w:val="32"/>
        </w:rPr>
        <w:t>未达标准，每人次扣0.5分。</w:t>
      </w:r>
    </w:p>
    <w:p>
      <w:pPr>
        <w:spacing w:line="520" w:lineRule="exact"/>
        <w:rPr>
          <w:rFonts w:ascii="楷体_GB2312" w:hAnsi="Calibri" w:eastAsia="楷体_GB2312"/>
          <w:sz w:val="32"/>
          <w:szCs w:val="32"/>
        </w:rPr>
      </w:pPr>
      <w:r>
        <w:rPr>
          <w:rFonts w:hint="eastAsia" w:ascii="仿宋_GB2312" w:hAnsi="Calibri" w:eastAsia="仿宋_GB2312"/>
          <w:sz w:val="32"/>
          <w:szCs w:val="32"/>
        </w:rPr>
        <w:t xml:space="preserve">  </w:t>
      </w:r>
      <w:r>
        <w:rPr>
          <w:rFonts w:hint="eastAsia" w:ascii="楷体_GB2312" w:hAnsi="Calibri" w:eastAsia="楷体_GB2312"/>
          <w:sz w:val="32"/>
          <w:szCs w:val="32"/>
        </w:rPr>
        <w:t xml:space="preserve">  （三）安全文明作业</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1.有脱岗、到岗不到位和聚集聊天现象，翻捡垃圾，做与工作无关的事；有乱堆、乱放作业工具现象的，每人次扣0.5分。</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2.任何时段，严禁击打树叶或摇曳树木。禁止焚烧树叶等垃圾。未达标准，每人次扣2分。</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3.禁止将垃圾扫入（倒入）水篦子、绿化带、河道和排水沟等。未达标准，每人次扣2分。</w:t>
      </w:r>
    </w:p>
    <w:p>
      <w:pPr>
        <w:spacing w:line="520" w:lineRule="exact"/>
        <w:rPr>
          <w:rFonts w:ascii="仿宋_GB2312" w:hAnsi="Calibri" w:eastAsia="仿宋_GB2312"/>
          <w:sz w:val="32"/>
          <w:szCs w:val="32"/>
        </w:rPr>
      </w:pPr>
      <w:r>
        <w:rPr>
          <w:rFonts w:hint="eastAsia" w:ascii="仿宋_GB2312" w:hAnsi="Calibri" w:eastAsia="仿宋_GB2312"/>
          <w:sz w:val="32"/>
          <w:szCs w:val="32"/>
        </w:rPr>
        <w:t xml:space="preserve">    4.认真落实交接班制度，无断挡现象，服从工作安排，发现影响环境卫生的突发性问题及时汇报，积极解决。未达标准，每人次扣0.5分。</w:t>
      </w:r>
    </w:p>
    <w:p>
      <w:pPr>
        <w:spacing w:line="520" w:lineRule="exact"/>
        <w:rPr>
          <w:rFonts w:ascii="仿宋_GB2312" w:hAnsi="仿宋_GB2312" w:eastAsia="仿宋_GB2312" w:cs="仿宋_GB2312"/>
          <w:sz w:val="32"/>
          <w:szCs w:val="32"/>
        </w:rPr>
      </w:pPr>
      <w:r>
        <w:rPr>
          <w:rFonts w:hint="eastAsia" w:ascii="仿宋_GB2312" w:hAnsi="Calibri" w:eastAsia="仿宋_GB2312"/>
          <w:sz w:val="32"/>
          <w:szCs w:val="32"/>
        </w:rPr>
        <w:t xml:space="preserve">    5.作业时须设置安全警示标志。未达标准，每人（车）次扣0.5分。</w:t>
      </w:r>
    </w:p>
    <w:p>
      <w:pPr>
        <w:widowControl/>
        <w:spacing w:line="520" w:lineRule="exact"/>
        <w:ind w:firstLine="640" w:firstLineChars="200"/>
        <w:rPr>
          <w:rFonts w:ascii="黑体" w:hAnsi="黑体" w:eastAsia="黑体" w:cs="黑体"/>
          <w:sz w:val="32"/>
          <w:szCs w:val="32"/>
        </w:rPr>
      </w:pPr>
      <w:r>
        <w:rPr>
          <w:rFonts w:hint="eastAsia" w:ascii="黑体" w:hAnsi="黑体" w:eastAsia="黑体" w:cs="黑体"/>
          <w:sz w:val="32"/>
          <w:szCs w:val="32"/>
        </w:rPr>
        <w:t>九、应急保障</w:t>
      </w:r>
    </w:p>
    <w:p>
      <w:pPr>
        <w:widowControl/>
        <w:spacing w:line="52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1.城市道路环卫保洁应制定重要线路保障、各类测评及大风、暴雨、冰雪、落叶、扬尘等应急工作预案。应急工作启动不及时，应急工作落实不到位，每项每次扣2分。</w:t>
      </w:r>
    </w:p>
    <w:p>
      <w:pPr>
        <w:widowControl/>
        <w:spacing w:line="52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2.根据应急预案，各环卫公司每年至少开展一次应急处置实操演练，对机具、人员、设施及组织指挥等应急预案进行检验，确保应急时刻拉得出、用得上，处置得当。</w:t>
      </w:r>
      <w:r>
        <w:rPr>
          <w:rFonts w:hint="eastAsia" w:ascii="仿宋_GB2312" w:hAnsi="Calibri" w:eastAsia="仿宋_GB2312"/>
          <w:sz w:val="32"/>
          <w:szCs w:val="32"/>
        </w:rPr>
        <w:t>未开展，每次扣5分。</w:t>
      </w:r>
    </w:p>
    <w:p>
      <w:pPr>
        <w:widowControl/>
        <w:spacing w:line="600" w:lineRule="exact"/>
        <w:ind w:firstLine="640" w:firstLineChars="200"/>
        <w:rPr>
          <w:rFonts w:ascii="仿宋_GB2312" w:hAnsi="仿宋_GB2312" w:eastAsia="仿宋_GB2312" w:cs="仿宋_GB2312"/>
          <w:sz w:val="32"/>
          <w:szCs w:val="32"/>
        </w:rPr>
      </w:pPr>
    </w:p>
    <w:p>
      <w:pPr>
        <w:pStyle w:val="3"/>
        <w:rPr>
          <w:rFonts w:hint="eastAsia"/>
        </w:rPr>
      </w:pPr>
      <w:r>
        <w:rPr>
          <w:rFonts w:hint="eastAsia" w:ascii="Calibri" w:hAnsi="Calibri"/>
          <w:sz w:val="32"/>
          <w:szCs w:val="32"/>
        </w:rPr>
        <w:br w:type="page"/>
      </w:r>
      <w:bookmarkStart w:id="309" w:name="_Toc32379"/>
      <w:r>
        <w:rPr>
          <w:rFonts w:hint="eastAsia"/>
        </w:rPr>
        <w:t>第七章  评标办法</w:t>
      </w:r>
      <w:bookmarkEnd w:id="307"/>
      <w:bookmarkEnd w:id="308"/>
      <w:bookmarkEnd w:id="309"/>
      <w:bookmarkStart w:id="310" w:name="_Hlt101846155"/>
      <w:bookmarkEnd w:id="310"/>
      <w:bookmarkStart w:id="311" w:name="_Toc208849007"/>
      <w:bookmarkStart w:id="312" w:name="_Toc183582280"/>
      <w:bookmarkStart w:id="313" w:name="_Toc183682415"/>
      <w:bookmarkStart w:id="314" w:name="_Toc217446097"/>
    </w:p>
    <w:bookmarkEnd w:id="311"/>
    <w:bookmarkEnd w:id="312"/>
    <w:bookmarkEnd w:id="313"/>
    <w:bookmarkEnd w:id="314"/>
    <w:p>
      <w:pPr>
        <w:pStyle w:val="5"/>
        <w:ind w:firstLine="482"/>
        <w:rPr>
          <w:rFonts w:hint="eastAsia"/>
        </w:rPr>
      </w:pPr>
      <w:bookmarkStart w:id="315" w:name="_Toc503863070"/>
      <w:bookmarkStart w:id="316" w:name="_Toc217446099"/>
      <w:r>
        <w:rPr>
          <w:rFonts w:hint="eastAsia"/>
        </w:rPr>
        <w:t>1．总则</w:t>
      </w:r>
      <w:bookmarkEnd w:id="315"/>
    </w:p>
    <w:p>
      <w:pPr>
        <w:snapToGrid w:val="0"/>
        <w:spacing w:line="360" w:lineRule="auto"/>
        <w:ind w:firstLine="480" w:firstLineChars="200"/>
        <w:rPr>
          <w:rFonts w:hint="eastAsia" w:ascii="宋体" w:hAnsi="宋体" w:cs="宋体"/>
          <w:sz w:val="24"/>
        </w:rPr>
      </w:pPr>
      <w:r>
        <w:rPr>
          <w:rFonts w:hint="eastAsia" w:ascii="宋体" w:hAnsi="宋体" w:cs="宋体"/>
          <w:sz w:val="24"/>
        </w:rPr>
        <w:t>1.1 根据《中华人民共和国政府采购法》、《中华人民共和国政府采购法实施条例》、《政府采购货物和服务招标投标管理办法》等法律制度，结合采购项目特点制定本评标办法。</w:t>
      </w:r>
    </w:p>
    <w:p>
      <w:pPr>
        <w:snapToGrid w:val="0"/>
        <w:spacing w:line="360" w:lineRule="auto"/>
        <w:ind w:firstLine="480" w:firstLineChars="200"/>
        <w:rPr>
          <w:rFonts w:hint="eastAsia" w:ascii="宋体" w:hAnsi="宋体" w:cs="宋体"/>
          <w:sz w:val="24"/>
        </w:rPr>
      </w:pPr>
      <w:r>
        <w:rPr>
          <w:rFonts w:hint="eastAsia" w:ascii="宋体" w:hAnsi="宋体" w:cs="宋体"/>
          <w:sz w:val="24"/>
        </w:rPr>
        <w:t xml:space="preserve">1.2 </w:t>
      </w:r>
      <w:r>
        <w:rPr>
          <w:rFonts w:hint="eastAsia" w:ascii="宋体" w:hAnsi="宋体" w:cs="宋体"/>
          <w:bCs/>
          <w:sz w:val="24"/>
        </w:rPr>
        <w:t>评标工作由采购代理机构负责组织，具体评标事务由采购代理机构依法组建的评标委员会负责。评标委员会由采购人代表和有关技术、经济、法律等方面的专家组成。</w:t>
      </w:r>
    </w:p>
    <w:p>
      <w:pPr>
        <w:snapToGrid w:val="0"/>
        <w:spacing w:line="360" w:lineRule="auto"/>
        <w:ind w:firstLine="480" w:firstLineChars="200"/>
        <w:rPr>
          <w:rFonts w:hint="eastAsia" w:ascii="宋体" w:hAnsi="宋体" w:cs="宋体"/>
          <w:sz w:val="24"/>
        </w:rPr>
      </w:pPr>
      <w:r>
        <w:rPr>
          <w:rFonts w:hint="eastAsia" w:ascii="宋体" w:hAnsi="宋体" w:cs="宋体"/>
          <w:sz w:val="24"/>
        </w:rPr>
        <w:t>1.3 评标工作应遵循公平、公正、科学及择优的原则，并以相同的评标程序和标准对待所有的投标人。</w:t>
      </w:r>
    </w:p>
    <w:p>
      <w:pPr>
        <w:snapToGrid w:val="0"/>
        <w:spacing w:line="360" w:lineRule="auto"/>
        <w:ind w:firstLine="480" w:firstLineChars="200"/>
        <w:rPr>
          <w:rFonts w:hint="eastAsia" w:ascii="宋体" w:hAnsi="宋体" w:cs="宋体"/>
          <w:sz w:val="24"/>
        </w:rPr>
      </w:pPr>
      <w:r>
        <w:rPr>
          <w:rFonts w:hint="eastAsia" w:ascii="宋体" w:hAnsi="宋体" w:cs="宋体"/>
          <w:sz w:val="24"/>
        </w:rPr>
        <w:t>1.4 评标委员会按照招标文件规定的评标方法和标准进行评标，并独立履行下列职责：</w:t>
      </w:r>
    </w:p>
    <w:p>
      <w:pPr>
        <w:snapToGrid w:val="0"/>
        <w:spacing w:line="360" w:lineRule="auto"/>
        <w:ind w:firstLine="480" w:firstLineChars="200"/>
        <w:rPr>
          <w:rFonts w:hint="eastAsia" w:ascii="宋体" w:hAnsi="宋体" w:cs="宋体"/>
          <w:sz w:val="24"/>
        </w:rPr>
      </w:pPr>
      <w:bookmarkStart w:id="317" w:name="_Toc217446098"/>
      <w:r>
        <w:rPr>
          <w:rFonts w:hint="eastAsia" w:ascii="宋体" w:hAnsi="宋体" w:cs="宋体"/>
          <w:sz w:val="24"/>
        </w:rPr>
        <w:t>（一）熟悉和理解招标文件；</w:t>
      </w:r>
    </w:p>
    <w:p>
      <w:pPr>
        <w:snapToGrid w:val="0"/>
        <w:spacing w:line="360" w:lineRule="auto"/>
        <w:ind w:firstLine="480" w:firstLineChars="200"/>
        <w:rPr>
          <w:rFonts w:hint="eastAsia" w:ascii="宋体" w:hAnsi="宋体" w:cs="宋体"/>
          <w:sz w:val="24"/>
        </w:rPr>
      </w:pPr>
      <w:r>
        <w:rPr>
          <w:rFonts w:hint="eastAsia" w:ascii="宋体" w:hAnsi="宋体" w:cs="宋体"/>
          <w:sz w:val="24"/>
        </w:rPr>
        <w:t>（二）审查投标人投标文件等是否满足招标文件要求，并作出评价；</w:t>
      </w:r>
    </w:p>
    <w:p>
      <w:pPr>
        <w:snapToGrid w:val="0"/>
        <w:spacing w:line="360" w:lineRule="auto"/>
        <w:ind w:firstLine="480" w:firstLineChars="200"/>
        <w:rPr>
          <w:rFonts w:hint="eastAsia" w:ascii="宋体" w:hAnsi="宋体" w:cs="宋体"/>
          <w:sz w:val="24"/>
        </w:rPr>
      </w:pPr>
      <w:r>
        <w:rPr>
          <w:rFonts w:hint="eastAsia" w:ascii="宋体" w:hAnsi="宋体" w:cs="宋体"/>
          <w:sz w:val="24"/>
        </w:rPr>
        <w:t>（三）根据需要要求招标采购单位对招标文件作出解释；根据需要要求投标人对投标文件有关事项作出澄清、说明或者补正；</w:t>
      </w:r>
    </w:p>
    <w:p>
      <w:pPr>
        <w:snapToGrid w:val="0"/>
        <w:spacing w:line="360" w:lineRule="auto"/>
        <w:ind w:firstLine="480" w:firstLineChars="200"/>
        <w:rPr>
          <w:rFonts w:hint="eastAsia" w:ascii="宋体" w:hAnsi="宋体" w:cs="宋体"/>
          <w:sz w:val="24"/>
        </w:rPr>
      </w:pPr>
      <w:r>
        <w:rPr>
          <w:rFonts w:hint="eastAsia" w:ascii="宋体" w:hAnsi="宋体" w:cs="宋体"/>
          <w:sz w:val="24"/>
        </w:rPr>
        <w:t>（四）推荐中标候选投标人，或者受采购人委托确定中标投标人；</w:t>
      </w:r>
    </w:p>
    <w:p>
      <w:pPr>
        <w:snapToGrid w:val="0"/>
        <w:spacing w:line="360" w:lineRule="auto"/>
        <w:ind w:firstLine="480" w:firstLineChars="200"/>
        <w:rPr>
          <w:rFonts w:hint="eastAsia" w:ascii="宋体" w:hAnsi="宋体" w:cs="宋体"/>
          <w:sz w:val="24"/>
        </w:rPr>
      </w:pPr>
      <w:r>
        <w:rPr>
          <w:rFonts w:hint="eastAsia" w:ascii="宋体" w:hAnsi="宋体" w:cs="宋体"/>
          <w:sz w:val="24"/>
        </w:rPr>
        <w:t>（五）起草评标报告并进行签署；</w:t>
      </w:r>
    </w:p>
    <w:p>
      <w:pPr>
        <w:snapToGrid w:val="0"/>
        <w:spacing w:line="360" w:lineRule="auto"/>
        <w:ind w:firstLine="480" w:firstLineChars="200"/>
        <w:rPr>
          <w:rFonts w:hint="eastAsia" w:ascii="宋体" w:hAnsi="宋体" w:cs="宋体"/>
          <w:sz w:val="24"/>
        </w:rPr>
      </w:pPr>
      <w:r>
        <w:rPr>
          <w:rFonts w:hint="eastAsia" w:ascii="宋体" w:hAnsi="宋体" w:cs="宋体"/>
          <w:sz w:val="24"/>
        </w:rPr>
        <w:t>（六）向招标采购单位、财政部门或者其他监督部门报告非法干预评标工作的行为；</w:t>
      </w:r>
    </w:p>
    <w:p>
      <w:pPr>
        <w:snapToGrid w:val="0"/>
        <w:spacing w:line="360" w:lineRule="auto"/>
        <w:ind w:firstLine="480" w:firstLineChars="200"/>
        <w:rPr>
          <w:rFonts w:hint="eastAsia" w:ascii="宋体" w:hAnsi="宋体" w:cs="宋体"/>
          <w:sz w:val="24"/>
        </w:rPr>
      </w:pPr>
      <w:r>
        <w:rPr>
          <w:rFonts w:hint="eastAsia" w:ascii="宋体" w:hAnsi="宋体" w:cs="宋体"/>
          <w:sz w:val="24"/>
        </w:rPr>
        <w:t>（七）法律、法规和规章规定的其他职责。</w:t>
      </w:r>
    </w:p>
    <w:p>
      <w:pPr>
        <w:snapToGrid w:val="0"/>
        <w:spacing w:line="360" w:lineRule="auto"/>
        <w:ind w:firstLine="480" w:firstLineChars="200"/>
        <w:rPr>
          <w:rFonts w:hint="eastAsia" w:ascii="宋体" w:hAnsi="宋体" w:cs="宋体"/>
          <w:sz w:val="24"/>
        </w:rPr>
      </w:pPr>
      <w:r>
        <w:rPr>
          <w:rFonts w:hint="eastAsia" w:ascii="宋体" w:hAnsi="宋体" w:cs="宋体"/>
          <w:sz w:val="24"/>
        </w:rPr>
        <w:t>1.5 评标过程独立、保密。投标人非法干预评标评标过程的行为将导致其投标文件作为无效处理。</w:t>
      </w:r>
    </w:p>
    <w:p>
      <w:pPr>
        <w:snapToGrid w:val="0"/>
        <w:spacing w:line="360" w:lineRule="auto"/>
        <w:ind w:firstLine="480" w:firstLineChars="200"/>
        <w:rPr>
          <w:rFonts w:hint="eastAsia" w:ascii="宋体" w:hAnsi="宋体" w:cs="宋体"/>
          <w:sz w:val="24"/>
        </w:rPr>
      </w:pPr>
      <w:r>
        <w:rPr>
          <w:rFonts w:hint="eastAsia" w:ascii="宋体" w:hAnsi="宋体" w:cs="宋体"/>
          <w:sz w:val="24"/>
        </w:rPr>
        <w:t>1.6评标委员会评价投标文件的响应性，对于投标人而言，除评标委员会要求其澄清、说明或者补正而提供的资料外，仅依据投标文件本身的内容，不寻求其他外部证据。</w:t>
      </w:r>
    </w:p>
    <w:p>
      <w:pPr>
        <w:pStyle w:val="5"/>
        <w:ind w:firstLine="482"/>
        <w:rPr>
          <w:rFonts w:hint="eastAsia"/>
        </w:rPr>
      </w:pPr>
      <w:bookmarkStart w:id="318" w:name="_Toc503863071"/>
      <w:r>
        <w:rPr>
          <w:rFonts w:hint="eastAsia"/>
        </w:rPr>
        <w:t>2．评标方法</w:t>
      </w:r>
      <w:bookmarkEnd w:id="318"/>
    </w:p>
    <w:p>
      <w:pPr>
        <w:snapToGrid w:val="0"/>
        <w:spacing w:line="360" w:lineRule="auto"/>
        <w:ind w:firstLine="480" w:firstLineChars="200"/>
        <w:rPr>
          <w:rFonts w:hint="eastAsia" w:ascii="宋体" w:hAnsi="宋体" w:cs="宋体"/>
          <w:sz w:val="24"/>
        </w:rPr>
      </w:pPr>
      <w:r>
        <w:rPr>
          <w:rFonts w:hint="eastAsia" w:ascii="宋体" w:hAnsi="宋体" w:cs="宋体"/>
          <w:sz w:val="24"/>
        </w:rPr>
        <w:t>本项目评标方法为：综合评分法。</w:t>
      </w:r>
    </w:p>
    <w:p>
      <w:pPr>
        <w:pStyle w:val="5"/>
        <w:ind w:firstLine="482"/>
        <w:rPr>
          <w:rFonts w:hint="eastAsia"/>
        </w:rPr>
      </w:pPr>
      <w:bookmarkStart w:id="319" w:name="_Toc503863072"/>
      <w:r>
        <w:rPr>
          <w:rFonts w:hint="eastAsia"/>
        </w:rPr>
        <w:t>3．评标程序</w:t>
      </w:r>
      <w:bookmarkEnd w:id="317"/>
      <w:bookmarkEnd w:id="319"/>
    </w:p>
    <w:p>
      <w:pPr>
        <w:snapToGrid w:val="0"/>
        <w:spacing w:line="360" w:lineRule="auto"/>
        <w:ind w:firstLine="480" w:firstLineChars="200"/>
        <w:rPr>
          <w:rFonts w:hint="eastAsia" w:ascii="宋体" w:hAnsi="宋体" w:cs="宋体"/>
          <w:sz w:val="24"/>
        </w:rPr>
      </w:pPr>
      <w:bookmarkStart w:id="320" w:name="_Toc217446103"/>
      <w:r>
        <w:rPr>
          <w:rFonts w:hint="eastAsia" w:ascii="宋体" w:hAnsi="宋体" w:cs="宋体"/>
          <w:sz w:val="24"/>
        </w:rPr>
        <w:t>3.1熟悉和理解招标文件和停止评标。</w:t>
      </w:r>
    </w:p>
    <w:p>
      <w:pPr>
        <w:snapToGrid w:val="0"/>
        <w:spacing w:line="360" w:lineRule="auto"/>
        <w:ind w:firstLine="480" w:firstLineChars="200"/>
        <w:rPr>
          <w:rFonts w:hint="eastAsia" w:ascii="宋体" w:hAnsi="宋体" w:cs="宋体"/>
          <w:sz w:val="24"/>
        </w:rPr>
      </w:pPr>
      <w:r>
        <w:rPr>
          <w:rFonts w:hint="eastAsia" w:ascii="宋体" w:hAnsi="宋体" w:cs="宋体"/>
          <w:sz w:val="24"/>
        </w:rPr>
        <w:t>3.1.1评标委员会正式评标前，应当对招标文件进行熟悉和理解，内容主要包括招标文件中投标人的采购项目技术、服务和商务要求、评标方法和标准以及可能涉及签订政府采购合同的内容等。</w:t>
      </w:r>
    </w:p>
    <w:p>
      <w:pPr>
        <w:spacing w:line="360" w:lineRule="auto"/>
        <w:ind w:firstLine="480" w:firstLineChars="200"/>
        <w:rPr>
          <w:rFonts w:hint="eastAsia" w:ascii="宋体" w:hAnsi="宋体" w:cs="宋体"/>
          <w:sz w:val="24"/>
        </w:rPr>
      </w:pPr>
      <w:r>
        <w:rPr>
          <w:rFonts w:hint="eastAsia" w:ascii="宋体" w:hAnsi="宋体" w:cs="宋体"/>
          <w:sz w:val="24"/>
        </w:rPr>
        <w:t>3.1.2评标委员会熟悉和理解招标文件以及评标过程中，发现本招标文件有下列情形之一的，评标委员会应当停止评标：</w:t>
      </w:r>
    </w:p>
    <w:p>
      <w:pPr>
        <w:spacing w:line="360" w:lineRule="auto"/>
        <w:ind w:firstLine="480" w:firstLineChars="200"/>
        <w:rPr>
          <w:rFonts w:hint="eastAsia" w:ascii="宋体" w:hAnsi="宋体" w:cs="宋体"/>
          <w:sz w:val="24"/>
        </w:rPr>
      </w:pPr>
      <w:r>
        <w:rPr>
          <w:rFonts w:hint="eastAsia" w:ascii="宋体" w:hAnsi="宋体" w:cs="宋体"/>
          <w:sz w:val="24"/>
        </w:rPr>
        <w:t>（1）招标文件的规定存在歧义、重大缺陷的；</w:t>
      </w:r>
    </w:p>
    <w:p>
      <w:pPr>
        <w:spacing w:line="360" w:lineRule="auto"/>
        <w:ind w:firstLine="480" w:firstLineChars="200"/>
        <w:rPr>
          <w:rFonts w:hint="eastAsia" w:ascii="宋体" w:hAnsi="宋体" w:cs="宋体"/>
          <w:sz w:val="24"/>
        </w:rPr>
      </w:pPr>
      <w:r>
        <w:rPr>
          <w:rFonts w:hint="eastAsia" w:ascii="宋体" w:hAnsi="宋体" w:cs="宋体"/>
          <w:sz w:val="24"/>
        </w:rPr>
        <w:t>（2）招标文件明显以不合理条件对投标人实行差别待遇或者歧视待遇的；</w:t>
      </w:r>
    </w:p>
    <w:p>
      <w:pPr>
        <w:spacing w:line="360" w:lineRule="auto"/>
        <w:ind w:firstLine="480" w:firstLineChars="200"/>
        <w:rPr>
          <w:rFonts w:hint="eastAsia" w:ascii="宋体" w:hAnsi="宋体" w:cs="宋体"/>
          <w:sz w:val="24"/>
        </w:rPr>
      </w:pPr>
      <w:r>
        <w:rPr>
          <w:rFonts w:hint="eastAsia" w:ascii="宋体" w:hAnsi="宋体" w:cs="宋体"/>
          <w:sz w:val="24"/>
        </w:rPr>
        <w:t>（3）采购项目属于国家规定的优先、强制采购范围，但是招标文件未依法体现优先、强制采购相关规定的；</w:t>
      </w:r>
    </w:p>
    <w:p>
      <w:pPr>
        <w:spacing w:line="360" w:lineRule="auto"/>
        <w:ind w:firstLine="480" w:firstLineChars="200"/>
        <w:rPr>
          <w:rFonts w:hint="eastAsia" w:ascii="宋体" w:hAnsi="宋体" w:cs="宋体"/>
          <w:sz w:val="24"/>
        </w:rPr>
      </w:pPr>
      <w:r>
        <w:rPr>
          <w:rFonts w:hint="eastAsia" w:ascii="宋体" w:hAnsi="宋体" w:cs="宋体"/>
          <w:sz w:val="24"/>
        </w:rPr>
        <w:t>（4）采购项目属于政府采购促进中小企业发展的范围，但是招标文件未依法体现促进中小企业发展相关规定的；</w:t>
      </w:r>
    </w:p>
    <w:p>
      <w:pPr>
        <w:spacing w:line="360" w:lineRule="auto"/>
        <w:ind w:firstLine="480" w:firstLineChars="200"/>
        <w:rPr>
          <w:rFonts w:hint="eastAsia" w:ascii="宋体" w:hAnsi="宋体" w:cs="宋体"/>
          <w:sz w:val="24"/>
        </w:rPr>
      </w:pPr>
      <w:r>
        <w:rPr>
          <w:rFonts w:hint="eastAsia" w:ascii="宋体" w:hAnsi="宋体" w:cs="宋体"/>
          <w:sz w:val="24"/>
        </w:rPr>
        <w:t>（5）招标文件规定的评标方法是综合评分法、最低评标价法之外的评标方法，或者虽然名称为综合评分法、最低评标价法，但实际上不符合国家规定；</w:t>
      </w:r>
    </w:p>
    <w:p>
      <w:pPr>
        <w:spacing w:line="360" w:lineRule="auto"/>
        <w:ind w:firstLine="480" w:firstLineChars="200"/>
        <w:rPr>
          <w:rFonts w:hint="eastAsia" w:ascii="宋体" w:hAnsi="宋体" w:cs="宋体"/>
          <w:sz w:val="24"/>
        </w:rPr>
      </w:pPr>
      <w:r>
        <w:rPr>
          <w:rFonts w:hint="eastAsia" w:ascii="宋体" w:hAnsi="宋体" w:cs="宋体"/>
          <w:sz w:val="24"/>
        </w:rPr>
        <w:t>（6）招标文件将投标人的资格条件列为评分因素的；</w:t>
      </w:r>
    </w:p>
    <w:p>
      <w:pPr>
        <w:spacing w:line="360" w:lineRule="auto"/>
        <w:ind w:firstLine="480" w:firstLineChars="200"/>
        <w:rPr>
          <w:rFonts w:hint="eastAsia" w:ascii="宋体" w:hAnsi="宋体" w:cs="宋体"/>
          <w:sz w:val="24"/>
        </w:rPr>
      </w:pPr>
      <w:r>
        <w:rPr>
          <w:rFonts w:hint="eastAsia" w:ascii="宋体" w:hAnsi="宋体" w:cs="宋体"/>
          <w:sz w:val="24"/>
        </w:rPr>
        <w:t>（7）招标文件有违反国家其他有关强制性规定的情形。</w:t>
      </w:r>
    </w:p>
    <w:p>
      <w:pPr>
        <w:spacing w:line="360" w:lineRule="auto"/>
        <w:ind w:firstLine="480" w:firstLineChars="200"/>
        <w:rPr>
          <w:rFonts w:hint="eastAsia" w:ascii="宋体" w:hAnsi="宋体" w:cs="宋体"/>
          <w:sz w:val="24"/>
        </w:rPr>
      </w:pPr>
      <w:r>
        <w:rPr>
          <w:rFonts w:hint="eastAsia" w:ascii="宋体" w:hAnsi="宋体" w:cs="宋体"/>
          <w:sz w:val="24"/>
        </w:rPr>
        <w:t>3.1.3出现本条3.1.2规定应当停止评标情形的，评标委员会成员应当向招标采购单位书面说明情况。除本条规定和评标委员会无法依法组建的情形外，评标委员会成员不得以任何方式和理由停止评标。</w:t>
      </w:r>
    </w:p>
    <w:p>
      <w:pPr>
        <w:spacing w:line="360" w:lineRule="auto"/>
        <w:ind w:firstLine="480" w:firstLineChars="200"/>
        <w:rPr>
          <w:rFonts w:hint="eastAsia" w:ascii="宋体" w:hAnsi="宋体" w:cs="宋体"/>
          <w:sz w:val="24"/>
        </w:rPr>
      </w:pPr>
      <w:r>
        <w:rPr>
          <w:rFonts w:hint="eastAsia" w:ascii="宋体" w:hAnsi="宋体" w:cs="宋体"/>
          <w:sz w:val="24"/>
        </w:rPr>
        <w:t>3.2资格性检查。</w:t>
      </w:r>
    </w:p>
    <w:p>
      <w:pPr>
        <w:spacing w:line="360" w:lineRule="auto"/>
        <w:ind w:firstLine="480" w:firstLineChars="200"/>
        <w:rPr>
          <w:rFonts w:hint="eastAsia" w:ascii="宋体" w:hAnsi="宋体" w:cs="宋体"/>
          <w:sz w:val="24"/>
        </w:rPr>
      </w:pPr>
      <w:r>
        <w:rPr>
          <w:rFonts w:hint="eastAsia" w:ascii="宋体" w:hAnsi="宋体" w:cs="宋体"/>
          <w:sz w:val="24"/>
        </w:rPr>
        <w:t>采购人或者采购代理机构应依据法律法规和本招标文件的规定，对投标文件是否按照规定要求提供资格性证明材料、是否属于禁止参加投标的投标人等进行审查，以确定投标投标人是否具备投标资格。</w:t>
      </w:r>
    </w:p>
    <w:p>
      <w:pPr>
        <w:spacing w:line="360" w:lineRule="auto"/>
        <w:ind w:firstLine="480" w:firstLineChars="200"/>
        <w:rPr>
          <w:rFonts w:hint="eastAsia" w:ascii="宋体" w:hAnsi="宋体" w:cs="宋体"/>
          <w:sz w:val="24"/>
        </w:rPr>
      </w:pPr>
      <w:r>
        <w:rPr>
          <w:rFonts w:hint="eastAsia" w:ascii="宋体" w:hAnsi="宋体" w:cs="宋体"/>
          <w:sz w:val="24"/>
        </w:rPr>
        <w:t>3.3符合性检查。</w:t>
      </w:r>
    </w:p>
    <w:p>
      <w:pPr>
        <w:spacing w:line="360" w:lineRule="auto"/>
        <w:ind w:firstLine="480" w:firstLineChars="200"/>
        <w:rPr>
          <w:rFonts w:hint="eastAsia" w:ascii="宋体" w:hAnsi="宋体" w:cs="宋体"/>
          <w:sz w:val="24"/>
        </w:rPr>
      </w:pPr>
      <w:r>
        <w:rPr>
          <w:rFonts w:hint="eastAsia" w:ascii="宋体" w:hAnsi="宋体" w:cs="宋体"/>
          <w:sz w:val="24"/>
        </w:rPr>
        <w:t>3.3.1评标委员会依据本招标文件的实质性要求，对符合资格的投标文件进行审查，以确定其是否满足本招标文件的实质性要求。本项目符合性审查事项仅限于本招标文件的明确规定。投标文件是否满足招标文件的实质性要求，必须以本招标文件的明确规定作为依据，否则，不能对投标文件作为无效处理，评标委员会不得臆测符合性审查事项。</w:t>
      </w:r>
    </w:p>
    <w:p>
      <w:pPr>
        <w:spacing w:line="360" w:lineRule="auto"/>
        <w:ind w:firstLine="480" w:firstLineChars="200"/>
        <w:rPr>
          <w:rFonts w:hint="eastAsia" w:ascii="宋体" w:hAnsi="宋体" w:cs="宋体"/>
          <w:sz w:val="24"/>
        </w:rPr>
      </w:pPr>
      <w:r>
        <w:rPr>
          <w:rFonts w:hint="eastAsia" w:ascii="宋体" w:hAnsi="宋体" w:cs="宋体"/>
          <w:sz w:val="24"/>
        </w:rPr>
        <w:t>3.3.2投标文件（包括单独递交的开标一览表）有下列情形的，本项目不作为实质性要求进行规定，即不作为符合性审查事项，不得作为无效投标处理：</w:t>
      </w:r>
    </w:p>
    <w:p>
      <w:pPr>
        <w:spacing w:line="360" w:lineRule="auto"/>
        <w:ind w:firstLine="480" w:firstLineChars="200"/>
        <w:jc w:val="left"/>
        <w:rPr>
          <w:rFonts w:hint="eastAsia" w:hAnsi="宋体" w:cs="宋体"/>
          <w:sz w:val="24"/>
        </w:rPr>
      </w:pPr>
      <w:r>
        <w:rPr>
          <w:rFonts w:hint="eastAsia" w:hAnsi="宋体" w:cs="宋体"/>
          <w:sz w:val="24"/>
        </w:rPr>
        <w:t>（一）正副本数量齐全、密封完好，只是未按照招标文件要求进行分装或者统装的；</w:t>
      </w:r>
    </w:p>
    <w:p>
      <w:pPr>
        <w:spacing w:line="360" w:lineRule="auto"/>
        <w:ind w:firstLine="480" w:firstLineChars="200"/>
        <w:jc w:val="left"/>
        <w:rPr>
          <w:rFonts w:hint="eastAsia" w:hAnsi="宋体" w:cs="宋体"/>
          <w:sz w:val="24"/>
        </w:rPr>
      </w:pPr>
      <w:r>
        <w:rPr>
          <w:rFonts w:hint="eastAsia" w:hAnsi="宋体" w:cs="宋体"/>
          <w:sz w:val="24"/>
        </w:rPr>
        <w:t>（二）存在个别地方（不超过2个）没有法定代表人签字，但有法定代表人的私人印章或者有效授权代理人签字的；</w:t>
      </w:r>
    </w:p>
    <w:p>
      <w:pPr>
        <w:spacing w:line="360" w:lineRule="auto"/>
        <w:ind w:firstLine="480" w:firstLineChars="200"/>
        <w:jc w:val="left"/>
        <w:rPr>
          <w:rFonts w:hint="eastAsia" w:hAnsi="宋体" w:cs="宋体"/>
          <w:sz w:val="24"/>
        </w:rPr>
      </w:pPr>
      <w:r>
        <w:rPr>
          <w:rFonts w:hint="eastAsia" w:hAnsi="宋体" w:cs="宋体"/>
          <w:sz w:val="24"/>
        </w:rPr>
        <w:t>（三）除招标文件明确要求加盖单位(法人)公章的以外，其他地方以相关专用章加盖的；</w:t>
      </w:r>
    </w:p>
    <w:p>
      <w:pPr>
        <w:spacing w:line="360" w:lineRule="auto"/>
        <w:ind w:firstLine="480" w:firstLineChars="200"/>
        <w:jc w:val="left"/>
        <w:rPr>
          <w:rFonts w:hint="eastAsia" w:hAnsi="宋体" w:cs="宋体"/>
          <w:sz w:val="24"/>
        </w:rPr>
      </w:pPr>
      <w:r>
        <w:rPr>
          <w:rFonts w:hint="eastAsia" w:hAnsi="宋体" w:cs="宋体"/>
          <w:sz w:val="24"/>
        </w:rPr>
        <w:t>（四）以骑缝章的形式代替投标文件内容逐页盖章的（但是骑缝章模糊不清，印章名称无法辨认的除外）；</w:t>
      </w:r>
    </w:p>
    <w:p>
      <w:pPr>
        <w:spacing w:line="360" w:lineRule="auto"/>
        <w:ind w:firstLine="480" w:firstLineChars="200"/>
        <w:jc w:val="left"/>
        <w:rPr>
          <w:rFonts w:hint="eastAsia" w:hAnsi="宋体" w:cs="宋体"/>
          <w:sz w:val="24"/>
        </w:rPr>
      </w:pPr>
      <w:r>
        <w:rPr>
          <w:rFonts w:hint="eastAsia" w:hAnsi="宋体" w:cs="宋体"/>
          <w:sz w:val="24"/>
        </w:rPr>
        <w:t>（五）其他不影响采购项目实质性要求的情形。</w:t>
      </w:r>
    </w:p>
    <w:p>
      <w:pPr>
        <w:spacing w:line="360" w:lineRule="auto"/>
        <w:ind w:firstLine="480" w:firstLineChars="200"/>
        <w:rPr>
          <w:rFonts w:hint="eastAsia" w:ascii="宋体" w:hAnsi="宋体" w:cs="宋体"/>
          <w:sz w:val="24"/>
        </w:rPr>
      </w:pPr>
      <w:r>
        <w:rPr>
          <w:rFonts w:hint="eastAsia" w:ascii="宋体" w:hAnsi="宋体" w:cs="宋体"/>
          <w:sz w:val="24"/>
        </w:rPr>
        <w:t>3.3.3除政府采购法律制度规定的情形外，本项目投标人或者其投标文件有下列情形之一的，作为无效投标处理：</w:t>
      </w:r>
    </w:p>
    <w:p>
      <w:pPr>
        <w:spacing w:line="360" w:lineRule="auto"/>
        <w:ind w:firstLine="480" w:firstLineChars="200"/>
        <w:jc w:val="left"/>
        <w:rPr>
          <w:rFonts w:hint="eastAsia" w:hAnsi="宋体" w:cs="宋体"/>
          <w:sz w:val="24"/>
        </w:rPr>
      </w:pPr>
      <w:r>
        <w:rPr>
          <w:rFonts w:hint="eastAsia" w:hAnsi="宋体" w:cs="宋体"/>
          <w:sz w:val="24"/>
        </w:rPr>
        <w:t>（一）投标文件正副本数量不足的或无单独递交的“开标一览表”的。</w:t>
      </w:r>
    </w:p>
    <w:p>
      <w:pPr>
        <w:spacing w:line="360" w:lineRule="auto"/>
        <w:ind w:firstLine="480" w:firstLineChars="200"/>
        <w:jc w:val="left"/>
        <w:rPr>
          <w:rFonts w:hint="eastAsia" w:hAnsi="宋体" w:cs="宋体"/>
          <w:sz w:val="24"/>
        </w:rPr>
      </w:pPr>
      <w:r>
        <w:rPr>
          <w:rFonts w:hint="eastAsia" w:hAnsi="宋体" w:cs="宋体"/>
          <w:sz w:val="24"/>
        </w:rPr>
        <w:t>（二）投标文件组成明显不符合招标文件的规定要求，影响评标委员会评判的；</w:t>
      </w:r>
    </w:p>
    <w:p>
      <w:pPr>
        <w:spacing w:line="360" w:lineRule="auto"/>
        <w:ind w:firstLine="480" w:firstLineChars="200"/>
        <w:jc w:val="left"/>
        <w:rPr>
          <w:rFonts w:hint="eastAsia" w:hAnsi="宋体" w:cs="宋体"/>
          <w:sz w:val="24"/>
        </w:rPr>
      </w:pPr>
      <w:r>
        <w:rPr>
          <w:rFonts w:hint="eastAsia" w:hAnsi="宋体" w:cs="宋体"/>
          <w:sz w:val="24"/>
        </w:rPr>
        <w:t>（三）投标文件的格式、语言、计量单位、报价货币、知识产权、投标有效期等不符合招标文件的规定，影响评标委员会评判的；</w:t>
      </w:r>
    </w:p>
    <w:p>
      <w:pPr>
        <w:spacing w:line="360" w:lineRule="auto"/>
        <w:ind w:firstLine="480" w:firstLineChars="200"/>
        <w:jc w:val="left"/>
        <w:rPr>
          <w:rFonts w:hint="eastAsia" w:hAnsi="宋体" w:cs="宋体"/>
          <w:sz w:val="24"/>
        </w:rPr>
      </w:pPr>
      <w:r>
        <w:rPr>
          <w:rFonts w:hint="eastAsia" w:hAnsi="宋体" w:cs="宋体"/>
          <w:sz w:val="24"/>
        </w:rPr>
        <w:t>（四）投标报价不符合招标文件规定的价格标底和其他报价规定的；</w:t>
      </w:r>
    </w:p>
    <w:p>
      <w:pPr>
        <w:spacing w:line="360" w:lineRule="auto"/>
        <w:ind w:firstLine="480" w:firstLineChars="200"/>
        <w:jc w:val="left"/>
        <w:rPr>
          <w:rFonts w:hint="eastAsia" w:hAnsi="宋体" w:cs="宋体"/>
          <w:sz w:val="24"/>
        </w:rPr>
      </w:pPr>
      <w:r>
        <w:rPr>
          <w:rFonts w:hint="eastAsia" w:hAnsi="宋体" w:cs="宋体"/>
          <w:sz w:val="24"/>
        </w:rPr>
        <w:t>（五）技术应答内容完全或者绝大部分复制招标文件规定要求，且无相关证明材料的（主要适用于专用设备和电子信息化建设采购项目，政府采购工程、政府采购协议供货或定点投标人采购、政府采购的货物属于规格标准统一或者订制产品及服务项目的除外）；</w:t>
      </w:r>
    </w:p>
    <w:p>
      <w:pPr>
        <w:spacing w:line="360" w:lineRule="auto"/>
        <w:ind w:firstLine="480" w:firstLineChars="200"/>
        <w:jc w:val="left"/>
        <w:rPr>
          <w:rFonts w:hint="eastAsia" w:hAnsi="宋体" w:cs="宋体"/>
          <w:sz w:val="24"/>
        </w:rPr>
      </w:pPr>
      <w:r>
        <w:rPr>
          <w:rFonts w:hint="eastAsia" w:hAnsi="宋体" w:cs="宋体"/>
          <w:sz w:val="24"/>
        </w:rPr>
        <w:t>（六）技术、服务应答内容没有完全响应招标文件的实质性要求的；</w:t>
      </w:r>
    </w:p>
    <w:p>
      <w:pPr>
        <w:spacing w:line="360" w:lineRule="auto"/>
        <w:ind w:firstLine="480" w:firstLineChars="200"/>
        <w:jc w:val="left"/>
        <w:rPr>
          <w:rFonts w:hint="eastAsia" w:hAnsi="宋体" w:cs="宋体"/>
          <w:sz w:val="24"/>
        </w:rPr>
      </w:pPr>
      <w:r>
        <w:rPr>
          <w:rFonts w:hint="eastAsia" w:hAnsi="宋体" w:cs="宋体"/>
          <w:sz w:val="24"/>
        </w:rPr>
        <w:t>（七）招标文件有明确要求，但投标文件未载明或者载明的采购项目履约时间、方式、数量与招标文件要求不一致的。</w:t>
      </w:r>
    </w:p>
    <w:p>
      <w:pPr>
        <w:spacing w:line="360" w:lineRule="auto"/>
        <w:ind w:firstLine="480" w:firstLineChars="200"/>
        <w:rPr>
          <w:rFonts w:hint="eastAsia" w:ascii="宋体" w:hAnsi="宋体" w:cs="宋体"/>
          <w:sz w:val="24"/>
        </w:rPr>
      </w:pPr>
      <w:r>
        <w:rPr>
          <w:rFonts w:hint="eastAsia" w:ascii="宋体" w:hAnsi="宋体" w:cs="宋体"/>
          <w:sz w:val="24"/>
        </w:rPr>
        <w:t>3.4比较与评价。按招标文件中规定的评标方法和标准，对未作无效投标处理的投标文件进行技术、服务、商务等方面评估，综合比较与评价。</w:t>
      </w:r>
    </w:p>
    <w:p>
      <w:pPr>
        <w:spacing w:line="360" w:lineRule="auto"/>
        <w:ind w:firstLine="480" w:firstLineChars="200"/>
        <w:rPr>
          <w:rFonts w:hint="eastAsia" w:ascii="宋体" w:hAnsi="宋体" w:cs="宋体"/>
          <w:sz w:val="24"/>
        </w:rPr>
      </w:pPr>
      <w:r>
        <w:rPr>
          <w:rFonts w:hint="eastAsia" w:ascii="宋体" w:hAnsi="宋体" w:cs="宋体"/>
          <w:sz w:val="24"/>
        </w:rPr>
        <w:t>3.5复核。评分汇总结束后，评标委员会应当进行复核，特别要对拟推荐为中标候选投标人的、报价最低的、投标文件被认定为无效的进行重点复核。</w:t>
      </w:r>
    </w:p>
    <w:p>
      <w:pPr>
        <w:spacing w:line="360" w:lineRule="auto"/>
        <w:ind w:firstLine="480" w:firstLineChars="200"/>
        <w:rPr>
          <w:rFonts w:hint="eastAsia" w:ascii="宋体" w:hAnsi="宋体" w:cs="宋体"/>
          <w:sz w:val="24"/>
        </w:rPr>
      </w:pPr>
      <w:r>
        <w:rPr>
          <w:rFonts w:hint="eastAsia" w:ascii="宋体" w:hAnsi="宋体" w:cs="宋体"/>
          <w:sz w:val="24"/>
        </w:rPr>
        <w:t>3.6推荐中标候选投标人。中标候选投标人应当排序。采用综合评分法的，评标结果按评审后得分由高到低顺序排列；得分相同的，按投标报价由低到高顺序排列；得分且投标报价相同的并列，投标文件满足招标文件全部实质性要求且按照评审因素的量化指标评审得分最高的投标人为中标候选投标人；报价相同且满足招标文件全部实质性要求且按照评审因素的量化指标评审得分也相同的并列，优先选择不发达地区和少数民族地区的投标人；报价相同且满足招标文件全部实质性要求且按照评审因素的量化指标评审得分也相同无投标人均属于不发达地区和少数民族地区的或投标人均属于不发达地区和少数民族地区，由采购人自主采取公平、择优的方式选择中标投标人。</w:t>
      </w:r>
    </w:p>
    <w:p>
      <w:pPr>
        <w:spacing w:line="360" w:lineRule="auto"/>
        <w:ind w:firstLine="480" w:firstLineChars="200"/>
        <w:rPr>
          <w:rFonts w:hint="eastAsia" w:ascii="宋体" w:hAnsi="宋体" w:cs="宋体"/>
          <w:sz w:val="24"/>
        </w:rPr>
      </w:pPr>
      <w:r>
        <w:rPr>
          <w:rFonts w:hint="eastAsia" w:ascii="宋体" w:hAnsi="宋体" w:cs="宋体"/>
          <w:sz w:val="24"/>
        </w:rPr>
        <w:t>评标委员会可推荐的中标候选投标人数量不能满足招标文件规定的数量的，只有在获得采购人书面同意后，可以根据实际情况推荐中标候选投标人。未获得采购人的书面同意,评标委员会不得在招标文件规定之外推荐中标候选投标人，否则，采购人可以不予认可。</w:t>
      </w:r>
    </w:p>
    <w:p>
      <w:pPr>
        <w:spacing w:line="360" w:lineRule="auto"/>
        <w:ind w:firstLine="480" w:firstLineChars="200"/>
        <w:rPr>
          <w:rFonts w:hint="eastAsia" w:ascii="宋体" w:hAnsi="宋体" w:cs="宋体"/>
          <w:sz w:val="24"/>
        </w:rPr>
      </w:pPr>
      <w:r>
        <w:rPr>
          <w:rFonts w:hint="eastAsia" w:ascii="宋体" w:hAnsi="宋体" w:cs="宋体"/>
          <w:sz w:val="24"/>
        </w:rPr>
        <w:t>3.7出具评标报告。评标委员会推荐中标候选投标人后，应当向招标采购单位出具评标报告。评标报告应当包括下列内容：</w:t>
      </w:r>
    </w:p>
    <w:p>
      <w:pPr>
        <w:spacing w:line="360" w:lineRule="auto"/>
        <w:ind w:firstLine="480" w:firstLineChars="200"/>
        <w:rPr>
          <w:rFonts w:hint="eastAsia" w:ascii="宋体" w:hAnsi="宋体" w:cs="宋体"/>
          <w:sz w:val="24"/>
        </w:rPr>
      </w:pPr>
      <w:r>
        <w:rPr>
          <w:rFonts w:hint="eastAsia" w:ascii="宋体" w:hAnsi="宋体" w:cs="宋体"/>
          <w:sz w:val="24"/>
        </w:rPr>
        <w:t>（一）招标公告刊登的媒体名称、开标日期和地点；</w:t>
      </w:r>
    </w:p>
    <w:p>
      <w:pPr>
        <w:spacing w:line="360" w:lineRule="auto"/>
        <w:ind w:firstLine="480" w:firstLineChars="200"/>
        <w:rPr>
          <w:rFonts w:hint="eastAsia" w:ascii="宋体" w:hAnsi="宋体" w:cs="宋体"/>
          <w:sz w:val="24"/>
        </w:rPr>
      </w:pPr>
      <w:r>
        <w:rPr>
          <w:rFonts w:hint="eastAsia" w:ascii="宋体" w:hAnsi="宋体" w:cs="宋体"/>
          <w:sz w:val="24"/>
        </w:rPr>
        <w:t>（二）获取招标文件的投标人名单和评标委员会成员名单；</w:t>
      </w:r>
    </w:p>
    <w:p>
      <w:pPr>
        <w:spacing w:line="360" w:lineRule="auto"/>
        <w:ind w:firstLine="480" w:firstLineChars="200"/>
        <w:rPr>
          <w:rFonts w:hint="eastAsia" w:ascii="宋体" w:hAnsi="宋体" w:cs="宋体"/>
          <w:sz w:val="24"/>
        </w:rPr>
      </w:pPr>
      <w:r>
        <w:rPr>
          <w:rFonts w:hint="eastAsia" w:ascii="宋体" w:hAnsi="宋体" w:cs="宋体"/>
          <w:sz w:val="24"/>
        </w:rPr>
        <w:t>（三）评标方法和标准；</w:t>
      </w:r>
    </w:p>
    <w:p>
      <w:pPr>
        <w:spacing w:line="360" w:lineRule="auto"/>
        <w:ind w:firstLine="480" w:firstLineChars="200"/>
        <w:rPr>
          <w:rFonts w:hint="eastAsia" w:ascii="宋体" w:hAnsi="宋体" w:cs="宋体"/>
          <w:sz w:val="24"/>
        </w:rPr>
      </w:pPr>
      <w:r>
        <w:rPr>
          <w:rFonts w:hint="eastAsia" w:ascii="宋体" w:hAnsi="宋体" w:cs="宋体"/>
          <w:sz w:val="24"/>
        </w:rPr>
        <w:t>（四）开标记录和评标情况及说明，包括无效投标人名单及原因；</w:t>
      </w:r>
    </w:p>
    <w:p>
      <w:pPr>
        <w:spacing w:line="360" w:lineRule="auto"/>
        <w:ind w:firstLine="480" w:firstLineChars="200"/>
        <w:rPr>
          <w:rFonts w:hint="eastAsia" w:ascii="宋体" w:hAnsi="宋体" w:cs="宋体"/>
          <w:sz w:val="24"/>
        </w:rPr>
      </w:pPr>
      <w:r>
        <w:rPr>
          <w:rFonts w:hint="eastAsia" w:ascii="宋体" w:hAnsi="宋体" w:cs="宋体"/>
          <w:sz w:val="24"/>
        </w:rPr>
        <w:t>（五）评标结果和中标候选投标人排序表；</w:t>
      </w:r>
    </w:p>
    <w:p>
      <w:pPr>
        <w:spacing w:line="360" w:lineRule="auto"/>
        <w:ind w:firstLine="480" w:firstLineChars="200"/>
        <w:rPr>
          <w:rFonts w:hint="eastAsia" w:ascii="宋体" w:hAnsi="宋体" w:cs="宋体"/>
          <w:sz w:val="24"/>
        </w:rPr>
      </w:pPr>
      <w:r>
        <w:rPr>
          <w:rFonts w:hint="eastAsia" w:ascii="宋体" w:hAnsi="宋体" w:cs="宋体"/>
          <w:sz w:val="24"/>
        </w:rPr>
        <w:t>（六）评标委员会授标建议；</w:t>
      </w:r>
    </w:p>
    <w:p>
      <w:pPr>
        <w:spacing w:line="360" w:lineRule="auto"/>
        <w:ind w:firstLine="480" w:firstLineChars="200"/>
        <w:rPr>
          <w:rFonts w:hint="eastAsia" w:ascii="宋体" w:hAnsi="宋体" w:cs="宋体"/>
          <w:sz w:val="24"/>
        </w:rPr>
      </w:pPr>
      <w:r>
        <w:rPr>
          <w:rFonts w:hint="eastAsia" w:ascii="宋体" w:hAnsi="宋体" w:cs="宋体"/>
          <w:sz w:val="24"/>
        </w:rPr>
        <w:t>（七）报价最高的投标人为中标候选人的，评标委员会应当对其报价的合理性予以特别说明。</w:t>
      </w:r>
    </w:p>
    <w:p>
      <w:pPr>
        <w:spacing w:line="360" w:lineRule="auto"/>
        <w:ind w:firstLine="480" w:firstLineChars="200"/>
        <w:rPr>
          <w:rFonts w:hint="eastAsia" w:ascii="宋体" w:hAnsi="宋体" w:cs="宋体"/>
          <w:sz w:val="24"/>
        </w:rPr>
      </w:pPr>
      <w:r>
        <w:rPr>
          <w:rFonts w:hint="eastAsia" w:ascii="宋体" w:hAnsi="宋体" w:cs="宋体"/>
          <w:sz w:val="24"/>
        </w:rPr>
        <w:t>评标委员会成员应当在评标报告中签字确认，对评标过程和结果有不同意见的，应当在评标报告中写明并说明理由。签字但未写明不同意见或者未说明理由的，视同无意见。拒不签字又未另行书面说明其不同意见和理由的，视同同意评标结果。</w:t>
      </w:r>
    </w:p>
    <w:p>
      <w:pPr>
        <w:spacing w:line="360" w:lineRule="auto"/>
        <w:ind w:firstLine="480" w:firstLineChars="200"/>
        <w:rPr>
          <w:rFonts w:hint="eastAsia" w:ascii="宋体" w:hAnsi="宋体" w:cs="宋体"/>
          <w:sz w:val="24"/>
        </w:rPr>
      </w:pPr>
      <w:r>
        <w:rPr>
          <w:rFonts w:hint="eastAsia" w:ascii="宋体" w:hAnsi="宋体" w:cs="宋体"/>
          <w:sz w:val="24"/>
        </w:rPr>
        <w:t>3.8评标争议处理规则。评标委员会在评审过程中，对于符合性审查、对投标人投标文件做无效投标处理及其他需要共同认定的事项存在争议的，应当以少数服从多数的原则做出结论，但不得违背法律法规和招标文件规定。有不同意见的评标委员会成员认为认定过程和结果不符合法律法规或者招标文件规定的，应当及时向招标采购单位书面反映。招标采购单位收到书面反映后，应当书面报告采购项目同级财政部门依法处理。</w:t>
      </w:r>
    </w:p>
    <w:p>
      <w:pPr>
        <w:spacing w:line="360" w:lineRule="auto"/>
        <w:ind w:firstLine="480" w:firstLineChars="200"/>
        <w:rPr>
          <w:rFonts w:hint="eastAsia" w:ascii="宋体" w:hAnsi="宋体" w:cs="宋体"/>
          <w:sz w:val="24"/>
        </w:rPr>
      </w:pPr>
      <w:r>
        <w:rPr>
          <w:rFonts w:hint="eastAsia" w:ascii="宋体" w:hAnsi="宋体" w:cs="宋体"/>
          <w:sz w:val="24"/>
        </w:rPr>
        <w:t>3.9投标人应当书面澄清、说明或者补正。</w:t>
      </w:r>
    </w:p>
    <w:p>
      <w:pPr>
        <w:spacing w:line="360" w:lineRule="auto"/>
        <w:ind w:firstLine="480" w:firstLineChars="200"/>
        <w:rPr>
          <w:rFonts w:hint="eastAsia" w:ascii="宋体" w:hAnsi="宋体" w:cs="宋体"/>
          <w:sz w:val="24"/>
        </w:rPr>
      </w:pPr>
      <w:r>
        <w:rPr>
          <w:rFonts w:hint="eastAsia" w:ascii="宋体" w:hAnsi="宋体" w:cs="宋体"/>
          <w:sz w:val="24"/>
        </w:rPr>
        <w:t>3.9.1在评标过程中，对于投标文件中含义不明确、同类问题表述不一致或者有明显文字和计算错误的内容，评标委员会应当以书面形式要求投标人作出必要的澄清、说明或者补正。</w:t>
      </w:r>
    </w:p>
    <w:p>
      <w:pPr>
        <w:spacing w:line="360" w:lineRule="auto"/>
        <w:ind w:firstLine="480" w:firstLineChars="200"/>
        <w:rPr>
          <w:rFonts w:hint="eastAsia" w:ascii="宋体" w:hAnsi="宋体" w:cs="宋体"/>
          <w:sz w:val="24"/>
        </w:rPr>
      </w:pPr>
      <w:r>
        <w:rPr>
          <w:rFonts w:hint="eastAsia" w:ascii="宋体" w:hAnsi="宋体" w:cs="宋体"/>
          <w:sz w:val="24"/>
        </w:rPr>
        <w:t>3.9.2投标人应当书面澄清、说明或者补正，并加盖公章或签字确认（投标人为法人的，应当由其法定代表人或者代理人签字确认；投标人为其他组织的，应当由其主要负责人或者代理人签字确认；投标人为自然人的，应当由其本人或者代理人签字确认），否则无效。澄清、说明或者补正不影响投标文件的效力，有效的澄清、说明或者补正材料，是投标文件的组成部分。</w:t>
      </w:r>
    </w:p>
    <w:p>
      <w:pPr>
        <w:spacing w:line="360" w:lineRule="auto"/>
        <w:ind w:firstLine="480" w:firstLineChars="200"/>
        <w:rPr>
          <w:rFonts w:hint="eastAsia" w:ascii="宋体" w:hAnsi="宋体" w:cs="宋体"/>
          <w:sz w:val="24"/>
        </w:rPr>
      </w:pPr>
      <w:r>
        <w:rPr>
          <w:rFonts w:hint="eastAsia" w:ascii="宋体" w:hAnsi="宋体" w:cs="宋体"/>
          <w:sz w:val="24"/>
        </w:rPr>
        <w:t>3.9.3评标委员会要求投标人澄清、说明或者补正，不得超出招标文件的范围，不得以此让投标人实质改变投标文件的内容，不得影响投标人公平竞争。本项目下列内容不得澄清：</w:t>
      </w:r>
    </w:p>
    <w:p>
      <w:pPr>
        <w:spacing w:line="360" w:lineRule="auto"/>
        <w:ind w:firstLine="480" w:firstLineChars="200"/>
        <w:rPr>
          <w:rFonts w:hint="eastAsia" w:ascii="宋体" w:hAnsi="宋体" w:cs="宋体"/>
          <w:sz w:val="24"/>
        </w:rPr>
      </w:pPr>
      <w:r>
        <w:rPr>
          <w:rFonts w:hint="eastAsia" w:ascii="宋体" w:hAnsi="宋体" w:cs="宋体"/>
          <w:sz w:val="24"/>
        </w:rPr>
        <w:t>（一）按财政部规定应当在评标时不予承认的投标文件内容事项；</w:t>
      </w:r>
    </w:p>
    <w:p>
      <w:pPr>
        <w:spacing w:line="360" w:lineRule="auto"/>
        <w:ind w:firstLine="480" w:firstLineChars="200"/>
        <w:rPr>
          <w:rFonts w:hint="eastAsia" w:ascii="宋体" w:hAnsi="宋体" w:cs="宋体"/>
          <w:sz w:val="24"/>
        </w:rPr>
      </w:pPr>
      <w:r>
        <w:rPr>
          <w:rFonts w:hint="eastAsia" w:ascii="宋体" w:hAnsi="宋体" w:cs="宋体"/>
          <w:sz w:val="24"/>
        </w:rPr>
        <w:t>（二）投标文件中已经明确的内容事项；</w:t>
      </w:r>
    </w:p>
    <w:p>
      <w:pPr>
        <w:spacing w:line="360" w:lineRule="auto"/>
        <w:ind w:firstLine="480" w:firstLineChars="200"/>
        <w:rPr>
          <w:rFonts w:hint="eastAsia" w:ascii="宋体" w:hAnsi="宋体" w:cs="宋体"/>
          <w:sz w:val="24"/>
        </w:rPr>
      </w:pPr>
      <w:r>
        <w:rPr>
          <w:rFonts w:hint="eastAsia" w:ascii="宋体" w:hAnsi="宋体" w:cs="宋体"/>
          <w:sz w:val="24"/>
        </w:rPr>
        <w:t>（三）投标文件未提供的材料。</w:t>
      </w:r>
    </w:p>
    <w:p>
      <w:pPr>
        <w:spacing w:line="360" w:lineRule="auto"/>
        <w:ind w:firstLine="480" w:firstLineChars="200"/>
        <w:rPr>
          <w:rFonts w:hint="eastAsia" w:ascii="宋体" w:hAnsi="宋体" w:cs="宋体"/>
          <w:sz w:val="24"/>
        </w:rPr>
      </w:pPr>
      <w:r>
        <w:rPr>
          <w:rFonts w:hint="eastAsia" w:ascii="宋体" w:hAnsi="宋体" w:cs="宋体"/>
          <w:sz w:val="24"/>
        </w:rPr>
        <w:t>3.9.4 本项目采购过程中，投标文件出现下列情况的，不需要投标人澄清、说明或者补正，按照以下原则处理：</w:t>
      </w:r>
    </w:p>
    <w:p>
      <w:pPr>
        <w:spacing w:line="360" w:lineRule="auto"/>
        <w:ind w:firstLine="480" w:firstLineChars="200"/>
        <w:rPr>
          <w:rFonts w:hint="eastAsia" w:ascii="宋体" w:hAnsi="宋体" w:cs="宋体"/>
          <w:sz w:val="24"/>
        </w:rPr>
      </w:pPr>
      <w:r>
        <w:rPr>
          <w:rFonts w:hint="eastAsia" w:ascii="宋体" w:hAnsi="宋体" w:cs="宋体"/>
          <w:sz w:val="24"/>
        </w:rPr>
        <w:t>（一）投标文件的大写金额和小写金额不一致的，以大写金额为准，但大写金额出现文字错误，导致金额无法判断的除外；</w:t>
      </w:r>
    </w:p>
    <w:p>
      <w:pPr>
        <w:spacing w:line="360" w:lineRule="auto"/>
        <w:ind w:firstLine="480" w:firstLineChars="200"/>
        <w:rPr>
          <w:rFonts w:hint="eastAsia" w:ascii="宋体" w:hAnsi="宋体" w:cs="宋体"/>
          <w:sz w:val="24"/>
        </w:rPr>
      </w:pPr>
      <w:r>
        <w:rPr>
          <w:rFonts w:hint="eastAsia" w:ascii="宋体" w:hAnsi="宋体" w:cs="宋体"/>
          <w:sz w:val="24"/>
        </w:rPr>
        <w:t>（二）总价金额与按单价汇总金额不一致的，以单价汇总金额计算结果为准，但是单价金额出现计算错误、明显人为工作失误的除外；</w:t>
      </w:r>
    </w:p>
    <w:p>
      <w:pPr>
        <w:spacing w:line="360" w:lineRule="auto"/>
        <w:ind w:firstLine="480" w:firstLineChars="200"/>
        <w:rPr>
          <w:rFonts w:hint="eastAsia" w:ascii="宋体" w:hAnsi="宋体" w:cs="宋体"/>
          <w:sz w:val="24"/>
        </w:rPr>
      </w:pPr>
      <w:r>
        <w:rPr>
          <w:rFonts w:hint="eastAsia" w:ascii="宋体" w:hAnsi="宋体" w:cs="宋体"/>
          <w:sz w:val="24"/>
        </w:rPr>
        <w:t>（三）单价金额小数点有明显错位的，应以总价为准，并修改单价；</w:t>
      </w:r>
    </w:p>
    <w:p>
      <w:pPr>
        <w:spacing w:line="360" w:lineRule="auto"/>
        <w:ind w:firstLine="480" w:firstLineChars="200"/>
        <w:rPr>
          <w:rFonts w:hint="eastAsia" w:ascii="宋体" w:hAnsi="宋体" w:cs="宋体"/>
          <w:sz w:val="24"/>
        </w:rPr>
      </w:pPr>
      <w:r>
        <w:rPr>
          <w:rFonts w:hint="eastAsia" w:ascii="宋体" w:hAnsi="宋体" w:cs="宋体"/>
          <w:sz w:val="24"/>
        </w:rPr>
        <w:t>（四）对不同语言文本投标文件的解释发生异议的，以中文文本为准。</w:t>
      </w:r>
    </w:p>
    <w:p>
      <w:pPr>
        <w:spacing w:line="360" w:lineRule="auto"/>
        <w:ind w:firstLine="480" w:firstLineChars="200"/>
        <w:rPr>
          <w:rFonts w:hint="eastAsia" w:ascii="宋体" w:hAnsi="宋体" w:cs="宋体"/>
          <w:sz w:val="24"/>
        </w:rPr>
      </w:pPr>
      <w:r>
        <w:rPr>
          <w:rFonts w:hint="eastAsia" w:ascii="宋体" w:hAnsi="宋体" w:cs="宋体"/>
          <w:sz w:val="24"/>
        </w:rPr>
        <w:t>出现本条第（二）项规定情形，单价汇总金额比总价金额高，且超过政府采购预算或者本项目最高限价的，投标人投标文件应作为无效投标处理；单价汇总金额比总价金额高，但未超过政府采购预算或者本项目最高限价的，应以单价汇总金额作为价格评分依据。</w:t>
      </w:r>
    </w:p>
    <w:p>
      <w:pPr>
        <w:spacing w:line="360" w:lineRule="auto"/>
        <w:ind w:firstLine="482" w:firstLineChars="200"/>
        <w:rPr>
          <w:rFonts w:hint="eastAsia" w:ascii="宋体" w:hAnsi="宋体" w:cs="宋体"/>
          <w:b/>
          <w:sz w:val="24"/>
        </w:rPr>
      </w:pPr>
      <w:r>
        <w:rPr>
          <w:rFonts w:hint="eastAsia" w:ascii="宋体" w:hAnsi="宋体" w:cs="宋体"/>
          <w:b/>
          <w:sz w:val="24"/>
        </w:rPr>
        <w:t>注：评标委员会当积极履行澄清、说明或者补正的职责，不得滥用权力。投标人的投标文件可以要求澄清、说明或者补正的，不得未经澄清、说明或者补正而直接作无效投标处理。</w:t>
      </w:r>
    </w:p>
    <w:p>
      <w:pPr>
        <w:pStyle w:val="56"/>
        <w:spacing w:line="360" w:lineRule="auto"/>
        <w:ind w:firstLine="480" w:firstLineChars="200"/>
        <w:jc w:val="both"/>
        <w:rPr>
          <w:rFonts w:hint="eastAsia"/>
        </w:rPr>
      </w:pPr>
      <w:r>
        <w:rPr>
          <w:rFonts w:hint="eastAsia"/>
        </w:rPr>
        <w:t>3.10 1、在评标过程中，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投标人书面说明应当按照国家财务会计制度的规定要求，逐项就投标人提供的货物、工程和服务的主营业务成本（应根据投标人企业类型予以区别）、税金及附加、销售费用、管理费用、财务费用等成本构成事项详细陈述。</w:t>
      </w:r>
    </w:p>
    <w:p>
      <w:pPr>
        <w:pStyle w:val="56"/>
        <w:spacing w:line="360" w:lineRule="auto"/>
        <w:ind w:firstLine="480" w:firstLineChars="200"/>
        <w:jc w:val="both"/>
        <w:rPr>
          <w:rFonts w:hint="eastAsia"/>
        </w:rPr>
      </w:pPr>
      <w:r>
        <w:rPr>
          <w:rFonts w:hint="eastAsia"/>
        </w:rPr>
        <w:t>2、投标人书面说明应当签字确认或者加盖公章，否则无效。书面说明的签字确认，投标人为法人的，由其法定代表人或者代理人签字确认；投标人为其他组织的，由其主要负责人或者代理人签字确认；投标人为自然人的，由其本人或者代理人签字确认。</w:t>
      </w:r>
    </w:p>
    <w:p>
      <w:pPr>
        <w:pStyle w:val="56"/>
        <w:spacing w:line="360" w:lineRule="auto"/>
        <w:ind w:firstLine="480" w:firstLineChars="200"/>
        <w:jc w:val="both"/>
        <w:rPr>
          <w:rFonts w:hint="eastAsia"/>
        </w:rPr>
      </w:pPr>
      <w:r>
        <w:rPr>
          <w:rFonts w:hint="eastAsia"/>
        </w:rPr>
        <w:t>3、投标人提供书面说明后，评标委员会应当结合采购项目采购需求、专业实际情况、投标人财务状况报告、与其他投标人比较情况等就投标人书面说明进行审查评价。投标人拒绝或者变相拒绝提供有效书面说明或者书面说明不能证明其报价合理性的，评标委员会应当将其投标文件作为无效处理。</w:t>
      </w:r>
    </w:p>
    <w:p>
      <w:pPr>
        <w:pStyle w:val="56"/>
        <w:spacing w:line="360" w:lineRule="auto"/>
        <w:ind w:firstLine="480" w:firstLineChars="200"/>
        <w:jc w:val="both"/>
        <w:rPr>
          <w:rFonts w:hint="eastAsia"/>
        </w:rPr>
      </w:pPr>
      <w:r>
        <w:rPr>
          <w:rFonts w:hint="eastAsia"/>
        </w:rPr>
        <w:t xml:space="preserve"> 招标采购单位现场复核评标结果。</w:t>
      </w:r>
    </w:p>
    <w:p>
      <w:pPr>
        <w:pStyle w:val="56"/>
        <w:spacing w:line="360" w:lineRule="auto"/>
        <w:ind w:firstLine="480" w:firstLineChars="200"/>
        <w:jc w:val="both"/>
        <w:rPr>
          <w:rFonts w:hint="eastAsia"/>
        </w:rPr>
      </w:pPr>
      <w:r>
        <w:rPr>
          <w:rFonts w:hint="eastAsia"/>
        </w:rPr>
        <w:t>3.11.1评标结果汇总完成后，评标委员会拟出具评标报告前，招标采购单位应当组织2名以上的本单位工作人员，在采购现场监督人员的监督之下，依据有关的法律制度和采购文件对评标结果进行复核，出具复核报告。存在下列情形之一的，招标采购单位应当根据情况书面建议评标委员会现场修改评标结果或者重新评标：</w:t>
      </w:r>
    </w:p>
    <w:p>
      <w:pPr>
        <w:pStyle w:val="56"/>
        <w:spacing w:line="360" w:lineRule="auto"/>
        <w:ind w:firstLine="480" w:firstLineChars="200"/>
        <w:jc w:val="both"/>
        <w:rPr>
          <w:rFonts w:hint="eastAsia"/>
        </w:rPr>
      </w:pPr>
      <w:r>
        <w:rPr>
          <w:rFonts w:hint="eastAsia"/>
        </w:rPr>
        <w:t>（一）资格性审查认定错误的；</w:t>
      </w:r>
    </w:p>
    <w:p>
      <w:pPr>
        <w:pStyle w:val="56"/>
        <w:spacing w:line="360" w:lineRule="auto"/>
        <w:ind w:firstLine="480" w:firstLineChars="200"/>
        <w:jc w:val="both"/>
        <w:rPr>
          <w:rFonts w:hint="eastAsia"/>
        </w:rPr>
      </w:pPr>
      <w:r>
        <w:rPr>
          <w:rFonts w:hint="eastAsia"/>
        </w:rPr>
        <w:t>（二）分值汇总计算错误的；</w:t>
      </w:r>
    </w:p>
    <w:p>
      <w:pPr>
        <w:pStyle w:val="56"/>
        <w:spacing w:line="360" w:lineRule="auto"/>
        <w:ind w:firstLine="480" w:firstLineChars="200"/>
        <w:jc w:val="both"/>
        <w:rPr>
          <w:rFonts w:hint="eastAsia"/>
        </w:rPr>
      </w:pPr>
      <w:r>
        <w:rPr>
          <w:rFonts w:hint="eastAsia"/>
        </w:rPr>
        <w:t>（三）分项评分超出评分标准范围的；</w:t>
      </w:r>
    </w:p>
    <w:p>
      <w:pPr>
        <w:pStyle w:val="56"/>
        <w:spacing w:line="360" w:lineRule="auto"/>
        <w:ind w:firstLine="480" w:firstLineChars="200"/>
        <w:jc w:val="both"/>
        <w:rPr>
          <w:rFonts w:hint="eastAsia"/>
        </w:rPr>
      </w:pPr>
      <w:r>
        <w:rPr>
          <w:rFonts w:hint="eastAsia"/>
        </w:rPr>
        <w:t>（四）客观评分不一致的。</w:t>
      </w:r>
    </w:p>
    <w:p>
      <w:pPr>
        <w:pStyle w:val="56"/>
        <w:spacing w:line="360" w:lineRule="auto"/>
        <w:ind w:firstLine="480" w:firstLineChars="200"/>
        <w:jc w:val="both"/>
        <w:rPr>
          <w:rFonts w:hint="eastAsia"/>
        </w:rPr>
      </w:pPr>
      <w:r>
        <w:rPr>
          <w:rFonts w:hint="eastAsia"/>
        </w:rPr>
        <w:t>存在本条上述规定情形的，由评标委员会自主决定是否采纳招标采购单位的书面建议，并承担独立评审责任。评标委员会采纳招标采购单位书面建议的，应当按照规定现场修改评标结果或者重新评标，并在评标报告中详细记载有关事宜；不采纳招标采购单位书面建议的，应当书面说明理由。招标采购单位书面建议未被评标委员会采纳的，应当按照规定程序要求继续组织实施采购活动，不得擅自中止采购活动。招标采购单位认为评标委员会评标结果不合法的，应当书面报告采购项目同级财政部门依法处理。</w:t>
      </w:r>
    </w:p>
    <w:p>
      <w:pPr>
        <w:pStyle w:val="56"/>
        <w:spacing w:line="360" w:lineRule="auto"/>
        <w:ind w:firstLine="480" w:firstLineChars="200"/>
        <w:jc w:val="both"/>
        <w:rPr>
          <w:rFonts w:hint="eastAsia"/>
        </w:rPr>
      </w:pPr>
      <w:r>
        <w:rPr>
          <w:rFonts w:hint="eastAsia"/>
        </w:rPr>
        <w:t>3.11.2有下列情形之一的，不得修改评标结果或者重新评标：</w:t>
      </w:r>
    </w:p>
    <w:p>
      <w:pPr>
        <w:pStyle w:val="56"/>
        <w:spacing w:line="360" w:lineRule="auto"/>
        <w:ind w:firstLine="480" w:firstLineChars="200"/>
        <w:jc w:val="both"/>
        <w:rPr>
          <w:rFonts w:hint="eastAsia"/>
        </w:rPr>
      </w:pPr>
      <w:r>
        <w:rPr>
          <w:rFonts w:hint="eastAsia"/>
        </w:rPr>
        <w:t>（一）评标委员会已经出具评标报告并且离开评标现场的；</w:t>
      </w:r>
    </w:p>
    <w:p>
      <w:pPr>
        <w:pStyle w:val="56"/>
        <w:spacing w:line="360" w:lineRule="auto"/>
        <w:ind w:firstLine="480" w:firstLineChars="200"/>
        <w:jc w:val="both"/>
        <w:rPr>
          <w:rFonts w:hint="eastAsia"/>
        </w:rPr>
      </w:pPr>
      <w:r>
        <w:rPr>
          <w:rFonts w:hint="eastAsia"/>
        </w:rPr>
        <w:t>（二）招标采购单位现场复核时，复核工作人员数量不足的；</w:t>
      </w:r>
    </w:p>
    <w:p>
      <w:pPr>
        <w:pStyle w:val="56"/>
        <w:spacing w:line="360" w:lineRule="auto"/>
        <w:ind w:firstLine="480" w:firstLineChars="200"/>
        <w:jc w:val="both"/>
        <w:rPr>
          <w:rFonts w:hint="eastAsia"/>
        </w:rPr>
      </w:pPr>
      <w:r>
        <w:rPr>
          <w:rFonts w:hint="eastAsia"/>
        </w:rPr>
        <w:t>（三）招标采购单位现场复核时，没有采购监督人员现场监督的；</w:t>
      </w:r>
    </w:p>
    <w:p>
      <w:pPr>
        <w:pStyle w:val="56"/>
        <w:spacing w:line="360" w:lineRule="auto"/>
        <w:ind w:firstLine="480" w:firstLineChars="200"/>
        <w:jc w:val="both"/>
        <w:rPr>
          <w:rFonts w:hint="eastAsia"/>
        </w:rPr>
      </w:pPr>
      <w:r>
        <w:rPr>
          <w:rFonts w:hint="eastAsia"/>
        </w:rPr>
        <w:t>（四）招标采购单位现场复核内容超出规定范围的；</w:t>
      </w:r>
    </w:p>
    <w:p>
      <w:pPr>
        <w:pStyle w:val="56"/>
        <w:spacing w:line="360" w:lineRule="auto"/>
        <w:ind w:firstLine="480" w:firstLineChars="200"/>
        <w:jc w:val="both"/>
        <w:rPr>
          <w:rFonts w:hint="eastAsia"/>
        </w:rPr>
      </w:pPr>
      <w:r>
        <w:rPr>
          <w:rFonts w:hint="eastAsia"/>
        </w:rPr>
        <w:t>（五）招标采购单位未提供书面建议的。</w:t>
      </w:r>
    </w:p>
    <w:p>
      <w:pPr>
        <w:pStyle w:val="5"/>
        <w:ind w:firstLine="482"/>
        <w:rPr>
          <w:rFonts w:hint="eastAsia"/>
        </w:rPr>
      </w:pPr>
      <w:r>
        <w:rPr>
          <w:rFonts w:hint="eastAsia"/>
        </w:rPr>
        <w:t>4．评标细则及标准</w:t>
      </w:r>
      <w:bookmarkEnd w:id="320"/>
    </w:p>
    <w:p>
      <w:pPr>
        <w:spacing w:line="360" w:lineRule="auto"/>
        <w:ind w:firstLine="480" w:firstLineChars="200"/>
        <w:rPr>
          <w:rFonts w:hint="eastAsia" w:ascii="宋体" w:hAnsi="宋体" w:cs="宋体"/>
          <w:sz w:val="24"/>
        </w:rPr>
      </w:pPr>
      <w:r>
        <w:rPr>
          <w:rFonts w:hint="eastAsia" w:ascii="宋体" w:hAnsi="宋体" w:cs="宋体"/>
          <w:sz w:val="24"/>
        </w:rPr>
        <w:t>4.1本次综合评分的因素是：详见综合评分明细表。</w:t>
      </w:r>
    </w:p>
    <w:p>
      <w:pPr>
        <w:spacing w:line="360" w:lineRule="auto"/>
        <w:ind w:firstLine="480" w:firstLineChars="200"/>
        <w:rPr>
          <w:rFonts w:hint="eastAsia" w:ascii="宋体" w:hAnsi="宋体" w:cs="宋体"/>
          <w:sz w:val="24"/>
        </w:rPr>
      </w:pPr>
      <w:r>
        <w:rPr>
          <w:rFonts w:hint="eastAsia" w:ascii="宋体" w:hAnsi="宋体" w:cs="宋体"/>
          <w:sz w:val="24"/>
        </w:rPr>
        <w:t>4.2 评标委员会成员应当根据自身专业情况对每个有效投标投标人的投标文件进行独立评分，加权汇总每项评分因素的得分，得出每个有效投标投标人的总分。采购人代表原则上对技术类评分因素独立评分。其他不能明确区分的评分因素由评标委员会成员共同评分。</w:t>
      </w:r>
    </w:p>
    <w:p>
      <w:pPr>
        <w:spacing w:line="360" w:lineRule="auto"/>
        <w:ind w:firstLine="480" w:firstLineChars="200"/>
        <w:rPr>
          <w:rFonts w:hint="eastAsia" w:ascii="宋体"/>
          <w:sz w:val="24"/>
        </w:rPr>
      </w:pPr>
      <w:r>
        <w:rPr>
          <w:rFonts w:hint="eastAsia" w:ascii="宋体"/>
          <w:sz w:val="24"/>
        </w:rPr>
        <w:t>4.3综合评分明细表：</w:t>
      </w:r>
    </w:p>
    <w:p>
      <w:pPr>
        <w:pStyle w:val="2"/>
        <w:rPr>
          <w:rFonts w:hint="default" w:eastAsia="宋体"/>
          <w:lang w:val="en-US" w:eastAsia="zh-CN"/>
        </w:rPr>
      </w:pPr>
      <w:r>
        <w:rPr>
          <w:rFonts w:hint="eastAsia"/>
          <w:lang w:val="en-US" w:eastAsia="zh-CN"/>
        </w:rPr>
        <w:t>①包件一、包件三、包件五综合评分明细表：</w:t>
      </w:r>
    </w:p>
    <w:tbl>
      <w:tblPr>
        <w:tblStyle w:val="23"/>
        <w:tblW w:w="102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2"/>
        <w:gridCol w:w="827"/>
        <w:gridCol w:w="972"/>
        <w:gridCol w:w="586"/>
        <w:gridCol w:w="6409"/>
        <w:gridCol w:w="7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序号</w:t>
            </w:r>
          </w:p>
        </w:tc>
        <w:tc>
          <w:tcPr>
            <w:tcW w:w="1799" w:type="dxa"/>
            <w:gridSpan w:val="2"/>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评分因素及权重</w:t>
            </w:r>
          </w:p>
        </w:tc>
        <w:tc>
          <w:tcPr>
            <w:tcW w:w="586"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分值</w:t>
            </w:r>
          </w:p>
        </w:tc>
        <w:tc>
          <w:tcPr>
            <w:tcW w:w="6409"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评分标准</w:t>
            </w:r>
          </w:p>
        </w:tc>
        <w:tc>
          <w:tcPr>
            <w:tcW w:w="739" w:type="dxa"/>
            <w:tcBorders>
              <w:top w:val="single" w:color="auto" w:sz="4" w:space="0"/>
              <w:left w:val="single" w:color="auto" w:sz="4" w:space="0"/>
              <w:right w:val="single" w:color="auto" w:sz="4" w:space="0"/>
            </w:tcBorders>
            <w:vAlign w:val="center"/>
          </w:tcPr>
          <w:p>
            <w:pPr>
              <w:rPr>
                <w:rFonts w:hint="eastAsia" w:ascii="Calibri" w:hAnsi="Calibri"/>
                <w:szCs w:val="22"/>
              </w:rPr>
            </w:pPr>
            <w:r>
              <w:rPr>
                <w:rFonts w:hint="eastAsia" w:ascii="Calibri" w:hAnsi="Calibri"/>
                <w:szCs w:val="22"/>
              </w:rPr>
              <w:t>说明</w:t>
            </w:r>
          </w:p>
          <w:p>
            <w:pPr>
              <w:rPr>
                <w:rFonts w:ascii="Calibri" w:hAnsi="Calibri"/>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0" w:hRule="atLeast"/>
          <w:jc w:val="center"/>
        </w:trPr>
        <w:tc>
          <w:tcPr>
            <w:tcW w:w="672"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1</w:t>
            </w:r>
          </w:p>
        </w:tc>
        <w:tc>
          <w:tcPr>
            <w:tcW w:w="1799" w:type="dxa"/>
            <w:gridSpan w:val="2"/>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报价10%</w:t>
            </w:r>
          </w:p>
        </w:tc>
        <w:tc>
          <w:tcPr>
            <w:tcW w:w="586"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10分</w:t>
            </w:r>
          </w:p>
        </w:tc>
        <w:tc>
          <w:tcPr>
            <w:tcW w:w="6409"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满足招标文件要求且最后报价最低的供应商的价格为评标基准价，其价格分为满分。其他供应商的价格分统一按照下列公式计算：报价得分=（评标基准价/投标报价）×10</w:t>
            </w:r>
          </w:p>
          <w:p>
            <w:pPr>
              <w:rPr>
                <w:rFonts w:ascii="Calibri" w:hAnsi="Calibri"/>
                <w:szCs w:val="22"/>
              </w:rPr>
            </w:pPr>
            <w:r>
              <w:rPr>
                <w:rFonts w:hint="eastAsia" w:ascii="Calibri" w:hAnsi="Calibri"/>
                <w:szCs w:val="22"/>
              </w:rPr>
              <w:t>注：对小型和微型企业（含监狱企业、残疾人福利性单位）的报价（如涉及）给予10%的扣除，用扣除后的价格参与评审。</w:t>
            </w:r>
          </w:p>
        </w:tc>
        <w:tc>
          <w:tcPr>
            <w:tcW w:w="739" w:type="dxa"/>
            <w:tcBorders>
              <w:left w:val="single" w:color="auto" w:sz="4" w:space="0"/>
              <w:right w:val="single" w:color="auto" w:sz="4" w:space="0"/>
            </w:tcBorders>
            <w:vAlign w:val="center"/>
          </w:tcPr>
          <w:p>
            <w:pPr>
              <w:rPr>
                <w:rFonts w:ascii="Calibri" w:hAnsi="Calibri"/>
                <w:szCs w:val="22"/>
              </w:rPr>
            </w:pPr>
            <w:r>
              <w:rPr>
                <w:rFonts w:hint="eastAsia" w:ascii="Calibri" w:hAnsi="Calibri"/>
                <w:szCs w:val="22"/>
              </w:rPr>
              <w:t>共同评审因素</w:t>
            </w:r>
          </w:p>
          <w:p>
            <w:pPr>
              <w:rPr>
                <w:rFonts w:ascii="Calibri" w:hAnsi="Calibri"/>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2" w:type="dxa"/>
            <w:vMerge w:val="restart"/>
            <w:tcBorders>
              <w:top w:val="single" w:color="auto" w:sz="4" w:space="0"/>
              <w:left w:val="single" w:color="auto" w:sz="4" w:space="0"/>
              <w:right w:val="single" w:color="auto" w:sz="4" w:space="0"/>
            </w:tcBorders>
            <w:vAlign w:val="center"/>
          </w:tcPr>
          <w:p>
            <w:pPr>
              <w:rPr>
                <w:rFonts w:ascii="Calibri" w:hAnsi="Calibri"/>
                <w:szCs w:val="22"/>
              </w:rPr>
            </w:pPr>
            <w:r>
              <w:rPr>
                <w:rFonts w:hint="eastAsia" w:ascii="Calibri" w:hAnsi="Calibri"/>
                <w:szCs w:val="22"/>
              </w:rPr>
              <w:t>2</w:t>
            </w:r>
          </w:p>
        </w:tc>
        <w:tc>
          <w:tcPr>
            <w:tcW w:w="827" w:type="dxa"/>
            <w:vMerge w:val="restart"/>
            <w:tcBorders>
              <w:top w:val="single" w:color="auto" w:sz="4" w:space="0"/>
              <w:left w:val="single" w:color="auto" w:sz="4" w:space="0"/>
              <w:right w:val="single" w:color="auto" w:sz="4" w:space="0"/>
            </w:tcBorders>
            <w:vAlign w:val="center"/>
          </w:tcPr>
          <w:p>
            <w:pPr>
              <w:rPr>
                <w:rFonts w:ascii="Calibri" w:hAnsi="Calibri"/>
                <w:szCs w:val="22"/>
              </w:rPr>
            </w:pPr>
            <w:r>
              <w:rPr>
                <w:rFonts w:hint="eastAsia" w:ascii="Calibri" w:hAnsi="Calibri"/>
                <w:szCs w:val="22"/>
              </w:rPr>
              <w:t>实施方案56%</w:t>
            </w:r>
          </w:p>
        </w:tc>
        <w:tc>
          <w:tcPr>
            <w:tcW w:w="972"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项目情况了解及分析6%</w:t>
            </w:r>
          </w:p>
        </w:tc>
        <w:tc>
          <w:tcPr>
            <w:tcW w:w="586"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6分</w:t>
            </w:r>
          </w:p>
        </w:tc>
        <w:tc>
          <w:tcPr>
            <w:tcW w:w="6409"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对投标人提供项目情况了解及分析进行综合评审，根据投标人的：</w:t>
            </w:r>
          </w:p>
          <w:p>
            <w:pPr>
              <w:rPr>
                <w:rFonts w:ascii="Calibri" w:hAnsi="Calibri"/>
                <w:szCs w:val="22"/>
              </w:rPr>
            </w:pPr>
            <w:r>
              <w:rPr>
                <w:rFonts w:hint="eastAsia" w:ascii="Calibri" w:hAnsi="Calibri"/>
                <w:szCs w:val="22"/>
              </w:rPr>
              <w:t>①项目作业的要求和标准；</w:t>
            </w:r>
          </w:p>
          <w:p>
            <w:pPr>
              <w:rPr>
                <w:rFonts w:ascii="Calibri" w:hAnsi="Calibri"/>
                <w:szCs w:val="22"/>
              </w:rPr>
            </w:pPr>
            <w:r>
              <w:rPr>
                <w:rFonts w:hint="eastAsia" w:ascii="Calibri" w:hAnsi="Calibri"/>
                <w:szCs w:val="22"/>
              </w:rPr>
              <w:t>②对作业范围、作业项目及相关要求进行现场情况了解及分析；</w:t>
            </w:r>
          </w:p>
          <w:p>
            <w:pPr>
              <w:rPr>
                <w:rFonts w:ascii="Calibri" w:hAnsi="Calibri"/>
                <w:szCs w:val="22"/>
              </w:rPr>
            </w:pPr>
            <w:r>
              <w:rPr>
                <w:rFonts w:hint="eastAsia" w:ascii="Calibri" w:hAnsi="Calibri"/>
                <w:szCs w:val="22"/>
              </w:rPr>
              <w:t>③对作业的重点、难点现场情况了解及分析；</w:t>
            </w:r>
          </w:p>
          <w:p>
            <w:pPr>
              <w:rPr>
                <w:rFonts w:ascii="Calibri" w:hAnsi="Calibri"/>
                <w:szCs w:val="22"/>
              </w:rPr>
            </w:pPr>
            <w:r>
              <w:rPr>
                <w:rFonts w:hint="eastAsia" w:ascii="Calibri" w:hAnsi="Calibri"/>
                <w:szCs w:val="22"/>
              </w:rPr>
              <w:t>针对每一点要素，符合本项目基本采购需求的，得单项基础分1分；每有一点要素结构严谨、分析结合实际且针对性强，内容完整翔实，语言表述准确清晰，方案可行度高，对项目起积极作用或更有利于项目实施的加1分，本项最高得6分。每缺一项要素或完全不符合本项目需求扣2分，本项分值扣完为止。</w:t>
            </w:r>
          </w:p>
        </w:tc>
        <w:tc>
          <w:tcPr>
            <w:tcW w:w="739" w:type="dxa"/>
            <w:vMerge w:val="restart"/>
            <w:tcBorders>
              <w:left w:val="single" w:color="auto" w:sz="4" w:space="0"/>
              <w:right w:val="single" w:color="auto" w:sz="4" w:space="0"/>
            </w:tcBorders>
            <w:vAlign w:val="center"/>
          </w:tcPr>
          <w:p>
            <w:pPr>
              <w:rPr>
                <w:rFonts w:ascii="Calibri" w:hAnsi="Calibri"/>
                <w:szCs w:val="22"/>
              </w:rPr>
            </w:pPr>
            <w:r>
              <w:rPr>
                <w:rFonts w:hint="eastAsia" w:ascii="Calibri" w:hAnsi="Calibri"/>
                <w:szCs w:val="22"/>
              </w:rPr>
              <w:t>技术类评审因素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2" w:hRule="atLeast"/>
          <w:jc w:val="center"/>
        </w:trPr>
        <w:tc>
          <w:tcPr>
            <w:tcW w:w="672" w:type="dxa"/>
            <w:vMerge w:val="continue"/>
            <w:tcBorders>
              <w:left w:val="single" w:color="auto" w:sz="4" w:space="0"/>
              <w:right w:val="single" w:color="auto" w:sz="4" w:space="0"/>
            </w:tcBorders>
            <w:vAlign w:val="center"/>
          </w:tcPr>
          <w:p>
            <w:pPr>
              <w:rPr>
                <w:rFonts w:ascii="Calibri" w:hAnsi="Calibri"/>
                <w:szCs w:val="22"/>
              </w:rPr>
            </w:pPr>
          </w:p>
        </w:tc>
        <w:tc>
          <w:tcPr>
            <w:tcW w:w="827" w:type="dxa"/>
            <w:vMerge w:val="continue"/>
            <w:tcBorders>
              <w:left w:val="single" w:color="auto" w:sz="4" w:space="0"/>
              <w:right w:val="single" w:color="auto" w:sz="4" w:space="0"/>
            </w:tcBorders>
            <w:vAlign w:val="center"/>
          </w:tcPr>
          <w:p>
            <w:pPr>
              <w:rPr>
                <w:rFonts w:ascii="Calibri" w:hAnsi="Calibri"/>
                <w:szCs w:val="22"/>
              </w:rPr>
            </w:pPr>
          </w:p>
        </w:tc>
        <w:tc>
          <w:tcPr>
            <w:tcW w:w="972"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组织机构管理制度7%</w:t>
            </w:r>
          </w:p>
        </w:tc>
        <w:tc>
          <w:tcPr>
            <w:tcW w:w="586"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7分</w:t>
            </w:r>
          </w:p>
        </w:tc>
        <w:tc>
          <w:tcPr>
            <w:tcW w:w="6409"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对投标人所投包件组织机构管理制度进行评价，包括：</w:t>
            </w:r>
          </w:p>
          <w:p>
            <w:pPr>
              <w:rPr>
                <w:rFonts w:ascii="Calibri" w:hAnsi="Calibri"/>
                <w:szCs w:val="22"/>
              </w:rPr>
            </w:pPr>
            <w:r>
              <w:rPr>
                <w:rFonts w:hint="eastAsia" w:ascii="Calibri" w:hAnsi="Calibri"/>
                <w:szCs w:val="22"/>
              </w:rPr>
              <w:t>①项目管理机构设置情况；</w:t>
            </w:r>
          </w:p>
          <w:p>
            <w:pPr>
              <w:rPr>
                <w:rFonts w:ascii="Calibri" w:hAnsi="Calibri"/>
                <w:szCs w:val="22"/>
              </w:rPr>
            </w:pPr>
            <w:r>
              <w:rPr>
                <w:rFonts w:hint="eastAsia" w:ascii="Calibri" w:hAnsi="Calibri"/>
                <w:szCs w:val="22"/>
              </w:rPr>
              <w:t>②项目经理及其他管理人员配备情况；</w:t>
            </w:r>
          </w:p>
          <w:p>
            <w:pPr>
              <w:rPr>
                <w:rFonts w:ascii="Calibri" w:hAnsi="Calibri"/>
                <w:szCs w:val="22"/>
              </w:rPr>
            </w:pPr>
            <w:r>
              <w:rPr>
                <w:rFonts w:hint="eastAsia" w:ascii="Calibri" w:hAnsi="Calibri"/>
                <w:szCs w:val="22"/>
              </w:rPr>
              <w:t>③各岗位管理职能职责；</w:t>
            </w:r>
          </w:p>
          <w:p>
            <w:pPr>
              <w:rPr>
                <w:rFonts w:ascii="Calibri" w:hAnsi="Calibri"/>
                <w:szCs w:val="22"/>
              </w:rPr>
            </w:pPr>
            <w:r>
              <w:rPr>
                <w:rFonts w:hint="eastAsia" w:ascii="Calibri" w:hAnsi="Calibri"/>
                <w:szCs w:val="22"/>
              </w:rPr>
              <w:t>④内部日常管理制度；</w:t>
            </w:r>
          </w:p>
          <w:p>
            <w:pPr>
              <w:rPr>
                <w:rFonts w:ascii="Calibri" w:hAnsi="Calibri"/>
                <w:szCs w:val="22"/>
              </w:rPr>
            </w:pPr>
            <w:r>
              <w:rPr>
                <w:rFonts w:hint="eastAsia" w:ascii="Calibri" w:hAnsi="Calibri"/>
                <w:szCs w:val="22"/>
              </w:rPr>
              <w:t>⑤监督巡查机制；</w:t>
            </w:r>
          </w:p>
          <w:p>
            <w:pPr>
              <w:rPr>
                <w:rFonts w:ascii="Calibri" w:hAnsi="Calibri"/>
                <w:szCs w:val="22"/>
              </w:rPr>
            </w:pPr>
            <w:r>
              <w:rPr>
                <w:rFonts w:hint="eastAsia" w:ascii="Calibri" w:hAnsi="Calibri"/>
                <w:szCs w:val="22"/>
              </w:rPr>
              <w:t>⑥奖惩制度；</w:t>
            </w:r>
          </w:p>
          <w:p>
            <w:pPr>
              <w:rPr>
                <w:rFonts w:ascii="Calibri" w:hAnsi="Calibri"/>
                <w:szCs w:val="22"/>
              </w:rPr>
            </w:pPr>
            <w:r>
              <w:rPr>
                <w:rFonts w:hint="eastAsia" w:ascii="Calibri" w:hAnsi="Calibri"/>
                <w:szCs w:val="22"/>
              </w:rPr>
              <w:t>⑦考核办法；</w:t>
            </w:r>
          </w:p>
          <w:p>
            <w:pPr>
              <w:rPr>
                <w:rFonts w:ascii="Calibri" w:hAnsi="Calibri"/>
                <w:szCs w:val="22"/>
              </w:rPr>
            </w:pPr>
            <w:r>
              <w:rPr>
                <w:rFonts w:hint="eastAsia" w:ascii="Calibri" w:hAnsi="Calibri"/>
                <w:szCs w:val="22"/>
              </w:rPr>
              <w:t>针对每一点要素，符合本项目基本采购需求的，得单项基础分0.5分；每有一点要素结构严谨、分析结合实际且针对性强，内容完整翔实，语言表述准确清晰，方案可行度高，对项目起积极作用或更有利于项目实施的加0.5分，本项最高得7分。每缺一项要素或完全不符合本项目需求扣1分，本项分值扣完为止。</w:t>
            </w:r>
          </w:p>
        </w:tc>
        <w:tc>
          <w:tcPr>
            <w:tcW w:w="739" w:type="dxa"/>
            <w:vMerge w:val="continue"/>
            <w:tcBorders>
              <w:left w:val="single" w:color="auto" w:sz="4" w:space="0"/>
              <w:right w:val="single" w:color="auto" w:sz="4" w:space="0"/>
            </w:tcBorders>
            <w:vAlign w:val="center"/>
          </w:tcPr>
          <w:p>
            <w:pPr>
              <w:rPr>
                <w:rFonts w:ascii="Calibri" w:hAnsi="Calibri"/>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672" w:type="dxa"/>
            <w:vMerge w:val="continue"/>
            <w:tcBorders>
              <w:left w:val="single" w:color="auto" w:sz="4" w:space="0"/>
              <w:right w:val="single" w:color="auto" w:sz="4" w:space="0"/>
            </w:tcBorders>
            <w:vAlign w:val="center"/>
          </w:tcPr>
          <w:p>
            <w:pPr>
              <w:rPr>
                <w:rFonts w:ascii="Calibri" w:hAnsi="Calibri"/>
                <w:szCs w:val="22"/>
              </w:rPr>
            </w:pPr>
          </w:p>
        </w:tc>
        <w:tc>
          <w:tcPr>
            <w:tcW w:w="827" w:type="dxa"/>
            <w:vMerge w:val="continue"/>
            <w:tcBorders>
              <w:left w:val="single" w:color="auto" w:sz="4" w:space="0"/>
              <w:right w:val="single" w:color="auto" w:sz="4" w:space="0"/>
            </w:tcBorders>
            <w:vAlign w:val="center"/>
          </w:tcPr>
          <w:p>
            <w:pPr>
              <w:rPr>
                <w:rFonts w:ascii="Calibri" w:hAnsi="Calibri"/>
                <w:szCs w:val="22"/>
              </w:rPr>
            </w:pPr>
          </w:p>
        </w:tc>
        <w:tc>
          <w:tcPr>
            <w:tcW w:w="972"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作业方案38%</w:t>
            </w:r>
          </w:p>
        </w:tc>
        <w:tc>
          <w:tcPr>
            <w:tcW w:w="586"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38分</w:t>
            </w:r>
          </w:p>
        </w:tc>
        <w:tc>
          <w:tcPr>
            <w:tcW w:w="6409"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1.具有道路清扫保洁作业流程、作业频率、作业时间、作业人员安排、作业机具分配等，包括：</w:t>
            </w:r>
          </w:p>
          <w:p>
            <w:pPr>
              <w:rPr>
                <w:rFonts w:ascii="Calibri" w:hAnsi="Calibri"/>
                <w:szCs w:val="22"/>
              </w:rPr>
            </w:pPr>
            <w:r>
              <w:rPr>
                <w:rFonts w:hint="eastAsia" w:ascii="Calibri" w:hAnsi="Calibri"/>
                <w:szCs w:val="22"/>
              </w:rPr>
              <w:t>①机械清扫作业；</w:t>
            </w:r>
          </w:p>
          <w:p>
            <w:pPr>
              <w:rPr>
                <w:rFonts w:ascii="Calibri" w:hAnsi="Calibri"/>
                <w:szCs w:val="22"/>
              </w:rPr>
            </w:pPr>
            <w:r>
              <w:rPr>
                <w:rFonts w:hint="eastAsia" w:ascii="Calibri" w:hAnsi="Calibri"/>
                <w:szCs w:val="22"/>
              </w:rPr>
              <w:t>②人工清扫作业；</w:t>
            </w:r>
          </w:p>
          <w:p>
            <w:pPr>
              <w:rPr>
                <w:rFonts w:ascii="Calibri" w:hAnsi="Calibri"/>
                <w:szCs w:val="22"/>
              </w:rPr>
            </w:pPr>
            <w:r>
              <w:rPr>
                <w:rFonts w:hint="eastAsia" w:ascii="Calibri" w:hAnsi="Calibri"/>
                <w:szCs w:val="22"/>
              </w:rPr>
              <w:t>③机动车道人工保洁作业；</w:t>
            </w:r>
          </w:p>
          <w:p>
            <w:pPr>
              <w:rPr>
                <w:rFonts w:ascii="Calibri" w:hAnsi="Calibri"/>
                <w:szCs w:val="22"/>
              </w:rPr>
            </w:pPr>
            <w:r>
              <w:rPr>
                <w:rFonts w:hint="eastAsia" w:ascii="Calibri" w:hAnsi="Calibri"/>
                <w:szCs w:val="22"/>
              </w:rPr>
              <w:t>④非机动车道人工保洁作业；</w:t>
            </w:r>
          </w:p>
          <w:p>
            <w:pPr>
              <w:rPr>
                <w:rFonts w:ascii="Calibri" w:hAnsi="Calibri"/>
                <w:szCs w:val="22"/>
              </w:rPr>
            </w:pPr>
            <w:r>
              <w:rPr>
                <w:rFonts w:hint="eastAsia" w:ascii="Calibri" w:hAnsi="Calibri"/>
                <w:szCs w:val="22"/>
              </w:rPr>
              <w:t>⑤人行道清扫保洁作业；</w:t>
            </w:r>
          </w:p>
          <w:p>
            <w:pPr>
              <w:rPr>
                <w:rFonts w:ascii="Calibri" w:hAnsi="Calibri"/>
                <w:szCs w:val="22"/>
              </w:rPr>
            </w:pPr>
            <w:r>
              <w:rPr>
                <w:rFonts w:hint="eastAsia" w:ascii="Calibri" w:hAnsi="Calibri"/>
                <w:szCs w:val="22"/>
              </w:rPr>
              <w:t>⑥机动车道及非机动车道冲洗除尘作业；</w:t>
            </w:r>
          </w:p>
          <w:p>
            <w:pPr>
              <w:rPr>
                <w:rFonts w:ascii="Calibri" w:hAnsi="Calibri"/>
                <w:szCs w:val="22"/>
              </w:rPr>
            </w:pPr>
            <w:r>
              <w:rPr>
                <w:rFonts w:hint="eastAsia" w:ascii="Calibri" w:hAnsi="Calibri"/>
                <w:szCs w:val="22"/>
              </w:rPr>
              <w:t>⑦机动车道路沿石冲刷除尘作业；</w:t>
            </w:r>
          </w:p>
          <w:p>
            <w:pPr>
              <w:rPr>
                <w:rFonts w:ascii="Calibri" w:hAnsi="Calibri"/>
                <w:szCs w:val="22"/>
              </w:rPr>
            </w:pPr>
            <w:r>
              <w:rPr>
                <w:rFonts w:hint="eastAsia" w:ascii="Calibri" w:hAnsi="Calibri"/>
                <w:szCs w:val="22"/>
              </w:rPr>
              <w:t>⑧人行道地砖及非机动车道路沿石清洗除污作业；</w:t>
            </w:r>
          </w:p>
          <w:p>
            <w:pPr>
              <w:rPr>
                <w:rFonts w:ascii="Calibri" w:hAnsi="Calibri"/>
                <w:szCs w:val="22"/>
              </w:rPr>
            </w:pPr>
            <w:r>
              <w:rPr>
                <w:rFonts w:hint="eastAsia" w:ascii="Calibri" w:hAnsi="Calibri"/>
                <w:szCs w:val="22"/>
              </w:rPr>
              <w:t>⑨交通隔离护栏设施、道路桥梁栏杆和绿化带隔离护栏等城市家具清洁除尘作业；</w:t>
            </w:r>
          </w:p>
          <w:p>
            <w:pPr>
              <w:rPr>
                <w:rFonts w:ascii="Calibri" w:hAnsi="Calibri"/>
                <w:szCs w:val="22"/>
              </w:rPr>
            </w:pPr>
            <w:r>
              <w:rPr>
                <w:rFonts w:hint="eastAsia" w:ascii="Calibri" w:hAnsi="Calibri"/>
                <w:szCs w:val="22"/>
              </w:rPr>
              <w:t>⑩绿化带作业；</w:t>
            </w:r>
          </w:p>
          <w:p>
            <w:pPr>
              <w:rPr>
                <w:rFonts w:ascii="Calibri" w:hAnsi="Calibri"/>
                <w:szCs w:val="22"/>
              </w:rPr>
            </w:pPr>
            <w:r>
              <w:rPr>
                <w:rFonts w:hint="eastAsia" w:ascii="Calibri" w:hAnsi="Calibri"/>
                <w:szCs w:val="22"/>
              </w:rPr>
              <w:t>⑪树池作业；</w:t>
            </w:r>
          </w:p>
          <w:p>
            <w:pPr>
              <w:rPr>
                <w:rFonts w:ascii="Calibri" w:hAnsi="Calibri"/>
                <w:szCs w:val="22"/>
              </w:rPr>
            </w:pPr>
            <w:r>
              <w:rPr>
                <w:rFonts w:hint="eastAsia" w:ascii="Calibri" w:hAnsi="Calibri"/>
                <w:szCs w:val="22"/>
              </w:rPr>
              <w:t>⑫果屑箱清掏清洗作业；</w:t>
            </w:r>
          </w:p>
          <w:p>
            <w:pPr>
              <w:rPr>
                <w:rFonts w:ascii="Calibri" w:hAnsi="Calibri"/>
                <w:szCs w:val="22"/>
              </w:rPr>
            </w:pPr>
            <w:r>
              <w:rPr>
                <w:rFonts w:hint="eastAsia" w:ascii="Calibri" w:hAnsi="Calibri"/>
                <w:szCs w:val="22"/>
              </w:rPr>
              <w:t>针对每一点要素，符合本项目基本采购需求的，得单项基础分1分；每有一点要素结构严谨、分析结合实际且针对性强，内容完整翔实，语言表述准确清晰，方案可行度高，对项目起积极作用或更有利于项目实施的加1分，本项最高得24分。每缺一项要素或完全不符合本项目需求扣2分，本项分值扣完为止。</w:t>
            </w:r>
          </w:p>
          <w:p>
            <w:pPr>
              <w:spacing w:after="120"/>
              <w:rPr>
                <w:rFonts w:ascii="Calibri" w:hAnsi="Calibri"/>
                <w:szCs w:val="22"/>
              </w:rPr>
            </w:pPr>
          </w:p>
          <w:p>
            <w:pPr>
              <w:rPr>
                <w:rFonts w:ascii="Calibri" w:hAnsi="Calibri"/>
                <w:szCs w:val="22"/>
              </w:rPr>
            </w:pPr>
            <w:r>
              <w:rPr>
                <w:rFonts w:hint="eastAsia" w:ascii="Calibri" w:hAnsi="Calibri"/>
                <w:szCs w:val="22"/>
              </w:rPr>
              <w:t>2.具有“牛皮癣”清除作业流程、作业频率、作业时间、作业人员安排、作业机具分配等，包括：</w:t>
            </w:r>
          </w:p>
          <w:p>
            <w:pPr>
              <w:rPr>
                <w:rFonts w:ascii="Calibri" w:hAnsi="Calibri"/>
                <w:szCs w:val="22"/>
              </w:rPr>
            </w:pPr>
            <w:r>
              <w:rPr>
                <w:rFonts w:hint="eastAsia" w:ascii="Calibri" w:hAnsi="Calibri"/>
                <w:szCs w:val="22"/>
              </w:rPr>
              <w:t>①张贴类广告清除作业；</w:t>
            </w:r>
          </w:p>
          <w:p>
            <w:pPr>
              <w:rPr>
                <w:rFonts w:ascii="Calibri" w:hAnsi="Calibri"/>
                <w:szCs w:val="22"/>
              </w:rPr>
            </w:pPr>
            <w:r>
              <w:rPr>
                <w:rFonts w:hint="eastAsia" w:ascii="Calibri" w:hAnsi="Calibri"/>
                <w:szCs w:val="22"/>
              </w:rPr>
              <w:t>②喷涂类广告清除作业</w:t>
            </w:r>
          </w:p>
          <w:p>
            <w:pPr>
              <w:rPr>
                <w:rFonts w:ascii="Calibri" w:hAnsi="Calibri"/>
                <w:szCs w:val="22"/>
              </w:rPr>
            </w:pPr>
            <w:r>
              <w:rPr>
                <w:rFonts w:hint="eastAsia" w:ascii="Calibri" w:hAnsi="Calibri"/>
                <w:szCs w:val="22"/>
              </w:rPr>
              <w:t>针对每一点要素，符合本项目基本采购需求的，得单项基础分1分；每有一点要素结构严谨、分析结合实际且针对性强，内容完整翔实，语言表述准确清晰，方案可行度高，对项目起积极作用或更有利于项目实施的加1分，本项最高得4分。每缺一项要素或完全不符合本项目需求扣2分，本项分值扣完为止。</w:t>
            </w:r>
          </w:p>
          <w:p>
            <w:pPr>
              <w:spacing w:after="120"/>
              <w:rPr>
                <w:rFonts w:ascii="Calibri" w:hAnsi="Calibri"/>
                <w:szCs w:val="22"/>
              </w:rPr>
            </w:pPr>
          </w:p>
          <w:p>
            <w:pPr>
              <w:rPr>
                <w:rFonts w:ascii="Calibri" w:hAnsi="Calibri"/>
                <w:szCs w:val="22"/>
              </w:rPr>
            </w:pPr>
            <w:r>
              <w:rPr>
                <w:rFonts w:hint="eastAsia" w:ascii="Calibri" w:hAnsi="Calibri"/>
                <w:szCs w:val="22"/>
              </w:rPr>
              <w:t>3.具有垃圾收运转运作业流程、作业频率、作业时间、作业人员安排、作业机具分配等，包括：</w:t>
            </w:r>
          </w:p>
          <w:p>
            <w:pPr>
              <w:rPr>
                <w:rFonts w:ascii="Calibri" w:hAnsi="Calibri"/>
                <w:szCs w:val="22"/>
              </w:rPr>
            </w:pPr>
            <w:r>
              <w:rPr>
                <w:rFonts w:hint="eastAsia" w:ascii="Calibri" w:hAnsi="Calibri"/>
                <w:szCs w:val="22"/>
              </w:rPr>
              <w:t>①果屑箱及临街店铺垃圾收运作业；</w:t>
            </w:r>
          </w:p>
          <w:p>
            <w:pPr>
              <w:rPr>
                <w:rFonts w:ascii="Calibri" w:hAnsi="Calibri"/>
                <w:szCs w:val="22"/>
              </w:rPr>
            </w:pPr>
            <w:r>
              <w:rPr>
                <w:rFonts w:hint="eastAsia" w:ascii="Calibri" w:hAnsi="Calibri"/>
                <w:szCs w:val="22"/>
              </w:rPr>
              <w:t>②工业园区、企事业单位垃圾收运作业；</w:t>
            </w:r>
          </w:p>
          <w:p>
            <w:pPr>
              <w:rPr>
                <w:rFonts w:ascii="Calibri" w:hAnsi="Calibri"/>
                <w:szCs w:val="22"/>
              </w:rPr>
            </w:pPr>
            <w:r>
              <w:rPr>
                <w:rFonts w:hint="eastAsia" w:ascii="Calibri" w:hAnsi="Calibri"/>
                <w:szCs w:val="22"/>
              </w:rPr>
              <w:t>③工业园区、企事业单位大件垃圾和有害垃圾收集作业；</w:t>
            </w:r>
          </w:p>
          <w:p>
            <w:pPr>
              <w:rPr>
                <w:rFonts w:ascii="Calibri" w:hAnsi="Calibri"/>
                <w:szCs w:val="22"/>
              </w:rPr>
            </w:pPr>
            <w:r>
              <w:rPr>
                <w:rFonts w:hint="eastAsia" w:ascii="Calibri" w:hAnsi="Calibri"/>
                <w:szCs w:val="22"/>
              </w:rPr>
              <w:t>针对每一点要素，符合本项目基本采购需求的，得单项基础分1分；每有一点要素结构严谨、分析结合实际且针对性强，内容完整翔实，语言表述准确清晰，方案可行度高，对项目起积极作用或更有利于项目实施的加1分，本项最高得6分。每缺一项要素或完全不符合本项目需求扣2分，本项分值扣完为止。</w:t>
            </w:r>
          </w:p>
          <w:p>
            <w:pPr>
              <w:spacing w:after="120"/>
              <w:rPr>
                <w:rFonts w:ascii="Calibri" w:hAnsi="Calibri"/>
                <w:szCs w:val="22"/>
              </w:rPr>
            </w:pPr>
          </w:p>
          <w:p>
            <w:pPr>
              <w:rPr>
                <w:rFonts w:ascii="Calibri" w:hAnsi="Calibri"/>
                <w:szCs w:val="22"/>
              </w:rPr>
            </w:pPr>
            <w:r>
              <w:rPr>
                <w:rFonts w:hint="eastAsia" w:ascii="Calibri" w:hAnsi="Calibri"/>
                <w:szCs w:val="22"/>
              </w:rPr>
              <w:t xml:space="preserve">4.公厕维保方案  </w:t>
            </w:r>
          </w:p>
          <w:p>
            <w:pPr>
              <w:rPr>
                <w:rFonts w:ascii="Calibri" w:hAnsi="Calibri"/>
                <w:szCs w:val="22"/>
              </w:rPr>
            </w:pPr>
            <w:r>
              <w:rPr>
                <w:rFonts w:hint="eastAsia" w:ascii="Calibri" w:hAnsi="Calibri"/>
                <w:szCs w:val="22"/>
              </w:rPr>
              <w:t>根据投标人提供的公厕维保方案进行综合评分，包含：</w:t>
            </w:r>
          </w:p>
          <w:p>
            <w:pPr>
              <w:rPr>
                <w:rFonts w:ascii="Calibri" w:hAnsi="Calibri"/>
                <w:szCs w:val="22"/>
              </w:rPr>
            </w:pPr>
            <w:r>
              <w:rPr>
                <w:rFonts w:hint="eastAsia" w:ascii="Calibri" w:hAnsi="Calibri"/>
                <w:szCs w:val="22"/>
              </w:rPr>
              <w:t>①公厕保洁的作业内容、作业时间、作业流程；</w:t>
            </w:r>
          </w:p>
          <w:p>
            <w:pPr>
              <w:rPr>
                <w:rFonts w:ascii="Calibri" w:hAnsi="Calibri"/>
                <w:szCs w:val="22"/>
              </w:rPr>
            </w:pPr>
            <w:r>
              <w:rPr>
                <w:rFonts w:hint="eastAsia" w:ascii="Calibri" w:hAnsi="Calibri"/>
                <w:szCs w:val="22"/>
              </w:rPr>
              <w:t>②公厕设施设备维护的作业内容、作业时间、作业流程；</w:t>
            </w:r>
          </w:p>
          <w:p>
            <w:pPr>
              <w:rPr>
                <w:rFonts w:ascii="Calibri" w:hAnsi="Calibri"/>
                <w:szCs w:val="22"/>
              </w:rPr>
            </w:pPr>
            <w:r>
              <w:rPr>
                <w:rFonts w:hint="eastAsia" w:ascii="Calibri" w:hAnsi="Calibri"/>
                <w:szCs w:val="22"/>
              </w:rPr>
              <w:t>针对每一点要素，符合本项目基本采购需求的，得单项基础分1分；每有一点要素结构严谨、分析结合实际且针对性强，内容完整翔实，语言表述准确清晰，方案可行度高，对项目起积极作用或更有利于项目实施的加1分，本项最高得4分。每缺一项要素或完全不符合本项目需求扣2分，本项分值扣完为止。</w:t>
            </w:r>
          </w:p>
        </w:tc>
        <w:tc>
          <w:tcPr>
            <w:tcW w:w="739" w:type="dxa"/>
            <w:vMerge w:val="continue"/>
            <w:tcBorders>
              <w:left w:val="single" w:color="auto" w:sz="4" w:space="0"/>
              <w:right w:val="single" w:color="auto" w:sz="4" w:space="0"/>
            </w:tcBorders>
          </w:tcPr>
          <w:p>
            <w:pPr>
              <w:rPr>
                <w:rFonts w:ascii="Calibri" w:hAnsi="Calibri"/>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5" w:hRule="atLeast"/>
          <w:jc w:val="center"/>
        </w:trPr>
        <w:tc>
          <w:tcPr>
            <w:tcW w:w="672" w:type="dxa"/>
            <w:vMerge w:val="continue"/>
            <w:tcBorders>
              <w:left w:val="single" w:color="auto" w:sz="4" w:space="0"/>
              <w:right w:val="single" w:color="auto" w:sz="4" w:space="0"/>
            </w:tcBorders>
            <w:vAlign w:val="center"/>
          </w:tcPr>
          <w:p>
            <w:pPr>
              <w:rPr>
                <w:rFonts w:ascii="Calibri" w:hAnsi="Calibri"/>
                <w:szCs w:val="22"/>
              </w:rPr>
            </w:pPr>
          </w:p>
        </w:tc>
        <w:tc>
          <w:tcPr>
            <w:tcW w:w="827" w:type="dxa"/>
            <w:vMerge w:val="continue"/>
            <w:tcBorders>
              <w:left w:val="single" w:color="auto" w:sz="4" w:space="0"/>
              <w:right w:val="single" w:color="auto" w:sz="4" w:space="0"/>
            </w:tcBorders>
            <w:vAlign w:val="center"/>
          </w:tcPr>
          <w:p>
            <w:pPr>
              <w:rPr>
                <w:rFonts w:ascii="Calibri" w:hAnsi="Calibri"/>
                <w:szCs w:val="22"/>
              </w:rPr>
            </w:pPr>
          </w:p>
        </w:tc>
        <w:tc>
          <w:tcPr>
            <w:tcW w:w="972"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质量控制方案3%</w:t>
            </w:r>
          </w:p>
        </w:tc>
        <w:tc>
          <w:tcPr>
            <w:tcW w:w="586"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3分</w:t>
            </w:r>
          </w:p>
        </w:tc>
        <w:tc>
          <w:tcPr>
            <w:tcW w:w="6409"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投标人根据项目建立全面的质量控制方案，建有：</w:t>
            </w:r>
          </w:p>
          <w:p>
            <w:pPr>
              <w:rPr>
                <w:rFonts w:ascii="Calibri" w:hAnsi="Calibri"/>
                <w:szCs w:val="22"/>
              </w:rPr>
            </w:pPr>
            <w:r>
              <w:rPr>
                <w:rFonts w:hint="eastAsia" w:ascii="Calibri" w:hAnsi="Calibri"/>
                <w:szCs w:val="22"/>
              </w:rPr>
              <w:t>①质量控制目标；</w:t>
            </w:r>
          </w:p>
          <w:p>
            <w:pPr>
              <w:rPr>
                <w:rFonts w:ascii="Calibri" w:hAnsi="Calibri"/>
                <w:szCs w:val="22"/>
              </w:rPr>
            </w:pPr>
            <w:r>
              <w:rPr>
                <w:rFonts w:hint="eastAsia" w:ascii="Calibri" w:hAnsi="Calibri"/>
                <w:szCs w:val="22"/>
              </w:rPr>
              <w:t>②管理制度；</w:t>
            </w:r>
          </w:p>
          <w:p>
            <w:pPr>
              <w:rPr>
                <w:rFonts w:ascii="Calibri" w:hAnsi="Calibri"/>
                <w:szCs w:val="22"/>
              </w:rPr>
            </w:pPr>
            <w:r>
              <w:rPr>
                <w:rFonts w:hint="eastAsia" w:ascii="Calibri" w:hAnsi="Calibri"/>
                <w:szCs w:val="22"/>
              </w:rPr>
              <w:t>③各环节环卫作业服务质量控制措施；</w:t>
            </w:r>
          </w:p>
          <w:p>
            <w:pPr>
              <w:rPr>
                <w:rFonts w:ascii="Calibri" w:hAnsi="Calibri"/>
                <w:szCs w:val="22"/>
              </w:rPr>
            </w:pPr>
            <w:r>
              <w:rPr>
                <w:rFonts w:hint="eastAsia" w:ascii="Calibri" w:hAnsi="Calibri"/>
                <w:szCs w:val="22"/>
              </w:rPr>
              <w:t>针对每一点要素，符合本项目基本采购需求的，得单项基础分0.5分；每有一点要素结构严谨、分析结合实际且针对性强，内容完整翔实，语言表述准确清晰，方案可行度高，对项目起积极作用或更有利于项目实施的加0.5分，本项最高得3分。每缺一项要素或完全不符合本项目需求扣1分，本项分值扣完为止。</w:t>
            </w:r>
          </w:p>
        </w:tc>
        <w:tc>
          <w:tcPr>
            <w:tcW w:w="739" w:type="dxa"/>
            <w:vMerge w:val="continue"/>
            <w:tcBorders>
              <w:left w:val="single" w:color="auto" w:sz="4" w:space="0"/>
              <w:right w:val="single" w:color="auto" w:sz="4" w:space="0"/>
            </w:tcBorders>
          </w:tcPr>
          <w:p>
            <w:pPr>
              <w:rPr>
                <w:rFonts w:ascii="Calibri" w:hAnsi="Calibri"/>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5" w:hRule="atLeast"/>
          <w:jc w:val="center"/>
        </w:trPr>
        <w:tc>
          <w:tcPr>
            <w:tcW w:w="672" w:type="dxa"/>
            <w:vMerge w:val="continue"/>
            <w:tcBorders>
              <w:left w:val="single" w:color="auto" w:sz="4" w:space="0"/>
              <w:bottom w:val="single" w:color="auto" w:sz="4" w:space="0"/>
              <w:right w:val="single" w:color="auto" w:sz="4" w:space="0"/>
            </w:tcBorders>
            <w:vAlign w:val="center"/>
          </w:tcPr>
          <w:p>
            <w:pPr>
              <w:rPr>
                <w:rFonts w:ascii="Calibri" w:hAnsi="Calibri"/>
                <w:szCs w:val="22"/>
              </w:rPr>
            </w:pPr>
          </w:p>
        </w:tc>
        <w:tc>
          <w:tcPr>
            <w:tcW w:w="827" w:type="dxa"/>
            <w:vMerge w:val="continue"/>
            <w:tcBorders>
              <w:left w:val="single" w:color="auto" w:sz="4" w:space="0"/>
              <w:bottom w:val="single" w:color="auto" w:sz="4" w:space="0"/>
              <w:right w:val="single" w:color="auto" w:sz="4" w:space="0"/>
            </w:tcBorders>
            <w:vAlign w:val="center"/>
          </w:tcPr>
          <w:p>
            <w:pPr>
              <w:rPr>
                <w:rFonts w:ascii="Calibri" w:hAnsi="Calibri"/>
                <w:szCs w:val="22"/>
              </w:rPr>
            </w:pPr>
          </w:p>
        </w:tc>
        <w:tc>
          <w:tcPr>
            <w:tcW w:w="972"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安全文明措施2%</w:t>
            </w:r>
          </w:p>
        </w:tc>
        <w:tc>
          <w:tcPr>
            <w:tcW w:w="586"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2分</w:t>
            </w:r>
          </w:p>
        </w:tc>
        <w:tc>
          <w:tcPr>
            <w:tcW w:w="6409"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根据投标人提供的：</w:t>
            </w:r>
          </w:p>
          <w:p>
            <w:pPr>
              <w:rPr>
                <w:rFonts w:ascii="Calibri" w:hAnsi="Calibri"/>
                <w:szCs w:val="22"/>
              </w:rPr>
            </w:pPr>
            <w:r>
              <w:rPr>
                <w:rFonts w:hint="eastAsia" w:ascii="Calibri" w:hAnsi="Calibri"/>
                <w:szCs w:val="22"/>
              </w:rPr>
              <w:t>①安全管理体系健全、安全措施周全，文明管理制度完善可靠；</w:t>
            </w:r>
          </w:p>
          <w:p>
            <w:pPr>
              <w:rPr>
                <w:rFonts w:ascii="Calibri" w:hAnsi="Calibri"/>
                <w:szCs w:val="22"/>
              </w:rPr>
            </w:pPr>
            <w:r>
              <w:rPr>
                <w:rFonts w:hint="eastAsia" w:ascii="Calibri" w:hAnsi="Calibri"/>
                <w:szCs w:val="22"/>
              </w:rPr>
              <w:t>②安全目标具体详细，安全防范重点明确清晰，各道工序安全技术措施针对性强且合理性高；</w:t>
            </w:r>
          </w:p>
          <w:p>
            <w:pPr>
              <w:rPr>
                <w:rFonts w:ascii="Calibri" w:hAnsi="Calibri"/>
                <w:szCs w:val="22"/>
              </w:rPr>
            </w:pPr>
            <w:r>
              <w:rPr>
                <w:rFonts w:hint="eastAsia" w:ascii="Calibri" w:hAnsi="Calibri"/>
                <w:szCs w:val="22"/>
              </w:rPr>
              <w:t>针对每一点要素，符合本项目基本采购需求的，得单项基础分0.5分；每有一点要素结构严谨、分析结合实际且针对性强，内容完整翔实，语言表述准确清晰，方案可行度高，对项目起积极作用或更有利于项目实施的加0.5分，本项最高得2分。每缺一项要素或完全不符合本项目需求扣1分，本项分值扣完为止。</w:t>
            </w:r>
          </w:p>
        </w:tc>
        <w:tc>
          <w:tcPr>
            <w:tcW w:w="739" w:type="dxa"/>
            <w:vMerge w:val="continue"/>
            <w:tcBorders>
              <w:left w:val="single" w:color="auto" w:sz="4" w:space="0"/>
              <w:bottom w:val="single" w:color="auto" w:sz="4" w:space="0"/>
              <w:right w:val="single" w:color="auto" w:sz="4" w:space="0"/>
            </w:tcBorders>
          </w:tcPr>
          <w:p>
            <w:pPr>
              <w:rPr>
                <w:rFonts w:ascii="Calibri" w:hAnsi="Calibri"/>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672"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3</w:t>
            </w:r>
          </w:p>
        </w:tc>
        <w:tc>
          <w:tcPr>
            <w:tcW w:w="1799" w:type="dxa"/>
            <w:gridSpan w:val="2"/>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机具配置8%</w:t>
            </w:r>
          </w:p>
        </w:tc>
        <w:tc>
          <w:tcPr>
            <w:tcW w:w="586"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8分</w:t>
            </w:r>
          </w:p>
        </w:tc>
        <w:tc>
          <w:tcPr>
            <w:tcW w:w="6409"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1.满足基本要求的前提下，投标人设备：</w:t>
            </w:r>
          </w:p>
          <w:p>
            <w:pPr>
              <w:rPr>
                <w:rFonts w:ascii="Calibri" w:hAnsi="Calibri"/>
                <w:szCs w:val="22"/>
              </w:rPr>
            </w:pPr>
            <w:r>
              <w:rPr>
                <w:rFonts w:hint="eastAsia" w:ascii="Calibri" w:hAnsi="Calibri"/>
                <w:szCs w:val="22"/>
              </w:rPr>
              <w:t>（1）每增加环卫专用电动扫地车【规格：小型或轻型】1台加2分，最多得2分；</w:t>
            </w:r>
          </w:p>
          <w:p>
            <w:pPr>
              <w:rPr>
                <w:rFonts w:ascii="Calibri" w:hAnsi="Calibri"/>
                <w:szCs w:val="22"/>
              </w:rPr>
            </w:pPr>
            <w:r>
              <w:rPr>
                <w:rFonts w:hint="eastAsia" w:ascii="Calibri" w:hAnsi="Calibri"/>
                <w:szCs w:val="22"/>
              </w:rPr>
              <w:t>（2）每增加环卫专用具有清洗功能的电动车辆【规格：小型】1台加2分，最多得2分；</w:t>
            </w:r>
          </w:p>
          <w:p>
            <w:pPr>
              <w:rPr>
                <w:rFonts w:hint="eastAsia" w:ascii="Calibri" w:hAnsi="Calibri"/>
                <w:szCs w:val="22"/>
              </w:rPr>
            </w:pPr>
            <w:r>
              <w:rPr>
                <w:rFonts w:hint="eastAsia" w:ascii="Calibri" w:hAnsi="Calibri"/>
                <w:szCs w:val="22"/>
              </w:rPr>
              <w:t>（3）每增加具有道路养护功能的环卫专用车辆1台加2分，最多得2分。</w:t>
            </w:r>
          </w:p>
          <w:p>
            <w:pPr>
              <w:pStyle w:val="2"/>
            </w:pPr>
            <w:r>
              <w:rPr>
                <w:rFonts w:hint="eastAsia" w:ascii="Calibri" w:hAnsi="Calibri"/>
                <w:szCs w:val="22"/>
              </w:rPr>
              <w:t xml:space="preserve">2. </w:t>
            </w:r>
            <w:r>
              <w:rPr>
                <w:rFonts w:hint="eastAsia" w:ascii="Calibri" w:hAnsi="Calibri"/>
                <w:color w:val="auto"/>
                <w:szCs w:val="22"/>
              </w:rPr>
              <w:t>满足基本要求的前提下，投标人新响应配置的机具中，包含新能源车辆（绿色牌照）的，每1台得2分，最多得2分。</w:t>
            </w:r>
          </w:p>
          <w:p>
            <w:pPr>
              <w:rPr>
                <w:rFonts w:hint="eastAsia" w:ascii="Calibri" w:hAnsi="Calibri"/>
                <w:szCs w:val="22"/>
              </w:rPr>
            </w:pPr>
            <w:r>
              <w:rPr>
                <w:rFonts w:hint="eastAsia" w:ascii="Calibri" w:hAnsi="Calibri"/>
                <w:szCs w:val="22"/>
              </w:rPr>
              <w:t>（说明：1、增加机具须为自有，需提供购置发票复印件，如机具为机动车则需提供车辆购置发票复印件及有效年审期内行驶证复印件、登记证书复印件并加盖投标人公章。</w:t>
            </w:r>
          </w:p>
          <w:p>
            <w:pPr>
              <w:rPr>
                <w:rFonts w:ascii="Calibri" w:hAnsi="Calibri"/>
                <w:szCs w:val="22"/>
              </w:rPr>
            </w:pPr>
            <w:r>
              <w:rPr>
                <w:rFonts w:hint="eastAsia" w:ascii="Calibri" w:hAnsi="Calibri"/>
                <w:szCs w:val="22"/>
              </w:rPr>
              <w:t>2、以上机具须为各包单独配置，不可共享，如投标人同时投标本项目多个包件，各包之间配备的机具存在冲突和重复使用情况，此项均不得分。）</w:t>
            </w:r>
          </w:p>
        </w:tc>
        <w:tc>
          <w:tcPr>
            <w:tcW w:w="739" w:type="dxa"/>
            <w:vMerge w:val="restart"/>
            <w:tcBorders>
              <w:top w:val="single" w:color="auto" w:sz="4" w:space="0"/>
              <w:left w:val="single" w:color="auto" w:sz="4" w:space="0"/>
              <w:right w:val="single" w:color="auto" w:sz="4" w:space="0"/>
            </w:tcBorders>
            <w:vAlign w:val="center"/>
          </w:tcPr>
          <w:p>
            <w:pPr>
              <w:rPr>
                <w:rFonts w:ascii="Calibri" w:hAnsi="Calibri"/>
                <w:szCs w:val="22"/>
              </w:rPr>
            </w:pPr>
            <w:r>
              <w:rPr>
                <w:rFonts w:hint="eastAsia" w:ascii="Calibri" w:hAnsi="Calibri"/>
                <w:szCs w:val="22"/>
              </w:rPr>
              <w:t>共同评审因素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5" w:hRule="atLeast"/>
          <w:jc w:val="center"/>
        </w:trPr>
        <w:tc>
          <w:tcPr>
            <w:tcW w:w="672"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4</w:t>
            </w:r>
          </w:p>
        </w:tc>
        <w:tc>
          <w:tcPr>
            <w:tcW w:w="1799" w:type="dxa"/>
            <w:gridSpan w:val="2"/>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人员配置5%</w:t>
            </w:r>
          </w:p>
        </w:tc>
        <w:tc>
          <w:tcPr>
            <w:tcW w:w="586"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5分</w:t>
            </w:r>
          </w:p>
        </w:tc>
        <w:tc>
          <w:tcPr>
            <w:tcW w:w="6409"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根据投标人提供的人员配备情况进行综合评分：在满足本项目清扫保洁人员基本人员配置的基础上，每增加1人，加0.5分，本项最高加5分。</w:t>
            </w:r>
          </w:p>
          <w:p>
            <w:pPr>
              <w:rPr>
                <w:rFonts w:hint="eastAsia" w:ascii="Calibri" w:hAnsi="Calibri"/>
                <w:szCs w:val="22"/>
              </w:rPr>
            </w:pPr>
            <w:r>
              <w:rPr>
                <w:rFonts w:hint="eastAsia" w:ascii="Calibri" w:hAnsi="Calibri"/>
                <w:szCs w:val="22"/>
              </w:rPr>
              <w:t>（说明：1、提供身份证明材料复印件加盖鲜章；</w:t>
            </w:r>
          </w:p>
          <w:p>
            <w:pPr>
              <w:rPr>
                <w:rFonts w:ascii="Calibri" w:hAnsi="Calibri"/>
                <w:szCs w:val="22"/>
              </w:rPr>
            </w:pPr>
            <w:r>
              <w:rPr>
                <w:rFonts w:hint="eastAsia" w:ascii="Calibri" w:hAnsi="Calibri"/>
                <w:szCs w:val="22"/>
              </w:rPr>
              <w:t>2、以上人员须为各包单独配置，不可共享，如投标人同时投标本项目多个包件，各包之间配备的人员存在冲突和重复使用情况，此项均不得分。）</w:t>
            </w:r>
          </w:p>
        </w:tc>
        <w:tc>
          <w:tcPr>
            <w:tcW w:w="739" w:type="dxa"/>
            <w:vMerge w:val="continue"/>
            <w:tcBorders>
              <w:left w:val="single" w:color="auto" w:sz="4" w:space="0"/>
              <w:right w:val="single" w:color="auto" w:sz="4" w:space="0"/>
            </w:tcBorders>
          </w:tcPr>
          <w:p>
            <w:pPr>
              <w:rPr>
                <w:rFonts w:ascii="Calibri" w:hAnsi="Calibri"/>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672"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5</w:t>
            </w:r>
          </w:p>
        </w:tc>
        <w:tc>
          <w:tcPr>
            <w:tcW w:w="1799" w:type="dxa"/>
            <w:gridSpan w:val="2"/>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应急预案6%</w:t>
            </w:r>
          </w:p>
        </w:tc>
        <w:tc>
          <w:tcPr>
            <w:tcW w:w="586"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6分</w:t>
            </w:r>
          </w:p>
        </w:tc>
        <w:tc>
          <w:tcPr>
            <w:tcW w:w="6409"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项目应急预案中能：</w:t>
            </w:r>
          </w:p>
          <w:p>
            <w:pPr>
              <w:rPr>
                <w:rFonts w:ascii="Calibri" w:hAnsi="Calibri"/>
                <w:szCs w:val="22"/>
              </w:rPr>
            </w:pPr>
            <w:r>
              <w:rPr>
                <w:rFonts w:hint="eastAsia" w:ascii="Calibri" w:hAnsi="Calibri"/>
                <w:szCs w:val="22"/>
              </w:rPr>
              <w:t>①全面分析本项目可能发生的各类突发事件，至少包含重大迎检、防汛抗汛、疫情防控、道路路面建渣洒落、道路泥沙污染应急方案；</w:t>
            </w:r>
          </w:p>
          <w:p>
            <w:pPr>
              <w:rPr>
                <w:rFonts w:ascii="Calibri" w:hAnsi="Calibri"/>
                <w:szCs w:val="22"/>
              </w:rPr>
            </w:pPr>
            <w:r>
              <w:rPr>
                <w:rFonts w:hint="eastAsia" w:ascii="Calibri" w:hAnsi="Calibri"/>
                <w:szCs w:val="22"/>
              </w:rPr>
              <w:t>②方案中有完善的应急管理机构、应急处理机制、应急处理流程；针对每一点要素，符合本项目基本采购需求的，得单项基础分1分；每有一点要素结构严谨、分析结合实际且针对性强，内容完整翔实，语言表述准确清晰，方案可行度高，对项目起积极作用或更有利于项目实施的加2分，本项最高得6分。每缺一项要素或完全不符合本项目需求扣3分，本项分值扣完为止。</w:t>
            </w:r>
          </w:p>
        </w:tc>
        <w:tc>
          <w:tcPr>
            <w:tcW w:w="739" w:type="dxa"/>
            <w:vMerge w:val="continue"/>
            <w:tcBorders>
              <w:left w:val="single" w:color="auto" w:sz="4" w:space="0"/>
              <w:right w:val="single" w:color="auto" w:sz="4" w:space="0"/>
            </w:tcBorders>
          </w:tcPr>
          <w:p>
            <w:pPr>
              <w:rPr>
                <w:rFonts w:ascii="Calibri" w:hAnsi="Calibri"/>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5" w:hRule="atLeast"/>
          <w:jc w:val="center"/>
        </w:trPr>
        <w:tc>
          <w:tcPr>
            <w:tcW w:w="672"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6</w:t>
            </w:r>
          </w:p>
        </w:tc>
        <w:tc>
          <w:tcPr>
            <w:tcW w:w="1799" w:type="dxa"/>
            <w:gridSpan w:val="2"/>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履约能力12%</w:t>
            </w:r>
          </w:p>
        </w:tc>
        <w:tc>
          <w:tcPr>
            <w:tcW w:w="586"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12分</w:t>
            </w:r>
          </w:p>
        </w:tc>
        <w:tc>
          <w:tcPr>
            <w:tcW w:w="6409" w:type="dxa"/>
            <w:tcBorders>
              <w:top w:val="single" w:color="auto" w:sz="4" w:space="0"/>
              <w:left w:val="single" w:color="auto" w:sz="4" w:space="0"/>
              <w:bottom w:val="single" w:color="auto" w:sz="4" w:space="0"/>
              <w:right w:val="single" w:color="auto" w:sz="4" w:space="0"/>
            </w:tcBorders>
            <w:vAlign w:val="center"/>
          </w:tcPr>
          <w:p>
            <w:r>
              <w:rPr>
                <w:rFonts w:hint="eastAsia"/>
              </w:rPr>
              <w:t>投标人提供2018年1月1日（含，以合同签订时间为准）以来类似项目业绩，每有1个得3分，最多12分。</w:t>
            </w:r>
          </w:p>
          <w:p>
            <w:pPr>
              <w:rPr>
                <w:rFonts w:hint="eastAsia"/>
              </w:rPr>
            </w:pPr>
            <w:r>
              <w:rPr>
                <w:rFonts w:hint="eastAsia"/>
              </w:rPr>
              <w:t>（说明：以上业绩需提供证明材料如下：1、任意一个月经费支付银行票据或业主证明复印件并加盖投标人鲜章；2、合同复印件或中标（成交）通知书并加盖投标人鲜章。）</w:t>
            </w:r>
          </w:p>
        </w:tc>
        <w:tc>
          <w:tcPr>
            <w:tcW w:w="739" w:type="dxa"/>
            <w:vMerge w:val="continue"/>
            <w:tcBorders>
              <w:left w:val="single" w:color="auto" w:sz="4" w:space="0"/>
              <w:right w:val="single" w:color="auto" w:sz="4" w:space="0"/>
            </w:tcBorders>
          </w:tcPr>
          <w:p>
            <w:pPr>
              <w:rPr>
                <w:rFonts w:ascii="Calibri" w:hAnsi="Calibri"/>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5" w:hRule="atLeast"/>
          <w:jc w:val="center"/>
        </w:trPr>
        <w:tc>
          <w:tcPr>
            <w:tcW w:w="672" w:type="dxa"/>
            <w:tcBorders>
              <w:top w:val="single" w:color="auto" w:sz="4" w:space="0"/>
              <w:left w:val="single" w:color="auto" w:sz="4" w:space="0"/>
              <w:bottom w:val="single" w:color="auto" w:sz="4" w:space="0"/>
              <w:right w:val="single" w:color="auto" w:sz="4" w:space="0"/>
            </w:tcBorders>
            <w:vAlign w:val="center"/>
          </w:tcPr>
          <w:p>
            <w:pPr>
              <w:rPr>
                <w:rFonts w:hint="eastAsia" w:ascii="Calibri" w:hAnsi="Calibri"/>
                <w:szCs w:val="22"/>
              </w:rPr>
            </w:pPr>
            <w:r>
              <w:rPr>
                <w:rFonts w:hint="eastAsia" w:ascii="Calibri" w:hAnsi="Calibri"/>
                <w:szCs w:val="22"/>
              </w:rPr>
              <w:t>7</w:t>
            </w:r>
          </w:p>
        </w:tc>
        <w:tc>
          <w:tcPr>
            <w:tcW w:w="1799" w:type="dxa"/>
            <w:gridSpan w:val="2"/>
            <w:tcBorders>
              <w:top w:val="single" w:color="auto" w:sz="4" w:space="0"/>
              <w:left w:val="single" w:color="auto" w:sz="4" w:space="0"/>
              <w:bottom w:val="single" w:color="auto" w:sz="4" w:space="0"/>
              <w:right w:val="single" w:color="auto" w:sz="4" w:space="0"/>
            </w:tcBorders>
            <w:vAlign w:val="center"/>
          </w:tcPr>
          <w:p>
            <w:pPr>
              <w:rPr>
                <w:rFonts w:hint="eastAsia" w:ascii="Calibri" w:hAnsi="Calibri"/>
                <w:szCs w:val="22"/>
              </w:rPr>
            </w:pPr>
            <w:r>
              <w:rPr>
                <w:rFonts w:hint="eastAsia" w:ascii="Calibri" w:hAnsi="Calibri"/>
                <w:szCs w:val="22"/>
              </w:rPr>
              <w:t>信誉3%</w:t>
            </w:r>
          </w:p>
        </w:tc>
        <w:tc>
          <w:tcPr>
            <w:tcW w:w="586" w:type="dxa"/>
            <w:tcBorders>
              <w:top w:val="single" w:color="auto" w:sz="4" w:space="0"/>
              <w:left w:val="single" w:color="auto" w:sz="4" w:space="0"/>
              <w:bottom w:val="single" w:color="auto" w:sz="4" w:space="0"/>
              <w:right w:val="single" w:color="auto" w:sz="4" w:space="0"/>
            </w:tcBorders>
            <w:vAlign w:val="center"/>
          </w:tcPr>
          <w:p>
            <w:pPr>
              <w:rPr>
                <w:rFonts w:hint="eastAsia" w:ascii="Calibri" w:hAnsi="Calibri"/>
                <w:szCs w:val="22"/>
              </w:rPr>
            </w:pPr>
            <w:r>
              <w:rPr>
                <w:rFonts w:hint="eastAsia" w:ascii="Calibri" w:hAnsi="Calibri"/>
                <w:szCs w:val="22"/>
              </w:rPr>
              <w:t>3分</w:t>
            </w:r>
          </w:p>
        </w:tc>
        <w:tc>
          <w:tcPr>
            <w:tcW w:w="6409" w:type="dxa"/>
            <w:tcBorders>
              <w:top w:val="single" w:color="auto" w:sz="4" w:space="0"/>
              <w:left w:val="single" w:color="auto" w:sz="4" w:space="0"/>
              <w:bottom w:val="single" w:color="auto" w:sz="4" w:space="0"/>
              <w:right w:val="single" w:color="auto" w:sz="4" w:space="0"/>
            </w:tcBorders>
            <w:vAlign w:val="center"/>
          </w:tcPr>
          <w:p>
            <w:pPr>
              <w:rPr>
                <w:rFonts w:hint="eastAsia"/>
              </w:rPr>
            </w:pPr>
            <w:r>
              <w:rPr>
                <w:rFonts w:hint="eastAsia"/>
              </w:rPr>
              <w:t>投标人购买了雇主责任险的，得3分。（说明：提供证明材料复印件加盖鲜章）</w:t>
            </w:r>
          </w:p>
        </w:tc>
        <w:tc>
          <w:tcPr>
            <w:tcW w:w="739" w:type="dxa"/>
            <w:tcBorders>
              <w:left w:val="single" w:color="auto" w:sz="4" w:space="0"/>
              <w:right w:val="single" w:color="auto" w:sz="4" w:space="0"/>
            </w:tcBorders>
          </w:tcPr>
          <w:p>
            <w:pPr>
              <w:rPr>
                <w:rFonts w:ascii="Calibri" w:hAnsi="Calibri"/>
                <w:szCs w:val="22"/>
              </w:rPr>
            </w:pPr>
          </w:p>
        </w:tc>
      </w:tr>
    </w:tbl>
    <w:p>
      <w:pPr>
        <w:rPr>
          <w:rFonts w:hint="eastAsia"/>
        </w:rPr>
      </w:pPr>
      <w:r>
        <w:rPr>
          <w:rFonts w:hint="eastAsia"/>
        </w:rPr>
        <w:br w:type="page"/>
      </w:r>
    </w:p>
    <w:p>
      <w:pPr>
        <w:rPr>
          <w:rFonts w:hint="eastAsia"/>
        </w:rPr>
      </w:pPr>
      <w:r>
        <w:rPr>
          <w:rFonts w:hint="eastAsia"/>
        </w:rPr>
        <w:t>①包件</w:t>
      </w:r>
      <w:r>
        <w:rPr>
          <w:rFonts w:hint="eastAsia"/>
          <w:lang w:val="en-US" w:eastAsia="zh-CN"/>
        </w:rPr>
        <w:t>二</w:t>
      </w:r>
      <w:r>
        <w:rPr>
          <w:rFonts w:hint="eastAsia"/>
        </w:rPr>
        <w:t>、包件</w:t>
      </w:r>
      <w:r>
        <w:rPr>
          <w:rFonts w:hint="eastAsia"/>
          <w:lang w:val="en-US" w:eastAsia="zh-CN"/>
        </w:rPr>
        <w:t>四</w:t>
      </w:r>
      <w:r>
        <w:rPr>
          <w:rFonts w:hint="eastAsia"/>
        </w:rPr>
        <w:t>综合评分明细表：</w:t>
      </w:r>
    </w:p>
    <w:tbl>
      <w:tblPr>
        <w:tblStyle w:val="23"/>
        <w:tblW w:w="102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2"/>
        <w:gridCol w:w="827"/>
        <w:gridCol w:w="972"/>
        <w:gridCol w:w="586"/>
        <w:gridCol w:w="6409"/>
        <w:gridCol w:w="7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2"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序号</w:t>
            </w:r>
          </w:p>
        </w:tc>
        <w:tc>
          <w:tcPr>
            <w:tcW w:w="1799" w:type="dxa"/>
            <w:gridSpan w:val="2"/>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评分因素及权重</w:t>
            </w:r>
          </w:p>
        </w:tc>
        <w:tc>
          <w:tcPr>
            <w:tcW w:w="586"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分值</w:t>
            </w:r>
          </w:p>
        </w:tc>
        <w:tc>
          <w:tcPr>
            <w:tcW w:w="6409"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评分标准</w:t>
            </w:r>
          </w:p>
        </w:tc>
        <w:tc>
          <w:tcPr>
            <w:tcW w:w="739" w:type="dxa"/>
            <w:tcBorders>
              <w:top w:val="single" w:color="auto" w:sz="4" w:space="0"/>
              <w:left w:val="single" w:color="auto" w:sz="4" w:space="0"/>
              <w:right w:val="single" w:color="auto" w:sz="4" w:space="0"/>
            </w:tcBorders>
            <w:vAlign w:val="center"/>
          </w:tcPr>
          <w:p>
            <w:pPr>
              <w:rPr>
                <w:rFonts w:hint="eastAsia" w:ascii="Calibri" w:hAnsi="Calibri"/>
                <w:szCs w:val="22"/>
              </w:rPr>
            </w:pPr>
            <w:r>
              <w:rPr>
                <w:rFonts w:hint="eastAsia" w:ascii="Calibri" w:hAnsi="Calibri"/>
                <w:szCs w:val="22"/>
              </w:rPr>
              <w:t>说明</w:t>
            </w:r>
          </w:p>
          <w:p>
            <w:pPr>
              <w:rPr>
                <w:rFonts w:ascii="Calibri" w:hAnsi="Calibri"/>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0" w:hRule="atLeast"/>
          <w:jc w:val="center"/>
        </w:trPr>
        <w:tc>
          <w:tcPr>
            <w:tcW w:w="672"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1</w:t>
            </w:r>
          </w:p>
        </w:tc>
        <w:tc>
          <w:tcPr>
            <w:tcW w:w="1799" w:type="dxa"/>
            <w:gridSpan w:val="2"/>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报价10%</w:t>
            </w:r>
          </w:p>
        </w:tc>
        <w:tc>
          <w:tcPr>
            <w:tcW w:w="586"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10分</w:t>
            </w:r>
          </w:p>
        </w:tc>
        <w:tc>
          <w:tcPr>
            <w:tcW w:w="6409"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满足招标文件要求且最后报价最低的供应商的价格为评标基准价，其价格分为满分。其他供应商的价格分统一按照下列公式计算：报价得分=（评标基准价/投标报价）×10</w:t>
            </w:r>
          </w:p>
          <w:p>
            <w:pPr>
              <w:rPr>
                <w:rFonts w:ascii="Calibri" w:hAnsi="Calibri"/>
                <w:szCs w:val="22"/>
              </w:rPr>
            </w:pPr>
            <w:r>
              <w:rPr>
                <w:rFonts w:hint="eastAsia" w:ascii="Calibri" w:hAnsi="Calibri"/>
                <w:szCs w:val="22"/>
              </w:rPr>
              <w:t>注：对小型和微型企业（含监狱企业、残疾人福利性单位）的报价（如涉及）给予10%的扣除，用扣除后的价格参与评审。</w:t>
            </w:r>
          </w:p>
        </w:tc>
        <w:tc>
          <w:tcPr>
            <w:tcW w:w="739" w:type="dxa"/>
            <w:tcBorders>
              <w:left w:val="single" w:color="auto" w:sz="4" w:space="0"/>
              <w:right w:val="single" w:color="auto" w:sz="4" w:space="0"/>
            </w:tcBorders>
            <w:vAlign w:val="center"/>
          </w:tcPr>
          <w:p>
            <w:pPr>
              <w:rPr>
                <w:rFonts w:ascii="Calibri" w:hAnsi="Calibri"/>
                <w:szCs w:val="22"/>
              </w:rPr>
            </w:pPr>
            <w:r>
              <w:rPr>
                <w:rFonts w:hint="eastAsia" w:ascii="Calibri" w:hAnsi="Calibri"/>
                <w:szCs w:val="22"/>
              </w:rPr>
              <w:t>共同评审因素</w:t>
            </w:r>
          </w:p>
          <w:p>
            <w:pPr>
              <w:rPr>
                <w:rFonts w:ascii="Calibri" w:hAnsi="Calibri"/>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2" w:type="dxa"/>
            <w:vMerge w:val="restart"/>
            <w:tcBorders>
              <w:top w:val="single" w:color="auto" w:sz="4" w:space="0"/>
              <w:left w:val="single" w:color="auto" w:sz="4" w:space="0"/>
              <w:right w:val="single" w:color="auto" w:sz="4" w:space="0"/>
            </w:tcBorders>
            <w:vAlign w:val="center"/>
          </w:tcPr>
          <w:p>
            <w:pPr>
              <w:rPr>
                <w:rFonts w:ascii="Calibri" w:hAnsi="Calibri"/>
                <w:szCs w:val="22"/>
              </w:rPr>
            </w:pPr>
            <w:r>
              <w:rPr>
                <w:rFonts w:hint="eastAsia" w:ascii="Calibri" w:hAnsi="Calibri"/>
                <w:szCs w:val="22"/>
              </w:rPr>
              <w:t>2</w:t>
            </w:r>
          </w:p>
        </w:tc>
        <w:tc>
          <w:tcPr>
            <w:tcW w:w="827" w:type="dxa"/>
            <w:vMerge w:val="restart"/>
            <w:tcBorders>
              <w:top w:val="single" w:color="auto" w:sz="4" w:space="0"/>
              <w:left w:val="single" w:color="auto" w:sz="4" w:space="0"/>
              <w:right w:val="single" w:color="auto" w:sz="4" w:space="0"/>
            </w:tcBorders>
            <w:vAlign w:val="center"/>
          </w:tcPr>
          <w:p>
            <w:pPr>
              <w:rPr>
                <w:rFonts w:ascii="Calibri" w:hAnsi="Calibri"/>
                <w:szCs w:val="22"/>
              </w:rPr>
            </w:pPr>
            <w:r>
              <w:rPr>
                <w:rFonts w:hint="eastAsia" w:ascii="Calibri" w:hAnsi="Calibri"/>
                <w:szCs w:val="22"/>
              </w:rPr>
              <w:t>实施方案56%</w:t>
            </w:r>
          </w:p>
        </w:tc>
        <w:tc>
          <w:tcPr>
            <w:tcW w:w="972"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项目情况了解及分析</w:t>
            </w:r>
            <w:r>
              <w:rPr>
                <w:rFonts w:hint="eastAsia" w:ascii="Calibri" w:hAnsi="Calibri"/>
                <w:szCs w:val="22"/>
                <w:lang w:val="en-US" w:eastAsia="zh-CN"/>
              </w:rPr>
              <w:t>9</w:t>
            </w:r>
            <w:r>
              <w:rPr>
                <w:rFonts w:hint="eastAsia" w:ascii="Calibri" w:hAnsi="Calibri"/>
                <w:szCs w:val="22"/>
              </w:rPr>
              <w:t>%</w:t>
            </w:r>
          </w:p>
        </w:tc>
        <w:tc>
          <w:tcPr>
            <w:tcW w:w="586"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lang w:val="en-US" w:eastAsia="zh-CN"/>
              </w:rPr>
              <w:t>9</w:t>
            </w:r>
            <w:r>
              <w:rPr>
                <w:rFonts w:hint="eastAsia" w:ascii="Calibri" w:hAnsi="Calibri"/>
                <w:szCs w:val="22"/>
              </w:rPr>
              <w:t>分</w:t>
            </w:r>
          </w:p>
        </w:tc>
        <w:tc>
          <w:tcPr>
            <w:tcW w:w="6409"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对投标人提供项目情况了解及分析进行综合评审，根据投标人的：</w:t>
            </w:r>
          </w:p>
          <w:p>
            <w:pPr>
              <w:rPr>
                <w:rFonts w:ascii="Calibri" w:hAnsi="Calibri"/>
                <w:szCs w:val="22"/>
              </w:rPr>
            </w:pPr>
            <w:r>
              <w:rPr>
                <w:rFonts w:hint="eastAsia" w:ascii="Calibri" w:hAnsi="Calibri"/>
                <w:szCs w:val="22"/>
              </w:rPr>
              <w:t>①项目作业的要求和标准；</w:t>
            </w:r>
          </w:p>
          <w:p>
            <w:pPr>
              <w:rPr>
                <w:rFonts w:ascii="Calibri" w:hAnsi="Calibri"/>
                <w:szCs w:val="22"/>
              </w:rPr>
            </w:pPr>
            <w:r>
              <w:rPr>
                <w:rFonts w:hint="eastAsia" w:ascii="Calibri" w:hAnsi="Calibri"/>
                <w:szCs w:val="22"/>
              </w:rPr>
              <w:t>②对作业范围、作业项目及相关要求进行现场情况了解及分析；</w:t>
            </w:r>
          </w:p>
          <w:p>
            <w:pPr>
              <w:rPr>
                <w:rFonts w:ascii="Calibri" w:hAnsi="Calibri"/>
                <w:szCs w:val="22"/>
              </w:rPr>
            </w:pPr>
            <w:r>
              <w:rPr>
                <w:rFonts w:hint="eastAsia" w:ascii="Calibri" w:hAnsi="Calibri"/>
                <w:szCs w:val="22"/>
              </w:rPr>
              <w:t>③对作业的重点、难点现场情况了解及分析；</w:t>
            </w:r>
          </w:p>
          <w:p>
            <w:pPr>
              <w:rPr>
                <w:rFonts w:ascii="Calibri" w:hAnsi="Calibri"/>
                <w:szCs w:val="22"/>
              </w:rPr>
            </w:pPr>
            <w:r>
              <w:rPr>
                <w:rFonts w:hint="eastAsia" w:ascii="Calibri" w:hAnsi="Calibri"/>
                <w:szCs w:val="22"/>
              </w:rPr>
              <w:t>针对每一点要素，符合本项目基本采购需求的，得单项基础分1分；每有一点要素结构严谨、分析结合实际且针对性强，内容完整翔实，语言表述准确清晰，方案可行度高，对项目起积极作用或更有利于项目实施的加</w:t>
            </w:r>
            <w:r>
              <w:rPr>
                <w:rFonts w:hint="eastAsia" w:ascii="Calibri" w:hAnsi="Calibri"/>
                <w:szCs w:val="22"/>
                <w:lang w:val="en-US" w:eastAsia="zh-CN"/>
              </w:rPr>
              <w:t>2</w:t>
            </w:r>
            <w:r>
              <w:rPr>
                <w:rFonts w:hint="eastAsia" w:ascii="Calibri" w:hAnsi="Calibri"/>
                <w:szCs w:val="22"/>
              </w:rPr>
              <w:t>分，本项最高得</w:t>
            </w:r>
            <w:r>
              <w:rPr>
                <w:rFonts w:hint="eastAsia" w:ascii="Calibri" w:hAnsi="Calibri"/>
                <w:szCs w:val="22"/>
                <w:lang w:val="en-US" w:eastAsia="zh-CN"/>
              </w:rPr>
              <w:t>9</w:t>
            </w:r>
            <w:r>
              <w:rPr>
                <w:rFonts w:hint="eastAsia" w:ascii="Calibri" w:hAnsi="Calibri"/>
                <w:szCs w:val="22"/>
              </w:rPr>
              <w:t>分。每缺一项要素或完全不符合本项目需求扣</w:t>
            </w:r>
            <w:r>
              <w:rPr>
                <w:rFonts w:hint="eastAsia" w:ascii="Calibri" w:hAnsi="Calibri"/>
                <w:szCs w:val="22"/>
                <w:lang w:val="en-US" w:eastAsia="zh-CN"/>
              </w:rPr>
              <w:t>3</w:t>
            </w:r>
            <w:r>
              <w:rPr>
                <w:rFonts w:hint="eastAsia" w:ascii="Calibri" w:hAnsi="Calibri"/>
                <w:szCs w:val="22"/>
              </w:rPr>
              <w:t>分，本项分值扣完为止。</w:t>
            </w:r>
          </w:p>
        </w:tc>
        <w:tc>
          <w:tcPr>
            <w:tcW w:w="739" w:type="dxa"/>
            <w:vMerge w:val="restart"/>
            <w:tcBorders>
              <w:left w:val="single" w:color="auto" w:sz="4" w:space="0"/>
              <w:right w:val="single" w:color="auto" w:sz="4" w:space="0"/>
            </w:tcBorders>
            <w:vAlign w:val="center"/>
          </w:tcPr>
          <w:p>
            <w:pPr>
              <w:rPr>
                <w:rFonts w:ascii="Calibri" w:hAnsi="Calibri"/>
                <w:szCs w:val="22"/>
              </w:rPr>
            </w:pPr>
            <w:r>
              <w:rPr>
                <w:rFonts w:hint="eastAsia" w:ascii="Calibri" w:hAnsi="Calibri"/>
                <w:szCs w:val="22"/>
              </w:rPr>
              <w:t>技术类评审因素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2" w:hRule="atLeast"/>
          <w:jc w:val="center"/>
        </w:trPr>
        <w:tc>
          <w:tcPr>
            <w:tcW w:w="672" w:type="dxa"/>
            <w:vMerge w:val="continue"/>
            <w:tcBorders>
              <w:left w:val="single" w:color="auto" w:sz="4" w:space="0"/>
              <w:right w:val="single" w:color="auto" w:sz="4" w:space="0"/>
            </w:tcBorders>
            <w:vAlign w:val="center"/>
          </w:tcPr>
          <w:p>
            <w:pPr>
              <w:rPr>
                <w:rFonts w:ascii="Calibri" w:hAnsi="Calibri"/>
                <w:szCs w:val="22"/>
              </w:rPr>
            </w:pPr>
          </w:p>
        </w:tc>
        <w:tc>
          <w:tcPr>
            <w:tcW w:w="827" w:type="dxa"/>
            <w:vMerge w:val="continue"/>
            <w:tcBorders>
              <w:left w:val="single" w:color="auto" w:sz="4" w:space="0"/>
              <w:right w:val="single" w:color="auto" w:sz="4" w:space="0"/>
            </w:tcBorders>
            <w:vAlign w:val="center"/>
          </w:tcPr>
          <w:p>
            <w:pPr>
              <w:rPr>
                <w:rFonts w:ascii="Calibri" w:hAnsi="Calibri"/>
                <w:szCs w:val="22"/>
              </w:rPr>
            </w:pPr>
          </w:p>
        </w:tc>
        <w:tc>
          <w:tcPr>
            <w:tcW w:w="972"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组织机构管理制度7%</w:t>
            </w:r>
          </w:p>
        </w:tc>
        <w:tc>
          <w:tcPr>
            <w:tcW w:w="586"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7分</w:t>
            </w:r>
          </w:p>
        </w:tc>
        <w:tc>
          <w:tcPr>
            <w:tcW w:w="6409"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对投标人所投包件组织机构管理制度进行评价，包括：</w:t>
            </w:r>
          </w:p>
          <w:p>
            <w:pPr>
              <w:rPr>
                <w:rFonts w:ascii="Calibri" w:hAnsi="Calibri"/>
                <w:szCs w:val="22"/>
              </w:rPr>
            </w:pPr>
            <w:r>
              <w:rPr>
                <w:rFonts w:hint="eastAsia" w:ascii="Calibri" w:hAnsi="Calibri"/>
                <w:szCs w:val="22"/>
              </w:rPr>
              <w:t>①项目管理机构设置情况；</w:t>
            </w:r>
          </w:p>
          <w:p>
            <w:pPr>
              <w:rPr>
                <w:rFonts w:ascii="Calibri" w:hAnsi="Calibri"/>
                <w:szCs w:val="22"/>
              </w:rPr>
            </w:pPr>
            <w:r>
              <w:rPr>
                <w:rFonts w:hint="eastAsia" w:ascii="Calibri" w:hAnsi="Calibri"/>
                <w:szCs w:val="22"/>
              </w:rPr>
              <w:t>②项目经理及其他管理人员配备情况；</w:t>
            </w:r>
          </w:p>
          <w:p>
            <w:pPr>
              <w:rPr>
                <w:rFonts w:ascii="Calibri" w:hAnsi="Calibri"/>
                <w:szCs w:val="22"/>
              </w:rPr>
            </w:pPr>
            <w:r>
              <w:rPr>
                <w:rFonts w:hint="eastAsia" w:ascii="Calibri" w:hAnsi="Calibri"/>
                <w:szCs w:val="22"/>
              </w:rPr>
              <w:t>③各岗位管理职能职责；</w:t>
            </w:r>
          </w:p>
          <w:p>
            <w:pPr>
              <w:rPr>
                <w:rFonts w:ascii="Calibri" w:hAnsi="Calibri"/>
                <w:szCs w:val="22"/>
              </w:rPr>
            </w:pPr>
            <w:r>
              <w:rPr>
                <w:rFonts w:hint="eastAsia" w:ascii="Calibri" w:hAnsi="Calibri"/>
                <w:szCs w:val="22"/>
              </w:rPr>
              <w:t>④内部日常管理制度；</w:t>
            </w:r>
          </w:p>
          <w:p>
            <w:pPr>
              <w:rPr>
                <w:rFonts w:ascii="Calibri" w:hAnsi="Calibri"/>
                <w:szCs w:val="22"/>
              </w:rPr>
            </w:pPr>
            <w:r>
              <w:rPr>
                <w:rFonts w:hint="eastAsia" w:ascii="Calibri" w:hAnsi="Calibri"/>
                <w:szCs w:val="22"/>
              </w:rPr>
              <w:t>⑤监督巡查机制；</w:t>
            </w:r>
          </w:p>
          <w:p>
            <w:pPr>
              <w:rPr>
                <w:rFonts w:ascii="Calibri" w:hAnsi="Calibri"/>
                <w:szCs w:val="22"/>
              </w:rPr>
            </w:pPr>
            <w:r>
              <w:rPr>
                <w:rFonts w:hint="eastAsia" w:ascii="Calibri" w:hAnsi="Calibri"/>
                <w:szCs w:val="22"/>
              </w:rPr>
              <w:t>⑥奖惩制度；</w:t>
            </w:r>
          </w:p>
          <w:p>
            <w:pPr>
              <w:rPr>
                <w:rFonts w:ascii="Calibri" w:hAnsi="Calibri"/>
                <w:szCs w:val="22"/>
              </w:rPr>
            </w:pPr>
            <w:r>
              <w:rPr>
                <w:rFonts w:hint="eastAsia" w:ascii="Calibri" w:hAnsi="Calibri"/>
                <w:szCs w:val="22"/>
              </w:rPr>
              <w:t>⑦考核办法；</w:t>
            </w:r>
          </w:p>
          <w:p>
            <w:pPr>
              <w:rPr>
                <w:rFonts w:ascii="Calibri" w:hAnsi="Calibri"/>
                <w:szCs w:val="22"/>
              </w:rPr>
            </w:pPr>
            <w:r>
              <w:rPr>
                <w:rFonts w:hint="eastAsia" w:ascii="Calibri" w:hAnsi="Calibri"/>
                <w:szCs w:val="22"/>
              </w:rPr>
              <w:t>针对每一点要素，符合本项目基本采购需求的，得单项基础分0.5分；每有一点要素结构严谨、分析结合实际且针对性强，内容完整翔实，语言表述准确清晰，方案可行度高，对项目起积极作用或更有利于项目实施的加0.5分，本项最高得7分。每缺一项要素或完全不符合本项目需求扣1分，本项分值扣完为止。</w:t>
            </w:r>
          </w:p>
        </w:tc>
        <w:tc>
          <w:tcPr>
            <w:tcW w:w="739" w:type="dxa"/>
            <w:vMerge w:val="continue"/>
            <w:tcBorders>
              <w:left w:val="single" w:color="auto" w:sz="4" w:space="0"/>
              <w:right w:val="single" w:color="auto" w:sz="4" w:space="0"/>
            </w:tcBorders>
            <w:vAlign w:val="center"/>
          </w:tcPr>
          <w:p>
            <w:pPr>
              <w:rPr>
                <w:rFonts w:ascii="Calibri" w:hAnsi="Calibri"/>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672" w:type="dxa"/>
            <w:vMerge w:val="continue"/>
            <w:tcBorders>
              <w:left w:val="single" w:color="auto" w:sz="4" w:space="0"/>
              <w:right w:val="single" w:color="auto" w:sz="4" w:space="0"/>
            </w:tcBorders>
            <w:vAlign w:val="center"/>
          </w:tcPr>
          <w:p>
            <w:pPr>
              <w:rPr>
                <w:rFonts w:ascii="Calibri" w:hAnsi="Calibri"/>
                <w:szCs w:val="22"/>
              </w:rPr>
            </w:pPr>
          </w:p>
        </w:tc>
        <w:tc>
          <w:tcPr>
            <w:tcW w:w="827" w:type="dxa"/>
            <w:vMerge w:val="continue"/>
            <w:tcBorders>
              <w:left w:val="single" w:color="auto" w:sz="4" w:space="0"/>
              <w:right w:val="single" w:color="auto" w:sz="4" w:space="0"/>
            </w:tcBorders>
            <w:vAlign w:val="center"/>
          </w:tcPr>
          <w:p>
            <w:pPr>
              <w:rPr>
                <w:rFonts w:ascii="Calibri" w:hAnsi="Calibri"/>
                <w:szCs w:val="22"/>
              </w:rPr>
            </w:pPr>
          </w:p>
        </w:tc>
        <w:tc>
          <w:tcPr>
            <w:tcW w:w="972"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作业方案3</w:t>
            </w:r>
            <w:r>
              <w:rPr>
                <w:rFonts w:hint="eastAsia" w:ascii="Calibri" w:hAnsi="Calibri"/>
                <w:szCs w:val="22"/>
                <w:lang w:val="en-US" w:eastAsia="zh-CN"/>
              </w:rPr>
              <w:t>4</w:t>
            </w:r>
            <w:r>
              <w:rPr>
                <w:rFonts w:hint="eastAsia" w:ascii="Calibri" w:hAnsi="Calibri"/>
                <w:szCs w:val="22"/>
              </w:rPr>
              <w:t>%</w:t>
            </w:r>
          </w:p>
        </w:tc>
        <w:tc>
          <w:tcPr>
            <w:tcW w:w="586"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3</w:t>
            </w:r>
            <w:r>
              <w:rPr>
                <w:rFonts w:hint="eastAsia" w:ascii="Calibri" w:hAnsi="Calibri"/>
                <w:szCs w:val="22"/>
                <w:lang w:val="en-US" w:eastAsia="zh-CN"/>
              </w:rPr>
              <w:t>4</w:t>
            </w:r>
            <w:r>
              <w:rPr>
                <w:rFonts w:hint="eastAsia" w:ascii="Calibri" w:hAnsi="Calibri"/>
                <w:szCs w:val="22"/>
              </w:rPr>
              <w:t>分</w:t>
            </w:r>
          </w:p>
        </w:tc>
        <w:tc>
          <w:tcPr>
            <w:tcW w:w="6409"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1.具有道路清扫保洁作业流程、作业频率、作业时间、作业人员安排、作业机具分配等，包括：</w:t>
            </w:r>
          </w:p>
          <w:p>
            <w:pPr>
              <w:rPr>
                <w:rFonts w:ascii="Calibri" w:hAnsi="Calibri"/>
                <w:szCs w:val="22"/>
              </w:rPr>
            </w:pPr>
            <w:r>
              <w:rPr>
                <w:rFonts w:hint="eastAsia" w:ascii="Calibri" w:hAnsi="Calibri"/>
                <w:szCs w:val="22"/>
              </w:rPr>
              <w:t>①机械清扫作业；</w:t>
            </w:r>
          </w:p>
          <w:p>
            <w:pPr>
              <w:rPr>
                <w:rFonts w:ascii="Calibri" w:hAnsi="Calibri"/>
                <w:szCs w:val="22"/>
              </w:rPr>
            </w:pPr>
            <w:r>
              <w:rPr>
                <w:rFonts w:hint="eastAsia" w:ascii="Calibri" w:hAnsi="Calibri"/>
                <w:szCs w:val="22"/>
              </w:rPr>
              <w:t>②人工清扫作业；</w:t>
            </w:r>
          </w:p>
          <w:p>
            <w:pPr>
              <w:rPr>
                <w:rFonts w:ascii="Calibri" w:hAnsi="Calibri"/>
                <w:szCs w:val="22"/>
              </w:rPr>
            </w:pPr>
            <w:r>
              <w:rPr>
                <w:rFonts w:hint="eastAsia" w:ascii="Calibri" w:hAnsi="Calibri"/>
                <w:szCs w:val="22"/>
              </w:rPr>
              <w:t>③机动车道人工保洁作业；</w:t>
            </w:r>
          </w:p>
          <w:p>
            <w:pPr>
              <w:rPr>
                <w:rFonts w:ascii="Calibri" w:hAnsi="Calibri"/>
                <w:szCs w:val="22"/>
              </w:rPr>
            </w:pPr>
            <w:r>
              <w:rPr>
                <w:rFonts w:hint="eastAsia" w:ascii="Calibri" w:hAnsi="Calibri"/>
                <w:szCs w:val="22"/>
              </w:rPr>
              <w:t>④非机动车道人工保洁作业；</w:t>
            </w:r>
          </w:p>
          <w:p>
            <w:pPr>
              <w:rPr>
                <w:rFonts w:ascii="Calibri" w:hAnsi="Calibri"/>
                <w:szCs w:val="22"/>
              </w:rPr>
            </w:pPr>
            <w:r>
              <w:rPr>
                <w:rFonts w:hint="eastAsia" w:ascii="Calibri" w:hAnsi="Calibri"/>
                <w:szCs w:val="22"/>
              </w:rPr>
              <w:t>⑤人行道清扫保洁作业；</w:t>
            </w:r>
          </w:p>
          <w:p>
            <w:pPr>
              <w:rPr>
                <w:rFonts w:ascii="Calibri" w:hAnsi="Calibri"/>
                <w:szCs w:val="22"/>
              </w:rPr>
            </w:pPr>
            <w:r>
              <w:rPr>
                <w:rFonts w:hint="eastAsia" w:ascii="Calibri" w:hAnsi="Calibri"/>
                <w:szCs w:val="22"/>
              </w:rPr>
              <w:t>⑥机动车道及非机动车道冲洗除尘作业；</w:t>
            </w:r>
          </w:p>
          <w:p>
            <w:pPr>
              <w:rPr>
                <w:rFonts w:ascii="Calibri" w:hAnsi="Calibri"/>
                <w:szCs w:val="22"/>
              </w:rPr>
            </w:pPr>
            <w:r>
              <w:rPr>
                <w:rFonts w:hint="eastAsia" w:ascii="Calibri" w:hAnsi="Calibri"/>
                <w:szCs w:val="22"/>
              </w:rPr>
              <w:t>⑦机动车道路沿石冲刷除尘作业；</w:t>
            </w:r>
          </w:p>
          <w:p>
            <w:pPr>
              <w:rPr>
                <w:rFonts w:ascii="Calibri" w:hAnsi="Calibri"/>
                <w:szCs w:val="22"/>
              </w:rPr>
            </w:pPr>
            <w:r>
              <w:rPr>
                <w:rFonts w:hint="eastAsia" w:ascii="Calibri" w:hAnsi="Calibri"/>
                <w:szCs w:val="22"/>
              </w:rPr>
              <w:t>⑧人行道地砖及非机动车道路沿石清洗除污作业；</w:t>
            </w:r>
          </w:p>
          <w:p>
            <w:pPr>
              <w:rPr>
                <w:rFonts w:ascii="Calibri" w:hAnsi="Calibri"/>
                <w:szCs w:val="22"/>
              </w:rPr>
            </w:pPr>
            <w:r>
              <w:rPr>
                <w:rFonts w:hint="eastAsia" w:ascii="Calibri" w:hAnsi="Calibri"/>
                <w:szCs w:val="22"/>
              </w:rPr>
              <w:t>⑨交通隔离护栏设施、道路桥梁栏杆和绿化带隔离护栏等城市家具清洁除尘作业；</w:t>
            </w:r>
          </w:p>
          <w:p>
            <w:pPr>
              <w:rPr>
                <w:rFonts w:ascii="Calibri" w:hAnsi="Calibri"/>
                <w:szCs w:val="22"/>
              </w:rPr>
            </w:pPr>
            <w:r>
              <w:rPr>
                <w:rFonts w:hint="eastAsia" w:ascii="Calibri" w:hAnsi="Calibri"/>
                <w:szCs w:val="22"/>
              </w:rPr>
              <w:t>⑩绿化带作业；</w:t>
            </w:r>
          </w:p>
          <w:p>
            <w:pPr>
              <w:rPr>
                <w:rFonts w:ascii="Calibri" w:hAnsi="Calibri"/>
                <w:szCs w:val="22"/>
              </w:rPr>
            </w:pPr>
            <w:r>
              <w:rPr>
                <w:rFonts w:hint="eastAsia" w:ascii="Calibri" w:hAnsi="Calibri"/>
                <w:szCs w:val="22"/>
              </w:rPr>
              <w:t>⑪树池作业；</w:t>
            </w:r>
          </w:p>
          <w:p>
            <w:pPr>
              <w:rPr>
                <w:rFonts w:ascii="Calibri" w:hAnsi="Calibri"/>
                <w:szCs w:val="22"/>
              </w:rPr>
            </w:pPr>
            <w:r>
              <w:rPr>
                <w:rFonts w:hint="eastAsia" w:ascii="Calibri" w:hAnsi="Calibri"/>
                <w:szCs w:val="22"/>
              </w:rPr>
              <w:t>⑫果屑箱清掏清洗作业；</w:t>
            </w:r>
          </w:p>
          <w:p>
            <w:pPr>
              <w:rPr>
                <w:rFonts w:ascii="Calibri" w:hAnsi="Calibri"/>
                <w:szCs w:val="22"/>
              </w:rPr>
            </w:pPr>
            <w:r>
              <w:rPr>
                <w:rFonts w:hint="eastAsia" w:ascii="Calibri" w:hAnsi="Calibri"/>
                <w:szCs w:val="22"/>
              </w:rPr>
              <w:t>针对每一点要素，符合本项目基本采购需求的，得单项基础分1分；每有一点要素结构严谨、分析结合实际且针对性强，内容完整翔实，语言表述准确清晰，方案可行度高，对项目起积极作用或更有利于项目实施的加1分，本项最高得24分。每缺一项要素或完全不符合本项目需求扣2分，本项分值扣完为止。</w:t>
            </w:r>
          </w:p>
          <w:p>
            <w:pPr>
              <w:spacing w:after="120"/>
              <w:rPr>
                <w:rFonts w:ascii="Calibri" w:hAnsi="Calibri"/>
                <w:szCs w:val="22"/>
              </w:rPr>
            </w:pPr>
          </w:p>
          <w:p>
            <w:pPr>
              <w:rPr>
                <w:rFonts w:ascii="Calibri" w:hAnsi="Calibri"/>
                <w:szCs w:val="22"/>
              </w:rPr>
            </w:pPr>
            <w:r>
              <w:rPr>
                <w:rFonts w:hint="eastAsia" w:ascii="Calibri" w:hAnsi="Calibri"/>
                <w:szCs w:val="22"/>
              </w:rPr>
              <w:t>2.具有“牛皮癣”清除作业流程、作业频率、作业时间、作业人员安排、作业机具分配等，包括：</w:t>
            </w:r>
          </w:p>
          <w:p>
            <w:pPr>
              <w:rPr>
                <w:rFonts w:ascii="Calibri" w:hAnsi="Calibri"/>
                <w:szCs w:val="22"/>
              </w:rPr>
            </w:pPr>
            <w:r>
              <w:rPr>
                <w:rFonts w:hint="eastAsia" w:ascii="Calibri" w:hAnsi="Calibri"/>
                <w:szCs w:val="22"/>
              </w:rPr>
              <w:t>①张贴类广告清除作业；</w:t>
            </w:r>
          </w:p>
          <w:p>
            <w:pPr>
              <w:rPr>
                <w:rFonts w:ascii="Calibri" w:hAnsi="Calibri"/>
                <w:szCs w:val="22"/>
              </w:rPr>
            </w:pPr>
            <w:r>
              <w:rPr>
                <w:rFonts w:hint="eastAsia" w:ascii="Calibri" w:hAnsi="Calibri"/>
                <w:szCs w:val="22"/>
              </w:rPr>
              <w:t>②喷涂类广告清除作业</w:t>
            </w:r>
          </w:p>
          <w:p>
            <w:pPr>
              <w:rPr>
                <w:rFonts w:ascii="Calibri" w:hAnsi="Calibri"/>
                <w:szCs w:val="22"/>
              </w:rPr>
            </w:pPr>
            <w:r>
              <w:rPr>
                <w:rFonts w:hint="eastAsia" w:ascii="Calibri" w:hAnsi="Calibri"/>
                <w:szCs w:val="22"/>
              </w:rPr>
              <w:t>针对每一点要素，符合本项目基本采购需求的，得单项基础分1分；每有一点要素结构严谨、分析结合实际且针对性强，内容完整翔实，语言表述准确清晰，方案可行度高，对项目起积极作用或更有利于项目实施的加1分，本项最高得4分。每缺一项要素或完全不符合本项目需求扣2分，本项分值扣完为止。</w:t>
            </w:r>
          </w:p>
          <w:p>
            <w:pPr>
              <w:spacing w:after="120"/>
              <w:rPr>
                <w:rFonts w:ascii="Calibri" w:hAnsi="Calibri"/>
                <w:szCs w:val="22"/>
              </w:rPr>
            </w:pPr>
          </w:p>
          <w:p>
            <w:pPr>
              <w:rPr>
                <w:rFonts w:ascii="Calibri" w:hAnsi="Calibri"/>
                <w:szCs w:val="22"/>
              </w:rPr>
            </w:pPr>
            <w:r>
              <w:rPr>
                <w:rFonts w:hint="eastAsia" w:ascii="Calibri" w:hAnsi="Calibri"/>
                <w:szCs w:val="22"/>
              </w:rPr>
              <w:t>3.具有垃圾收运转运作业流程、作业频率、作业时间、作业人员安排、作业机具分配等，包括：</w:t>
            </w:r>
          </w:p>
          <w:p>
            <w:pPr>
              <w:rPr>
                <w:rFonts w:ascii="Calibri" w:hAnsi="Calibri"/>
                <w:szCs w:val="22"/>
              </w:rPr>
            </w:pPr>
            <w:r>
              <w:rPr>
                <w:rFonts w:hint="eastAsia" w:ascii="Calibri" w:hAnsi="Calibri"/>
                <w:szCs w:val="22"/>
              </w:rPr>
              <w:t>①果屑箱及临街店铺垃圾收运作业；</w:t>
            </w:r>
          </w:p>
          <w:p>
            <w:pPr>
              <w:rPr>
                <w:rFonts w:ascii="Calibri" w:hAnsi="Calibri"/>
                <w:szCs w:val="22"/>
              </w:rPr>
            </w:pPr>
            <w:r>
              <w:rPr>
                <w:rFonts w:hint="eastAsia" w:ascii="Calibri" w:hAnsi="Calibri"/>
                <w:szCs w:val="22"/>
              </w:rPr>
              <w:t>②工业园区、企事业单位垃圾收运作业；</w:t>
            </w:r>
          </w:p>
          <w:p>
            <w:pPr>
              <w:rPr>
                <w:rFonts w:ascii="Calibri" w:hAnsi="Calibri"/>
                <w:szCs w:val="22"/>
              </w:rPr>
            </w:pPr>
            <w:r>
              <w:rPr>
                <w:rFonts w:hint="eastAsia" w:ascii="Calibri" w:hAnsi="Calibri"/>
                <w:szCs w:val="22"/>
              </w:rPr>
              <w:t>③工业园区、企事业单位大件垃圾和有害垃圾收集作业；</w:t>
            </w:r>
          </w:p>
          <w:p>
            <w:pPr>
              <w:rPr>
                <w:rFonts w:ascii="Calibri" w:hAnsi="Calibri"/>
                <w:szCs w:val="22"/>
              </w:rPr>
            </w:pPr>
            <w:r>
              <w:rPr>
                <w:rFonts w:hint="eastAsia" w:ascii="Calibri" w:hAnsi="Calibri"/>
                <w:szCs w:val="22"/>
              </w:rPr>
              <w:t>针对每一点要素，符合本项目基本采购需求的，得单项基础分1分；每有一点要素结构严谨、分析结合实际且针对性强，内容完整翔实，语言表述准确清晰，方案可行度高，对项目起积极作用或更有利于项目实施的加1分，本项最高得6分。每缺一项要素或完全不符合本项目需求扣2分，本项分值扣完为止。</w:t>
            </w:r>
          </w:p>
        </w:tc>
        <w:tc>
          <w:tcPr>
            <w:tcW w:w="739" w:type="dxa"/>
            <w:vMerge w:val="continue"/>
            <w:tcBorders>
              <w:left w:val="single" w:color="auto" w:sz="4" w:space="0"/>
              <w:right w:val="single" w:color="auto" w:sz="4" w:space="0"/>
            </w:tcBorders>
          </w:tcPr>
          <w:p>
            <w:pPr>
              <w:rPr>
                <w:rFonts w:ascii="Calibri" w:hAnsi="Calibri"/>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5" w:hRule="atLeast"/>
          <w:jc w:val="center"/>
        </w:trPr>
        <w:tc>
          <w:tcPr>
            <w:tcW w:w="672" w:type="dxa"/>
            <w:vMerge w:val="continue"/>
            <w:tcBorders>
              <w:left w:val="single" w:color="auto" w:sz="4" w:space="0"/>
              <w:right w:val="single" w:color="auto" w:sz="4" w:space="0"/>
            </w:tcBorders>
            <w:vAlign w:val="center"/>
          </w:tcPr>
          <w:p>
            <w:pPr>
              <w:rPr>
                <w:rFonts w:ascii="Calibri" w:hAnsi="Calibri"/>
                <w:szCs w:val="22"/>
              </w:rPr>
            </w:pPr>
          </w:p>
        </w:tc>
        <w:tc>
          <w:tcPr>
            <w:tcW w:w="827" w:type="dxa"/>
            <w:vMerge w:val="continue"/>
            <w:tcBorders>
              <w:left w:val="single" w:color="auto" w:sz="4" w:space="0"/>
              <w:right w:val="single" w:color="auto" w:sz="4" w:space="0"/>
            </w:tcBorders>
            <w:vAlign w:val="center"/>
          </w:tcPr>
          <w:p>
            <w:pPr>
              <w:rPr>
                <w:rFonts w:ascii="Calibri" w:hAnsi="Calibri"/>
                <w:szCs w:val="22"/>
              </w:rPr>
            </w:pPr>
          </w:p>
        </w:tc>
        <w:tc>
          <w:tcPr>
            <w:tcW w:w="972"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质量控制方案3%</w:t>
            </w:r>
          </w:p>
        </w:tc>
        <w:tc>
          <w:tcPr>
            <w:tcW w:w="586"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3分</w:t>
            </w:r>
          </w:p>
        </w:tc>
        <w:tc>
          <w:tcPr>
            <w:tcW w:w="6409"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投标人根据项目建立全面的质量控制方案，建有：</w:t>
            </w:r>
          </w:p>
          <w:p>
            <w:pPr>
              <w:rPr>
                <w:rFonts w:ascii="Calibri" w:hAnsi="Calibri"/>
                <w:szCs w:val="22"/>
              </w:rPr>
            </w:pPr>
            <w:r>
              <w:rPr>
                <w:rFonts w:hint="eastAsia" w:ascii="Calibri" w:hAnsi="Calibri"/>
                <w:szCs w:val="22"/>
              </w:rPr>
              <w:t>①质量控制目标；</w:t>
            </w:r>
          </w:p>
          <w:p>
            <w:pPr>
              <w:rPr>
                <w:rFonts w:ascii="Calibri" w:hAnsi="Calibri"/>
                <w:szCs w:val="22"/>
              </w:rPr>
            </w:pPr>
            <w:r>
              <w:rPr>
                <w:rFonts w:hint="eastAsia" w:ascii="Calibri" w:hAnsi="Calibri"/>
                <w:szCs w:val="22"/>
              </w:rPr>
              <w:t>②管理制度；</w:t>
            </w:r>
          </w:p>
          <w:p>
            <w:pPr>
              <w:rPr>
                <w:rFonts w:ascii="Calibri" w:hAnsi="Calibri"/>
                <w:szCs w:val="22"/>
              </w:rPr>
            </w:pPr>
            <w:r>
              <w:rPr>
                <w:rFonts w:hint="eastAsia" w:ascii="Calibri" w:hAnsi="Calibri"/>
                <w:szCs w:val="22"/>
              </w:rPr>
              <w:t>③各环节环卫作业服务质量控制措施；</w:t>
            </w:r>
          </w:p>
          <w:p>
            <w:pPr>
              <w:rPr>
                <w:rFonts w:ascii="Calibri" w:hAnsi="Calibri"/>
                <w:szCs w:val="22"/>
              </w:rPr>
            </w:pPr>
            <w:r>
              <w:rPr>
                <w:rFonts w:hint="eastAsia" w:ascii="Calibri" w:hAnsi="Calibri"/>
                <w:szCs w:val="22"/>
              </w:rPr>
              <w:t>针对每一点要素，符合本项目基本采购需求的，得单项基础分0.5分；每有一点要素结构严谨、分析结合实际且针对性强，内容完整翔实，语言表述准确清晰，方案可行度高，对项目起积极作用或更有利于项目实施的加0.5分，本项最高得3分。每缺一项要素或完全不符合本项目需求扣1分，本项分值扣完为止。</w:t>
            </w:r>
          </w:p>
        </w:tc>
        <w:tc>
          <w:tcPr>
            <w:tcW w:w="739" w:type="dxa"/>
            <w:vMerge w:val="continue"/>
            <w:tcBorders>
              <w:left w:val="single" w:color="auto" w:sz="4" w:space="0"/>
              <w:right w:val="single" w:color="auto" w:sz="4" w:space="0"/>
            </w:tcBorders>
          </w:tcPr>
          <w:p>
            <w:pPr>
              <w:rPr>
                <w:rFonts w:ascii="Calibri" w:hAnsi="Calibri"/>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5" w:hRule="atLeast"/>
          <w:jc w:val="center"/>
        </w:trPr>
        <w:tc>
          <w:tcPr>
            <w:tcW w:w="672" w:type="dxa"/>
            <w:vMerge w:val="continue"/>
            <w:tcBorders>
              <w:left w:val="single" w:color="auto" w:sz="4" w:space="0"/>
              <w:bottom w:val="single" w:color="auto" w:sz="4" w:space="0"/>
              <w:right w:val="single" w:color="auto" w:sz="4" w:space="0"/>
            </w:tcBorders>
            <w:vAlign w:val="center"/>
          </w:tcPr>
          <w:p>
            <w:pPr>
              <w:rPr>
                <w:rFonts w:ascii="Calibri" w:hAnsi="Calibri"/>
                <w:szCs w:val="22"/>
              </w:rPr>
            </w:pPr>
          </w:p>
        </w:tc>
        <w:tc>
          <w:tcPr>
            <w:tcW w:w="827" w:type="dxa"/>
            <w:vMerge w:val="continue"/>
            <w:tcBorders>
              <w:left w:val="single" w:color="auto" w:sz="4" w:space="0"/>
              <w:bottom w:val="single" w:color="auto" w:sz="4" w:space="0"/>
              <w:right w:val="single" w:color="auto" w:sz="4" w:space="0"/>
            </w:tcBorders>
            <w:vAlign w:val="center"/>
          </w:tcPr>
          <w:p>
            <w:pPr>
              <w:rPr>
                <w:rFonts w:ascii="Calibri" w:hAnsi="Calibri"/>
                <w:szCs w:val="22"/>
              </w:rPr>
            </w:pPr>
          </w:p>
        </w:tc>
        <w:tc>
          <w:tcPr>
            <w:tcW w:w="972"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安全文明措施</w:t>
            </w:r>
            <w:r>
              <w:rPr>
                <w:rFonts w:hint="eastAsia" w:ascii="Calibri" w:hAnsi="Calibri"/>
                <w:szCs w:val="22"/>
                <w:lang w:val="en-US" w:eastAsia="zh-CN"/>
              </w:rPr>
              <w:t>3</w:t>
            </w:r>
            <w:r>
              <w:rPr>
                <w:rFonts w:hint="eastAsia" w:ascii="Calibri" w:hAnsi="Calibri"/>
                <w:szCs w:val="22"/>
              </w:rPr>
              <w:t>%</w:t>
            </w:r>
          </w:p>
        </w:tc>
        <w:tc>
          <w:tcPr>
            <w:tcW w:w="586"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lang w:val="en-US" w:eastAsia="zh-CN"/>
              </w:rPr>
              <w:t>3</w:t>
            </w:r>
            <w:r>
              <w:rPr>
                <w:rFonts w:hint="eastAsia" w:ascii="Calibri" w:hAnsi="Calibri"/>
                <w:szCs w:val="22"/>
              </w:rPr>
              <w:t>分</w:t>
            </w:r>
          </w:p>
        </w:tc>
        <w:tc>
          <w:tcPr>
            <w:tcW w:w="6409"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根据投标人提供的：</w:t>
            </w:r>
          </w:p>
          <w:p>
            <w:pPr>
              <w:rPr>
                <w:rFonts w:ascii="Calibri" w:hAnsi="Calibri"/>
                <w:szCs w:val="22"/>
              </w:rPr>
            </w:pPr>
            <w:r>
              <w:rPr>
                <w:rFonts w:hint="eastAsia" w:ascii="Calibri" w:hAnsi="Calibri"/>
                <w:szCs w:val="22"/>
              </w:rPr>
              <w:t>①安全管理体系健全、安全措施周全，文明管理制度完善可靠；</w:t>
            </w:r>
          </w:p>
          <w:p>
            <w:pPr>
              <w:rPr>
                <w:rFonts w:ascii="Calibri" w:hAnsi="Calibri"/>
                <w:szCs w:val="22"/>
              </w:rPr>
            </w:pPr>
            <w:r>
              <w:rPr>
                <w:rFonts w:hint="eastAsia" w:ascii="Calibri" w:hAnsi="Calibri"/>
                <w:szCs w:val="22"/>
              </w:rPr>
              <w:t>②安全目标具体详细，安全防范重点明确清晰，各道工序安全技术措施针对性强且合理性高；</w:t>
            </w:r>
          </w:p>
          <w:p>
            <w:pPr>
              <w:rPr>
                <w:rFonts w:ascii="Calibri" w:hAnsi="Calibri"/>
                <w:szCs w:val="22"/>
              </w:rPr>
            </w:pPr>
            <w:r>
              <w:rPr>
                <w:rFonts w:hint="eastAsia" w:ascii="Calibri" w:hAnsi="Calibri"/>
                <w:szCs w:val="22"/>
              </w:rPr>
              <w:t>针对每一点要素，符合本项目基本采购需求的，得单项基础分0.5分；每有一点要素结构严谨、分析结合实际且针对性强，内容完整翔实，语言表述准确清晰，方案可行度高，对项目起积极作用或更有利于项目实施的加</w:t>
            </w:r>
            <w:r>
              <w:rPr>
                <w:rFonts w:hint="eastAsia" w:ascii="Calibri" w:hAnsi="Calibri"/>
                <w:szCs w:val="22"/>
                <w:lang w:val="en-US" w:eastAsia="zh-CN"/>
              </w:rPr>
              <w:t>1</w:t>
            </w:r>
            <w:r>
              <w:rPr>
                <w:rFonts w:hint="eastAsia" w:ascii="Calibri" w:hAnsi="Calibri"/>
                <w:szCs w:val="22"/>
              </w:rPr>
              <w:t>分，本项最高得</w:t>
            </w:r>
            <w:r>
              <w:rPr>
                <w:rFonts w:hint="eastAsia" w:ascii="Calibri" w:hAnsi="Calibri"/>
                <w:szCs w:val="22"/>
                <w:lang w:val="en-US" w:eastAsia="zh-CN"/>
              </w:rPr>
              <w:t>3</w:t>
            </w:r>
            <w:r>
              <w:rPr>
                <w:rFonts w:hint="eastAsia" w:ascii="Calibri" w:hAnsi="Calibri"/>
                <w:szCs w:val="22"/>
              </w:rPr>
              <w:t>分。每缺一项要素或完全不符合本项目需求扣1</w:t>
            </w:r>
            <w:r>
              <w:rPr>
                <w:rFonts w:hint="eastAsia" w:ascii="Calibri" w:hAnsi="Calibri"/>
                <w:szCs w:val="22"/>
                <w:lang w:val="en-US" w:eastAsia="zh-CN"/>
              </w:rPr>
              <w:t>.5</w:t>
            </w:r>
            <w:r>
              <w:rPr>
                <w:rFonts w:hint="eastAsia" w:ascii="Calibri" w:hAnsi="Calibri"/>
                <w:szCs w:val="22"/>
              </w:rPr>
              <w:t>分，本项分值扣完为止。</w:t>
            </w:r>
          </w:p>
        </w:tc>
        <w:tc>
          <w:tcPr>
            <w:tcW w:w="739" w:type="dxa"/>
            <w:vMerge w:val="continue"/>
            <w:tcBorders>
              <w:left w:val="single" w:color="auto" w:sz="4" w:space="0"/>
              <w:bottom w:val="single" w:color="auto" w:sz="4" w:space="0"/>
              <w:right w:val="single" w:color="auto" w:sz="4" w:space="0"/>
            </w:tcBorders>
          </w:tcPr>
          <w:p>
            <w:pPr>
              <w:rPr>
                <w:rFonts w:ascii="Calibri" w:hAnsi="Calibri"/>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672"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3</w:t>
            </w:r>
          </w:p>
        </w:tc>
        <w:tc>
          <w:tcPr>
            <w:tcW w:w="1799" w:type="dxa"/>
            <w:gridSpan w:val="2"/>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机具配置8%</w:t>
            </w:r>
          </w:p>
        </w:tc>
        <w:tc>
          <w:tcPr>
            <w:tcW w:w="586"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8分</w:t>
            </w:r>
          </w:p>
        </w:tc>
        <w:tc>
          <w:tcPr>
            <w:tcW w:w="6409"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1.满足基本要求的前提下，投标人设备：</w:t>
            </w:r>
          </w:p>
          <w:p>
            <w:pPr>
              <w:rPr>
                <w:rFonts w:ascii="Calibri" w:hAnsi="Calibri"/>
                <w:szCs w:val="22"/>
              </w:rPr>
            </w:pPr>
            <w:r>
              <w:rPr>
                <w:rFonts w:hint="eastAsia" w:ascii="Calibri" w:hAnsi="Calibri"/>
                <w:szCs w:val="22"/>
              </w:rPr>
              <w:t>（1）每增加环卫专用电动扫地车【规格：小型或轻型】1台加2分，最多得2分；</w:t>
            </w:r>
          </w:p>
          <w:p>
            <w:pPr>
              <w:rPr>
                <w:rFonts w:ascii="Calibri" w:hAnsi="Calibri"/>
                <w:szCs w:val="22"/>
              </w:rPr>
            </w:pPr>
            <w:r>
              <w:rPr>
                <w:rFonts w:hint="eastAsia" w:ascii="Calibri" w:hAnsi="Calibri"/>
                <w:szCs w:val="22"/>
              </w:rPr>
              <w:t>（2）每增加环卫专用具有清洗功能的电动车辆【规格：小型】1台加2分，最多得2分；</w:t>
            </w:r>
          </w:p>
          <w:p>
            <w:pPr>
              <w:rPr>
                <w:rFonts w:hint="eastAsia" w:ascii="Calibri" w:hAnsi="Calibri"/>
                <w:szCs w:val="22"/>
              </w:rPr>
            </w:pPr>
            <w:r>
              <w:rPr>
                <w:rFonts w:hint="eastAsia" w:ascii="Calibri" w:hAnsi="Calibri"/>
                <w:szCs w:val="22"/>
              </w:rPr>
              <w:t>（3）每增加具有道路养护功能的环卫专用车辆1台加2分，最多得2分。</w:t>
            </w:r>
          </w:p>
          <w:p>
            <w:pPr>
              <w:pStyle w:val="2"/>
            </w:pPr>
            <w:r>
              <w:rPr>
                <w:rFonts w:hint="eastAsia" w:ascii="Calibri" w:hAnsi="Calibri"/>
                <w:szCs w:val="22"/>
              </w:rPr>
              <w:t xml:space="preserve">2. </w:t>
            </w:r>
            <w:r>
              <w:rPr>
                <w:rFonts w:hint="eastAsia" w:ascii="Calibri" w:hAnsi="Calibri"/>
                <w:color w:val="auto"/>
                <w:szCs w:val="22"/>
              </w:rPr>
              <w:t>满足基本要求的前提下，投标人新响应配置的机具中，包含新能源车辆（绿色牌照）的，每1台得2分，最多得2分。</w:t>
            </w:r>
          </w:p>
          <w:p>
            <w:pPr>
              <w:rPr>
                <w:rFonts w:hint="eastAsia" w:ascii="Calibri" w:hAnsi="Calibri"/>
                <w:szCs w:val="22"/>
              </w:rPr>
            </w:pPr>
            <w:r>
              <w:rPr>
                <w:rFonts w:hint="eastAsia" w:ascii="Calibri" w:hAnsi="Calibri"/>
                <w:szCs w:val="22"/>
              </w:rPr>
              <w:t>（说明：1、增加机具须为自有，需提供购置发票复印件，如机具为机动车则需提供车辆购置发票复印件及有效年审期内行驶证复印件、登记证书复印件并加盖投标人公章。</w:t>
            </w:r>
          </w:p>
          <w:p>
            <w:pPr>
              <w:rPr>
                <w:rFonts w:ascii="Calibri" w:hAnsi="Calibri"/>
                <w:szCs w:val="22"/>
              </w:rPr>
            </w:pPr>
            <w:r>
              <w:rPr>
                <w:rFonts w:hint="eastAsia" w:ascii="Calibri" w:hAnsi="Calibri"/>
                <w:szCs w:val="22"/>
              </w:rPr>
              <w:t>2、以上机具须为各包单独配置，不可共享，如投标人同时投标本项目多个包件，各包之间配备的机具存在冲突和重复使用情况，此项均不得分。）</w:t>
            </w:r>
          </w:p>
        </w:tc>
        <w:tc>
          <w:tcPr>
            <w:tcW w:w="739" w:type="dxa"/>
            <w:vMerge w:val="restart"/>
            <w:tcBorders>
              <w:top w:val="single" w:color="auto" w:sz="4" w:space="0"/>
              <w:left w:val="single" w:color="auto" w:sz="4" w:space="0"/>
              <w:right w:val="single" w:color="auto" w:sz="4" w:space="0"/>
            </w:tcBorders>
            <w:vAlign w:val="center"/>
          </w:tcPr>
          <w:p>
            <w:pPr>
              <w:rPr>
                <w:rFonts w:ascii="Calibri" w:hAnsi="Calibri"/>
                <w:szCs w:val="22"/>
              </w:rPr>
            </w:pPr>
            <w:r>
              <w:rPr>
                <w:rFonts w:hint="eastAsia" w:ascii="Calibri" w:hAnsi="Calibri"/>
                <w:szCs w:val="22"/>
              </w:rPr>
              <w:t>共同评审因素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5" w:hRule="atLeast"/>
          <w:jc w:val="center"/>
        </w:trPr>
        <w:tc>
          <w:tcPr>
            <w:tcW w:w="672"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4</w:t>
            </w:r>
          </w:p>
        </w:tc>
        <w:tc>
          <w:tcPr>
            <w:tcW w:w="1799" w:type="dxa"/>
            <w:gridSpan w:val="2"/>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人员配置5%</w:t>
            </w:r>
          </w:p>
        </w:tc>
        <w:tc>
          <w:tcPr>
            <w:tcW w:w="586"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5分</w:t>
            </w:r>
          </w:p>
        </w:tc>
        <w:tc>
          <w:tcPr>
            <w:tcW w:w="6409"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根据投标人提供的人员配备情况进行综合评分：在满足本项目清扫保洁人员基本人员配置的基础上，每增加1人，加0.5分，本项最高加5分。</w:t>
            </w:r>
          </w:p>
          <w:p>
            <w:pPr>
              <w:rPr>
                <w:rFonts w:hint="eastAsia" w:ascii="Calibri" w:hAnsi="Calibri"/>
                <w:szCs w:val="22"/>
              </w:rPr>
            </w:pPr>
            <w:r>
              <w:rPr>
                <w:rFonts w:hint="eastAsia" w:ascii="Calibri" w:hAnsi="Calibri"/>
                <w:szCs w:val="22"/>
              </w:rPr>
              <w:t>（说明：1、提供身份证明材料复印件加盖鲜章；</w:t>
            </w:r>
          </w:p>
          <w:p>
            <w:pPr>
              <w:rPr>
                <w:rFonts w:ascii="Calibri" w:hAnsi="Calibri"/>
                <w:szCs w:val="22"/>
              </w:rPr>
            </w:pPr>
            <w:r>
              <w:rPr>
                <w:rFonts w:hint="eastAsia" w:ascii="Calibri" w:hAnsi="Calibri"/>
                <w:szCs w:val="22"/>
              </w:rPr>
              <w:t>2、以上人员须为各包单独配置，不可共享，如投标人同时投标本项目多个包件，各包之间配备的人员存在冲突和重复使用情况，此项均不得分。）</w:t>
            </w:r>
          </w:p>
        </w:tc>
        <w:tc>
          <w:tcPr>
            <w:tcW w:w="739" w:type="dxa"/>
            <w:vMerge w:val="continue"/>
            <w:tcBorders>
              <w:left w:val="single" w:color="auto" w:sz="4" w:space="0"/>
              <w:right w:val="single" w:color="auto" w:sz="4" w:space="0"/>
            </w:tcBorders>
          </w:tcPr>
          <w:p>
            <w:pPr>
              <w:rPr>
                <w:rFonts w:ascii="Calibri" w:hAnsi="Calibri"/>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672"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5</w:t>
            </w:r>
          </w:p>
        </w:tc>
        <w:tc>
          <w:tcPr>
            <w:tcW w:w="1799" w:type="dxa"/>
            <w:gridSpan w:val="2"/>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应急预案6%</w:t>
            </w:r>
          </w:p>
        </w:tc>
        <w:tc>
          <w:tcPr>
            <w:tcW w:w="586"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6分</w:t>
            </w:r>
          </w:p>
        </w:tc>
        <w:tc>
          <w:tcPr>
            <w:tcW w:w="6409"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项目应急预案中能：</w:t>
            </w:r>
          </w:p>
          <w:p>
            <w:pPr>
              <w:rPr>
                <w:rFonts w:ascii="Calibri" w:hAnsi="Calibri"/>
                <w:szCs w:val="22"/>
              </w:rPr>
            </w:pPr>
            <w:r>
              <w:rPr>
                <w:rFonts w:hint="eastAsia" w:ascii="Calibri" w:hAnsi="Calibri"/>
                <w:szCs w:val="22"/>
              </w:rPr>
              <w:t>①全面分析本项目可能发生的各类突发事件，至少包含重大迎检、防汛抗汛、疫情防控、道路路面建渣洒落、道路泥沙污染应急方案；</w:t>
            </w:r>
          </w:p>
          <w:p>
            <w:pPr>
              <w:rPr>
                <w:rFonts w:ascii="Calibri" w:hAnsi="Calibri"/>
                <w:szCs w:val="22"/>
              </w:rPr>
            </w:pPr>
            <w:r>
              <w:rPr>
                <w:rFonts w:hint="eastAsia" w:ascii="Calibri" w:hAnsi="Calibri"/>
                <w:szCs w:val="22"/>
              </w:rPr>
              <w:t>②方案中有完善的应急管理机构、应急处理机制、应急处理流程；针对每一点要素，符合本项目基本采购需求的，得单项基础分1分；每有一点要素结构严谨、分析结合实际且针对性强，内容完整翔实，语言表述准确清晰，方案可行度高，对项目起积极作用或更有利于项目实施的加2分，本项最高得6分。每缺一项要素或完全不符合本项目需求扣3分，本项分值扣完为止。</w:t>
            </w:r>
          </w:p>
        </w:tc>
        <w:tc>
          <w:tcPr>
            <w:tcW w:w="739" w:type="dxa"/>
            <w:vMerge w:val="continue"/>
            <w:tcBorders>
              <w:left w:val="single" w:color="auto" w:sz="4" w:space="0"/>
              <w:right w:val="single" w:color="auto" w:sz="4" w:space="0"/>
            </w:tcBorders>
          </w:tcPr>
          <w:p>
            <w:pPr>
              <w:rPr>
                <w:rFonts w:ascii="Calibri" w:hAnsi="Calibri"/>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5" w:hRule="atLeast"/>
          <w:jc w:val="center"/>
        </w:trPr>
        <w:tc>
          <w:tcPr>
            <w:tcW w:w="672"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6</w:t>
            </w:r>
          </w:p>
        </w:tc>
        <w:tc>
          <w:tcPr>
            <w:tcW w:w="1799" w:type="dxa"/>
            <w:gridSpan w:val="2"/>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履约能力12%</w:t>
            </w:r>
          </w:p>
        </w:tc>
        <w:tc>
          <w:tcPr>
            <w:tcW w:w="586" w:type="dxa"/>
            <w:tcBorders>
              <w:top w:val="single" w:color="auto" w:sz="4" w:space="0"/>
              <w:left w:val="single" w:color="auto" w:sz="4" w:space="0"/>
              <w:bottom w:val="single" w:color="auto" w:sz="4" w:space="0"/>
              <w:right w:val="single" w:color="auto" w:sz="4" w:space="0"/>
            </w:tcBorders>
            <w:vAlign w:val="center"/>
          </w:tcPr>
          <w:p>
            <w:pPr>
              <w:rPr>
                <w:rFonts w:ascii="Calibri" w:hAnsi="Calibri"/>
                <w:szCs w:val="22"/>
              </w:rPr>
            </w:pPr>
            <w:r>
              <w:rPr>
                <w:rFonts w:hint="eastAsia" w:ascii="Calibri" w:hAnsi="Calibri"/>
                <w:szCs w:val="22"/>
              </w:rPr>
              <w:t>12分</w:t>
            </w:r>
          </w:p>
        </w:tc>
        <w:tc>
          <w:tcPr>
            <w:tcW w:w="6409" w:type="dxa"/>
            <w:tcBorders>
              <w:top w:val="single" w:color="auto" w:sz="4" w:space="0"/>
              <w:left w:val="single" w:color="auto" w:sz="4" w:space="0"/>
              <w:bottom w:val="single" w:color="auto" w:sz="4" w:space="0"/>
              <w:right w:val="single" w:color="auto" w:sz="4" w:space="0"/>
            </w:tcBorders>
            <w:vAlign w:val="center"/>
          </w:tcPr>
          <w:p>
            <w:r>
              <w:rPr>
                <w:rFonts w:hint="eastAsia"/>
              </w:rPr>
              <w:t>投标人提供2018年1月1日（含，以合同签订时间为准）以来类似项目业绩，每有1个得3分，最多12分。</w:t>
            </w:r>
          </w:p>
          <w:p>
            <w:pPr>
              <w:rPr>
                <w:rFonts w:hint="eastAsia"/>
              </w:rPr>
            </w:pPr>
            <w:r>
              <w:rPr>
                <w:rFonts w:hint="eastAsia"/>
              </w:rPr>
              <w:t>（说明：以上业绩需提供证明材料如下：1、任意一个月经费支付银行票据或业主证明复印件并加盖投标人鲜章；2、合同复印件或中标（成交）通知书并加盖投标人鲜章。）</w:t>
            </w:r>
          </w:p>
        </w:tc>
        <w:tc>
          <w:tcPr>
            <w:tcW w:w="739" w:type="dxa"/>
            <w:vMerge w:val="continue"/>
            <w:tcBorders>
              <w:left w:val="single" w:color="auto" w:sz="4" w:space="0"/>
              <w:right w:val="single" w:color="auto" w:sz="4" w:space="0"/>
            </w:tcBorders>
          </w:tcPr>
          <w:p>
            <w:pPr>
              <w:rPr>
                <w:rFonts w:ascii="Calibri" w:hAnsi="Calibri"/>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5" w:hRule="atLeast"/>
          <w:jc w:val="center"/>
        </w:trPr>
        <w:tc>
          <w:tcPr>
            <w:tcW w:w="672" w:type="dxa"/>
            <w:tcBorders>
              <w:top w:val="single" w:color="auto" w:sz="4" w:space="0"/>
              <w:left w:val="single" w:color="auto" w:sz="4" w:space="0"/>
              <w:bottom w:val="single" w:color="auto" w:sz="4" w:space="0"/>
              <w:right w:val="single" w:color="auto" w:sz="4" w:space="0"/>
            </w:tcBorders>
            <w:vAlign w:val="center"/>
          </w:tcPr>
          <w:p>
            <w:pPr>
              <w:rPr>
                <w:rFonts w:hint="eastAsia" w:ascii="Calibri" w:hAnsi="Calibri"/>
                <w:szCs w:val="22"/>
              </w:rPr>
            </w:pPr>
            <w:r>
              <w:rPr>
                <w:rFonts w:hint="eastAsia" w:ascii="Calibri" w:hAnsi="Calibri"/>
                <w:szCs w:val="22"/>
              </w:rPr>
              <w:t>7</w:t>
            </w:r>
          </w:p>
        </w:tc>
        <w:tc>
          <w:tcPr>
            <w:tcW w:w="1799" w:type="dxa"/>
            <w:gridSpan w:val="2"/>
            <w:tcBorders>
              <w:top w:val="single" w:color="auto" w:sz="4" w:space="0"/>
              <w:left w:val="single" w:color="auto" w:sz="4" w:space="0"/>
              <w:bottom w:val="single" w:color="auto" w:sz="4" w:space="0"/>
              <w:right w:val="single" w:color="auto" w:sz="4" w:space="0"/>
            </w:tcBorders>
            <w:vAlign w:val="center"/>
          </w:tcPr>
          <w:p>
            <w:pPr>
              <w:rPr>
                <w:rFonts w:hint="eastAsia" w:ascii="Calibri" w:hAnsi="Calibri"/>
                <w:szCs w:val="22"/>
              </w:rPr>
            </w:pPr>
            <w:r>
              <w:rPr>
                <w:rFonts w:hint="eastAsia" w:ascii="Calibri" w:hAnsi="Calibri"/>
                <w:szCs w:val="22"/>
              </w:rPr>
              <w:t>信誉3%</w:t>
            </w:r>
          </w:p>
        </w:tc>
        <w:tc>
          <w:tcPr>
            <w:tcW w:w="586" w:type="dxa"/>
            <w:tcBorders>
              <w:top w:val="single" w:color="auto" w:sz="4" w:space="0"/>
              <w:left w:val="single" w:color="auto" w:sz="4" w:space="0"/>
              <w:bottom w:val="single" w:color="auto" w:sz="4" w:space="0"/>
              <w:right w:val="single" w:color="auto" w:sz="4" w:space="0"/>
            </w:tcBorders>
            <w:vAlign w:val="center"/>
          </w:tcPr>
          <w:p>
            <w:pPr>
              <w:rPr>
                <w:rFonts w:hint="eastAsia" w:ascii="Calibri" w:hAnsi="Calibri"/>
                <w:szCs w:val="22"/>
              </w:rPr>
            </w:pPr>
            <w:r>
              <w:rPr>
                <w:rFonts w:hint="eastAsia" w:ascii="Calibri" w:hAnsi="Calibri"/>
                <w:szCs w:val="22"/>
              </w:rPr>
              <w:t>3分</w:t>
            </w:r>
          </w:p>
        </w:tc>
        <w:tc>
          <w:tcPr>
            <w:tcW w:w="6409" w:type="dxa"/>
            <w:tcBorders>
              <w:top w:val="single" w:color="auto" w:sz="4" w:space="0"/>
              <w:left w:val="single" w:color="auto" w:sz="4" w:space="0"/>
              <w:bottom w:val="single" w:color="auto" w:sz="4" w:space="0"/>
              <w:right w:val="single" w:color="auto" w:sz="4" w:space="0"/>
            </w:tcBorders>
            <w:vAlign w:val="center"/>
          </w:tcPr>
          <w:p>
            <w:pPr>
              <w:rPr>
                <w:rFonts w:hint="eastAsia"/>
              </w:rPr>
            </w:pPr>
            <w:r>
              <w:rPr>
                <w:rFonts w:hint="eastAsia"/>
              </w:rPr>
              <w:t>投标人购买了雇主责任险的，得3分。（说明：提供证明材料复印件加盖鲜章）</w:t>
            </w:r>
          </w:p>
        </w:tc>
        <w:tc>
          <w:tcPr>
            <w:tcW w:w="739" w:type="dxa"/>
            <w:tcBorders>
              <w:left w:val="single" w:color="auto" w:sz="4" w:space="0"/>
              <w:right w:val="single" w:color="auto" w:sz="4" w:space="0"/>
            </w:tcBorders>
          </w:tcPr>
          <w:p>
            <w:pPr>
              <w:rPr>
                <w:rFonts w:ascii="Calibri" w:hAnsi="Calibri"/>
                <w:szCs w:val="22"/>
              </w:rPr>
            </w:pPr>
          </w:p>
        </w:tc>
      </w:tr>
    </w:tbl>
    <w:p>
      <w:pPr>
        <w:pStyle w:val="2"/>
        <w:rPr>
          <w:rFonts w:hint="eastAsia"/>
        </w:rPr>
      </w:pPr>
    </w:p>
    <w:p>
      <w:pPr>
        <w:pStyle w:val="5"/>
        <w:spacing w:beforeLines="50" w:line="360" w:lineRule="auto"/>
        <w:ind w:firstLine="482"/>
        <w:rPr>
          <w:rFonts w:hint="eastAsia"/>
        </w:rPr>
      </w:pPr>
      <w:bookmarkStart w:id="321" w:name="_Toc503863074"/>
      <w:bookmarkStart w:id="322" w:name="_Toc217446060"/>
      <w:r>
        <w:rPr>
          <w:rFonts w:hint="eastAsia"/>
        </w:rPr>
        <w:t>5．废 标</w:t>
      </w:r>
      <w:bookmarkEnd w:id="321"/>
    </w:p>
    <w:p>
      <w:pPr>
        <w:spacing w:line="360" w:lineRule="auto"/>
        <w:ind w:firstLine="480" w:firstLineChars="200"/>
        <w:rPr>
          <w:rFonts w:hint="eastAsia" w:ascii="宋体" w:hAnsi="宋体" w:cs="宋体"/>
          <w:sz w:val="24"/>
        </w:rPr>
      </w:pPr>
      <w:r>
        <w:rPr>
          <w:rFonts w:hint="eastAsia" w:ascii="宋体" w:hAnsi="宋体" w:cs="宋体"/>
          <w:sz w:val="24"/>
        </w:rPr>
        <w:t>5.1本次政府采购活动中，出现下列情形之一的，予以废标：</w:t>
      </w:r>
    </w:p>
    <w:p>
      <w:pPr>
        <w:spacing w:line="360" w:lineRule="auto"/>
        <w:ind w:firstLine="240" w:firstLineChars="100"/>
        <w:rPr>
          <w:rFonts w:hint="eastAsia" w:ascii="宋体" w:hAnsi="宋体" w:cs="宋体"/>
          <w:sz w:val="24"/>
        </w:rPr>
      </w:pPr>
      <w:r>
        <w:rPr>
          <w:rFonts w:hint="eastAsia" w:ascii="宋体" w:hAnsi="宋体" w:cs="宋体"/>
          <w:sz w:val="24"/>
        </w:rPr>
        <w:t>（1）符合专业条件的投标人或者对招标文件作实质响应的投标人不足三家的；</w:t>
      </w:r>
    </w:p>
    <w:p>
      <w:pPr>
        <w:spacing w:line="360" w:lineRule="auto"/>
        <w:ind w:firstLine="240" w:firstLineChars="100"/>
        <w:rPr>
          <w:rFonts w:hint="eastAsia" w:ascii="宋体" w:hAnsi="宋体" w:cs="宋体"/>
          <w:sz w:val="24"/>
        </w:rPr>
      </w:pPr>
      <w:r>
        <w:rPr>
          <w:rFonts w:hint="eastAsia" w:ascii="宋体" w:hAnsi="宋体" w:cs="宋体"/>
          <w:sz w:val="24"/>
        </w:rPr>
        <w:t>（2）出现影响采购公正的违法、违规行为的；</w:t>
      </w:r>
    </w:p>
    <w:p>
      <w:pPr>
        <w:spacing w:line="360" w:lineRule="auto"/>
        <w:ind w:firstLine="240" w:firstLineChars="100"/>
        <w:rPr>
          <w:rFonts w:hint="eastAsia" w:ascii="宋体" w:hAnsi="宋体" w:cs="宋体"/>
          <w:sz w:val="24"/>
        </w:rPr>
      </w:pPr>
      <w:r>
        <w:rPr>
          <w:rFonts w:hint="eastAsia" w:ascii="宋体" w:hAnsi="宋体" w:cs="宋体"/>
          <w:sz w:val="24"/>
        </w:rPr>
        <w:t>（3）投标人的报价均超过了采购预算，采购人不能支付的；</w:t>
      </w:r>
    </w:p>
    <w:p>
      <w:pPr>
        <w:spacing w:line="360" w:lineRule="auto"/>
        <w:ind w:firstLine="240" w:firstLineChars="100"/>
        <w:rPr>
          <w:rFonts w:hint="eastAsia" w:ascii="宋体" w:hAnsi="宋体" w:cs="宋体"/>
          <w:sz w:val="24"/>
        </w:rPr>
      </w:pPr>
      <w:r>
        <w:rPr>
          <w:rFonts w:hint="eastAsia" w:ascii="宋体" w:hAnsi="宋体" w:cs="宋体"/>
          <w:sz w:val="24"/>
        </w:rPr>
        <w:t>（4）因重大变故，采购任务取消的。</w:t>
      </w:r>
    </w:p>
    <w:p>
      <w:pPr>
        <w:spacing w:line="360" w:lineRule="auto"/>
        <w:ind w:firstLine="480" w:firstLineChars="200"/>
        <w:rPr>
          <w:rFonts w:hint="eastAsia" w:ascii="宋体" w:hAnsi="宋体" w:cs="宋体"/>
          <w:sz w:val="24"/>
        </w:rPr>
      </w:pPr>
      <w:r>
        <w:rPr>
          <w:rFonts w:hint="eastAsia" w:ascii="宋体" w:hAnsi="宋体" w:cs="宋体"/>
          <w:sz w:val="24"/>
        </w:rPr>
        <w:t>废标后，采购代理机构应在四川政府采购网上公告，并公告废标的情形。投标人需要知晓导致废标情形的具体原因和理由的，可以通过书面形式询问招标采购单位。</w:t>
      </w:r>
    </w:p>
    <w:p>
      <w:pPr>
        <w:spacing w:line="360" w:lineRule="auto"/>
        <w:ind w:firstLine="480" w:firstLineChars="200"/>
        <w:rPr>
          <w:rFonts w:hint="eastAsia" w:ascii="宋体" w:hAnsi="宋体" w:cs="宋体"/>
          <w:sz w:val="24"/>
        </w:rPr>
      </w:pPr>
      <w:r>
        <w:rPr>
          <w:rFonts w:hint="eastAsia" w:ascii="宋体" w:hAnsi="宋体" w:cs="宋体"/>
          <w:sz w:val="24"/>
        </w:rPr>
        <w:t>5.2对于评标过程中废标的采购项目，评标委员会应当对招标文件是否存在倾向性和歧视性、是否存在不合理条款进行论证，并出具书面论证意见。</w:t>
      </w:r>
    </w:p>
    <w:p>
      <w:pPr>
        <w:pStyle w:val="5"/>
        <w:ind w:firstLine="482"/>
        <w:rPr>
          <w:rFonts w:hint="eastAsia"/>
        </w:rPr>
      </w:pPr>
      <w:bookmarkStart w:id="323" w:name="_Toc503863075"/>
      <w:r>
        <w:rPr>
          <w:rFonts w:hint="eastAsia"/>
        </w:rPr>
        <w:t>6．定标</w:t>
      </w:r>
      <w:bookmarkEnd w:id="322"/>
      <w:bookmarkEnd w:id="323"/>
      <w:bookmarkStart w:id="324" w:name="_Toc217446061"/>
    </w:p>
    <w:p>
      <w:pPr>
        <w:spacing w:line="360" w:lineRule="auto"/>
        <w:ind w:firstLine="480" w:firstLineChars="200"/>
        <w:rPr>
          <w:rFonts w:hint="eastAsia" w:ascii="宋体" w:hAnsi="宋体" w:cs="宋体"/>
          <w:sz w:val="24"/>
        </w:rPr>
      </w:pPr>
      <w:r>
        <w:rPr>
          <w:rFonts w:hint="eastAsia" w:ascii="宋体" w:hAnsi="宋体" w:cs="宋体"/>
          <w:sz w:val="24"/>
        </w:rPr>
        <w:t>6.1. 定标原则</w:t>
      </w:r>
      <w:bookmarkEnd w:id="324"/>
      <w:r>
        <w:rPr>
          <w:rFonts w:hint="eastAsia" w:ascii="宋体" w:hAnsi="宋体" w:cs="宋体"/>
          <w:sz w:val="24"/>
        </w:rPr>
        <w:t>：本项目根据评标委员会推荐的中标候选投标人名单，按顺序确定中标投标人。</w:t>
      </w:r>
    </w:p>
    <w:p>
      <w:pPr>
        <w:spacing w:line="360" w:lineRule="auto"/>
        <w:ind w:firstLine="480" w:firstLineChars="200"/>
        <w:rPr>
          <w:rFonts w:hint="eastAsia" w:ascii="宋体" w:hAnsi="宋体" w:cs="宋体"/>
          <w:sz w:val="24"/>
        </w:rPr>
      </w:pPr>
      <w:bookmarkStart w:id="325" w:name="_Toc217446062"/>
      <w:r>
        <w:rPr>
          <w:rFonts w:hint="eastAsia" w:ascii="宋体" w:hAnsi="宋体" w:cs="宋体"/>
          <w:sz w:val="24"/>
        </w:rPr>
        <w:t>6.2. 定标程序</w:t>
      </w:r>
      <w:bookmarkEnd w:id="325"/>
    </w:p>
    <w:p>
      <w:pPr>
        <w:spacing w:line="360" w:lineRule="auto"/>
        <w:ind w:firstLine="480" w:firstLineChars="200"/>
        <w:rPr>
          <w:rFonts w:hint="eastAsia" w:ascii="宋体" w:hAnsi="宋体" w:cs="宋体"/>
          <w:sz w:val="24"/>
        </w:rPr>
      </w:pPr>
      <w:r>
        <w:rPr>
          <w:rFonts w:hint="eastAsia" w:ascii="宋体" w:hAnsi="宋体" w:cs="宋体"/>
          <w:sz w:val="24"/>
        </w:rPr>
        <w:t>6.2.1 评标委员会将评标情况写出书面报告，推荐中标候选投标人。</w:t>
      </w:r>
    </w:p>
    <w:p>
      <w:pPr>
        <w:spacing w:line="360" w:lineRule="auto"/>
        <w:ind w:firstLine="480" w:firstLineChars="200"/>
        <w:rPr>
          <w:rFonts w:hint="eastAsia" w:ascii="宋体" w:hAnsi="宋体" w:cs="宋体"/>
          <w:sz w:val="24"/>
        </w:rPr>
      </w:pPr>
      <w:r>
        <w:rPr>
          <w:rFonts w:hint="eastAsia" w:ascii="宋体" w:hAnsi="宋体" w:cs="宋体"/>
          <w:sz w:val="24"/>
        </w:rPr>
        <w:t>6.2.2 采购代理机构在评标结束后2个工作日内将评标报告送采购人。</w:t>
      </w:r>
    </w:p>
    <w:p>
      <w:pPr>
        <w:spacing w:line="360" w:lineRule="auto"/>
        <w:ind w:firstLine="480" w:firstLineChars="200"/>
        <w:rPr>
          <w:rFonts w:hint="eastAsia" w:ascii="宋体" w:hAnsi="宋体" w:cs="宋体"/>
          <w:sz w:val="24"/>
        </w:rPr>
      </w:pPr>
      <w:r>
        <w:rPr>
          <w:rFonts w:hint="eastAsia" w:ascii="宋体" w:hAnsi="宋体" w:cs="宋体"/>
          <w:sz w:val="24"/>
        </w:rPr>
        <w:t>6.2.3 采购人在收到评标报告后5个工作日内，按照评标报告中推荐的中标候选投标人顺序确定中标投标人。采用最低评标价法的，评标结果按投标报价由低到高顺序排列；投标报价相同的并列，投标文件满足招标文件全部实质性要求且投标报价最低的投标人为中标候选投标人；报价相同且满足招标文件全部实质性要求的并列，由采购人自主采取公平、择优的方式选择中标投标人。采用综合评分法的，评标结果按评审后得分由高到低顺序排列；得分相同的，按投标报价由低到高顺序排列；得分且投标报价相同的并列，投标文件满足招标文件全部实质性要求且按照评审因素的量化指标评审得分最高的投标人为中标候选投标人；报价相同且满足招标文件全部实质性要求且按照评审因素的量化指标评审得分也相同的并列，由采购人自主采取公平、择优的方式选择中标投标人。</w:t>
      </w:r>
    </w:p>
    <w:p>
      <w:pPr>
        <w:spacing w:line="360" w:lineRule="auto"/>
        <w:ind w:firstLine="480" w:firstLineChars="200"/>
        <w:rPr>
          <w:rFonts w:hint="eastAsia" w:ascii="宋体" w:hAnsi="宋体" w:cs="宋体"/>
          <w:sz w:val="24"/>
        </w:rPr>
      </w:pPr>
      <w:r>
        <w:rPr>
          <w:rFonts w:hint="eastAsia" w:ascii="宋体" w:hAnsi="宋体" w:cs="宋体"/>
          <w:sz w:val="24"/>
        </w:rPr>
        <w:t>注意，采购人按照推荐的中标候选投标人顺序确定中标投标人，不能认为采购人只能确定第一中标候选投标人为中标投标人，采购人有正当理由的，可以确定后一顺序中标候选投标人为中标投标人，依次类推。</w:t>
      </w:r>
    </w:p>
    <w:p>
      <w:pPr>
        <w:adjustRightInd w:val="0"/>
        <w:snapToGrid w:val="0"/>
        <w:spacing w:line="360" w:lineRule="auto"/>
        <w:ind w:firstLine="480" w:firstLineChars="200"/>
        <w:rPr>
          <w:rFonts w:hint="eastAsia" w:ascii="宋体" w:hAnsi="宋体" w:cs="宋体"/>
          <w:sz w:val="24"/>
        </w:rPr>
      </w:pPr>
      <w:r>
        <w:rPr>
          <w:rFonts w:hint="eastAsia" w:ascii="宋体" w:hAnsi="宋体" w:cs="宋体"/>
          <w:sz w:val="24"/>
        </w:rPr>
        <w:t>6.2.4 根据采购人确定的中标投标人，采购代理机构在四川政府采购网上发布中标公告，并自采购人确定中标之日起2个工作日内向中标投标人发出中标通知书。</w:t>
      </w:r>
    </w:p>
    <w:p>
      <w:pPr>
        <w:adjustRightInd w:val="0"/>
        <w:snapToGrid w:val="0"/>
        <w:spacing w:line="360" w:lineRule="auto"/>
        <w:ind w:firstLine="480" w:firstLineChars="200"/>
        <w:rPr>
          <w:rFonts w:hint="eastAsia" w:ascii="宋体" w:hAnsi="宋体" w:cs="宋体"/>
          <w:sz w:val="24"/>
        </w:rPr>
      </w:pPr>
      <w:r>
        <w:rPr>
          <w:rFonts w:hint="eastAsia" w:ascii="宋体" w:hAnsi="宋体" w:cs="宋体"/>
          <w:sz w:val="24"/>
        </w:rPr>
        <w:t>6.2.5 招标采购单位不退回投标人投标文件和其他投标资料。</w:t>
      </w:r>
    </w:p>
    <w:bookmarkEnd w:id="316"/>
    <w:p>
      <w:pPr>
        <w:pStyle w:val="5"/>
        <w:spacing w:line="360" w:lineRule="auto"/>
        <w:ind w:firstLine="482"/>
        <w:rPr>
          <w:rFonts w:hint="eastAsia"/>
        </w:rPr>
      </w:pPr>
      <w:bookmarkStart w:id="326" w:name="_Toc183682432"/>
      <w:bookmarkStart w:id="327" w:name="_Toc208849022"/>
      <w:bookmarkStart w:id="328" w:name="_Toc217446105"/>
      <w:bookmarkStart w:id="329" w:name="_Toc183582297"/>
      <w:bookmarkStart w:id="330" w:name="_Toc503863076"/>
      <w:r>
        <w:rPr>
          <w:rFonts w:hint="eastAsia"/>
        </w:rPr>
        <w:t>7</w:t>
      </w:r>
      <w:bookmarkEnd w:id="326"/>
      <w:bookmarkEnd w:id="327"/>
      <w:bookmarkEnd w:id="328"/>
      <w:bookmarkEnd w:id="329"/>
      <w:r>
        <w:rPr>
          <w:rFonts w:hint="eastAsia"/>
        </w:rPr>
        <w:t>．评标专家在政府采购活动中承担以下义务：</w:t>
      </w:r>
      <w:bookmarkEnd w:id="330"/>
    </w:p>
    <w:p>
      <w:pPr>
        <w:adjustRightInd w:val="0"/>
        <w:snapToGrid w:val="0"/>
        <w:spacing w:line="360" w:lineRule="auto"/>
        <w:ind w:firstLine="240" w:firstLineChars="100"/>
        <w:rPr>
          <w:rFonts w:hint="eastAsia" w:ascii="宋体" w:hAnsi="宋体" w:cs="宋体"/>
          <w:sz w:val="24"/>
        </w:rPr>
      </w:pPr>
      <w:r>
        <w:rPr>
          <w:rFonts w:hint="eastAsia" w:ascii="宋体" w:hAnsi="宋体" w:cs="宋体"/>
          <w:sz w:val="24"/>
        </w:rPr>
        <w:t xml:space="preserve">（一）遵守评审工作纪律； </w:t>
      </w:r>
    </w:p>
    <w:p>
      <w:pPr>
        <w:adjustRightInd w:val="0"/>
        <w:snapToGrid w:val="0"/>
        <w:spacing w:line="360" w:lineRule="auto"/>
        <w:ind w:firstLine="240" w:firstLineChars="100"/>
        <w:rPr>
          <w:rFonts w:hint="eastAsia" w:ascii="宋体" w:hAnsi="宋体" w:cs="宋体"/>
          <w:sz w:val="24"/>
        </w:rPr>
      </w:pPr>
      <w:r>
        <w:rPr>
          <w:rFonts w:hint="eastAsia" w:ascii="宋体" w:hAnsi="宋体" w:cs="宋体"/>
          <w:sz w:val="24"/>
        </w:rPr>
        <w:t>（二）按照客观、公正、审慎的原则，根据采购文件规定的评审程序、评审方法和评审标准进行独立评审；</w:t>
      </w:r>
    </w:p>
    <w:p>
      <w:pPr>
        <w:adjustRightInd w:val="0"/>
        <w:snapToGrid w:val="0"/>
        <w:spacing w:line="360" w:lineRule="auto"/>
        <w:ind w:firstLine="240" w:firstLineChars="100"/>
        <w:rPr>
          <w:rFonts w:hint="eastAsia" w:ascii="宋体" w:hAnsi="宋体" w:cs="宋体"/>
          <w:sz w:val="24"/>
        </w:rPr>
      </w:pPr>
      <w:r>
        <w:rPr>
          <w:rFonts w:hint="eastAsia" w:ascii="宋体" w:hAnsi="宋体" w:cs="宋体"/>
          <w:sz w:val="24"/>
        </w:rPr>
        <w:t>（三）不得泄露评审文件、评审情况和在评审过程中获悉的商业秘密；</w:t>
      </w:r>
    </w:p>
    <w:p>
      <w:pPr>
        <w:adjustRightInd w:val="0"/>
        <w:snapToGrid w:val="0"/>
        <w:spacing w:line="360" w:lineRule="auto"/>
        <w:ind w:firstLine="240" w:firstLineChars="100"/>
        <w:rPr>
          <w:rFonts w:hint="eastAsia" w:ascii="宋体" w:hAnsi="宋体" w:cs="宋体"/>
          <w:sz w:val="24"/>
        </w:rPr>
      </w:pPr>
      <w:r>
        <w:rPr>
          <w:rFonts w:hint="eastAsia" w:ascii="宋体" w:hAnsi="宋体" w:cs="宋体"/>
          <w:sz w:val="24"/>
        </w:rPr>
        <w:t>（四）及时向监督部门报告评审过程中采购组织单位向评审专家做倾向性、误导性的解释或者说明，投标人行贿、提供虚假材料或者串通、受到的非法干预情况等违法违规行为；</w:t>
      </w:r>
    </w:p>
    <w:p>
      <w:pPr>
        <w:adjustRightInd w:val="0"/>
        <w:snapToGrid w:val="0"/>
        <w:spacing w:line="360" w:lineRule="auto"/>
        <w:ind w:firstLine="240" w:firstLineChars="100"/>
        <w:rPr>
          <w:rFonts w:hint="eastAsia" w:ascii="宋体" w:hAnsi="宋体" w:cs="宋体"/>
          <w:sz w:val="24"/>
        </w:rPr>
      </w:pPr>
      <w:r>
        <w:rPr>
          <w:rFonts w:hint="eastAsia" w:ascii="宋体" w:hAnsi="宋体" w:cs="宋体"/>
          <w:sz w:val="24"/>
        </w:rPr>
        <w:t>（五）发现采购文件内容违反国家有关强制性规定或者存在歧义、重大缺陷导致评审工作无法进行时，停止评审并向采购组织单位书面说明情况；</w:t>
      </w:r>
    </w:p>
    <w:p>
      <w:pPr>
        <w:adjustRightInd w:val="0"/>
        <w:snapToGrid w:val="0"/>
        <w:spacing w:line="360" w:lineRule="auto"/>
        <w:ind w:firstLine="240" w:firstLineChars="100"/>
        <w:rPr>
          <w:rFonts w:hint="eastAsia" w:ascii="宋体" w:hAnsi="宋体" w:cs="宋体"/>
          <w:sz w:val="24"/>
        </w:rPr>
      </w:pPr>
      <w:r>
        <w:rPr>
          <w:rFonts w:hint="eastAsia" w:ascii="宋体" w:hAnsi="宋体" w:cs="宋体"/>
          <w:sz w:val="24"/>
        </w:rPr>
        <w:t>（六）配合答复处理投标人的询问、质疑和投诉等事项；</w:t>
      </w:r>
    </w:p>
    <w:p>
      <w:pPr>
        <w:adjustRightInd w:val="0"/>
        <w:snapToGrid w:val="0"/>
        <w:spacing w:line="360" w:lineRule="auto"/>
        <w:ind w:firstLine="240" w:firstLineChars="100"/>
        <w:rPr>
          <w:rFonts w:hint="eastAsia" w:ascii="宋体" w:hAnsi="宋体" w:cs="宋体"/>
          <w:sz w:val="24"/>
        </w:rPr>
      </w:pPr>
      <w:r>
        <w:rPr>
          <w:rFonts w:hint="eastAsia" w:ascii="宋体" w:hAnsi="宋体" w:cs="宋体"/>
          <w:sz w:val="24"/>
        </w:rPr>
        <w:t>（七）法律、法规和规章规定的其他义务。</w:t>
      </w:r>
    </w:p>
    <w:p>
      <w:pPr>
        <w:pStyle w:val="5"/>
        <w:spacing w:line="360" w:lineRule="auto"/>
        <w:ind w:firstLine="482"/>
        <w:rPr>
          <w:rFonts w:hint="eastAsia"/>
        </w:rPr>
      </w:pPr>
      <w:r>
        <w:rPr>
          <w:rFonts w:hint="eastAsia"/>
        </w:rPr>
        <w:t>8．评标专家在政府采购活动中应当遵守以下工作纪律：</w:t>
      </w:r>
    </w:p>
    <w:p>
      <w:pPr>
        <w:adjustRightInd w:val="0"/>
        <w:snapToGrid w:val="0"/>
        <w:spacing w:line="360" w:lineRule="auto"/>
        <w:ind w:firstLine="240" w:firstLineChars="100"/>
        <w:rPr>
          <w:rFonts w:hint="eastAsia" w:ascii="宋体" w:hAnsi="宋体" w:cs="宋体"/>
          <w:sz w:val="24"/>
        </w:rPr>
      </w:pPr>
      <w:r>
        <w:rPr>
          <w:rFonts w:hint="eastAsia" w:ascii="宋体" w:hAnsi="宋体" w:cs="宋体"/>
          <w:sz w:val="24"/>
        </w:rPr>
        <w:t>（一）遵行《政府采购法》第十二条和《政府采购法实施条例》第九条及财政部关于回避的规定。</w:t>
      </w:r>
    </w:p>
    <w:p>
      <w:pPr>
        <w:adjustRightInd w:val="0"/>
        <w:snapToGrid w:val="0"/>
        <w:spacing w:line="360" w:lineRule="auto"/>
        <w:ind w:firstLine="240" w:firstLineChars="100"/>
        <w:rPr>
          <w:rFonts w:hint="eastAsia" w:ascii="宋体" w:hAnsi="宋体" w:cs="宋体"/>
          <w:sz w:val="24"/>
        </w:rPr>
      </w:pPr>
      <w:r>
        <w:rPr>
          <w:rFonts w:hint="eastAsia" w:ascii="宋体" w:hAnsi="宋体" w:cs="宋体"/>
          <w:sz w:val="24"/>
        </w:rPr>
        <w:t>（二）评标前，应当将通讯工具或者相关电子设备交由招标采购单位统一保管。</w:t>
      </w:r>
    </w:p>
    <w:p>
      <w:pPr>
        <w:adjustRightInd w:val="0"/>
        <w:snapToGrid w:val="0"/>
        <w:spacing w:line="360" w:lineRule="auto"/>
        <w:ind w:firstLine="240" w:firstLineChars="100"/>
        <w:rPr>
          <w:rFonts w:hint="eastAsia" w:ascii="宋体" w:hAnsi="宋体" w:cs="宋体"/>
          <w:sz w:val="24"/>
        </w:rPr>
      </w:pPr>
      <w:r>
        <w:rPr>
          <w:rFonts w:hint="eastAsia" w:ascii="宋体" w:hAnsi="宋体" w:cs="宋体"/>
          <w:sz w:val="24"/>
        </w:rPr>
        <w:t>（三）评标过程中，不得与外界联系，因发生不可预见情况，确实需要与外界联系的，应当在监督人员监督之下办理。</w:t>
      </w:r>
    </w:p>
    <w:p>
      <w:pPr>
        <w:adjustRightInd w:val="0"/>
        <w:snapToGrid w:val="0"/>
        <w:spacing w:line="360" w:lineRule="auto"/>
        <w:ind w:firstLine="240" w:firstLineChars="100"/>
        <w:rPr>
          <w:rFonts w:hint="eastAsia" w:ascii="宋体" w:hAnsi="宋体" w:cs="宋体"/>
          <w:sz w:val="24"/>
        </w:rPr>
      </w:pPr>
      <w:r>
        <w:rPr>
          <w:rFonts w:hint="eastAsia" w:ascii="宋体" w:hAnsi="宋体" w:cs="宋体"/>
          <w:sz w:val="24"/>
        </w:rPr>
        <w:t>（四）评标过程中，不得干预或者影响正常评标工作，不得发表倾向性、引导性意见，不得修改或细化招标文件确定的评标程序、评标方法、评标因素和评标标准，不得接受投标人主动提出的澄清和解释，不得征询采购人代表的意见，不得协商评分，不得违反规定的评标格式评分和撰写评标意见，不得拒绝对自己的评标意见签字确认。</w:t>
      </w:r>
    </w:p>
    <w:p>
      <w:pPr>
        <w:adjustRightInd w:val="0"/>
        <w:snapToGrid w:val="0"/>
        <w:spacing w:line="360" w:lineRule="auto"/>
        <w:ind w:firstLine="240" w:firstLineChars="100"/>
        <w:rPr>
          <w:rFonts w:hint="eastAsia" w:ascii="宋体" w:hAnsi="宋体" w:cs="宋体"/>
          <w:sz w:val="24"/>
        </w:rPr>
      </w:pPr>
      <w:r>
        <w:rPr>
          <w:rFonts w:hint="eastAsia" w:ascii="宋体" w:hAnsi="宋体" w:cs="宋体"/>
          <w:sz w:val="24"/>
        </w:rPr>
        <w:t>（五）在评标过程中和评标结束后，不得记录、复制或带走任何评标资料，除因规定的义务外，不得向外界透露评标内容。</w:t>
      </w:r>
    </w:p>
    <w:p>
      <w:pPr>
        <w:adjustRightInd w:val="0"/>
        <w:snapToGrid w:val="0"/>
        <w:spacing w:line="360" w:lineRule="auto"/>
        <w:ind w:firstLine="240" w:firstLineChars="100"/>
        <w:rPr>
          <w:rFonts w:hint="eastAsia" w:ascii="宋体" w:hAnsi="宋体" w:cs="宋体"/>
          <w:sz w:val="24"/>
        </w:rPr>
      </w:pPr>
      <w:r>
        <w:rPr>
          <w:rFonts w:hint="eastAsia" w:ascii="宋体" w:hAnsi="宋体" w:cs="宋体"/>
          <w:sz w:val="24"/>
        </w:rPr>
        <w:t>（六）服从评标现场招标采购单位的现场秩序管理，接受评标现场监督人员的合法监督。</w:t>
      </w:r>
    </w:p>
    <w:p>
      <w:pPr>
        <w:adjustRightInd w:val="0"/>
        <w:snapToGrid w:val="0"/>
        <w:spacing w:line="360" w:lineRule="auto"/>
        <w:ind w:firstLine="240" w:firstLineChars="100"/>
        <w:rPr>
          <w:rFonts w:hint="eastAsia" w:ascii="宋体" w:hAnsi="宋体" w:cs="宋体"/>
          <w:sz w:val="24"/>
        </w:rPr>
      </w:pPr>
      <w:r>
        <w:rPr>
          <w:rFonts w:hint="eastAsia" w:ascii="宋体" w:hAnsi="宋体" w:cs="宋体"/>
          <w:sz w:val="24"/>
        </w:rPr>
        <w:t>（七）遵守有关廉洁自律规定，不得私下接触投标人，不得收受投标人及有关业务单位和个人的财物或好处，不得接受采购组织单位的请托。</w:t>
      </w:r>
    </w:p>
    <w:p>
      <w:pPr>
        <w:pStyle w:val="2"/>
        <w:rPr>
          <w:rFonts w:hint="eastAsia" w:ascii="宋体" w:hAnsi="宋体" w:cs="宋体"/>
          <w:sz w:val="24"/>
        </w:rPr>
      </w:pPr>
    </w:p>
    <w:p>
      <w:pPr>
        <w:rPr>
          <w:rFonts w:hint="eastAsia" w:ascii="宋体" w:hAnsi="宋体" w:cs="宋体"/>
          <w:sz w:val="24"/>
        </w:rPr>
      </w:pPr>
      <w:r>
        <w:rPr>
          <w:rFonts w:hint="eastAsia" w:ascii="宋体" w:hAnsi="宋体" w:cs="宋体"/>
          <w:sz w:val="24"/>
        </w:rPr>
        <w:br w:type="page"/>
      </w:r>
    </w:p>
    <w:p>
      <w:pPr>
        <w:pStyle w:val="3"/>
        <w:rPr>
          <w:rFonts w:hint="eastAsia"/>
        </w:rPr>
      </w:pPr>
      <w:bookmarkStart w:id="331" w:name="_Toc27252"/>
      <w:bookmarkStart w:id="332" w:name="_Toc513202003"/>
      <w:bookmarkStart w:id="333" w:name="_Toc11212"/>
      <w:r>
        <w:rPr>
          <w:rFonts w:hint="eastAsia"/>
        </w:rPr>
        <w:t>第八章  政府采购合同（样例）</w:t>
      </w:r>
      <w:bookmarkEnd w:id="331"/>
      <w:bookmarkEnd w:id="332"/>
      <w:bookmarkEnd w:id="333"/>
    </w:p>
    <w:p>
      <w:pPr>
        <w:spacing w:line="360" w:lineRule="auto"/>
        <w:rPr>
          <w:rFonts w:hint="eastAsia" w:ascii="宋体" w:hAnsi="宋体" w:cs="宋体"/>
          <w:b/>
          <w:bCs/>
          <w:sz w:val="24"/>
        </w:rPr>
      </w:pPr>
      <w:r>
        <w:rPr>
          <w:rFonts w:hint="eastAsia" w:ascii="宋体" w:hAnsi="宋体" w:cs="宋体"/>
          <w:b/>
          <w:bCs/>
          <w:sz w:val="24"/>
        </w:rPr>
        <w:t>政府采购合同（供参考）</w:t>
      </w:r>
    </w:p>
    <w:p>
      <w:pPr>
        <w:spacing w:line="460" w:lineRule="exact"/>
        <w:jc w:val="center"/>
        <w:rPr>
          <w:rFonts w:ascii="宋体" w:hAnsi="宋体"/>
          <w:b/>
          <w:bCs/>
          <w:sz w:val="44"/>
          <w:szCs w:val="44"/>
        </w:rPr>
      </w:pPr>
      <w:r>
        <w:rPr>
          <w:rFonts w:hint="eastAsia" w:ascii="宋体" w:hAnsi="宋体"/>
          <w:b/>
          <w:bCs/>
          <w:sz w:val="44"/>
          <w:szCs w:val="44"/>
        </w:rPr>
        <w:t>四川省成都市郫都区综合行政执法局成都现代工业港2021-2024年度环卫清扫保洁</w:t>
      </w:r>
    </w:p>
    <w:p>
      <w:pPr>
        <w:spacing w:line="460" w:lineRule="exact"/>
        <w:jc w:val="center"/>
        <w:rPr>
          <w:rFonts w:ascii="宋体" w:hAnsi="宋体"/>
          <w:b/>
          <w:bCs/>
          <w:sz w:val="44"/>
          <w:szCs w:val="44"/>
        </w:rPr>
      </w:pPr>
      <w:r>
        <w:rPr>
          <w:rFonts w:hint="eastAsia" w:ascii="宋体" w:hAnsi="宋体"/>
          <w:b/>
          <w:bCs/>
          <w:sz w:val="44"/>
          <w:szCs w:val="44"/>
        </w:rPr>
        <w:t>服务项目</w:t>
      </w:r>
    </w:p>
    <w:p>
      <w:pPr>
        <w:spacing w:after="120" w:line="360" w:lineRule="auto"/>
      </w:pPr>
    </w:p>
    <w:p>
      <w:pPr>
        <w:spacing w:after="120" w:line="360" w:lineRule="auto"/>
      </w:pPr>
    </w:p>
    <w:p>
      <w:pPr>
        <w:spacing w:after="120" w:line="360" w:lineRule="auto"/>
      </w:pPr>
    </w:p>
    <w:p>
      <w:pPr>
        <w:spacing w:after="120" w:line="360" w:lineRule="auto"/>
      </w:pPr>
    </w:p>
    <w:p>
      <w:pPr>
        <w:spacing w:line="360" w:lineRule="auto"/>
        <w:jc w:val="center"/>
        <w:rPr>
          <w:rFonts w:ascii="黑体" w:hAnsi="黑体" w:eastAsia="黑体"/>
          <w:b/>
          <w:sz w:val="72"/>
          <w:szCs w:val="72"/>
        </w:rPr>
      </w:pPr>
      <w:r>
        <w:rPr>
          <w:rFonts w:hint="eastAsia" w:ascii="黑体" w:hAnsi="黑体" w:eastAsia="黑体"/>
          <w:b/>
          <w:sz w:val="72"/>
          <w:szCs w:val="72"/>
        </w:rPr>
        <w:t>合</w:t>
      </w:r>
    </w:p>
    <w:p>
      <w:pPr>
        <w:spacing w:after="120" w:line="360" w:lineRule="auto"/>
        <w:rPr>
          <w:rFonts w:ascii="黑体" w:hAnsi="黑体" w:eastAsia="黑体"/>
          <w:b/>
          <w:sz w:val="72"/>
          <w:szCs w:val="72"/>
        </w:rPr>
      </w:pPr>
    </w:p>
    <w:p>
      <w:pPr>
        <w:spacing w:line="360" w:lineRule="auto"/>
        <w:jc w:val="center"/>
        <w:rPr>
          <w:rFonts w:ascii="黑体" w:hAnsi="黑体" w:eastAsia="黑体"/>
          <w:b/>
          <w:sz w:val="72"/>
          <w:szCs w:val="72"/>
        </w:rPr>
      </w:pPr>
      <w:r>
        <w:rPr>
          <w:rFonts w:hint="eastAsia" w:ascii="黑体" w:hAnsi="黑体" w:eastAsia="黑体"/>
          <w:b/>
          <w:sz w:val="72"/>
          <w:szCs w:val="72"/>
        </w:rPr>
        <w:t>同</w:t>
      </w:r>
    </w:p>
    <w:p>
      <w:pPr>
        <w:spacing w:after="120" w:line="360" w:lineRule="auto"/>
        <w:rPr>
          <w:rFonts w:ascii="黑体" w:hAnsi="黑体" w:eastAsia="黑体"/>
          <w:b/>
          <w:sz w:val="72"/>
          <w:szCs w:val="72"/>
        </w:rPr>
      </w:pPr>
    </w:p>
    <w:p>
      <w:pPr>
        <w:spacing w:line="360" w:lineRule="auto"/>
        <w:jc w:val="center"/>
        <w:rPr>
          <w:rFonts w:ascii="黑体" w:hAnsi="黑体" w:eastAsia="黑体"/>
          <w:b/>
          <w:sz w:val="72"/>
          <w:szCs w:val="72"/>
        </w:rPr>
      </w:pPr>
      <w:r>
        <w:rPr>
          <w:rFonts w:hint="eastAsia" w:ascii="黑体" w:hAnsi="黑体" w:eastAsia="黑体"/>
          <w:b/>
          <w:sz w:val="72"/>
          <w:szCs w:val="72"/>
        </w:rPr>
        <w:t>书</w:t>
      </w:r>
    </w:p>
    <w:p>
      <w:pPr>
        <w:spacing w:after="120" w:line="460" w:lineRule="exact"/>
        <w:rPr>
          <w:b/>
          <w:sz w:val="72"/>
          <w:szCs w:val="72"/>
        </w:rPr>
      </w:pPr>
    </w:p>
    <w:p>
      <w:pPr>
        <w:spacing w:after="120" w:line="460" w:lineRule="exact"/>
        <w:rPr>
          <w:sz w:val="32"/>
          <w:szCs w:val="32"/>
        </w:rPr>
      </w:pPr>
    </w:p>
    <w:p>
      <w:pPr>
        <w:spacing w:after="120" w:line="460" w:lineRule="exact"/>
        <w:rPr>
          <w:sz w:val="32"/>
          <w:szCs w:val="32"/>
        </w:rPr>
      </w:pPr>
    </w:p>
    <w:p>
      <w:pPr>
        <w:spacing w:after="120" w:line="460" w:lineRule="exact"/>
        <w:jc w:val="center"/>
        <w:rPr>
          <w:b/>
          <w:sz w:val="32"/>
          <w:szCs w:val="32"/>
        </w:rPr>
      </w:pPr>
      <w:r>
        <w:rPr>
          <w:rFonts w:hint="eastAsia"/>
          <w:b/>
          <w:sz w:val="32"/>
          <w:szCs w:val="32"/>
        </w:rPr>
        <w:t>（XX包件—202X.X.XX-202X.X.XX）</w:t>
      </w:r>
    </w:p>
    <w:p>
      <w:pPr>
        <w:spacing w:after="120" w:line="460" w:lineRule="exact"/>
        <w:jc w:val="center"/>
        <w:rPr>
          <w:b/>
          <w:sz w:val="32"/>
          <w:szCs w:val="32"/>
        </w:rPr>
      </w:pPr>
      <w:r>
        <w:rPr>
          <w:rFonts w:hint="eastAsia"/>
          <w:b/>
          <w:sz w:val="32"/>
          <w:szCs w:val="32"/>
        </w:rPr>
        <w:t>202X年X月</w:t>
      </w:r>
    </w:p>
    <w:p>
      <w:pPr>
        <w:spacing w:line="460" w:lineRule="exact"/>
        <w:ind w:firstLine="482" w:firstLineChars="200"/>
        <w:rPr>
          <w:rFonts w:ascii="宋体" w:hAnsi="宋体"/>
          <w:b/>
          <w:sz w:val="24"/>
        </w:rPr>
      </w:pPr>
    </w:p>
    <w:p>
      <w:pPr>
        <w:spacing w:line="460" w:lineRule="exact"/>
        <w:ind w:firstLine="482" w:firstLineChars="200"/>
        <w:rPr>
          <w:rFonts w:ascii="宋体" w:hAnsi="宋体"/>
          <w:b/>
          <w:sz w:val="24"/>
        </w:rPr>
      </w:pPr>
      <w:r>
        <w:rPr>
          <w:rFonts w:hint="eastAsia" w:ascii="宋体" w:hAnsi="宋体"/>
          <w:b/>
          <w:sz w:val="24"/>
        </w:rPr>
        <w:t>合同编号：</w:t>
      </w:r>
      <w:r>
        <w:rPr>
          <w:rFonts w:ascii="宋体" w:hAnsi="宋体"/>
          <w:b/>
          <w:sz w:val="24"/>
        </w:rPr>
        <w:t xml:space="preserve"> </w:t>
      </w:r>
    </w:p>
    <w:p>
      <w:pPr>
        <w:spacing w:line="460" w:lineRule="exact"/>
        <w:ind w:firstLine="482" w:firstLineChars="200"/>
        <w:rPr>
          <w:rFonts w:ascii="宋体" w:hAnsi="宋体"/>
          <w:b/>
          <w:sz w:val="24"/>
        </w:rPr>
      </w:pPr>
      <w:r>
        <w:rPr>
          <w:rFonts w:hint="eastAsia" w:ascii="宋体" w:hAnsi="宋体"/>
          <w:b/>
          <w:sz w:val="24"/>
        </w:rPr>
        <w:t>采购人（甲方）：成都市郫都区综合行政执法局</w:t>
      </w:r>
    </w:p>
    <w:p>
      <w:pPr>
        <w:spacing w:line="460" w:lineRule="exact"/>
        <w:ind w:firstLine="482" w:firstLineChars="200"/>
        <w:rPr>
          <w:rFonts w:ascii="宋体" w:hAnsi="宋体"/>
          <w:b/>
          <w:sz w:val="24"/>
        </w:rPr>
      </w:pPr>
      <w:r>
        <w:rPr>
          <w:rFonts w:hint="eastAsia" w:ascii="宋体" w:hAnsi="宋体"/>
          <w:b/>
          <w:sz w:val="24"/>
        </w:rPr>
        <w:t>供应商（乙</w:t>
      </w:r>
      <w:r>
        <w:rPr>
          <w:rFonts w:ascii="宋体" w:hAnsi="宋体"/>
          <w:b/>
          <w:sz w:val="24"/>
        </w:rPr>
        <w:t>方</w:t>
      </w:r>
      <w:r>
        <w:rPr>
          <w:rFonts w:hint="eastAsia" w:ascii="宋体" w:hAnsi="宋体"/>
          <w:b/>
          <w:sz w:val="24"/>
        </w:rPr>
        <w:t>）</w:t>
      </w:r>
      <w:r>
        <w:rPr>
          <w:rFonts w:ascii="宋体" w:hAnsi="宋体"/>
          <w:b/>
          <w:sz w:val="24"/>
        </w:rPr>
        <w:t xml:space="preserve">： </w:t>
      </w:r>
    </w:p>
    <w:p>
      <w:pPr>
        <w:spacing w:line="460" w:lineRule="exact"/>
        <w:rPr>
          <w:rFonts w:ascii="宋体" w:hAnsi="宋体"/>
          <w:sz w:val="24"/>
        </w:rPr>
      </w:pPr>
    </w:p>
    <w:p>
      <w:pPr>
        <w:spacing w:line="460" w:lineRule="exact"/>
        <w:rPr>
          <w:rFonts w:ascii="宋体" w:hAnsi="宋体"/>
          <w:b/>
          <w:sz w:val="24"/>
        </w:rPr>
      </w:pPr>
      <w:r>
        <w:rPr>
          <w:rFonts w:hint="eastAsia" w:ascii="宋体" w:hAnsi="宋体"/>
        </w:rPr>
        <w:t xml:space="preserve">  </w:t>
      </w:r>
      <w:r>
        <w:rPr>
          <w:rFonts w:hint="eastAsia" w:ascii="宋体" w:hAnsi="宋体" w:cs="宋体"/>
          <w:sz w:val="28"/>
          <w:szCs w:val="28"/>
        </w:rPr>
        <w:t xml:space="preserve">   </w:t>
      </w:r>
      <w:r>
        <w:rPr>
          <w:rFonts w:hint="eastAsia" w:ascii="宋体" w:hAnsi="宋体" w:cs="宋体"/>
          <w:sz w:val="24"/>
        </w:rPr>
        <w:t>根据《中华人民共和国政府采购法》、《中华人民共和国民法典》及</w:t>
      </w:r>
      <w:r>
        <w:rPr>
          <w:rFonts w:hint="eastAsia" w:ascii="宋体" w:hAnsi="宋体" w:cs="宋体"/>
          <w:bCs/>
          <w:sz w:val="24"/>
        </w:rPr>
        <w:t>四川省成都市郫都区综合行政执法局成都现代工业港2021-2024年度环卫清扫保洁服务项目</w:t>
      </w:r>
      <w:r>
        <w:rPr>
          <w:rFonts w:hint="eastAsia" w:ascii="宋体" w:hAnsi="宋体" w:cs="宋体"/>
          <w:sz w:val="24"/>
        </w:rPr>
        <w:t>（采购项目编号：xxxxxx）的《招标文件》、乙方的《投标文件》及《中标通知书》，甲、乙双方同意签订本合同。详细技术说明及其他有关合同项目的特定信息由合同附件予以说明，合同附件及本项目的招标文件、投标文件、《中标通知书》等均为本合同不可分割的部分。双方同意共同遵守如下条款：</w:t>
      </w:r>
      <w:bookmarkStart w:id="334" w:name="_Toc217446115"/>
      <w:r>
        <w:rPr>
          <w:rFonts w:hint="eastAsia" w:ascii="宋体" w:hAnsi="宋体"/>
          <w:b/>
          <w:sz w:val="24"/>
        </w:rPr>
        <w:t>项目基本情况</w:t>
      </w:r>
    </w:p>
    <w:p>
      <w:pPr>
        <w:spacing w:after="120" w:line="460" w:lineRule="exact"/>
        <w:ind w:firstLine="422" w:firstLineChars="200"/>
        <w:rPr>
          <w:sz w:val="24"/>
        </w:rPr>
      </w:pPr>
      <w:r>
        <w:rPr>
          <w:rFonts w:hint="eastAsia"/>
          <w:b/>
          <w:bCs/>
        </w:rPr>
        <w:t>（一）项目名称：</w:t>
      </w:r>
      <w:r>
        <w:rPr>
          <w:rFonts w:hint="eastAsia" w:ascii="宋体" w:hAnsi="宋体" w:cs="宋体"/>
          <w:bCs/>
          <w:sz w:val="24"/>
        </w:rPr>
        <w:t>四川省成都市郫都区综合行政执法局成都现代工业港2021-2024年度环卫清扫保洁服务项目</w:t>
      </w:r>
    </w:p>
    <w:p>
      <w:pPr>
        <w:spacing w:after="120" w:line="460" w:lineRule="exact"/>
        <w:ind w:firstLine="422" w:firstLineChars="200"/>
        <w:rPr>
          <w:b/>
          <w:bCs/>
          <w:sz w:val="24"/>
        </w:rPr>
      </w:pPr>
      <w:r>
        <w:rPr>
          <w:rFonts w:hint="eastAsia"/>
          <w:b/>
          <w:bCs/>
        </w:rPr>
        <w:t>（二）采购项目编号：</w:t>
      </w:r>
      <w:r>
        <w:rPr>
          <w:rFonts w:hint="eastAsia" w:ascii="宋体" w:hAnsi="宋体" w:cs="宋体"/>
          <w:sz w:val="24"/>
        </w:rPr>
        <w:t>xxxxxx</w:t>
      </w:r>
    </w:p>
    <w:p>
      <w:pPr>
        <w:spacing w:after="120" w:line="460" w:lineRule="exact"/>
        <w:ind w:firstLine="422" w:firstLineChars="200"/>
        <w:rPr>
          <w:b/>
          <w:bCs/>
        </w:rPr>
      </w:pPr>
      <w:r>
        <w:rPr>
          <w:rFonts w:hint="eastAsia"/>
          <w:b/>
          <w:bCs/>
        </w:rPr>
        <w:t>（三）项目范围</w:t>
      </w:r>
    </w:p>
    <w:p>
      <w:pPr>
        <w:spacing w:line="460" w:lineRule="exact"/>
        <w:ind w:firstLine="480" w:firstLineChars="200"/>
        <w:rPr>
          <w:rFonts w:ascii="宋体" w:hAnsi="宋体" w:cs="宋体"/>
          <w:sz w:val="24"/>
        </w:rPr>
      </w:pPr>
      <w:r>
        <w:rPr>
          <w:rFonts w:hint="eastAsia" w:ascii="宋体" w:hAnsi="宋体" w:cs="宋体"/>
          <w:sz w:val="24"/>
        </w:rPr>
        <w:t>1. XX包件，项目界限</w:t>
      </w:r>
      <w:r>
        <w:rPr>
          <w:rFonts w:hint="eastAsia" w:ascii="宋体" w:hAnsi="宋体" w:cs="宋体"/>
          <w:sz w:val="24"/>
          <w:u w:val="single"/>
        </w:rPr>
        <w:t xml:space="preserve">      </w:t>
      </w:r>
      <w:r>
        <w:rPr>
          <w:rFonts w:hint="eastAsia" w:ascii="宋体" w:hAnsi="宋体" w:cs="宋体"/>
          <w:sz w:val="24"/>
        </w:rPr>
        <w:t>。</w:t>
      </w:r>
    </w:p>
    <w:p>
      <w:pPr>
        <w:spacing w:after="120" w:line="460" w:lineRule="exact"/>
        <w:ind w:firstLine="465"/>
        <w:rPr>
          <w:rFonts w:ascii="宋体" w:hAnsi="宋体" w:cs="宋体"/>
          <w:sz w:val="24"/>
        </w:rPr>
      </w:pPr>
      <w:r>
        <w:rPr>
          <w:rFonts w:hint="eastAsia" w:ascii="宋体" w:hAnsi="宋体" w:cs="宋体"/>
          <w:sz w:val="24"/>
        </w:rPr>
        <w:t>2.示意图。</w:t>
      </w:r>
    </w:p>
    <w:p>
      <w:pPr>
        <w:spacing w:after="120" w:line="460" w:lineRule="exact"/>
        <w:ind w:firstLine="465"/>
        <w:rPr>
          <w:rFonts w:ascii="宋体" w:hAnsi="宋体" w:cs="宋体"/>
          <w:sz w:val="24"/>
        </w:rPr>
      </w:pPr>
    </w:p>
    <w:p>
      <w:pPr>
        <w:spacing w:line="500" w:lineRule="exact"/>
        <w:ind w:firstLine="480" w:firstLineChars="200"/>
        <w:rPr>
          <w:rFonts w:ascii="宋体" w:hAnsi="宋体" w:cs="宋体"/>
          <w:sz w:val="24"/>
        </w:rPr>
      </w:pPr>
      <w:r>
        <w:rPr>
          <w:rFonts w:hint="eastAsia" w:ascii="宋体" w:hAnsi="宋体" w:cs="宋体"/>
          <w:sz w:val="24"/>
        </w:rPr>
        <w:t>3.具体作业范围见郫都区综合行政执法局成都现代工业港2021-2024年度环卫清扫保洁作业面积统计表。（界限无法准确确定区域，以甲方现场指界为准。）</w:t>
      </w:r>
    </w:p>
    <w:p>
      <w:pPr>
        <w:spacing w:after="120" w:line="460" w:lineRule="exact"/>
        <w:ind w:firstLine="480"/>
        <w:rPr>
          <w:rFonts w:ascii="宋体" w:hAnsi="宋体" w:cs="宋体"/>
          <w:sz w:val="24"/>
        </w:rPr>
      </w:pPr>
    </w:p>
    <w:p>
      <w:pPr>
        <w:spacing w:after="120" w:line="460" w:lineRule="exact"/>
        <w:ind w:firstLine="422" w:firstLineChars="200"/>
        <w:rPr>
          <w:b/>
          <w:bCs/>
        </w:rPr>
      </w:pPr>
      <w:r>
        <w:rPr>
          <w:rFonts w:hint="eastAsia"/>
          <w:b/>
          <w:bCs/>
        </w:rPr>
        <w:t>（四）作业界限</w:t>
      </w:r>
    </w:p>
    <w:p>
      <w:pPr>
        <w:spacing w:line="460" w:lineRule="exact"/>
        <w:ind w:firstLine="480" w:firstLineChars="200"/>
        <w:rPr>
          <w:rFonts w:ascii="宋体" w:hAnsi="宋体" w:cs="宋体"/>
          <w:sz w:val="24"/>
        </w:rPr>
      </w:pPr>
      <w:r>
        <w:rPr>
          <w:rFonts w:hint="eastAsia" w:ascii="宋体" w:hAnsi="宋体" w:cs="宋体"/>
          <w:sz w:val="24"/>
        </w:rPr>
        <w:t>1．道路两侧保洁界线：城镇区域范围以建筑外墙为界，城镇区域外以围墙为界，未打围区域以绿化或人行道外侧为界。</w:t>
      </w:r>
    </w:p>
    <w:p>
      <w:pPr>
        <w:spacing w:line="460" w:lineRule="exact"/>
        <w:ind w:firstLine="480" w:firstLineChars="200"/>
        <w:rPr>
          <w:rFonts w:ascii="宋体" w:hAnsi="宋体" w:cs="宋体"/>
          <w:sz w:val="24"/>
        </w:rPr>
      </w:pPr>
      <w:r>
        <w:rPr>
          <w:rFonts w:hint="eastAsia" w:ascii="宋体" w:hAnsi="宋体" w:cs="宋体"/>
          <w:sz w:val="24"/>
        </w:rPr>
        <w:t>2．白色垃圾捡拾界线：城镇区域范围以建筑外墙为界，城镇区域外以单位围墙为界，未打围区域以绿化或人行道外侧可视范围5米。</w:t>
      </w:r>
    </w:p>
    <w:p>
      <w:pPr>
        <w:spacing w:line="460" w:lineRule="exact"/>
        <w:ind w:firstLine="480" w:firstLineChars="200"/>
        <w:rPr>
          <w:rFonts w:ascii="宋体" w:hAnsi="宋体" w:cs="宋体"/>
          <w:sz w:val="24"/>
        </w:rPr>
      </w:pPr>
      <w:r>
        <w:rPr>
          <w:rFonts w:hint="eastAsia" w:ascii="宋体" w:hAnsi="宋体" w:cs="宋体"/>
          <w:sz w:val="24"/>
        </w:rPr>
        <w:t>3．包范围内小区、商业综合体、机关企事业单位、学校、医院等各类垃圾收集点、果屑箱等。</w:t>
      </w:r>
    </w:p>
    <w:p>
      <w:pPr>
        <w:spacing w:after="120" w:line="460" w:lineRule="exact"/>
        <w:ind w:firstLine="422" w:firstLineChars="200"/>
        <w:rPr>
          <w:b/>
          <w:bCs/>
        </w:rPr>
      </w:pPr>
      <w:r>
        <w:rPr>
          <w:rFonts w:hint="eastAsia"/>
          <w:b/>
          <w:bCs/>
        </w:rPr>
        <w:t>（五）作业内容</w:t>
      </w:r>
    </w:p>
    <w:p>
      <w:pPr>
        <w:adjustRightInd w:val="0"/>
        <w:snapToGrid w:val="0"/>
        <w:spacing w:line="460" w:lineRule="exact"/>
        <w:ind w:firstLine="480" w:firstLineChars="200"/>
        <w:rPr>
          <w:rFonts w:ascii="宋体" w:hAnsi="宋体" w:cs="宋体"/>
          <w:sz w:val="24"/>
        </w:rPr>
      </w:pPr>
      <w:r>
        <w:rPr>
          <w:rFonts w:hint="eastAsia" w:ascii="宋体" w:hAnsi="宋体" w:cs="宋体"/>
          <w:sz w:val="24"/>
        </w:rPr>
        <w:t>1.负责道路（含主车道、辅道、下穿隧道、公交站台）、绿道、公园、桥梁（含跨线桥）清扫保洁、冲洗降尘等，负责人行道（含人行天桥）的清扫保洁、清洗，机动车道、辅道道路的机械化湿法清扫作业等。</w:t>
      </w:r>
    </w:p>
    <w:p>
      <w:pPr>
        <w:adjustRightInd w:val="0"/>
        <w:snapToGrid w:val="0"/>
        <w:spacing w:line="460" w:lineRule="exact"/>
        <w:ind w:firstLine="480" w:firstLineChars="200"/>
        <w:rPr>
          <w:rFonts w:ascii="宋体" w:hAnsi="宋体" w:cs="宋体"/>
          <w:sz w:val="24"/>
        </w:rPr>
      </w:pPr>
      <w:r>
        <w:rPr>
          <w:rFonts w:hint="eastAsia" w:ascii="宋体" w:hAnsi="宋体" w:cs="宋体"/>
          <w:sz w:val="24"/>
        </w:rPr>
        <w:t>2.负责道路沿线快速巡回保洁。</w:t>
      </w:r>
    </w:p>
    <w:p>
      <w:pPr>
        <w:adjustRightInd w:val="0"/>
        <w:snapToGrid w:val="0"/>
        <w:spacing w:line="460" w:lineRule="exact"/>
        <w:ind w:firstLine="480" w:firstLineChars="200"/>
        <w:rPr>
          <w:rFonts w:ascii="宋体" w:hAnsi="宋体" w:cs="宋体"/>
          <w:sz w:val="24"/>
        </w:rPr>
      </w:pPr>
      <w:r>
        <w:rPr>
          <w:rFonts w:hint="eastAsia" w:ascii="宋体" w:hAnsi="宋体" w:cs="宋体"/>
          <w:sz w:val="24"/>
        </w:rPr>
        <w:t xml:space="preserve">3.负责道路沿线绿化带、水体及两侧相邻区域视野范围的卫生保洁。 </w:t>
      </w:r>
    </w:p>
    <w:p>
      <w:pPr>
        <w:adjustRightInd w:val="0"/>
        <w:snapToGrid w:val="0"/>
        <w:spacing w:line="460" w:lineRule="exact"/>
        <w:ind w:firstLine="480" w:firstLineChars="200"/>
        <w:rPr>
          <w:rFonts w:ascii="宋体" w:hAnsi="宋体" w:cs="宋体"/>
          <w:sz w:val="24"/>
        </w:rPr>
      </w:pPr>
      <w:r>
        <w:rPr>
          <w:rFonts w:hint="eastAsia" w:ascii="宋体" w:hAnsi="宋体" w:cs="宋体"/>
          <w:sz w:val="24"/>
        </w:rPr>
        <w:t>4.负责沿线垃圾分类收集设施产生的生活垃圾清掏、清运及箱体清洗，负责垃圾分类收集设施垃圾袋更换，垃圾分类收集设施及区域内加水点取水栓的日常小型维护维修，以及涉及环卫管理设施破损的统计上报。</w:t>
      </w:r>
    </w:p>
    <w:p>
      <w:pPr>
        <w:adjustRightInd w:val="0"/>
        <w:snapToGrid w:val="0"/>
        <w:spacing w:line="460" w:lineRule="exact"/>
        <w:ind w:firstLine="480" w:firstLineChars="200"/>
        <w:rPr>
          <w:rFonts w:ascii="宋体" w:hAnsi="宋体" w:cs="宋体"/>
          <w:sz w:val="24"/>
        </w:rPr>
      </w:pPr>
      <w:r>
        <w:rPr>
          <w:rFonts w:hint="eastAsia" w:ascii="宋体" w:hAnsi="宋体" w:cs="宋体"/>
          <w:sz w:val="24"/>
        </w:rPr>
        <w:t>5.负责项目范围内直管公共厕所管理及清扫保洁，包括：承担水电费，按要求配备两纸一液，定期消杀灭菌，清掏化粪池及管网疏通，蹲（座）便器、门窗、墩位门、水龙头&lt;含感应器&gt;、照明灯、厕&lt;手&gt;纸盒、烘手器等的及时维修，维护维修地面、墙面；及时上报环卫公厕管理的其他问题。</w:t>
      </w:r>
    </w:p>
    <w:p>
      <w:pPr>
        <w:adjustRightInd w:val="0"/>
        <w:snapToGrid w:val="0"/>
        <w:spacing w:line="460" w:lineRule="exact"/>
        <w:ind w:firstLine="480" w:firstLineChars="200"/>
        <w:rPr>
          <w:rFonts w:ascii="宋体" w:hAnsi="宋体" w:cs="宋体"/>
          <w:sz w:val="24"/>
        </w:rPr>
      </w:pPr>
      <w:r>
        <w:rPr>
          <w:rFonts w:hint="eastAsia" w:ascii="宋体" w:hAnsi="宋体" w:cs="宋体"/>
          <w:sz w:val="24"/>
        </w:rPr>
        <w:t>6.负责道路机非隔离栏类、护栏类、地面及建筑物3米以下墙体、路灯灯柱、电线杆、电信箱体、电缆箱体、公交站台、花台、花钵等市政环卫设施的清洗保洁及牛皮癣清除。</w:t>
      </w:r>
    </w:p>
    <w:p>
      <w:pPr>
        <w:adjustRightInd w:val="0"/>
        <w:snapToGrid w:val="0"/>
        <w:spacing w:line="460" w:lineRule="exact"/>
        <w:ind w:firstLine="480" w:firstLineChars="200"/>
        <w:rPr>
          <w:rFonts w:ascii="宋体" w:hAnsi="宋体" w:cs="宋体"/>
          <w:sz w:val="24"/>
        </w:rPr>
      </w:pPr>
      <w:r>
        <w:rPr>
          <w:rFonts w:hint="eastAsia" w:ascii="宋体" w:hAnsi="宋体" w:cs="宋体"/>
          <w:sz w:val="24"/>
        </w:rPr>
        <w:t>7.负责道路污染处理，含清除道路沿线零星的建渣、沙石、粪袋以及抛、洒、滴、漏等污染；对于无法确定违法主体的突发性大面积、大量次的建渣、沙石、粪袋等道路污染，一经发现，乙方15分钟内上报甲方并由甲方协调相关部门后依法按程序处置，乙方不得擅自处置。</w:t>
      </w:r>
    </w:p>
    <w:p>
      <w:pPr>
        <w:adjustRightInd w:val="0"/>
        <w:snapToGrid w:val="0"/>
        <w:spacing w:line="460" w:lineRule="exact"/>
        <w:ind w:firstLine="480" w:firstLineChars="200"/>
        <w:rPr>
          <w:rFonts w:ascii="宋体" w:hAnsi="宋体" w:cs="宋体"/>
          <w:sz w:val="24"/>
        </w:rPr>
      </w:pPr>
      <w:r>
        <w:rPr>
          <w:rFonts w:hint="eastAsia" w:ascii="宋体" w:hAnsi="宋体" w:cs="宋体"/>
          <w:sz w:val="24"/>
        </w:rPr>
        <w:t>8.负责作业范围内（街面、小区、综合体、机关事业单位、商铺、餐饮单位、学校等）的生活垃圾及分类后各类生活垃圾（可回收物、有害垃圾、厨余垃圾、其他垃圾）的规范分类收集、转运、清理，含大件垃圾的拆分、收运，生活垃圾须运至成都双合达生活垃圾压缩中转站或甲方指定地点（郫都区区域内，单边不超过20公里运距，该运距内垃圾清运费已计算在管护费内，不再另行支付）；</w:t>
      </w:r>
    </w:p>
    <w:p>
      <w:pPr>
        <w:spacing w:after="120"/>
        <w:ind w:firstLine="420"/>
        <w:rPr>
          <w:rFonts w:ascii="宋体" w:hAnsi="宋体" w:cs="宋体"/>
          <w:sz w:val="24"/>
        </w:rPr>
      </w:pPr>
      <w:r>
        <w:rPr>
          <w:rFonts w:hint="eastAsia" w:ascii="宋体" w:hAnsi="宋体" w:cs="宋体"/>
          <w:sz w:val="24"/>
        </w:rPr>
        <w:t>9.负责区域内生活垃圾转运点、环卫工人休息房的管理维护工作；</w:t>
      </w:r>
    </w:p>
    <w:p>
      <w:pPr>
        <w:adjustRightInd w:val="0"/>
        <w:snapToGrid w:val="0"/>
        <w:spacing w:line="460" w:lineRule="exact"/>
        <w:ind w:firstLine="480" w:firstLineChars="200"/>
        <w:rPr>
          <w:rFonts w:ascii="宋体" w:hAnsi="宋体" w:cs="宋体"/>
          <w:sz w:val="24"/>
        </w:rPr>
      </w:pPr>
      <w:r>
        <w:rPr>
          <w:rFonts w:hint="eastAsia" w:ascii="宋体" w:hAnsi="宋体" w:cs="宋体"/>
          <w:sz w:val="24"/>
        </w:rPr>
        <w:t>10.负责及时向区环卫中心反映作业段面相关情况，并及时处理存在问题。</w:t>
      </w:r>
    </w:p>
    <w:p>
      <w:pPr>
        <w:adjustRightInd w:val="0"/>
        <w:snapToGrid w:val="0"/>
        <w:spacing w:line="460" w:lineRule="exact"/>
        <w:ind w:firstLine="480" w:firstLineChars="200"/>
        <w:rPr>
          <w:rFonts w:ascii="宋体" w:hAnsi="宋体" w:cs="宋体"/>
          <w:sz w:val="24"/>
        </w:rPr>
      </w:pPr>
      <w:r>
        <w:rPr>
          <w:rFonts w:hint="eastAsia" w:ascii="宋体" w:hAnsi="宋体" w:cs="宋体"/>
          <w:sz w:val="24"/>
        </w:rPr>
        <w:t>11.服从甲方统筹安排，积极配合处理郫筒城区内环卫突发公共应急事件、应急抢险等工作；</w:t>
      </w:r>
    </w:p>
    <w:p>
      <w:pPr>
        <w:adjustRightInd w:val="0"/>
        <w:snapToGrid w:val="0"/>
        <w:spacing w:line="460" w:lineRule="exact"/>
        <w:ind w:firstLine="480" w:firstLineChars="200"/>
        <w:rPr>
          <w:rFonts w:ascii="宋体" w:hAnsi="宋体" w:cs="宋体"/>
          <w:sz w:val="24"/>
        </w:rPr>
      </w:pPr>
      <w:r>
        <w:rPr>
          <w:rFonts w:hint="eastAsia" w:ascii="宋体" w:hAnsi="宋体" w:cs="宋体"/>
          <w:sz w:val="24"/>
        </w:rPr>
        <w:t>12.负责承担甲方及甲方业务科室临时交办其它工作。</w:t>
      </w:r>
    </w:p>
    <w:p>
      <w:pPr>
        <w:spacing w:after="120" w:line="460" w:lineRule="exact"/>
        <w:ind w:firstLine="422" w:firstLineChars="200"/>
        <w:rPr>
          <w:b/>
          <w:bCs/>
        </w:rPr>
      </w:pPr>
      <w:r>
        <w:rPr>
          <w:rFonts w:hint="eastAsia"/>
          <w:b/>
          <w:bCs/>
        </w:rPr>
        <w:t>（六）机具及人员配置表：</w:t>
      </w:r>
    </w:p>
    <w:p>
      <w:pPr>
        <w:adjustRightInd w:val="0"/>
        <w:snapToGrid w:val="0"/>
        <w:spacing w:line="460" w:lineRule="exact"/>
        <w:ind w:firstLine="480" w:firstLineChars="200"/>
        <w:rPr>
          <w:rFonts w:ascii="宋体" w:hAnsi="宋体" w:cs="宋体"/>
          <w:sz w:val="24"/>
        </w:rPr>
      </w:pPr>
    </w:p>
    <w:p>
      <w:pPr>
        <w:adjustRightInd w:val="0"/>
        <w:snapToGrid w:val="0"/>
        <w:spacing w:line="460" w:lineRule="exact"/>
        <w:ind w:firstLine="480" w:firstLineChars="200"/>
        <w:rPr>
          <w:rFonts w:ascii="宋体" w:hAnsi="宋体" w:cs="宋体"/>
          <w:sz w:val="24"/>
        </w:rPr>
      </w:pPr>
      <w:r>
        <w:rPr>
          <w:rFonts w:hint="eastAsia" w:ascii="宋体" w:hAnsi="宋体" w:cs="宋体"/>
          <w:sz w:val="24"/>
        </w:rPr>
        <w:t>备注：1、作业机具须提供购置发票复印件并加盖投标人公章，如机具为机动车则须提供车辆购置发票复印件、有效年审期内行驶证复印件并加盖投标人公章。</w:t>
      </w:r>
    </w:p>
    <w:p>
      <w:pPr>
        <w:adjustRightInd w:val="0"/>
        <w:snapToGrid w:val="0"/>
        <w:spacing w:line="460" w:lineRule="exact"/>
        <w:ind w:firstLine="480" w:firstLineChars="200"/>
        <w:rPr>
          <w:rFonts w:ascii="宋体" w:hAnsi="宋体" w:cs="宋体"/>
          <w:sz w:val="24"/>
        </w:rPr>
      </w:pPr>
      <w:r>
        <w:rPr>
          <w:rFonts w:hint="eastAsia" w:ascii="宋体" w:hAnsi="宋体" w:cs="宋体"/>
          <w:sz w:val="24"/>
        </w:rPr>
        <w:t>2、乙方须承诺在本项目履约周期内，使用的扫地车、洒水车、道路养护车车辆登记年限不超过8年；小型电动扫地车车辆登记年限不超过6年；小型电动高压清洗车、快速巡回保洁车车辆登记年限不超过5年；若超过规定年限，中标单位自行更新车辆并接受采购人检查。</w:t>
      </w:r>
    </w:p>
    <w:p>
      <w:pPr>
        <w:spacing w:after="120" w:line="460" w:lineRule="exact"/>
        <w:ind w:firstLine="480" w:firstLineChars="200"/>
        <w:rPr>
          <w:rFonts w:ascii="宋体" w:hAnsi="宋体" w:cs="宋体"/>
          <w:sz w:val="24"/>
        </w:rPr>
      </w:pPr>
      <w:r>
        <w:rPr>
          <w:rFonts w:hint="eastAsia" w:ascii="宋体" w:hAnsi="宋体" w:cs="宋体"/>
          <w:sz w:val="24"/>
        </w:rPr>
        <w:t>3、乙方须承诺在本项目履约期内所有配置车辆都应符合现行环卫作业相关规定与标准，若遇国家、省、市相关规定和标准调整，应及时按照相关规定和标准对车辆进行调整配置。</w:t>
      </w:r>
    </w:p>
    <w:p>
      <w:pPr>
        <w:adjustRightInd w:val="0"/>
        <w:snapToGrid w:val="0"/>
        <w:spacing w:line="460" w:lineRule="exact"/>
        <w:ind w:firstLine="480" w:firstLineChars="200"/>
        <w:rPr>
          <w:rFonts w:ascii="宋体" w:hAnsi="宋体" w:cs="宋体"/>
          <w:sz w:val="24"/>
        </w:rPr>
      </w:pPr>
      <w:r>
        <w:rPr>
          <w:rFonts w:hint="eastAsia" w:ascii="宋体" w:hAnsi="宋体" w:cs="宋体"/>
          <w:sz w:val="24"/>
        </w:rPr>
        <w:t>4.乙方管理人员数量及配置要求：环卫作业现场督查人数另按不低于保洁人员人数5%（含）配备，并配置督查交通工具（两轮电瓶车统一样式）。</w:t>
      </w:r>
    </w:p>
    <w:p>
      <w:pPr>
        <w:spacing w:after="120" w:line="460" w:lineRule="exact"/>
        <w:rPr>
          <w:rFonts w:ascii="宋体" w:hAnsi="宋体" w:cs="宋体"/>
          <w:sz w:val="24"/>
        </w:rPr>
      </w:pPr>
    </w:p>
    <w:p>
      <w:pPr>
        <w:numPr>
          <w:ilvl w:val="0"/>
          <w:numId w:val="10"/>
        </w:numPr>
        <w:spacing w:line="460" w:lineRule="exact"/>
        <w:rPr>
          <w:rFonts w:ascii="宋体" w:hAnsi="宋体"/>
          <w:b/>
          <w:sz w:val="24"/>
        </w:rPr>
      </w:pPr>
      <w:r>
        <w:rPr>
          <w:rFonts w:hint="eastAsia" w:ascii="宋体" w:hAnsi="宋体"/>
          <w:b/>
          <w:sz w:val="24"/>
        </w:rPr>
        <w:t>合同期限</w:t>
      </w:r>
    </w:p>
    <w:p>
      <w:pPr>
        <w:spacing w:line="460" w:lineRule="exact"/>
        <w:ind w:firstLine="480" w:firstLineChars="200"/>
        <w:rPr>
          <w:rFonts w:ascii="宋体" w:hAnsi="宋体" w:cs="宋体"/>
          <w:sz w:val="24"/>
        </w:rPr>
      </w:pPr>
      <w:r>
        <w:rPr>
          <w:rFonts w:hint="eastAsia" w:ascii="宋体" w:hAnsi="宋体" w:cs="宋体"/>
          <w:sz w:val="24"/>
        </w:rPr>
        <w:t>本次招标服务期限为三年，从202X年X月X日0时起算。本合同为第一年度，有效期为202X年XX月XX日0时至202X年XX月XX日24时。经甲方考核合格后，签订次年合同，合同一年一签。</w:t>
      </w:r>
    </w:p>
    <w:p>
      <w:pPr>
        <w:numPr>
          <w:ilvl w:val="0"/>
          <w:numId w:val="10"/>
        </w:numPr>
        <w:spacing w:line="460" w:lineRule="exact"/>
        <w:rPr>
          <w:rFonts w:ascii="宋体" w:hAnsi="宋体"/>
          <w:b/>
          <w:sz w:val="24"/>
        </w:rPr>
      </w:pPr>
      <w:bookmarkStart w:id="335" w:name="_Toc211911348"/>
      <w:bookmarkStart w:id="336" w:name="_Toc211854449"/>
      <w:bookmarkStart w:id="337" w:name="_Toc286993786"/>
      <w:bookmarkStart w:id="338" w:name="_Toc239233914"/>
      <w:bookmarkStart w:id="339" w:name="_Toc251768862"/>
      <w:bookmarkStart w:id="340" w:name="_Toc238984975"/>
      <w:bookmarkStart w:id="341" w:name="_Toc212019594"/>
      <w:bookmarkStart w:id="342" w:name="_Toc241833903"/>
      <w:bookmarkStart w:id="343" w:name="_Toc237145406"/>
      <w:bookmarkStart w:id="344" w:name="_Toc239568418"/>
      <w:bookmarkStart w:id="345" w:name="_Toc225244852"/>
      <w:bookmarkStart w:id="346" w:name="_Toc225654644"/>
      <w:bookmarkStart w:id="347" w:name="_Toc247334841"/>
      <w:bookmarkStart w:id="348" w:name="_Toc283019214"/>
      <w:bookmarkStart w:id="349" w:name="_Toc225670751"/>
      <w:bookmarkStart w:id="350" w:name="_Toc282696226"/>
      <w:bookmarkStart w:id="351" w:name="_Toc185395249"/>
      <w:bookmarkStart w:id="352" w:name="_Toc232492928"/>
      <w:r>
        <w:rPr>
          <w:rFonts w:hint="eastAsia" w:ascii="宋体" w:hAnsi="宋体"/>
          <w:b/>
          <w:sz w:val="24"/>
        </w:rPr>
        <w:t>服务内容与质量标准</w:t>
      </w:r>
    </w:p>
    <w:p>
      <w:pPr>
        <w:adjustRightInd w:val="0"/>
        <w:snapToGrid w:val="0"/>
        <w:spacing w:line="460" w:lineRule="exact"/>
        <w:ind w:firstLine="480" w:firstLineChars="200"/>
        <w:rPr>
          <w:rFonts w:ascii="宋体" w:hAnsi="宋体" w:cs="宋体"/>
          <w:sz w:val="24"/>
        </w:rPr>
      </w:pPr>
      <w:r>
        <w:rPr>
          <w:rFonts w:hint="eastAsia" w:ascii="宋体" w:hAnsi="宋体" w:cs="宋体"/>
          <w:sz w:val="24"/>
        </w:rPr>
        <w:t>1.签订合同前，乙方应保证专业环卫车辆（①洒水车、②洗（吸）扫车、③垃圾压缩车、④垃圾收（转）运车、</w:t>
      </w:r>
      <w:r>
        <w:rPr>
          <w:rFonts w:ascii="宋体" w:hAnsi="宋体" w:cs="宋体"/>
          <w:sz w:val="24"/>
        </w:rPr>
        <w:fldChar w:fldCharType="begin"/>
      </w:r>
      <w:r>
        <w:rPr>
          <w:rFonts w:ascii="宋体" w:hAnsi="宋体" w:cs="宋体"/>
          <w:sz w:val="24"/>
        </w:rPr>
        <w:instrText xml:space="preserve"> </w:instrText>
      </w:r>
      <w:r>
        <w:rPr>
          <w:rFonts w:hint="eastAsia" w:ascii="宋体" w:hAnsi="宋体" w:cs="宋体"/>
          <w:sz w:val="24"/>
        </w:rPr>
        <w:instrText xml:space="preserve">= 5 \* GB3</w:instrText>
      </w:r>
      <w:r>
        <w:rPr>
          <w:rFonts w:ascii="宋体" w:hAnsi="宋体" w:cs="宋体"/>
          <w:sz w:val="24"/>
        </w:rPr>
        <w:instrText xml:space="preserve"> </w:instrText>
      </w:r>
      <w:r>
        <w:rPr>
          <w:rFonts w:ascii="宋体" w:hAnsi="宋体" w:cs="宋体"/>
          <w:sz w:val="24"/>
        </w:rPr>
        <w:fldChar w:fldCharType="separate"/>
      </w:r>
      <w:r>
        <w:rPr>
          <w:rFonts w:hint="eastAsia" w:ascii="宋体" w:hAnsi="宋体" w:cs="宋体"/>
          <w:sz w:val="24"/>
        </w:rPr>
        <w:t>⑤</w:t>
      </w:r>
      <w:r>
        <w:rPr>
          <w:rFonts w:ascii="宋体" w:hAnsi="宋体" w:cs="宋体"/>
          <w:sz w:val="24"/>
        </w:rPr>
        <w:fldChar w:fldCharType="end"/>
      </w:r>
      <w:r>
        <w:rPr>
          <w:rFonts w:ascii="宋体" w:hAnsi="宋体" w:cs="宋体"/>
          <w:sz w:val="24"/>
        </w:rPr>
        <w:t>广场扫地车</w:t>
      </w:r>
      <w:r>
        <w:rPr>
          <w:rFonts w:hint="eastAsia" w:ascii="宋体" w:hAnsi="宋体" w:cs="宋体"/>
          <w:sz w:val="24"/>
        </w:rPr>
        <w:t>）须安装卫星定位系统装置（费用自理），与甲方实现接驳，合同期内，未经甲方同意所有作业车辆机具不得超区域作业。</w:t>
      </w:r>
    </w:p>
    <w:p>
      <w:pPr>
        <w:adjustRightInd w:val="0"/>
        <w:snapToGrid w:val="0"/>
        <w:spacing w:line="460" w:lineRule="exact"/>
        <w:ind w:firstLine="480" w:firstLineChars="200"/>
        <w:rPr>
          <w:rFonts w:ascii="宋体" w:hAnsi="宋体" w:cs="宋体"/>
          <w:sz w:val="24"/>
        </w:rPr>
      </w:pPr>
      <w:r>
        <w:rPr>
          <w:rFonts w:hint="eastAsia" w:ascii="宋体" w:hAnsi="宋体" w:cs="宋体"/>
          <w:sz w:val="24"/>
        </w:rPr>
        <w:t xml:space="preserve">2.乙方应严格遵守和执行《中华人民共和国劳动法》、《中华人民共和国劳动合同法》、《中华人民共和国社会保险法》等法律法规,《成都市环卫工人健康安全关爱办法》（成府发【2019】6号）、按照《成都市城市管理委员会关于明确环卫工人工资和福利待遇发放标准的通知》（成城函【2020】271号）等相关文件规定，在环卫作业服务期限内执行成都市及成都郫都区相关部门调整环卫工人工资标准的规定。在合同期限内，遇国家政策调整增加的费用由乙方承担。 </w:t>
      </w:r>
    </w:p>
    <w:p>
      <w:pPr>
        <w:adjustRightInd w:val="0"/>
        <w:snapToGrid w:val="0"/>
        <w:spacing w:line="460" w:lineRule="exact"/>
        <w:ind w:firstLine="480" w:firstLineChars="200"/>
        <w:rPr>
          <w:rFonts w:ascii="宋体" w:hAnsi="宋体" w:cs="宋体"/>
          <w:sz w:val="24"/>
        </w:rPr>
      </w:pPr>
      <w:r>
        <w:rPr>
          <w:rFonts w:hint="eastAsia" w:ascii="宋体" w:hAnsi="宋体" w:cs="宋体"/>
          <w:sz w:val="24"/>
        </w:rPr>
        <w:t xml:space="preserve">3.清扫保洁作业按《成都市环卫清扫保洁精细化作业规则》成城发（2019） 47 号、《成都市环卫清扫保洁精细化监督管理办法》成城发（2019）48 号、《成都市郫都区城镇环卫作业监督考核办法》和《关于城管系统环卫车辆推广应用新能源汽车工作的通知》成城办（2019）219 号等相关要求实施。如合同期内市、区相关部门出台新标准及管理办法，则执行新标准及管理办法，并在续签合同中约定。 </w:t>
      </w:r>
    </w:p>
    <w:p>
      <w:pPr>
        <w:adjustRightInd w:val="0"/>
        <w:snapToGrid w:val="0"/>
        <w:spacing w:line="460" w:lineRule="exact"/>
        <w:ind w:firstLine="480" w:firstLineChars="200"/>
        <w:rPr>
          <w:rFonts w:ascii="宋体" w:hAnsi="宋体" w:cs="宋体"/>
          <w:sz w:val="24"/>
        </w:rPr>
      </w:pPr>
      <w:r>
        <w:rPr>
          <w:rFonts w:hint="eastAsia" w:ascii="宋体" w:hAnsi="宋体" w:cs="宋体"/>
          <w:sz w:val="24"/>
        </w:rPr>
        <w:t xml:space="preserve">4.乙方须提供包件路段巡查车（仅限于机动车）1 辆，专用于本包日常全线巡查检查（若巡查车为皮卡车等货车类须具有入城证）。 </w:t>
      </w:r>
    </w:p>
    <w:p>
      <w:pPr>
        <w:adjustRightInd w:val="0"/>
        <w:snapToGrid w:val="0"/>
        <w:spacing w:line="460" w:lineRule="exact"/>
        <w:ind w:firstLine="480" w:firstLineChars="200"/>
        <w:rPr>
          <w:rFonts w:ascii="宋体" w:hAnsi="宋体" w:cs="宋体"/>
          <w:sz w:val="24"/>
        </w:rPr>
      </w:pPr>
      <w:r>
        <w:rPr>
          <w:rFonts w:hint="eastAsia" w:ascii="宋体" w:hAnsi="宋体" w:cs="宋体"/>
          <w:sz w:val="24"/>
        </w:rPr>
        <w:t>5.本项目合同的实际结算金额以乙方与甲方双方确认的实际作业面积作为计算依据进行结算。待建道路清扫保洁面积的费用，依照实际作业情况据实予以核减、拨付。</w:t>
      </w:r>
    </w:p>
    <w:p>
      <w:pPr>
        <w:adjustRightInd w:val="0"/>
        <w:snapToGrid w:val="0"/>
        <w:spacing w:line="460" w:lineRule="exact"/>
        <w:ind w:firstLine="480" w:firstLineChars="200"/>
        <w:rPr>
          <w:rFonts w:ascii="宋体" w:hAnsi="宋体" w:cs="宋体"/>
          <w:sz w:val="24"/>
        </w:rPr>
      </w:pPr>
      <w:r>
        <w:rPr>
          <w:rFonts w:hint="eastAsia" w:ascii="宋体" w:hAnsi="宋体" w:cs="宋体"/>
          <w:sz w:val="24"/>
        </w:rPr>
        <w:t>6.在环卫作业实施过程中，所需的清扫保洁机械与工具（扫帚、移动垃圾桶、垃圾袋等）、劳动服装费、劳动用品费、职业健康体检及防护用品费等均由乙方自行提供与维护并承担费用。</w:t>
      </w:r>
    </w:p>
    <w:p>
      <w:pPr>
        <w:adjustRightInd w:val="0"/>
        <w:snapToGrid w:val="0"/>
        <w:spacing w:line="460" w:lineRule="exact"/>
        <w:ind w:firstLine="480" w:firstLineChars="200"/>
        <w:rPr>
          <w:rFonts w:ascii="宋体" w:hAnsi="宋体" w:cs="宋体"/>
          <w:sz w:val="24"/>
        </w:rPr>
      </w:pPr>
      <w:r>
        <w:rPr>
          <w:rFonts w:hint="eastAsia" w:ascii="宋体" w:hAnsi="宋体" w:cs="宋体"/>
          <w:sz w:val="24"/>
        </w:rPr>
        <w:t xml:space="preserve">7.乙方应对该项目所有收支情况独立核算并接受业主或业主委托的第三方审计机构的稽查和审计。 </w:t>
      </w:r>
    </w:p>
    <w:p>
      <w:pPr>
        <w:spacing w:line="460" w:lineRule="exact"/>
        <w:ind w:firstLine="480" w:firstLineChars="200"/>
        <w:rPr>
          <w:rFonts w:ascii="宋体" w:hAnsi="宋体" w:cs="宋体"/>
          <w:sz w:val="24"/>
        </w:rPr>
      </w:pPr>
      <w:r>
        <w:rPr>
          <w:rFonts w:hint="eastAsia" w:ascii="宋体" w:hAnsi="宋体" w:cs="宋体"/>
          <w:sz w:val="24"/>
        </w:rPr>
        <w:t>8.乙方须响应垃圾分类政策，实施清扫保洁作业中，按甲方的要求及相关法律法规、规范性文件的规定，对可回收垃圾、餐厨垃圾、有害垃圾、其他垃圾实行分类收集及转运。乙方要负责对餐厨垃圾进行规范分类收集，并运至专用的处置场所进行处置，所产生费用包含在作业经费内，甲方不再另行付费。</w:t>
      </w:r>
    </w:p>
    <w:p>
      <w:pPr>
        <w:numPr>
          <w:ilvl w:val="0"/>
          <w:numId w:val="10"/>
        </w:numPr>
        <w:spacing w:line="460" w:lineRule="exact"/>
        <w:rPr>
          <w:rFonts w:ascii="宋体" w:hAnsi="宋体"/>
          <w:b/>
          <w:sz w:val="24"/>
        </w:rPr>
      </w:pPr>
      <w:r>
        <w:rPr>
          <w:rFonts w:hint="eastAsia" w:ascii="宋体" w:hAnsi="宋体"/>
          <w:b/>
          <w:sz w:val="24"/>
        </w:rPr>
        <w:t>合同价款及支付方式和条件</w:t>
      </w:r>
      <w:r>
        <w:rPr>
          <w:rFonts w:hint="eastAsia" w:ascii="宋体" w:hAnsi="宋体" w:cs="宋体"/>
          <w:sz w:val="28"/>
          <w:szCs w:val="28"/>
        </w:rPr>
        <w:t>：</w:t>
      </w:r>
    </w:p>
    <w:p>
      <w:pPr>
        <w:numPr>
          <w:ilvl w:val="0"/>
          <w:numId w:val="11"/>
        </w:numPr>
        <w:spacing w:line="460" w:lineRule="exact"/>
        <w:ind w:left="0" w:firstLine="567"/>
        <w:rPr>
          <w:rFonts w:ascii="宋体" w:hAnsi="宋体"/>
          <w:b/>
          <w:sz w:val="24"/>
        </w:rPr>
      </w:pPr>
      <w:r>
        <w:rPr>
          <w:rFonts w:hint="eastAsia" w:ascii="宋体" w:hAnsi="宋体"/>
          <w:b/>
          <w:sz w:val="24"/>
        </w:rPr>
        <w:t>合同价款：</w:t>
      </w:r>
    </w:p>
    <w:p>
      <w:pPr>
        <w:spacing w:line="460" w:lineRule="exact"/>
        <w:ind w:firstLine="482" w:firstLineChars="200"/>
        <w:rPr>
          <w:rFonts w:ascii="宋体" w:hAnsi="宋体"/>
          <w:b/>
          <w:sz w:val="24"/>
        </w:rPr>
      </w:pPr>
      <w:r>
        <w:rPr>
          <w:rFonts w:hint="eastAsia" w:ascii="宋体" w:hAnsi="宋体"/>
          <w:b/>
          <w:sz w:val="24"/>
        </w:rPr>
        <w:t xml:space="preserve">本合同作业经费中标价 </w:t>
      </w:r>
      <w:r>
        <w:rPr>
          <w:rFonts w:hint="eastAsia" w:ascii="宋体" w:hAnsi="宋体"/>
          <w:b/>
          <w:sz w:val="24"/>
          <w:u w:val="single"/>
        </w:rPr>
        <w:t xml:space="preserve">    </w:t>
      </w:r>
      <w:r>
        <w:rPr>
          <w:rFonts w:hint="eastAsia" w:ascii="宋体" w:hAnsi="宋体"/>
          <w:b/>
          <w:sz w:val="24"/>
        </w:rPr>
        <w:t xml:space="preserve"> 元/年（大写：     ），</w:t>
      </w:r>
      <w:r>
        <w:rPr>
          <w:rFonts w:hint="eastAsia" w:ascii="宋体" w:hAnsi="宋体"/>
          <w:b/>
          <w:sz w:val="24"/>
          <w:u w:val="single"/>
        </w:rPr>
        <w:t xml:space="preserve">      </w:t>
      </w:r>
      <w:r>
        <w:rPr>
          <w:rFonts w:hint="eastAsia" w:ascii="宋体" w:hAnsi="宋体"/>
          <w:b/>
          <w:sz w:val="24"/>
        </w:rPr>
        <w:t>元/月（大写：    ）。</w:t>
      </w:r>
      <w:r>
        <w:rPr>
          <w:rFonts w:hint="eastAsia" w:ascii="宋体" w:hAnsi="宋体" w:cs="宋体"/>
          <w:sz w:val="24"/>
        </w:rPr>
        <w:t>其中待建道路清扫保洁面积的费用为</w:t>
      </w:r>
      <w:r>
        <w:rPr>
          <w:rFonts w:hint="eastAsia" w:ascii="宋体" w:hAnsi="宋体"/>
          <w:b/>
          <w:sz w:val="24"/>
        </w:rPr>
        <w:t xml:space="preserve"> </w:t>
      </w:r>
      <w:r>
        <w:rPr>
          <w:rFonts w:hint="eastAsia" w:ascii="宋体" w:hAnsi="宋体"/>
          <w:b/>
          <w:sz w:val="24"/>
          <w:u w:val="single"/>
        </w:rPr>
        <w:t xml:space="preserve">    </w:t>
      </w:r>
      <w:r>
        <w:rPr>
          <w:rFonts w:hint="eastAsia" w:ascii="宋体" w:hAnsi="宋体"/>
          <w:b/>
          <w:sz w:val="24"/>
        </w:rPr>
        <w:t xml:space="preserve"> 元/年（大写：     ）</w:t>
      </w:r>
      <w:r>
        <w:rPr>
          <w:rFonts w:hint="eastAsia" w:ascii="宋体" w:hAnsi="宋体" w:cs="宋体"/>
          <w:sz w:val="24"/>
          <w:u w:val="single"/>
        </w:rPr>
        <w:t xml:space="preserve">   </w:t>
      </w:r>
      <w:r>
        <w:rPr>
          <w:rFonts w:hint="eastAsia" w:ascii="宋体" w:hAnsi="宋体" w:cs="宋体"/>
          <w:sz w:val="24"/>
        </w:rPr>
        <w:t>本作业经费在招标服务周期内，除因作业面积和道路管护等级发生变化并经甲、乙双方确认可调整外，其余不作经费调整。</w:t>
      </w:r>
      <w:r>
        <w:rPr>
          <w:rFonts w:hint="eastAsia" w:ascii="宋体" w:hAnsi="宋体" w:cs="宋体"/>
          <w:sz w:val="24"/>
          <w:u w:val="single"/>
        </w:rPr>
        <w:t xml:space="preserve"> </w:t>
      </w:r>
    </w:p>
    <w:p>
      <w:pPr>
        <w:numPr>
          <w:ilvl w:val="0"/>
          <w:numId w:val="11"/>
        </w:numPr>
        <w:spacing w:line="460" w:lineRule="exact"/>
        <w:ind w:left="0" w:firstLine="567"/>
        <w:rPr>
          <w:rFonts w:ascii="宋体" w:hAnsi="宋体"/>
          <w:b/>
          <w:sz w:val="24"/>
        </w:rPr>
      </w:pPr>
      <w:r>
        <w:rPr>
          <w:rFonts w:hint="eastAsia" w:ascii="宋体" w:hAnsi="宋体"/>
          <w:b/>
          <w:sz w:val="24"/>
        </w:rPr>
        <w:t>服务费支付方式：</w:t>
      </w:r>
    </w:p>
    <w:p>
      <w:pPr>
        <w:spacing w:line="460" w:lineRule="exact"/>
        <w:ind w:firstLine="480" w:firstLineChars="200"/>
        <w:rPr>
          <w:rFonts w:ascii="宋体" w:hAnsi="宋体" w:cs="宋体"/>
          <w:sz w:val="24"/>
        </w:rPr>
      </w:pPr>
      <w:r>
        <w:rPr>
          <w:rFonts w:hint="eastAsia" w:ascii="宋体" w:hAnsi="宋体" w:cs="宋体"/>
          <w:sz w:val="24"/>
        </w:rPr>
        <w:t>1.甲方根据检查考核结果、新增（或减少）工作量等因素，按月汇总、核算月度作业经费。并采取银行转账的方式，于次月向乙方支付上月经费。</w:t>
      </w:r>
    </w:p>
    <w:p>
      <w:pPr>
        <w:spacing w:line="460" w:lineRule="exact"/>
        <w:ind w:firstLine="480" w:firstLineChars="200"/>
        <w:rPr>
          <w:rFonts w:ascii="宋体" w:hAnsi="宋体" w:cs="宋体"/>
          <w:sz w:val="24"/>
        </w:rPr>
      </w:pPr>
      <w:r>
        <w:rPr>
          <w:rFonts w:hint="eastAsia" w:ascii="宋体" w:hAnsi="宋体" w:cs="宋体"/>
          <w:sz w:val="24"/>
        </w:rPr>
        <w:t>2．每次付款前，乙方应提供正式的票据，否则甲方有权拒绝付款，由此造成的损失由乙方承担。</w:t>
      </w:r>
    </w:p>
    <w:p>
      <w:pPr>
        <w:numPr>
          <w:ilvl w:val="0"/>
          <w:numId w:val="11"/>
        </w:numPr>
        <w:spacing w:line="460" w:lineRule="exact"/>
        <w:ind w:left="0" w:firstLine="567"/>
        <w:rPr>
          <w:rFonts w:ascii="宋体" w:hAnsi="宋体"/>
          <w:b/>
          <w:sz w:val="24"/>
        </w:rPr>
      </w:pPr>
      <w:r>
        <w:rPr>
          <w:rFonts w:hint="eastAsia" w:ascii="宋体" w:hAnsi="宋体"/>
          <w:b/>
          <w:sz w:val="24"/>
        </w:rPr>
        <w:t>本项目实际服务费用由以下组成：</w:t>
      </w:r>
    </w:p>
    <w:p>
      <w:pPr>
        <w:spacing w:line="460" w:lineRule="exact"/>
        <w:ind w:firstLine="480" w:firstLineChars="200"/>
        <w:rPr>
          <w:rFonts w:ascii="宋体" w:hAnsi="宋体" w:cs="宋体"/>
          <w:sz w:val="24"/>
        </w:rPr>
      </w:pPr>
      <w:r>
        <w:rPr>
          <w:rFonts w:hint="eastAsia" w:ascii="宋体" w:hAnsi="宋体" w:cs="宋体"/>
          <w:sz w:val="24"/>
        </w:rPr>
        <w:t>1.验收标准和方法：以郫都区综合行政执法局制定的届时《成都市郫都区城镇环卫作业监督考核办法》为准。（《办法》如有调整，以最新为准）如有考核扣款，纳入实际费用结算。</w:t>
      </w:r>
    </w:p>
    <w:p>
      <w:pPr>
        <w:spacing w:line="460" w:lineRule="exact"/>
        <w:ind w:firstLine="480" w:firstLineChars="200"/>
        <w:rPr>
          <w:rFonts w:ascii="宋体" w:hAnsi="宋体"/>
          <w:sz w:val="24"/>
        </w:rPr>
      </w:pPr>
      <w:r>
        <w:rPr>
          <w:rFonts w:hint="eastAsia" w:ascii="宋体" w:hAnsi="宋体" w:cs="宋体"/>
          <w:sz w:val="24"/>
        </w:rPr>
        <w:t>2.合同作业辖区内，环卫作业量增加或减少，在符合《中华人民共和国政府采购法》等法律法规的前提下，由甲方审核并向乙方送达辖区环卫作业增减量通知书，乙方按照《招标文件》要求实施环卫作业，当年（月）环卫作业量增加或减少经费（以中标综合单价为计算基础），由甲方予以支付或扣除。</w:t>
      </w:r>
    </w:p>
    <w:p>
      <w:pPr>
        <w:numPr>
          <w:ilvl w:val="0"/>
          <w:numId w:val="10"/>
        </w:numPr>
        <w:spacing w:line="460" w:lineRule="exact"/>
        <w:rPr>
          <w:rFonts w:ascii="宋体" w:hAnsi="宋体"/>
          <w:b/>
          <w:sz w:val="24"/>
        </w:rPr>
      </w:pPr>
      <w:r>
        <w:rPr>
          <w:rFonts w:hint="eastAsia" w:ascii="宋体" w:hAnsi="宋体"/>
          <w:b/>
          <w:sz w:val="24"/>
        </w:rPr>
        <w:t>知识产权</w:t>
      </w:r>
    </w:p>
    <w:p>
      <w:pPr>
        <w:tabs>
          <w:tab w:val="left" w:pos="1440"/>
        </w:tabs>
        <w:spacing w:line="460" w:lineRule="exact"/>
        <w:ind w:firstLine="480" w:firstLineChars="200"/>
        <w:rPr>
          <w:rFonts w:ascii="宋体" w:hAnsi="宋体"/>
          <w:sz w:val="24"/>
        </w:rPr>
      </w:pPr>
      <w:r>
        <w:rPr>
          <w:rFonts w:hint="eastAsia" w:ascii="宋体" w:hAnsi="宋体"/>
          <w:sz w:val="24"/>
        </w:rPr>
        <w:t>乙方应保证所提供的服务或其任何一部分均不会侵犯任何第三方的专利权、商标权或著作权，如由此给甲方造成损失的乙方应予赔偿。</w:t>
      </w:r>
    </w:p>
    <w:p>
      <w:pPr>
        <w:numPr>
          <w:ilvl w:val="0"/>
          <w:numId w:val="10"/>
        </w:numPr>
        <w:spacing w:line="460" w:lineRule="exact"/>
        <w:rPr>
          <w:rFonts w:ascii="宋体" w:hAnsi="宋体"/>
          <w:b/>
          <w:sz w:val="24"/>
        </w:rPr>
      </w:pPr>
      <w:r>
        <w:rPr>
          <w:rFonts w:hint="eastAsia" w:ascii="宋体" w:hAnsi="宋体"/>
          <w:b/>
          <w:sz w:val="24"/>
        </w:rPr>
        <w:t>无产权瑕疵条款</w:t>
      </w:r>
    </w:p>
    <w:p>
      <w:pPr>
        <w:tabs>
          <w:tab w:val="left" w:pos="1440"/>
        </w:tabs>
        <w:spacing w:line="460" w:lineRule="exact"/>
        <w:ind w:firstLine="480" w:firstLineChars="200"/>
        <w:rPr>
          <w:rFonts w:ascii="宋体" w:hAnsi="宋体"/>
          <w:sz w:val="24"/>
        </w:rPr>
      </w:pPr>
      <w:r>
        <w:rPr>
          <w:rFonts w:hint="eastAsia" w:ascii="宋体" w:hAnsi="宋体"/>
          <w:sz w:val="24"/>
        </w:rPr>
        <w:t>乙方保证所提供的服务的所有权完全属于乙方且无任何抵押、查封等产权瑕疵。如有产权瑕疵的，乙方应向甲方赔偿由此而产生的一切损失。</w:t>
      </w:r>
    </w:p>
    <w:p>
      <w:pPr>
        <w:tabs>
          <w:tab w:val="left" w:pos="1440"/>
        </w:tabs>
        <w:spacing w:line="460" w:lineRule="exact"/>
        <w:ind w:firstLine="482" w:firstLineChars="200"/>
        <w:rPr>
          <w:rFonts w:ascii="宋体" w:hAnsi="宋体"/>
          <w:b/>
          <w:sz w:val="24"/>
        </w:rPr>
      </w:pPr>
      <w:r>
        <w:rPr>
          <w:rFonts w:hint="eastAsia" w:ascii="宋体" w:hAnsi="宋体"/>
          <w:b/>
          <w:sz w:val="24"/>
        </w:rPr>
        <w:t>第六条  履约保证金</w:t>
      </w:r>
    </w:p>
    <w:p>
      <w:pPr>
        <w:spacing w:line="460" w:lineRule="exact"/>
        <w:ind w:firstLine="480" w:firstLineChars="200"/>
        <w:rPr>
          <w:rFonts w:ascii="宋体" w:hAnsi="宋体"/>
          <w:sz w:val="24"/>
        </w:rPr>
      </w:pPr>
      <w:r>
        <w:rPr>
          <w:rFonts w:hint="eastAsia" w:ascii="宋体" w:hAnsi="宋体"/>
          <w:sz w:val="24"/>
        </w:rPr>
        <w:t>1．乙方交纳年中标价的2%作为本合同的履约保证金，具体为人民币</w:t>
      </w:r>
      <w:r>
        <w:rPr>
          <w:rFonts w:hint="eastAsia" w:ascii="宋体" w:hAnsi="宋体"/>
          <w:b/>
          <w:sz w:val="24"/>
          <w:szCs w:val="21"/>
          <w:u w:val="single"/>
        </w:rPr>
        <w:t xml:space="preserve">    </w:t>
      </w:r>
      <w:r>
        <w:rPr>
          <w:rFonts w:hint="eastAsia" w:ascii="宋体" w:hAnsi="宋体"/>
          <w:b/>
          <w:sz w:val="24"/>
          <w:szCs w:val="21"/>
        </w:rPr>
        <w:t xml:space="preserve"> 元</w:t>
      </w:r>
      <w:r>
        <w:rPr>
          <w:rFonts w:hint="eastAsia" w:ascii="宋体" w:hAnsi="宋体"/>
          <w:sz w:val="24"/>
          <w:u w:val="single"/>
        </w:rPr>
        <w:t xml:space="preserve">      </w:t>
      </w:r>
      <w:r>
        <w:rPr>
          <w:rFonts w:hint="eastAsia" w:ascii="宋体" w:hAnsi="宋体"/>
          <w:sz w:val="24"/>
        </w:rPr>
        <w:t>（大写：    ），在签订本合同15个工作日内支付。服务期满根据综合考核情况，乙方服务质量达到标准并按照劳动用工相关的法律法规做好环卫工人善后工作且无违约情形，由甲方一次性退还乙方服务履约保证金（无息）。</w:t>
      </w:r>
    </w:p>
    <w:p>
      <w:pPr>
        <w:spacing w:line="460" w:lineRule="exact"/>
        <w:ind w:firstLine="480" w:firstLineChars="200"/>
        <w:rPr>
          <w:rFonts w:ascii="宋体" w:hAnsi="宋体"/>
          <w:sz w:val="24"/>
        </w:rPr>
      </w:pPr>
      <w:r>
        <w:rPr>
          <w:rFonts w:hint="eastAsia" w:ascii="宋体" w:hAnsi="宋体"/>
          <w:sz w:val="24"/>
        </w:rPr>
        <w:t>2．甲方有权就乙方应支付的违约金、赔偿金等在履行保证金中直接扣除，不足部分甲方有权向乙方追偿。</w:t>
      </w:r>
    </w:p>
    <w:p>
      <w:pPr>
        <w:spacing w:line="460" w:lineRule="exact"/>
        <w:ind w:firstLine="482" w:firstLineChars="200"/>
        <w:rPr>
          <w:rFonts w:ascii="宋体" w:hAnsi="宋体"/>
          <w:b/>
          <w:sz w:val="24"/>
        </w:rPr>
      </w:pPr>
      <w:r>
        <w:rPr>
          <w:rFonts w:ascii="宋体" w:hAnsi="宋体"/>
          <w:b/>
          <w:sz w:val="24"/>
        </w:rPr>
        <w:t>第七条</w:t>
      </w:r>
      <w:r>
        <w:rPr>
          <w:rFonts w:hint="eastAsia" w:ascii="宋体" w:hAnsi="宋体"/>
          <w:b/>
          <w:sz w:val="24"/>
        </w:rPr>
        <w:t xml:space="preserve">  </w:t>
      </w:r>
      <w:r>
        <w:rPr>
          <w:rFonts w:ascii="宋体" w:hAnsi="宋体"/>
          <w:b/>
          <w:sz w:val="24"/>
        </w:rPr>
        <w:t>甲方的权利和义务</w:t>
      </w:r>
    </w:p>
    <w:p>
      <w:pPr>
        <w:tabs>
          <w:tab w:val="left" w:pos="1440"/>
        </w:tabs>
        <w:adjustRightInd w:val="0"/>
        <w:spacing w:line="460" w:lineRule="exact"/>
        <w:ind w:firstLine="480" w:firstLineChars="200"/>
        <w:jc w:val="left"/>
        <w:textAlignment w:val="baseline"/>
        <w:rPr>
          <w:rFonts w:ascii="宋体" w:hAnsi="宋体"/>
          <w:bCs/>
          <w:sz w:val="24"/>
        </w:rPr>
      </w:pPr>
      <w:r>
        <w:rPr>
          <w:rFonts w:hint="eastAsia" w:ascii="宋体" w:hAnsi="宋体"/>
          <w:bCs/>
          <w:sz w:val="24"/>
        </w:rPr>
        <w:t>1．</w:t>
      </w:r>
      <w:r>
        <w:rPr>
          <w:rFonts w:ascii="宋体" w:hAnsi="宋体"/>
          <w:bCs/>
          <w:sz w:val="24"/>
        </w:rPr>
        <w:t>甲方有权对合同规定范围内</w:t>
      </w:r>
      <w:r>
        <w:rPr>
          <w:rFonts w:hint="eastAsia" w:ascii="宋体" w:hAnsi="宋体"/>
          <w:bCs/>
          <w:sz w:val="24"/>
        </w:rPr>
        <w:t>乙方的服务行为</w:t>
      </w:r>
      <w:r>
        <w:rPr>
          <w:rFonts w:ascii="宋体" w:hAnsi="宋体"/>
          <w:bCs/>
          <w:sz w:val="24"/>
        </w:rPr>
        <w:t>进行监督和检查，拥有监管权。有权不定期核对乙方提供服务所配备的人员</w:t>
      </w:r>
      <w:r>
        <w:rPr>
          <w:rFonts w:hint="eastAsia" w:ascii="宋体" w:hAnsi="宋体"/>
          <w:bCs/>
          <w:sz w:val="24"/>
        </w:rPr>
        <w:t>、</w:t>
      </w:r>
      <w:r>
        <w:rPr>
          <w:rFonts w:ascii="宋体" w:hAnsi="宋体"/>
          <w:bCs/>
          <w:sz w:val="24"/>
        </w:rPr>
        <w:t>机具数量和服务质量。对甲方认为不合理的部分有权</w:t>
      </w:r>
      <w:r>
        <w:rPr>
          <w:rFonts w:hint="eastAsia" w:ascii="宋体" w:hAnsi="宋体"/>
          <w:bCs/>
          <w:sz w:val="24"/>
        </w:rPr>
        <w:t>下达整改通知书，并</w:t>
      </w:r>
      <w:r>
        <w:rPr>
          <w:rFonts w:ascii="宋体" w:hAnsi="宋体"/>
          <w:bCs/>
          <w:sz w:val="24"/>
        </w:rPr>
        <w:t>要求乙方</w:t>
      </w:r>
      <w:r>
        <w:rPr>
          <w:rFonts w:hint="eastAsia" w:ascii="宋体" w:hAnsi="宋体"/>
          <w:bCs/>
          <w:sz w:val="24"/>
        </w:rPr>
        <w:t>限期整改</w:t>
      </w:r>
      <w:r>
        <w:rPr>
          <w:rFonts w:ascii="宋体" w:hAnsi="宋体"/>
          <w:bCs/>
          <w:sz w:val="24"/>
        </w:rPr>
        <w:t>。</w:t>
      </w:r>
    </w:p>
    <w:p>
      <w:pPr>
        <w:tabs>
          <w:tab w:val="left" w:pos="1440"/>
        </w:tabs>
        <w:adjustRightInd w:val="0"/>
        <w:spacing w:line="460" w:lineRule="exact"/>
        <w:ind w:firstLine="480" w:firstLineChars="200"/>
        <w:jc w:val="left"/>
        <w:textAlignment w:val="baseline"/>
        <w:rPr>
          <w:rFonts w:ascii="宋体" w:hAnsi="宋体"/>
          <w:bCs/>
          <w:sz w:val="24"/>
        </w:rPr>
      </w:pPr>
      <w:r>
        <w:rPr>
          <w:rFonts w:hint="eastAsia" w:ascii="宋体" w:hAnsi="宋体"/>
          <w:bCs/>
          <w:sz w:val="24"/>
        </w:rPr>
        <w:t>2．甲方有权依据《考评办法》对乙方提供的服务进行定期考评。当考评结果未达到标准时，有权依据《考评办法》约定的数额扣除作业经费和履约保证金。</w:t>
      </w:r>
    </w:p>
    <w:p>
      <w:pPr>
        <w:tabs>
          <w:tab w:val="left" w:pos="1440"/>
        </w:tabs>
        <w:adjustRightInd w:val="0"/>
        <w:spacing w:line="460" w:lineRule="exact"/>
        <w:ind w:firstLine="480" w:firstLineChars="200"/>
        <w:jc w:val="left"/>
        <w:textAlignment w:val="baseline"/>
        <w:rPr>
          <w:rFonts w:ascii="宋体" w:hAnsi="宋体"/>
          <w:bCs/>
          <w:sz w:val="24"/>
        </w:rPr>
      </w:pPr>
      <w:r>
        <w:rPr>
          <w:rFonts w:hint="eastAsia" w:ascii="宋体" w:hAnsi="宋体"/>
          <w:bCs/>
          <w:sz w:val="24"/>
        </w:rPr>
        <w:t>3．</w:t>
      </w:r>
      <w:r>
        <w:rPr>
          <w:rFonts w:ascii="宋体" w:hAnsi="宋体"/>
          <w:bCs/>
          <w:sz w:val="24"/>
        </w:rPr>
        <w:t>负责检查监督乙方管理工作的实施及制度的执行情况。</w:t>
      </w:r>
    </w:p>
    <w:p>
      <w:pPr>
        <w:tabs>
          <w:tab w:val="left" w:pos="1440"/>
        </w:tabs>
        <w:adjustRightInd w:val="0"/>
        <w:spacing w:line="460" w:lineRule="exact"/>
        <w:ind w:left="240" w:firstLine="240" w:firstLineChars="100"/>
        <w:jc w:val="left"/>
        <w:textAlignment w:val="baseline"/>
        <w:rPr>
          <w:rFonts w:ascii="宋体" w:hAnsi="宋体"/>
          <w:bCs/>
          <w:sz w:val="24"/>
        </w:rPr>
      </w:pPr>
      <w:r>
        <w:rPr>
          <w:rFonts w:hint="eastAsia" w:ascii="宋体" w:hAnsi="宋体"/>
          <w:bCs/>
          <w:sz w:val="24"/>
        </w:rPr>
        <w:t>4．</w:t>
      </w:r>
      <w:r>
        <w:rPr>
          <w:rFonts w:ascii="宋体" w:hAnsi="宋体"/>
          <w:bCs/>
          <w:sz w:val="24"/>
        </w:rPr>
        <w:t>根据本合同规定，按时向乙方支付应付</w:t>
      </w:r>
      <w:r>
        <w:rPr>
          <w:rFonts w:hint="eastAsia" w:ascii="宋体" w:hAnsi="宋体"/>
          <w:bCs/>
          <w:sz w:val="24"/>
        </w:rPr>
        <w:t>服务费用</w:t>
      </w:r>
      <w:r>
        <w:rPr>
          <w:rFonts w:ascii="宋体" w:hAnsi="宋体"/>
          <w:bCs/>
          <w:sz w:val="24"/>
        </w:rPr>
        <w:t>。</w:t>
      </w:r>
    </w:p>
    <w:p>
      <w:pPr>
        <w:tabs>
          <w:tab w:val="left" w:pos="1440"/>
        </w:tabs>
        <w:adjustRightInd w:val="0"/>
        <w:spacing w:line="460" w:lineRule="exact"/>
        <w:ind w:firstLine="480" w:firstLineChars="200"/>
        <w:jc w:val="left"/>
        <w:textAlignment w:val="baseline"/>
        <w:rPr>
          <w:rFonts w:ascii="宋体" w:hAnsi="宋体"/>
          <w:bCs/>
          <w:sz w:val="24"/>
        </w:rPr>
      </w:pPr>
      <w:r>
        <w:rPr>
          <w:rFonts w:hint="eastAsia" w:ascii="宋体" w:hAnsi="宋体"/>
          <w:bCs/>
          <w:sz w:val="24"/>
        </w:rPr>
        <w:t>5.</w:t>
      </w:r>
      <w:r>
        <w:rPr>
          <w:rFonts w:ascii="宋体" w:hAnsi="宋体"/>
          <w:bCs/>
          <w:sz w:val="24"/>
        </w:rPr>
        <w:t>国家法律、法规所规定由甲方承担的其它责任。</w:t>
      </w:r>
    </w:p>
    <w:p>
      <w:pPr>
        <w:tabs>
          <w:tab w:val="left" w:pos="1440"/>
        </w:tabs>
        <w:adjustRightInd w:val="0"/>
        <w:spacing w:line="460" w:lineRule="exact"/>
        <w:ind w:firstLine="482" w:firstLineChars="200"/>
        <w:jc w:val="left"/>
        <w:textAlignment w:val="baseline"/>
        <w:rPr>
          <w:rFonts w:ascii="宋体" w:hAnsi="宋体"/>
          <w:b/>
          <w:sz w:val="24"/>
        </w:rPr>
      </w:pPr>
      <w:r>
        <w:rPr>
          <w:rFonts w:hint="eastAsia" w:ascii="宋体" w:hAnsi="宋体"/>
          <w:b/>
          <w:sz w:val="24"/>
        </w:rPr>
        <w:t xml:space="preserve">第八条  </w:t>
      </w:r>
      <w:r>
        <w:rPr>
          <w:rFonts w:ascii="宋体" w:hAnsi="宋体"/>
          <w:b/>
          <w:sz w:val="24"/>
        </w:rPr>
        <w:t>乙方的权利和义务</w:t>
      </w:r>
    </w:p>
    <w:p>
      <w:pPr>
        <w:spacing w:line="460" w:lineRule="exact"/>
        <w:ind w:firstLine="480" w:firstLineChars="200"/>
        <w:rPr>
          <w:rFonts w:ascii="宋体" w:hAnsi="宋体"/>
          <w:sz w:val="24"/>
        </w:rPr>
      </w:pPr>
      <w:r>
        <w:rPr>
          <w:rFonts w:hint="eastAsia" w:ascii="宋体" w:hAnsi="宋体"/>
          <w:sz w:val="24"/>
        </w:rPr>
        <w:t>1.乙方不得超过自己履约能力接受该项任务，该工作不允许转包或分包。若发现有转包或分包的行为，甲方有权单方解除本合同，并不予退还乙方履约保证金；给甲方造成损失的，乙方应作相应赔偿。</w:t>
      </w:r>
    </w:p>
    <w:p>
      <w:pPr>
        <w:spacing w:line="460" w:lineRule="exact"/>
        <w:ind w:firstLine="480" w:firstLineChars="200"/>
        <w:rPr>
          <w:rFonts w:ascii="宋体" w:hAnsi="宋体"/>
          <w:sz w:val="24"/>
        </w:rPr>
      </w:pPr>
      <w:r>
        <w:rPr>
          <w:rFonts w:hint="eastAsia" w:ascii="宋体" w:hAnsi="宋体"/>
          <w:sz w:val="24"/>
        </w:rPr>
        <w:t>2.乙方应严格执行国家劳动保障相关法律、政策规定，按照国家有关法律法规和合同要求，与职工签订劳动合同，为其购买“五项保险一金”，切实维护环卫工人的各项合法权益，合理安排酷暑、寒冬季度作业方式。严格按照</w:t>
      </w:r>
      <w:r>
        <w:rPr>
          <w:rFonts w:hint="eastAsia" w:ascii="宋体" w:hAnsi="宋体" w:cs="宋体"/>
          <w:sz w:val="24"/>
        </w:rPr>
        <w:t>《成都市城市管理委员会关于明确环卫工人工资和福利待遇发放标准的通知》（成城函【2020】271号）文件规定，于次月5日前完成上月工资发放。</w:t>
      </w:r>
    </w:p>
    <w:p>
      <w:pPr>
        <w:spacing w:line="460" w:lineRule="exact"/>
        <w:ind w:firstLine="480" w:firstLineChars="200"/>
        <w:rPr>
          <w:rFonts w:ascii="宋体" w:hAnsi="宋体"/>
          <w:sz w:val="24"/>
        </w:rPr>
      </w:pPr>
      <w:r>
        <w:rPr>
          <w:rFonts w:hint="eastAsia" w:ascii="宋体" w:hAnsi="宋体"/>
          <w:sz w:val="24"/>
        </w:rPr>
        <w:t>3.乙方自行承担履行本合同项下义务的全部成本和费用。乙方在履行本合同过程中因乙方责任造成的财产损失或人员人身损害（死亡），由乙方全权负责赔偿。乙方应高度重视安全生产作业，履行安全生产主体责任，承担因安全事故造成的所有损失。因乙方管理不善给甲方造成的一切损失均由乙方全部负责，甲方因此被先行追责的，乙方应全额赔偿。</w:t>
      </w:r>
    </w:p>
    <w:p>
      <w:pPr>
        <w:spacing w:line="460" w:lineRule="exact"/>
        <w:ind w:firstLine="480" w:firstLineChars="200"/>
        <w:rPr>
          <w:rFonts w:ascii="宋体" w:hAnsi="宋体"/>
          <w:sz w:val="24"/>
        </w:rPr>
      </w:pPr>
      <w:r>
        <w:rPr>
          <w:rFonts w:hint="eastAsia" w:ascii="宋体" w:hAnsi="宋体"/>
          <w:sz w:val="24"/>
        </w:rPr>
        <w:t>4.每月向甲方书面报告作业服务实施情况，接受甲方和市城市管理委员会的监督、检查和指导，完成交办的临时性、突发性任务；对于作业服务范围内发生的违反城市环境卫生管理等法律、法规规定的人和事，应积极采取劝阻、制止等措施并及时报甲方备案。</w:t>
      </w:r>
    </w:p>
    <w:p>
      <w:pPr>
        <w:spacing w:line="460" w:lineRule="exact"/>
        <w:ind w:firstLine="480" w:firstLineChars="200"/>
        <w:rPr>
          <w:rFonts w:ascii="宋体" w:hAnsi="宋体"/>
          <w:sz w:val="24"/>
        </w:rPr>
      </w:pPr>
      <w:r>
        <w:rPr>
          <w:rFonts w:hint="eastAsia" w:ascii="宋体" w:hAnsi="宋体"/>
          <w:sz w:val="24"/>
        </w:rPr>
        <w:t>5.及时向甲方通告本项目服务范围内有关服务的重大事项，及时配合处理投诉。</w:t>
      </w:r>
    </w:p>
    <w:p>
      <w:pPr>
        <w:spacing w:line="460" w:lineRule="exact"/>
        <w:ind w:firstLine="480" w:firstLineChars="200"/>
        <w:rPr>
          <w:rFonts w:ascii="宋体" w:hAnsi="宋体"/>
          <w:sz w:val="24"/>
        </w:rPr>
      </w:pPr>
      <w:r>
        <w:rPr>
          <w:rFonts w:hint="eastAsia" w:ascii="宋体" w:hAnsi="宋体"/>
          <w:sz w:val="24"/>
        </w:rPr>
        <w:t>6.乙方须服从甲方及区城市管理行政主管部门的临时工作安排，</w:t>
      </w:r>
      <w:r>
        <w:rPr>
          <w:rFonts w:ascii="宋体" w:hAnsi="宋体"/>
          <w:sz w:val="24"/>
        </w:rPr>
        <w:t>接受</w:t>
      </w:r>
      <w:r>
        <w:rPr>
          <w:rFonts w:hint="eastAsia" w:ascii="宋体" w:hAnsi="宋体"/>
          <w:sz w:val="24"/>
        </w:rPr>
        <w:t>项目行</w:t>
      </w:r>
      <w:r>
        <w:rPr>
          <w:rFonts w:ascii="宋体" w:hAnsi="宋体"/>
          <w:sz w:val="24"/>
        </w:rPr>
        <w:t>业管理部门及政府有关部门的指导，接受甲方的监督。</w:t>
      </w:r>
      <w:r>
        <w:rPr>
          <w:rFonts w:hint="eastAsia" w:ascii="宋体" w:hAnsi="宋体"/>
          <w:sz w:val="24"/>
        </w:rPr>
        <w:t>按时保质完成交办临时性工作任务。</w:t>
      </w:r>
    </w:p>
    <w:p>
      <w:pPr>
        <w:spacing w:line="460" w:lineRule="exact"/>
        <w:ind w:firstLine="480" w:firstLineChars="200"/>
        <w:rPr>
          <w:rFonts w:ascii="宋体" w:hAnsi="宋体"/>
          <w:sz w:val="24"/>
        </w:rPr>
      </w:pPr>
      <w:r>
        <w:rPr>
          <w:rFonts w:hint="eastAsia" w:ascii="宋体" w:hAnsi="宋体"/>
          <w:sz w:val="24"/>
        </w:rPr>
        <w:t>7.乙方应对管护区域内的环卫数字化派件、信访件、投诉件等各级来件及社会投诉在规定期限内按质完成整改，逾期或整改不到位的，严格按照《成都市郫都区城镇环卫作业监督考核办法》（服务期内如有调整，以新《办法》为准）进行扣分并扣减作业经费。</w:t>
      </w:r>
    </w:p>
    <w:p>
      <w:pPr>
        <w:spacing w:line="460" w:lineRule="exact"/>
        <w:ind w:firstLine="480" w:firstLineChars="200"/>
        <w:rPr>
          <w:rFonts w:ascii="宋体" w:hAnsi="宋体"/>
          <w:sz w:val="24"/>
        </w:rPr>
      </w:pPr>
      <w:r>
        <w:rPr>
          <w:rFonts w:hint="eastAsia" w:ascii="宋体" w:hAnsi="宋体"/>
          <w:sz w:val="24"/>
        </w:rPr>
        <w:t>8.乙方应高度重视作业人员健康保护工作，严格遵守《中华人民共和国职业病防护法》相关规定。</w:t>
      </w:r>
    </w:p>
    <w:p>
      <w:pPr>
        <w:spacing w:line="460" w:lineRule="exact"/>
        <w:ind w:firstLine="480" w:firstLineChars="200"/>
        <w:rPr>
          <w:rFonts w:ascii="宋体" w:hAnsi="宋体"/>
          <w:sz w:val="24"/>
        </w:rPr>
      </w:pPr>
      <w:r>
        <w:rPr>
          <w:rFonts w:hint="eastAsia" w:ascii="宋体" w:hAnsi="宋体"/>
          <w:sz w:val="24"/>
        </w:rPr>
        <w:t>9.乙方应投入人员或资金，配合区综合执法局开展智慧环卫管理信息平台建设和维护工作。</w:t>
      </w:r>
    </w:p>
    <w:p>
      <w:pPr>
        <w:spacing w:line="460" w:lineRule="exact"/>
        <w:ind w:firstLine="482" w:firstLineChars="200"/>
        <w:rPr>
          <w:rFonts w:ascii="宋体" w:hAnsi="宋体"/>
          <w:b/>
          <w:sz w:val="24"/>
        </w:rPr>
      </w:pPr>
      <w:r>
        <w:rPr>
          <w:rFonts w:hint="eastAsia" w:ascii="宋体" w:hAnsi="宋体"/>
          <w:b/>
          <w:sz w:val="24"/>
        </w:rPr>
        <w:t>第九条  特别约定</w:t>
      </w:r>
    </w:p>
    <w:p>
      <w:pPr>
        <w:spacing w:line="460" w:lineRule="exact"/>
        <w:ind w:firstLine="480" w:firstLineChars="200"/>
        <w:rPr>
          <w:rFonts w:ascii="宋体" w:hAnsi="宋体"/>
          <w:sz w:val="24"/>
        </w:rPr>
      </w:pPr>
      <w:r>
        <w:rPr>
          <w:rFonts w:hint="eastAsia" w:ascii="宋体" w:hAnsi="宋体"/>
          <w:sz w:val="24"/>
        </w:rPr>
        <w:t>1．乙方在合同约定的服务期限内，服务质量不符合招标文件的要求，甲方有权单方解除合同，乙方自行承担相应责任。</w:t>
      </w:r>
    </w:p>
    <w:p>
      <w:pPr>
        <w:spacing w:line="460" w:lineRule="exact"/>
        <w:ind w:firstLine="480" w:firstLineChars="200"/>
        <w:rPr>
          <w:rFonts w:ascii="宋体" w:hAnsi="宋体"/>
          <w:sz w:val="24"/>
        </w:rPr>
      </w:pPr>
      <w:r>
        <w:rPr>
          <w:rFonts w:hint="eastAsia" w:ascii="宋体" w:hAnsi="宋体"/>
          <w:sz w:val="24"/>
        </w:rPr>
        <w:t>2．乙方保证提供的资信文件真实有效，并对其真实性负全部法律责任。</w:t>
      </w:r>
    </w:p>
    <w:p>
      <w:pPr>
        <w:spacing w:line="460" w:lineRule="exact"/>
        <w:ind w:firstLine="480" w:firstLineChars="200"/>
        <w:rPr>
          <w:rFonts w:ascii="宋体" w:hAnsi="宋体"/>
          <w:sz w:val="24"/>
        </w:rPr>
      </w:pPr>
      <w:r>
        <w:rPr>
          <w:rFonts w:hint="eastAsia" w:ascii="宋体" w:hAnsi="宋体"/>
          <w:sz w:val="24"/>
        </w:rPr>
        <w:t>3．乙方承诺：</w:t>
      </w:r>
      <w:r>
        <w:rPr>
          <w:rFonts w:hint="eastAsia" w:ascii="宋体" w:hAnsi="宋体" w:cs="宋体"/>
          <w:sz w:val="24"/>
        </w:rPr>
        <w:t>招标文件规定配置人员一线环卫从业人员月工资执行《成都市环卫工人健康安全关爱办法》（成府发&lt;2019&gt;6号）、</w:t>
      </w:r>
      <w:r>
        <w:rPr>
          <w:rFonts w:hint="eastAsia" w:ascii="宋体" w:hAnsi="宋体"/>
          <w:sz w:val="24"/>
        </w:rPr>
        <w:t>《关于加强环境卫生市场化从业人员工资管理的规定》</w:t>
      </w:r>
      <w:r>
        <w:rPr>
          <w:rFonts w:hint="eastAsia" w:ascii="宋体" w:hAnsi="宋体" w:cs="宋体"/>
          <w:sz w:val="24"/>
        </w:rPr>
        <w:t>成城发（2016）17号。在合同期限内，遇国家政策调整增加的费用由乙方承担</w:t>
      </w:r>
      <w:r>
        <w:rPr>
          <w:rFonts w:hint="eastAsia" w:ascii="宋体" w:hAnsi="宋体"/>
          <w:sz w:val="24"/>
        </w:rPr>
        <w:t>。在合同期限内，遇国家政策调整最低工资标准，一线环卫从业人员最低工资标准应作相应调整，调整增加部分的费用由乙方承担。</w:t>
      </w:r>
    </w:p>
    <w:p>
      <w:pPr>
        <w:spacing w:line="460" w:lineRule="exact"/>
        <w:ind w:firstLine="480" w:firstLineChars="200"/>
        <w:rPr>
          <w:rFonts w:ascii="宋体" w:hAnsi="宋体"/>
          <w:sz w:val="24"/>
        </w:rPr>
      </w:pPr>
      <w:r>
        <w:rPr>
          <w:rFonts w:hint="eastAsia" w:ascii="宋体" w:hAnsi="宋体"/>
          <w:sz w:val="24"/>
        </w:rPr>
        <w:t>4．乙方承诺：若公司注册地不在郫都区或在郫都区无固定服务机构，须在中标通知书领取后设立郫都区分公司，以及在中标通知书领取后30日内于中标辖区内设立固定的办公场所及所有作业机具停放点，否则视为放弃资格，即乙方未做到上述承诺，甲方即享有单方解除合同的权利。</w:t>
      </w:r>
    </w:p>
    <w:p>
      <w:pPr>
        <w:spacing w:line="460" w:lineRule="exact"/>
        <w:ind w:firstLine="480" w:firstLineChars="200"/>
        <w:rPr>
          <w:rFonts w:ascii="宋体" w:hAnsi="宋体"/>
          <w:sz w:val="24"/>
        </w:rPr>
      </w:pPr>
      <w:r>
        <w:rPr>
          <w:rFonts w:hint="eastAsia" w:ascii="宋体" w:hAnsi="宋体"/>
          <w:sz w:val="24"/>
        </w:rPr>
        <w:t>5. 乙方承诺：调整劳动用工政策，工人原则上聘用初中文化程度以上、身体健康，男性60周岁以下，女性50周岁以下符合办理社会保险手续的人员。招标文件规定的</w:t>
      </w:r>
      <w:r>
        <w:rPr>
          <w:rFonts w:hint="eastAsia" w:ascii="宋体" w:hAnsi="宋体" w:cs="宋体"/>
          <w:sz w:val="24"/>
        </w:rPr>
        <w:t>项目人员（含管理人员及作业人员），严格执行《成都市环卫工人健康安全关爱办法》（成府发&lt;2019&gt;6号）、《关于加强环境卫生市场化从业人员工资管理的规定》（成城发&lt;2016&gt;17号）等省、市、区各级有关文件要求。</w:t>
      </w:r>
    </w:p>
    <w:p>
      <w:pPr>
        <w:spacing w:line="460" w:lineRule="exact"/>
        <w:ind w:firstLine="480" w:firstLineChars="200"/>
        <w:rPr>
          <w:rFonts w:ascii="宋体" w:hAnsi="宋体" w:cs="宋体"/>
          <w:sz w:val="24"/>
        </w:rPr>
      </w:pPr>
      <w:r>
        <w:rPr>
          <w:rFonts w:hint="eastAsia" w:ascii="宋体" w:hAnsi="宋体"/>
          <w:sz w:val="24"/>
        </w:rPr>
        <w:t>6.乙方承诺：须为员工购买雇主责任险和员工意外伤害保险，并将相关资料报甲方备案。做好接害岗位员工职业病防治工作，接害岗位员工要做好录用前、中、离</w:t>
      </w:r>
      <w:r>
        <w:rPr>
          <w:rFonts w:hint="eastAsia" w:ascii="宋体" w:hAnsi="宋体" w:cs="宋体"/>
          <w:sz w:val="24"/>
        </w:rPr>
        <w:t>职职业健康体检和安全生产教育培训等工作。</w:t>
      </w:r>
    </w:p>
    <w:p>
      <w:pPr>
        <w:spacing w:line="460" w:lineRule="exact"/>
        <w:ind w:firstLine="480" w:firstLineChars="200"/>
        <w:rPr>
          <w:rFonts w:ascii="宋体" w:hAnsi="宋体" w:cs="宋体"/>
          <w:sz w:val="24"/>
        </w:rPr>
      </w:pPr>
      <w:r>
        <w:rPr>
          <w:rFonts w:hint="eastAsia" w:ascii="宋体" w:hAnsi="宋体" w:cs="宋体"/>
          <w:sz w:val="24"/>
        </w:rPr>
        <w:t>7.乙方承诺：乙方辞退本包件作业人员，应当按照《中华人民共和国劳动合同法》规定，向被辞退人补发经济补偿金。</w:t>
      </w:r>
    </w:p>
    <w:p>
      <w:pPr>
        <w:spacing w:line="460" w:lineRule="exact"/>
        <w:ind w:firstLine="482" w:firstLineChars="200"/>
        <w:rPr>
          <w:rFonts w:ascii="宋体" w:hAnsi="宋体"/>
          <w:b/>
          <w:sz w:val="24"/>
        </w:rPr>
      </w:pPr>
      <w:r>
        <w:rPr>
          <w:rFonts w:hint="eastAsia" w:ascii="宋体" w:hAnsi="宋体"/>
          <w:b/>
          <w:sz w:val="24"/>
        </w:rPr>
        <w:t>第十条  违约责任</w:t>
      </w:r>
    </w:p>
    <w:p>
      <w:pPr>
        <w:spacing w:line="460" w:lineRule="exact"/>
        <w:ind w:firstLine="480" w:firstLineChars="200"/>
        <w:rPr>
          <w:rFonts w:ascii="宋体" w:hAnsi="宋体"/>
          <w:sz w:val="24"/>
        </w:rPr>
      </w:pPr>
      <w:r>
        <w:rPr>
          <w:rFonts w:hint="eastAsia" w:ascii="宋体" w:hAnsi="宋体"/>
          <w:sz w:val="24"/>
        </w:rPr>
        <w:t>1．甲方违反本合同的约定，使乙方未完成本合同约定的服务任务，乙方有权要求甲方在一定期限内解决，逾期未解决并造成乙方经济损失的，甲方应按照乙方的实际损失赔偿。</w:t>
      </w:r>
    </w:p>
    <w:p>
      <w:pPr>
        <w:spacing w:line="460" w:lineRule="exact"/>
        <w:ind w:firstLine="480" w:firstLineChars="200"/>
        <w:rPr>
          <w:rFonts w:ascii="宋体" w:hAnsi="宋体"/>
          <w:bCs/>
          <w:sz w:val="24"/>
        </w:rPr>
      </w:pPr>
      <w:r>
        <w:rPr>
          <w:rFonts w:hint="eastAsia" w:ascii="宋体" w:hAnsi="宋体"/>
          <w:sz w:val="24"/>
        </w:rPr>
        <w:t>2．乙方不履行本合同约定，不按本合同约定完成任务或未按投标书承诺投入人力、物力和设备，甲方有权要求乙方限期整改，逾期未整改或乙方严重违约的，甲方有权解除合同并不退还履约保证金；因此给甲方造成的损失甲方有权在履约保证金中予以扣除，不足部分甲方可向乙方追偿。</w:t>
      </w:r>
    </w:p>
    <w:p>
      <w:pPr>
        <w:spacing w:line="460" w:lineRule="exact"/>
        <w:ind w:firstLine="480" w:firstLineChars="200"/>
        <w:rPr>
          <w:rFonts w:ascii="宋体" w:hAnsi="宋体"/>
          <w:sz w:val="24"/>
        </w:rPr>
      </w:pPr>
      <w:r>
        <w:rPr>
          <w:rFonts w:hint="eastAsia" w:ascii="宋体" w:hAnsi="宋体"/>
          <w:sz w:val="24"/>
        </w:rPr>
        <w:t>3．乙方在本合同终止后，不按规定时间撤离作业区域的，每逾期一日应向甲方支付中标价万分之五的违约金，由此给甲方造成的损失甲方有权在履约保证金中予以扣除，不足部分甲方可向乙方追偿。</w:t>
      </w:r>
    </w:p>
    <w:p>
      <w:pPr>
        <w:spacing w:line="460" w:lineRule="exact"/>
        <w:ind w:firstLine="480" w:firstLineChars="200"/>
        <w:rPr>
          <w:rFonts w:ascii="宋体" w:hAnsi="宋体"/>
          <w:sz w:val="24"/>
        </w:rPr>
      </w:pPr>
      <w:r>
        <w:rPr>
          <w:rFonts w:hint="eastAsia" w:ascii="宋体" w:hAnsi="宋体"/>
          <w:sz w:val="24"/>
        </w:rPr>
        <w:t>4．因乙方管理不善或操作不当等原因造成甲方、乙方或第三方重大人身、财产事故的，由乙方承担责任并负责善后处理，造成甲方经济损失的，乙方应给予甲方赔偿。</w:t>
      </w:r>
    </w:p>
    <w:p>
      <w:pPr>
        <w:spacing w:line="460" w:lineRule="exact"/>
        <w:ind w:firstLine="480" w:firstLineChars="200"/>
        <w:rPr>
          <w:rFonts w:ascii="宋体" w:hAnsi="宋体"/>
          <w:sz w:val="24"/>
        </w:rPr>
      </w:pPr>
      <w:r>
        <w:rPr>
          <w:rFonts w:hint="eastAsia" w:ascii="宋体" w:hAnsi="宋体"/>
          <w:sz w:val="24"/>
        </w:rPr>
        <w:t>5．任何一方单方面擅自终止或解除合同，视为违约，违约方应按一年合同总价的10%向守约方支付违约金，并承担因合同终止或解除给对方造成的全部经济损失。</w:t>
      </w:r>
    </w:p>
    <w:p>
      <w:pPr>
        <w:spacing w:line="460" w:lineRule="exact"/>
        <w:ind w:firstLine="480" w:firstLineChars="200"/>
        <w:rPr>
          <w:rFonts w:ascii="宋体" w:hAnsi="宋体"/>
          <w:sz w:val="24"/>
        </w:rPr>
      </w:pPr>
      <w:r>
        <w:rPr>
          <w:rFonts w:hint="eastAsia" w:ascii="宋体" w:hAnsi="宋体"/>
          <w:sz w:val="24"/>
        </w:rPr>
        <w:t>6．因乙方原因导致发生以下情况之一，甲方有权解除合同并不予退还履约保证金，由此给甲方造成损失的，由乙方承担。</w:t>
      </w:r>
    </w:p>
    <w:p>
      <w:pPr>
        <w:spacing w:line="460" w:lineRule="exact"/>
        <w:ind w:firstLine="480" w:firstLineChars="200"/>
        <w:rPr>
          <w:rFonts w:ascii="宋体" w:hAnsi="宋体"/>
          <w:sz w:val="24"/>
        </w:rPr>
      </w:pPr>
      <w:r>
        <w:rPr>
          <w:rFonts w:hint="eastAsia" w:ascii="宋体" w:hAnsi="宋体"/>
          <w:sz w:val="24"/>
        </w:rPr>
        <w:t>（1）按照届时《郫都区环卫作业考核办法》规定，达到解除合同条件的。</w:t>
      </w:r>
    </w:p>
    <w:p>
      <w:pPr>
        <w:spacing w:line="460" w:lineRule="exact"/>
        <w:ind w:firstLine="480" w:firstLineChars="200"/>
        <w:rPr>
          <w:rFonts w:ascii="宋体" w:hAnsi="宋体"/>
          <w:sz w:val="24"/>
        </w:rPr>
      </w:pPr>
      <w:r>
        <w:rPr>
          <w:rFonts w:hint="eastAsia" w:ascii="宋体" w:hAnsi="宋体"/>
          <w:sz w:val="24"/>
        </w:rPr>
        <w:t>（2）乙方或因乙方原因导致甲方全年被市、区环境卫生行政主管部门诫勉两次以上（不含）的。</w:t>
      </w:r>
    </w:p>
    <w:p>
      <w:pPr>
        <w:spacing w:line="460" w:lineRule="exact"/>
        <w:ind w:firstLine="480" w:firstLineChars="200"/>
        <w:rPr>
          <w:rFonts w:ascii="宋体" w:hAnsi="宋体"/>
          <w:sz w:val="24"/>
        </w:rPr>
      </w:pPr>
      <w:r>
        <w:rPr>
          <w:rFonts w:hint="eastAsia" w:ascii="宋体" w:hAnsi="宋体"/>
          <w:sz w:val="24"/>
        </w:rPr>
        <w:t>（3）辖区环境卫生被媒体曝光或省、市、区领导批评，造成恶劣影响、严重后果的。</w:t>
      </w:r>
    </w:p>
    <w:p>
      <w:pPr>
        <w:spacing w:line="460" w:lineRule="exact"/>
        <w:ind w:firstLine="480" w:firstLineChars="200"/>
        <w:rPr>
          <w:rFonts w:ascii="宋体" w:hAnsi="宋体"/>
          <w:sz w:val="24"/>
        </w:rPr>
      </w:pPr>
      <w:r>
        <w:rPr>
          <w:rFonts w:hint="eastAsia" w:ascii="宋体" w:hAnsi="宋体"/>
          <w:sz w:val="24"/>
        </w:rPr>
        <w:t>（4）对甲方就同一个问题发出书面整改通知三次以上（含三次）未整改合格的。</w:t>
      </w:r>
    </w:p>
    <w:p>
      <w:pPr>
        <w:spacing w:line="460" w:lineRule="exact"/>
        <w:ind w:firstLine="480" w:firstLineChars="200"/>
        <w:rPr>
          <w:rFonts w:ascii="宋体" w:hAnsi="宋体"/>
          <w:sz w:val="24"/>
        </w:rPr>
      </w:pPr>
      <w:r>
        <w:rPr>
          <w:rFonts w:hint="eastAsia" w:ascii="宋体" w:hAnsi="宋体"/>
          <w:sz w:val="24"/>
        </w:rPr>
        <w:t>（5）乙方未按《中华人民共和国劳动法》及时与环卫工人签订劳动合同，未全额购买社保五项基本险（养老、医疗、生育、工伤、失业）、未按时发放工资、加班费的，第一次由甲方对乙方进行提醒，限期未解决的，或发生第二次类似事件的。</w:t>
      </w:r>
    </w:p>
    <w:p>
      <w:pPr>
        <w:spacing w:line="460" w:lineRule="exact"/>
        <w:ind w:firstLine="480" w:firstLineChars="200"/>
        <w:rPr>
          <w:rFonts w:ascii="宋体" w:hAnsi="宋体"/>
          <w:sz w:val="24"/>
        </w:rPr>
      </w:pPr>
      <w:r>
        <w:rPr>
          <w:rFonts w:hint="eastAsia" w:ascii="宋体" w:hAnsi="宋体"/>
          <w:sz w:val="24"/>
        </w:rPr>
        <w:t>（6）乙方发生环卫作业、从业人员劳资纠纷，被劳动监察部门立案调查应由乙方负责情况属实的。</w:t>
      </w:r>
    </w:p>
    <w:p>
      <w:pPr>
        <w:spacing w:line="460" w:lineRule="exact"/>
        <w:ind w:firstLine="480" w:firstLineChars="200"/>
        <w:rPr>
          <w:rFonts w:ascii="宋体" w:hAnsi="宋体"/>
          <w:sz w:val="24"/>
        </w:rPr>
      </w:pPr>
      <w:r>
        <w:rPr>
          <w:rFonts w:hint="eastAsia" w:ascii="宋体" w:hAnsi="宋体"/>
          <w:sz w:val="24"/>
        </w:rPr>
        <w:t>（7）乙方与环卫工人签订劳动合同，购买社保五项基本险（养老、医疗、生育、工伤、失业）两次未按要求到甲方备案的。</w:t>
      </w:r>
    </w:p>
    <w:p>
      <w:pPr>
        <w:spacing w:line="460" w:lineRule="exact"/>
        <w:ind w:firstLine="480" w:firstLineChars="200"/>
        <w:rPr>
          <w:rFonts w:ascii="宋体" w:hAnsi="宋体"/>
          <w:sz w:val="24"/>
        </w:rPr>
      </w:pPr>
      <w:r>
        <w:rPr>
          <w:rFonts w:hint="eastAsia" w:ascii="宋体" w:hAnsi="宋体"/>
          <w:sz w:val="24"/>
        </w:rPr>
        <w:t>（8）对本合同内容进行转让、分包，或者进行挂靠的。</w:t>
      </w:r>
    </w:p>
    <w:p>
      <w:pPr>
        <w:spacing w:line="460" w:lineRule="exact"/>
        <w:ind w:firstLine="482" w:firstLineChars="200"/>
        <w:rPr>
          <w:rFonts w:ascii="宋体" w:hAnsi="宋体"/>
          <w:b/>
          <w:sz w:val="24"/>
        </w:rPr>
      </w:pPr>
      <w:r>
        <w:rPr>
          <w:rFonts w:hint="eastAsia" w:ascii="宋体" w:hAnsi="宋体"/>
          <w:b/>
          <w:sz w:val="24"/>
        </w:rPr>
        <w:t>第十一条  争议的解决办法</w:t>
      </w:r>
    </w:p>
    <w:p>
      <w:pPr>
        <w:spacing w:line="460" w:lineRule="exact"/>
        <w:ind w:firstLine="480" w:firstLineChars="200"/>
        <w:rPr>
          <w:rFonts w:ascii="宋体" w:hAnsi="宋体"/>
          <w:sz w:val="24"/>
        </w:rPr>
      </w:pPr>
      <w:r>
        <w:rPr>
          <w:rFonts w:ascii="宋体" w:hAnsi="宋体"/>
          <w:sz w:val="24"/>
        </w:rPr>
        <w:t>在执行本合同中发生的或与本合同有关的争端，双方应通过友好协商解决，经协商在60天内不能达成协议时，应向甲方所在地人民法院起诉</w:t>
      </w:r>
      <w:r>
        <w:rPr>
          <w:rFonts w:hint="eastAsia" w:ascii="宋体" w:hAnsi="宋体"/>
          <w:sz w:val="24"/>
        </w:rPr>
        <w:t>。</w:t>
      </w:r>
    </w:p>
    <w:p>
      <w:pPr>
        <w:spacing w:line="460" w:lineRule="exact"/>
        <w:ind w:firstLine="482" w:firstLineChars="200"/>
        <w:rPr>
          <w:rFonts w:ascii="宋体" w:hAnsi="宋体"/>
          <w:b/>
          <w:sz w:val="24"/>
        </w:rPr>
      </w:pPr>
      <w:r>
        <w:rPr>
          <w:rFonts w:hint="eastAsia" w:ascii="宋体" w:hAnsi="宋体"/>
          <w:b/>
          <w:sz w:val="24"/>
        </w:rPr>
        <w:t>第十二条  不可抗力</w:t>
      </w:r>
    </w:p>
    <w:p>
      <w:pPr>
        <w:spacing w:line="460" w:lineRule="exact"/>
        <w:ind w:firstLine="480" w:firstLineChars="200"/>
        <w:rPr>
          <w:rFonts w:ascii="宋体" w:hAnsi="宋体"/>
          <w:sz w:val="24"/>
        </w:rPr>
      </w:pPr>
      <w:r>
        <w:rPr>
          <w:rFonts w:hint="eastAsia" w:ascii="宋体" w:hAnsi="宋体"/>
          <w:sz w:val="24"/>
        </w:rPr>
        <w:t>1．因国家或省、市政府政策调整致使本合同无法履行的，甲方终止合同，因此给乙方造成的损失，甲方不承担责任。</w:t>
      </w:r>
    </w:p>
    <w:p>
      <w:pPr>
        <w:tabs>
          <w:tab w:val="left" w:pos="0"/>
        </w:tabs>
        <w:spacing w:line="460" w:lineRule="exact"/>
        <w:ind w:firstLine="480" w:firstLineChars="200"/>
        <w:rPr>
          <w:rFonts w:ascii="宋体" w:hAnsi="宋体"/>
          <w:sz w:val="24"/>
        </w:rPr>
      </w:pPr>
      <w:r>
        <w:rPr>
          <w:rFonts w:hint="eastAsia" w:ascii="宋体" w:hAnsi="宋体"/>
          <w:sz w:val="24"/>
        </w:rPr>
        <w:t>2．在合同有效期内，如遇不可抗力（如地震、洪灾等自然灾害）所造成的财产损失，任何一方因不可抗力事件导致不能履行合同，不承担责任。</w:t>
      </w:r>
    </w:p>
    <w:p>
      <w:pPr>
        <w:tabs>
          <w:tab w:val="left" w:pos="0"/>
        </w:tabs>
        <w:spacing w:line="460" w:lineRule="exact"/>
        <w:ind w:firstLine="480" w:firstLineChars="200"/>
        <w:rPr>
          <w:rFonts w:ascii="宋体" w:hAnsi="宋体"/>
          <w:sz w:val="24"/>
        </w:rPr>
      </w:pPr>
      <w:r>
        <w:rPr>
          <w:rFonts w:hint="eastAsia" w:ascii="宋体" w:hAnsi="宋体"/>
          <w:sz w:val="24"/>
        </w:rPr>
        <w:t>3．不可抗力事件发生后，应立即通知对方，并送达或寄送有关权威机构出具的证明。</w:t>
      </w:r>
    </w:p>
    <w:p>
      <w:pPr>
        <w:tabs>
          <w:tab w:val="left" w:pos="0"/>
        </w:tabs>
        <w:spacing w:line="460" w:lineRule="exact"/>
        <w:ind w:firstLine="480" w:firstLineChars="200"/>
        <w:rPr>
          <w:rFonts w:ascii="宋体" w:hAnsi="宋体"/>
          <w:sz w:val="24"/>
        </w:rPr>
      </w:pPr>
      <w:r>
        <w:rPr>
          <w:rFonts w:hint="eastAsia" w:ascii="宋体" w:hAnsi="宋体"/>
          <w:sz w:val="24"/>
        </w:rPr>
        <w:t>4．不可抗力事件延续60天以上，双方应通过友好协商，确定是否继续履行合同。</w:t>
      </w:r>
    </w:p>
    <w:p>
      <w:pPr>
        <w:spacing w:line="460" w:lineRule="exact"/>
        <w:ind w:firstLine="482" w:firstLineChars="200"/>
        <w:rPr>
          <w:rFonts w:ascii="宋体" w:hAnsi="宋体"/>
          <w:b/>
          <w:sz w:val="24"/>
        </w:rPr>
      </w:pPr>
      <w:r>
        <w:rPr>
          <w:rFonts w:hint="eastAsia" w:ascii="宋体" w:hAnsi="宋体"/>
          <w:b/>
          <w:sz w:val="24"/>
        </w:rPr>
        <w:t>第十三条  合同的生效、解除与终止</w:t>
      </w:r>
    </w:p>
    <w:p>
      <w:pPr>
        <w:spacing w:line="460" w:lineRule="exact"/>
        <w:ind w:firstLine="480" w:firstLineChars="200"/>
        <w:rPr>
          <w:rFonts w:ascii="宋体" w:hAnsi="宋体"/>
          <w:sz w:val="24"/>
        </w:rPr>
      </w:pPr>
      <w:r>
        <w:rPr>
          <w:rFonts w:hint="eastAsia" w:ascii="宋体" w:hAnsi="宋体"/>
          <w:sz w:val="24"/>
        </w:rPr>
        <w:t>1．本合同自双方法定代表人（或授权代表）签字并加盖单位公章之日起生效，合同期满自动失效。</w:t>
      </w:r>
      <w:r>
        <w:rPr>
          <w:rFonts w:hint="eastAsia" w:ascii="宋体" w:hAnsi="宋体" w:cs="宋体"/>
          <w:sz w:val="24"/>
        </w:rPr>
        <w:t>续签下一年合同时，如双方已签订上年度合同的《补充合同》，应将《补充合同》内容整合至次年续签合同中。</w:t>
      </w:r>
    </w:p>
    <w:p>
      <w:pPr>
        <w:spacing w:line="460" w:lineRule="exact"/>
        <w:ind w:firstLine="480" w:firstLineChars="200"/>
        <w:rPr>
          <w:rFonts w:ascii="宋体" w:hAnsi="宋体"/>
          <w:sz w:val="24"/>
        </w:rPr>
      </w:pPr>
      <w:r>
        <w:rPr>
          <w:rFonts w:hint="eastAsia" w:ascii="宋体" w:hAnsi="宋体"/>
          <w:sz w:val="24"/>
        </w:rPr>
        <w:t>2．自本合同生效之日起一周内，根据甲方委托的服务事项，甲、乙双方办理完交接验收手续。</w:t>
      </w:r>
    </w:p>
    <w:p>
      <w:pPr>
        <w:spacing w:line="460" w:lineRule="exact"/>
        <w:ind w:firstLine="480" w:firstLineChars="200"/>
        <w:rPr>
          <w:rFonts w:ascii="宋体" w:hAnsi="宋体"/>
          <w:sz w:val="24"/>
        </w:rPr>
      </w:pPr>
      <w:r>
        <w:rPr>
          <w:rFonts w:hint="eastAsia" w:ascii="宋体" w:hAnsi="宋体"/>
          <w:sz w:val="24"/>
        </w:rPr>
        <w:t>4．本合同一式柒份，甲方执叁份，乙方执贰份，采购代理机构执壹份，财政部门备案壹份，具有同等法律效力。</w:t>
      </w:r>
    </w:p>
    <w:p>
      <w:pPr>
        <w:spacing w:line="460" w:lineRule="exact"/>
        <w:ind w:firstLine="480" w:firstLineChars="200"/>
        <w:rPr>
          <w:rFonts w:ascii="宋体" w:hAnsi="宋体"/>
          <w:sz w:val="24"/>
        </w:rPr>
      </w:pPr>
      <w:r>
        <w:rPr>
          <w:rFonts w:hint="eastAsia" w:ascii="宋体" w:hAnsi="宋体"/>
          <w:sz w:val="24"/>
        </w:rPr>
        <w:t>5．本合同未尽事宜，由双方友好协商解决。</w:t>
      </w:r>
    </w:p>
    <w:p>
      <w:pPr>
        <w:spacing w:after="120"/>
        <w:ind w:firstLine="420"/>
      </w:pPr>
    </w:p>
    <w:p>
      <w:pPr>
        <w:spacing w:line="460" w:lineRule="exact"/>
        <w:ind w:firstLine="482" w:firstLineChars="200"/>
        <w:rPr>
          <w:rFonts w:ascii="宋体" w:hAnsi="宋体"/>
          <w:b/>
          <w:sz w:val="24"/>
        </w:rPr>
      </w:pPr>
      <w:r>
        <w:rPr>
          <w:rFonts w:hint="eastAsia" w:ascii="宋体" w:hAnsi="宋体"/>
          <w:b/>
          <w:sz w:val="24"/>
        </w:rPr>
        <w:t>第十四条  协议送达事宜</w:t>
      </w:r>
    </w:p>
    <w:p>
      <w:pPr>
        <w:spacing w:line="460" w:lineRule="exact"/>
        <w:ind w:left="420" w:leftChars="200"/>
        <w:rPr>
          <w:rFonts w:ascii="宋体" w:hAnsi="宋体"/>
          <w:sz w:val="24"/>
        </w:rPr>
      </w:pPr>
      <w:r>
        <w:rPr>
          <w:rFonts w:hint="eastAsia" w:ascii="宋体" w:hAnsi="宋体"/>
          <w:sz w:val="24"/>
        </w:rPr>
        <w:t xml:space="preserve">甲方向乙方发出本协议约定的书面文件，遵照下列联系方式，直到乙方发出通知变更该联系方式为止： </w:t>
      </w:r>
    </w:p>
    <w:p>
      <w:pPr>
        <w:spacing w:after="120" w:line="500" w:lineRule="exact"/>
        <w:ind w:firstLine="480" w:firstLineChars="200"/>
        <w:rPr>
          <w:rFonts w:ascii="宋体" w:hAnsi="宋体"/>
          <w:sz w:val="24"/>
        </w:rPr>
      </w:pPr>
      <w:r>
        <w:rPr>
          <w:rFonts w:hint="eastAsia" w:ascii="宋体" w:hAnsi="宋体"/>
          <w:sz w:val="24"/>
        </w:rPr>
        <w:t xml:space="preserve">乙方联系人： </w:t>
      </w:r>
    </w:p>
    <w:p>
      <w:pPr>
        <w:spacing w:after="120" w:line="500" w:lineRule="exact"/>
        <w:ind w:firstLine="480" w:firstLineChars="200"/>
        <w:rPr>
          <w:rFonts w:ascii="宋体" w:hAnsi="宋体"/>
          <w:sz w:val="24"/>
        </w:rPr>
      </w:pPr>
      <w:r>
        <w:rPr>
          <w:rFonts w:hint="eastAsia" w:ascii="宋体" w:hAnsi="宋体"/>
          <w:sz w:val="24"/>
        </w:rPr>
        <w:t>电子邮件邮箱：</w:t>
      </w:r>
    </w:p>
    <w:p>
      <w:pPr>
        <w:spacing w:after="120" w:line="500" w:lineRule="exact"/>
        <w:ind w:firstLine="480" w:firstLineChars="200"/>
        <w:rPr>
          <w:rFonts w:ascii="宋体" w:hAnsi="宋体"/>
          <w:sz w:val="24"/>
        </w:rPr>
      </w:pPr>
      <w:r>
        <w:rPr>
          <w:rFonts w:hint="eastAsia" w:ascii="宋体" w:hAnsi="宋体"/>
          <w:sz w:val="24"/>
        </w:rPr>
        <w:t xml:space="preserve">收件地址： </w:t>
      </w:r>
    </w:p>
    <w:p>
      <w:pPr>
        <w:spacing w:after="120" w:line="500" w:lineRule="exact"/>
        <w:ind w:firstLine="480" w:firstLineChars="200"/>
        <w:rPr>
          <w:rFonts w:ascii="宋体" w:hAnsi="宋体"/>
          <w:sz w:val="24"/>
        </w:rPr>
      </w:pPr>
      <w:r>
        <w:rPr>
          <w:rFonts w:hint="eastAsia" w:ascii="宋体" w:hAnsi="宋体"/>
          <w:sz w:val="24"/>
        </w:rPr>
        <w:t xml:space="preserve">邮政编码：    </w:t>
      </w:r>
    </w:p>
    <w:p>
      <w:pPr>
        <w:spacing w:after="120" w:line="500" w:lineRule="exact"/>
        <w:ind w:firstLine="480" w:firstLineChars="200"/>
        <w:rPr>
          <w:rFonts w:ascii="宋体" w:hAnsi="宋体"/>
          <w:sz w:val="24"/>
        </w:rPr>
      </w:pPr>
      <w:r>
        <w:rPr>
          <w:rFonts w:hint="eastAsia" w:ascii="宋体" w:hAnsi="宋体"/>
          <w:sz w:val="24"/>
        </w:rPr>
        <w:t>手机号码：</w:t>
      </w:r>
    </w:p>
    <w:p>
      <w:pPr>
        <w:spacing w:after="120" w:line="500" w:lineRule="exact"/>
        <w:ind w:firstLine="480" w:firstLineChars="200"/>
        <w:rPr>
          <w:rFonts w:ascii="宋体" w:hAnsi="宋体"/>
          <w:sz w:val="24"/>
        </w:rPr>
      </w:pPr>
      <w:r>
        <w:rPr>
          <w:rFonts w:hint="eastAsia" w:ascii="宋体" w:hAnsi="宋体"/>
          <w:sz w:val="24"/>
        </w:rPr>
        <w:t>若以专人送达，送达之日为收到日；以信件、特快专递方式发出，送达之日为向邮递公司交件后的第三日；以电子邮件方式发出，送达之日为电子邮件发出后的第三日；以短信、传真方式发出，送达之日为发出当日。</w:t>
      </w:r>
    </w:p>
    <w:p>
      <w:pPr>
        <w:spacing w:after="120"/>
        <w:ind w:firstLine="420"/>
      </w:pPr>
    </w:p>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p>
      <w:pPr>
        <w:spacing w:line="460" w:lineRule="exact"/>
        <w:ind w:firstLine="482" w:firstLineChars="200"/>
        <w:rPr>
          <w:rFonts w:ascii="宋体" w:hAnsi="宋体"/>
          <w:b/>
          <w:sz w:val="24"/>
        </w:rPr>
      </w:pPr>
      <w:r>
        <w:rPr>
          <w:rFonts w:hint="eastAsia" w:ascii="宋体" w:hAnsi="宋体"/>
          <w:b/>
          <w:sz w:val="24"/>
        </w:rPr>
        <w:t>第十五条  附件</w:t>
      </w:r>
    </w:p>
    <w:p>
      <w:pPr>
        <w:numPr>
          <w:ilvl w:val="0"/>
          <w:numId w:val="12"/>
        </w:numPr>
        <w:spacing w:line="460" w:lineRule="exact"/>
        <w:rPr>
          <w:rFonts w:ascii="宋体" w:hAnsi="宋体"/>
          <w:sz w:val="24"/>
        </w:rPr>
      </w:pPr>
      <w:r>
        <w:rPr>
          <w:rFonts w:hint="eastAsia" w:ascii="宋体" w:hAnsi="宋体"/>
          <w:sz w:val="24"/>
        </w:rPr>
        <w:t>项目招标文件（招标编号：xxxxxxxxxxx）</w:t>
      </w:r>
    </w:p>
    <w:p>
      <w:pPr>
        <w:numPr>
          <w:ilvl w:val="0"/>
          <w:numId w:val="12"/>
        </w:numPr>
        <w:spacing w:line="460" w:lineRule="exact"/>
        <w:rPr>
          <w:rFonts w:ascii="宋体" w:hAnsi="宋体"/>
          <w:sz w:val="24"/>
        </w:rPr>
      </w:pPr>
      <w:r>
        <w:rPr>
          <w:rFonts w:hint="eastAsia" w:ascii="宋体" w:hAnsi="宋体"/>
          <w:sz w:val="24"/>
        </w:rPr>
        <w:t xml:space="preserve">项目投标文件及中标通知书 </w:t>
      </w:r>
    </w:p>
    <w:p>
      <w:pPr>
        <w:numPr>
          <w:ilvl w:val="0"/>
          <w:numId w:val="12"/>
        </w:numPr>
        <w:spacing w:line="460" w:lineRule="exact"/>
        <w:rPr>
          <w:rFonts w:ascii="宋体" w:hAnsi="宋体"/>
          <w:sz w:val="24"/>
        </w:rPr>
      </w:pPr>
      <w:r>
        <w:rPr>
          <w:rFonts w:hint="eastAsia" w:ascii="宋体" w:hAnsi="宋体"/>
          <w:sz w:val="24"/>
        </w:rPr>
        <w:t xml:space="preserve">乙方统一社会信用代码证复印件（加盖鲜章） </w:t>
      </w:r>
    </w:p>
    <w:p>
      <w:pPr>
        <w:numPr>
          <w:ilvl w:val="0"/>
          <w:numId w:val="12"/>
        </w:numPr>
        <w:spacing w:line="460" w:lineRule="exact"/>
        <w:rPr>
          <w:rFonts w:ascii="宋体" w:hAnsi="宋体"/>
          <w:sz w:val="24"/>
        </w:rPr>
      </w:pPr>
      <w:r>
        <w:rPr>
          <w:rFonts w:ascii="宋体" w:hAnsi="宋体"/>
          <w:sz w:val="24"/>
        </w:rPr>
        <w:t>信用查询结果</w:t>
      </w:r>
    </w:p>
    <w:p>
      <w:pPr>
        <w:numPr>
          <w:ilvl w:val="0"/>
          <w:numId w:val="12"/>
        </w:numPr>
        <w:spacing w:line="460" w:lineRule="exact"/>
        <w:rPr>
          <w:rFonts w:ascii="宋体" w:hAnsi="宋体"/>
          <w:sz w:val="24"/>
        </w:rPr>
      </w:pPr>
      <w:r>
        <w:rPr>
          <w:rFonts w:hint="eastAsia" w:ascii="宋体" w:hAnsi="宋体"/>
          <w:sz w:val="24"/>
        </w:rPr>
        <w:t>届时《成都市郫都区城镇环卫作业监督考核办法》</w:t>
      </w:r>
      <w:bookmarkEnd w:id="334"/>
      <w:r>
        <w:rPr>
          <w:rFonts w:hint="eastAsia" w:ascii="宋体" w:hAnsi="宋体"/>
          <w:sz w:val="24"/>
        </w:rPr>
        <w:t>（《办法》如有调整，以最新为准）</w:t>
      </w:r>
    </w:p>
    <w:p>
      <w:pPr>
        <w:numPr>
          <w:ilvl w:val="0"/>
          <w:numId w:val="12"/>
        </w:numPr>
        <w:spacing w:line="460" w:lineRule="exact"/>
        <w:rPr>
          <w:rFonts w:ascii="宋体" w:hAnsi="宋体"/>
          <w:sz w:val="24"/>
        </w:rPr>
      </w:pPr>
      <w:r>
        <w:rPr>
          <w:rFonts w:ascii="宋体" w:hAnsi="宋体"/>
          <w:sz w:val="24"/>
        </w:rPr>
        <w:t>管护范围详表</w:t>
      </w:r>
    </w:p>
    <w:p>
      <w:pPr>
        <w:spacing w:line="460" w:lineRule="exact"/>
        <w:ind w:firstLine="420"/>
        <w:rPr>
          <w:rFonts w:ascii="宋体" w:hAnsi="宋体"/>
          <w:sz w:val="24"/>
        </w:rPr>
      </w:pPr>
    </w:p>
    <w:p>
      <w:pPr>
        <w:spacing w:line="460" w:lineRule="exact"/>
        <w:ind w:firstLine="420"/>
        <w:rPr>
          <w:rFonts w:ascii="宋体" w:hAnsi="宋体"/>
          <w:sz w:val="24"/>
        </w:rPr>
      </w:pPr>
    </w:p>
    <w:p>
      <w:pPr>
        <w:spacing w:line="460" w:lineRule="exact"/>
        <w:ind w:left="3373" w:hanging="3373" w:hangingChars="1400"/>
        <w:rPr>
          <w:rFonts w:ascii="宋体" w:hAnsi="宋体"/>
          <w:b/>
          <w:sz w:val="24"/>
        </w:rPr>
      </w:pPr>
      <w:r>
        <w:rPr>
          <w:rFonts w:hint="eastAsia" w:ascii="宋体" w:hAnsi="宋体"/>
          <w:b/>
          <w:sz w:val="24"/>
        </w:rPr>
        <w:t xml:space="preserve">甲方：成都市郫都区综合行政执法局（盖章）             </w:t>
      </w:r>
    </w:p>
    <w:p>
      <w:pPr>
        <w:spacing w:line="460" w:lineRule="exact"/>
        <w:ind w:left="3373" w:hanging="3373" w:hangingChars="1400"/>
        <w:rPr>
          <w:rFonts w:ascii="宋体" w:hAnsi="宋体"/>
          <w:b/>
          <w:sz w:val="24"/>
        </w:rPr>
      </w:pPr>
    </w:p>
    <w:p>
      <w:pPr>
        <w:spacing w:line="460" w:lineRule="exact"/>
        <w:ind w:left="3373" w:hanging="3373" w:hangingChars="1400"/>
        <w:rPr>
          <w:rFonts w:ascii="宋体" w:hAnsi="宋体"/>
          <w:b/>
          <w:sz w:val="24"/>
        </w:rPr>
      </w:pPr>
      <w:r>
        <w:rPr>
          <w:rFonts w:hint="eastAsia" w:ascii="宋体" w:hAnsi="宋体"/>
          <w:b/>
          <w:sz w:val="24"/>
        </w:rPr>
        <w:t>法定代表人（授权代表）：</w:t>
      </w:r>
    </w:p>
    <w:p>
      <w:pPr>
        <w:spacing w:line="460" w:lineRule="exact"/>
        <w:ind w:firstLine="4620" w:firstLineChars="2200"/>
        <w:rPr>
          <w:rFonts w:ascii="宋体" w:hAnsi="宋体"/>
        </w:rPr>
      </w:pPr>
    </w:p>
    <w:p>
      <w:pPr>
        <w:spacing w:after="120"/>
      </w:pPr>
    </w:p>
    <w:p>
      <w:pPr>
        <w:spacing w:after="120"/>
      </w:pPr>
    </w:p>
    <w:p>
      <w:pPr>
        <w:spacing w:line="460" w:lineRule="exact"/>
        <w:jc w:val="left"/>
        <w:rPr>
          <w:rFonts w:ascii="宋体" w:hAnsi="宋体"/>
          <w:b/>
        </w:rPr>
      </w:pPr>
      <w:r>
        <w:rPr>
          <w:rFonts w:hint="eastAsia" w:ascii="宋体" w:hAnsi="宋体"/>
          <w:b/>
          <w:sz w:val="24"/>
        </w:rPr>
        <w:t>乙方：                          （盖章）</w:t>
      </w:r>
    </w:p>
    <w:p>
      <w:pPr>
        <w:spacing w:line="460" w:lineRule="exact"/>
        <w:rPr>
          <w:rFonts w:ascii="宋体" w:hAnsi="宋体"/>
          <w:b/>
          <w:sz w:val="24"/>
        </w:rPr>
      </w:pPr>
    </w:p>
    <w:p>
      <w:pPr>
        <w:spacing w:line="460" w:lineRule="exact"/>
        <w:rPr>
          <w:rFonts w:ascii="宋体" w:hAnsi="宋体"/>
          <w:b/>
        </w:rPr>
      </w:pPr>
      <w:r>
        <w:rPr>
          <w:rFonts w:hint="eastAsia" w:ascii="宋体" w:hAnsi="宋体"/>
          <w:b/>
          <w:sz w:val="24"/>
        </w:rPr>
        <w:t>法定代表人（授权代表）：</w:t>
      </w:r>
    </w:p>
    <w:p>
      <w:pPr>
        <w:spacing w:line="460" w:lineRule="exact"/>
        <w:rPr>
          <w:rFonts w:ascii="宋体" w:hAnsi="宋体"/>
        </w:rPr>
      </w:pPr>
      <w:r>
        <w:rPr>
          <w:rFonts w:hint="eastAsia" w:ascii="宋体" w:hAnsi="宋体"/>
          <w:sz w:val="24"/>
        </w:rPr>
        <w:t>地址：</w:t>
      </w:r>
    </w:p>
    <w:p>
      <w:pPr>
        <w:spacing w:line="460" w:lineRule="exact"/>
        <w:rPr>
          <w:rFonts w:ascii="宋体" w:hAnsi="宋体"/>
        </w:rPr>
      </w:pPr>
      <w:r>
        <w:rPr>
          <w:rFonts w:hint="eastAsia" w:ascii="宋体" w:hAnsi="宋体"/>
          <w:sz w:val="24"/>
        </w:rPr>
        <w:t>开户银行：</w:t>
      </w:r>
    </w:p>
    <w:p>
      <w:pPr>
        <w:spacing w:line="460" w:lineRule="exact"/>
        <w:rPr>
          <w:rFonts w:ascii="宋体" w:hAnsi="宋体"/>
        </w:rPr>
      </w:pPr>
      <w:r>
        <w:rPr>
          <w:rFonts w:hint="eastAsia" w:ascii="宋体" w:hAnsi="宋体"/>
          <w:sz w:val="24"/>
        </w:rPr>
        <w:t>账号：</w:t>
      </w:r>
    </w:p>
    <w:p>
      <w:pPr>
        <w:spacing w:line="460" w:lineRule="exact"/>
        <w:rPr>
          <w:rFonts w:ascii="宋体" w:hAnsi="宋体"/>
          <w:sz w:val="24"/>
        </w:rPr>
      </w:pPr>
      <w:r>
        <w:rPr>
          <w:rFonts w:hint="eastAsia" w:ascii="宋体" w:hAnsi="宋体"/>
          <w:sz w:val="24"/>
        </w:rPr>
        <w:t>电话：</w:t>
      </w:r>
    </w:p>
    <w:p>
      <w:pPr>
        <w:spacing w:after="120" w:line="460" w:lineRule="exact"/>
        <w:rPr>
          <w:rFonts w:ascii="宋体" w:hAnsi="宋体"/>
          <w:sz w:val="24"/>
        </w:rPr>
      </w:pPr>
      <w:r>
        <w:rPr>
          <w:rFonts w:hint="eastAsia" w:ascii="宋体" w:hAnsi="宋体"/>
          <w:sz w:val="24"/>
        </w:rPr>
        <w:t>传真：</w:t>
      </w:r>
    </w:p>
    <w:p>
      <w:pPr>
        <w:spacing w:after="120" w:line="460" w:lineRule="exact"/>
        <w:rPr>
          <w:rFonts w:ascii="宋体" w:hAnsi="宋体"/>
          <w:sz w:val="24"/>
        </w:rPr>
      </w:pPr>
    </w:p>
    <w:p>
      <w:pPr>
        <w:spacing w:after="120" w:line="460" w:lineRule="exact"/>
        <w:rPr>
          <w:rFonts w:ascii="宋体" w:hAnsi="宋体"/>
          <w:sz w:val="24"/>
        </w:rPr>
      </w:pPr>
    </w:p>
    <w:p>
      <w:pPr>
        <w:spacing w:line="460" w:lineRule="exact"/>
        <w:rPr>
          <w:rFonts w:ascii="宋体" w:hAnsi="宋体"/>
          <w:sz w:val="24"/>
        </w:rPr>
      </w:pPr>
      <w:r>
        <w:rPr>
          <w:rFonts w:hint="eastAsia" w:ascii="宋体" w:hAnsi="宋体"/>
          <w:b/>
          <w:sz w:val="24"/>
        </w:rPr>
        <w:t>履约保证金账号：</w:t>
      </w:r>
      <w:r>
        <w:rPr>
          <w:rFonts w:hint="eastAsia" w:ascii="宋体" w:hAnsi="宋体"/>
          <w:sz w:val="24"/>
        </w:rPr>
        <w:t>（批注：转账时间，并注执法局（或337301）转保证金）</w:t>
      </w:r>
    </w:p>
    <w:p>
      <w:pPr>
        <w:spacing w:line="460" w:lineRule="exact"/>
        <w:rPr>
          <w:rFonts w:ascii="宋体" w:hAnsi="宋体"/>
          <w:sz w:val="24"/>
        </w:rPr>
      </w:pPr>
      <w:r>
        <w:rPr>
          <w:rFonts w:hint="eastAsia" w:ascii="宋体" w:hAnsi="宋体"/>
          <w:sz w:val="24"/>
        </w:rPr>
        <w:t>账户名：成都市郫都区财政局</w:t>
      </w:r>
    </w:p>
    <w:p>
      <w:pPr>
        <w:spacing w:line="460" w:lineRule="exact"/>
        <w:rPr>
          <w:rFonts w:ascii="宋体" w:hAnsi="宋体"/>
          <w:sz w:val="24"/>
        </w:rPr>
      </w:pPr>
      <w:r>
        <w:rPr>
          <w:rFonts w:hint="eastAsia" w:ascii="宋体" w:hAnsi="宋体"/>
          <w:sz w:val="24"/>
        </w:rPr>
        <w:t>银行账号：4402254009022105103-000000002</w:t>
      </w:r>
    </w:p>
    <w:p>
      <w:pPr>
        <w:spacing w:line="460" w:lineRule="exact"/>
        <w:rPr>
          <w:rFonts w:ascii="宋体" w:hAnsi="宋体"/>
          <w:sz w:val="24"/>
        </w:rPr>
      </w:pPr>
      <w:r>
        <w:rPr>
          <w:rFonts w:hint="eastAsia" w:ascii="宋体" w:hAnsi="宋体"/>
          <w:sz w:val="24"/>
        </w:rPr>
        <w:t>开户行：工行郫都支行</w:t>
      </w:r>
    </w:p>
    <w:p>
      <w:pPr>
        <w:spacing w:after="120" w:line="460" w:lineRule="exact"/>
        <w:rPr>
          <w:rFonts w:ascii="宋体" w:hAnsi="宋体"/>
          <w:sz w:val="24"/>
        </w:rPr>
      </w:pPr>
    </w:p>
    <w:p>
      <w:pPr>
        <w:spacing w:line="460" w:lineRule="exact"/>
        <w:jc w:val="right"/>
        <w:rPr>
          <w:rFonts w:ascii="宋体" w:hAnsi="宋体"/>
          <w:sz w:val="24"/>
        </w:rPr>
      </w:pPr>
      <w:r>
        <w:rPr>
          <w:rFonts w:hint="eastAsia" w:ascii="宋体" w:hAnsi="宋体"/>
          <w:sz w:val="24"/>
        </w:rPr>
        <w:t xml:space="preserve"> 签约日期：     年   月   日</w:t>
      </w:r>
    </w:p>
    <w:p>
      <w:pPr>
        <w:spacing w:line="360" w:lineRule="auto"/>
        <w:ind w:firstLine="482"/>
        <w:rPr>
          <w:rFonts w:ascii="宋体" w:hAnsi="宋体" w:cs="Arial Unicode MS"/>
          <w:sz w:val="24"/>
          <w:lang w:val="zh-TW" w:eastAsia="zh-TW"/>
        </w:rPr>
      </w:pPr>
      <w:r>
        <w:rPr>
          <w:rFonts w:hint="eastAsia" w:ascii="宋体" w:hAnsi="宋体" w:cs="宋体"/>
          <w:b/>
          <w:bCs/>
          <w:sz w:val="24"/>
          <w:lang w:val="zh-TW" w:eastAsia="zh-TW"/>
        </w:rPr>
        <w:t>注：其他合同专用条款在合同签定时另行约定</w:t>
      </w:r>
      <w:r>
        <w:rPr>
          <w:rFonts w:hint="eastAsia" w:ascii="宋体" w:hAnsi="宋体" w:cs="宋体"/>
          <w:sz w:val="24"/>
          <w:lang w:val="zh-TW" w:eastAsia="zh-TW"/>
        </w:rPr>
        <w:t>。</w:t>
      </w:r>
    </w:p>
    <w:p>
      <w:pPr>
        <w:spacing w:line="360" w:lineRule="auto"/>
        <w:ind w:firstLine="562" w:firstLineChars="200"/>
        <w:rPr>
          <w:rFonts w:hint="eastAsia" w:ascii="宋体" w:hAnsi="宋体"/>
          <w:b/>
          <w:sz w:val="28"/>
          <w:szCs w:val="28"/>
        </w:rPr>
        <w:sectPr>
          <w:footerReference r:id="rId10" w:type="default"/>
          <w:type w:val="continuous"/>
          <w:pgSz w:w="11906" w:h="16838"/>
          <w:pgMar w:top="1440" w:right="1474" w:bottom="1440" w:left="1474" w:header="851" w:footer="992" w:gutter="0"/>
          <w:cols w:space="720" w:num="1"/>
          <w:docGrid w:type="lines" w:linePitch="312" w:charSpace="0"/>
        </w:sectPr>
      </w:pPr>
    </w:p>
    <w:p>
      <w:pPr>
        <w:outlineLvl w:val="0"/>
        <w:rPr>
          <w:rFonts w:ascii="宋体" w:hAnsi="宋体" w:cs="宋体"/>
          <w:b/>
          <w:bCs/>
          <w:sz w:val="30"/>
          <w:szCs w:val="30"/>
        </w:rPr>
      </w:pPr>
      <w:bookmarkStart w:id="353" w:name="_Toc32494"/>
      <w:r>
        <w:rPr>
          <w:rFonts w:hint="eastAsia" w:ascii="宋体" w:hAnsi="宋体" w:cs="宋体"/>
          <w:b/>
          <w:bCs/>
          <w:sz w:val="30"/>
          <w:szCs w:val="30"/>
        </w:rPr>
        <w:t>第九章  附件：政府采购云平台使用介绍</w:t>
      </w:r>
      <w:bookmarkEnd w:id="353"/>
    </w:p>
    <w:p>
      <w:pPr>
        <w:rPr>
          <w:rFonts w:ascii="宋体" w:hAnsi="宋体" w:cs="宋体"/>
          <w:b/>
          <w:bCs/>
          <w:sz w:val="24"/>
          <w:szCs w:val="32"/>
        </w:rPr>
      </w:pPr>
      <w:r>
        <w:rPr>
          <w:rFonts w:hint="eastAsia" w:ascii="宋体" w:hAnsi="宋体" w:cs="宋体"/>
          <w:b/>
          <w:bCs/>
          <w:sz w:val="24"/>
          <w:szCs w:val="32"/>
        </w:rPr>
        <w:t>1.输入网址：</w:t>
      </w:r>
      <w:r>
        <w:fldChar w:fldCharType="begin"/>
      </w:r>
      <w:r>
        <w:instrText xml:space="preserve"> HYPERLINK "https://www.zcygov.cn" </w:instrText>
      </w:r>
      <w:r>
        <w:fldChar w:fldCharType="separate"/>
      </w:r>
      <w:r>
        <w:rPr>
          <w:rStyle w:val="32"/>
          <w:rFonts w:hint="eastAsia" w:ascii="宋体" w:hAnsi="宋体" w:cs="宋体"/>
          <w:b/>
          <w:bCs/>
          <w:color w:val="auto"/>
          <w:sz w:val="24"/>
          <w:szCs w:val="32"/>
        </w:rPr>
        <w:t>https://www.zcygov.cn</w:t>
      </w:r>
      <w:r>
        <w:rPr>
          <w:rStyle w:val="32"/>
          <w:rFonts w:hint="eastAsia" w:ascii="宋体" w:hAnsi="宋体" w:cs="宋体"/>
          <w:b/>
          <w:bCs/>
          <w:color w:val="auto"/>
          <w:sz w:val="24"/>
          <w:szCs w:val="32"/>
        </w:rPr>
        <w:fldChar w:fldCharType="end"/>
      </w:r>
    </w:p>
    <w:p>
      <w:pPr>
        <w:rPr>
          <w:rFonts w:ascii="宋体" w:hAnsi="宋体" w:cs="宋体"/>
          <w:b/>
          <w:bCs/>
          <w:sz w:val="24"/>
          <w:szCs w:val="32"/>
        </w:rPr>
      </w:pPr>
      <w:r>
        <w:rPr>
          <w:rFonts w:hint="eastAsia" w:ascii="宋体" w:hAnsi="宋体" w:cs="宋体"/>
          <w:b/>
          <w:bCs/>
          <w:sz w:val="24"/>
          <w:szCs w:val="32"/>
        </w:rPr>
        <w:t>2.选择与项目对应的行政区域如：四川省-成都市-成都市本级</w:t>
      </w:r>
    </w:p>
    <w:p>
      <w:r>
        <w:drawing>
          <wp:inline distT="0" distB="0" distL="0" distR="0">
            <wp:extent cx="6687820" cy="4189095"/>
            <wp:effectExtent l="19050" t="0" r="0" b="0"/>
            <wp:docPr id="6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8"/>
                    <pic:cNvPicPr>
                      <a:picLocks noChangeAspect="1" noChangeArrowheads="1"/>
                    </pic:cNvPicPr>
                  </pic:nvPicPr>
                  <pic:blipFill>
                    <a:blip r:embed="rId73" cstate="print"/>
                    <a:srcRect/>
                    <a:stretch>
                      <a:fillRect/>
                    </a:stretch>
                  </pic:blipFill>
                  <pic:spPr>
                    <a:xfrm>
                      <a:off x="0" y="0"/>
                      <a:ext cx="6687820" cy="4189095"/>
                    </a:xfrm>
                    <a:prstGeom prst="rect">
                      <a:avLst/>
                    </a:prstGeom>
                    <a:noFill/>
                    <a:ln w="9525" cmpd="sng">
                      <a:noFill/>
                      <a:miter lim="800000"/>
                      <a:headEnd/>
                      <a:tailEnd/>
                    </a:ln>
                  </pic:spPr>
                </pic:pic>
              </a:graphicData>
            </a:graphic>
          </wp:inline>
        </w:drawing>
      </w:r>
    </w:p>
    <w:p>
      <w:pPr>
        <w:numPr>
          <w:ilvl w:val="0"/>
          <w:numId w:val="13"/>
        </w:numPr>
        <w:rPr>
          <w:rFonts w:ascii="宋体" w:hAnsi="宋体" w:cs="宋体"/>
          <w:b/>
          <w:bCs/>
          <w:sz w:val="24"/>
          <w:szCs w:val="32"/>
        </w:rPr>
      </w:pPr>
      <w:r>
        <w:rPr>
          <w:rFonts w:hint="eastAsia" w:ascii="宋体" w:hAnsi="宋体" w:cs="宋体"/>
          <w:b/>
          <w:bCs/>
          <w:sz w:val="24"/>
          <w:szCs w:val="32"/>
        </w:rPr>
        <w:t>点击操作指南-供应商</w:t>
      </w:r>
    </w:p>
    <w:p>
      <w:pPr>
        <w:rPr>
          <w:b/>
          <w:bCs/>
        </w:rPr>
      </w:pPr>
      <w:r>
        <w:drawing>
          <wp:inline distT="0" distB="0" distL="0" distR="0">
            <wp:extent cx="8856980" cy="4582795"/>
            <wp:effectExtent l="19050" t="0" r="1270" b="0"/>
            <wp:docPr id="6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9"/>
                    <pic:cNvPicPr>
                      <a:picLocks noChangeAspect="1" noChangeArrowheads="1"/>
                    </pic:cNvPicPr>
                  </pic:nvPicPr>
                  <pic:blipFill>
                    <a:blip r:embed="rId74" cstate="print"/>
                    <a:srcRect/>
                    <a:stretch>
                      <a:fillRect/>
                    </a:stretch>
                  </pic:blipFill>
                  <pic:spPr>
                    <a:xfrm>
                      <a:off x="0" y="0"/>
                      <a:ext cx="8856980" cy="4582795"/>
                    </a:xfrm>
                    <a:prstGeom prst="rect">
                      <a:avLst/>
                    </a:prstGeom>
                    <a:noFill/>
                    <a:ln w="9525" cmpd="sng">
                      <a:noFill/>
                      <a:miter lim="800000"/>
                      <a:headEnd/>
                      <a:tailEnd/>
                    </a:ln>
                  </pic:spPr>
                </pic:pic>
              </a:graphicData>
            </a:graphic>
          </wp:inline>
        </w:drawing>
      </w:r>
      <w:r>
        <w:br w:type="page"/>
      </w:r>
      <w:r>
        <w:rPr>
          <w:rFonts w:hint="eastAsia" w:ascii="宋体" w:hAnsi="宋体" w:cs="宋体"/>
          <w:b/>
          <w:bCs/>
          <w:sz w:val="24"/>
          <w:szCs w:val="32"/>
        </w:rPr>
        <w:t>4.进入政采云供应商学习专题页面</w:t>
      </w:r>
      <w:r>
        <w:rPr>
          <w:rFonts w:hint="eastAsia"/>
          <w:b/>
          <w:bCs/>
        </w:rPr>
        <w:t>（https://edu.zcygov.cn/luban/xxzt-chengdu-gys?utm=a0017.b1347.cl50.5.0917bc90b7bb11eb807c353645758db6）</w:t>
      </w:r>
    </w:p>
    <w:p>
      <w:r>
        <w:drawing>
          <wp:inline distT="0" distB="0" distL="0" distR="0">
            <wp:extent cx="9260840" cy="4603750"/>
            <wp:effectExtent l="19050" t="0" r="0" b="0"/>
            <wp:docPr id="6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0"/>
                    <pic:cNvPicPr>
                      <a:picLocks noChangeAspect="1" noChangeArrowheads="1"/>
                    </pic:cNvPicPr>
                  </pic:nvPicPr>
                  <pic:blipFill>
                    <a:blip r:embed="rId75" cstate="print"/>
                    <a:srcRect/>
                    <a:stretch>
                      <a:fillRect/>
                    </a:stretch>
                  </pic:blipFill>
                  <pic:spPr>
                    <a:xfrm>
                      <a:off x="0" y="0"/>
                      <a:ext cx="9260840" cy="4603750"/>
                    </a:xfrm>
                    <a:prstGeom prst="rect">
                      <a:avLst/>
                    </a:prstGeom>
                    <a:noFill/>
                    <a:ln w="9525" cmpd="sng">
                      <a:noFill/>
                      <a:miter lim="800000"/>
                      <a:headEnd/>
                      <a:tailEnd/>
                    </a:ln>
                  </pic:spPr>
                </pic:pic>
              </a:graphicData>
            </a:graphic>
          </wp:inline>
        </w:drawing>
      </w:r>
    </w:p>
    <w:p>
      <w:pPr>
        <w:rPr>
          <w:rFonts w:ascii="宋体" w:hAnsi="宋体" w:cs="宋体"/>
          <w:b/>
          <w:bCs/>
          <w:sz w:val="24"/>
          <w:szCs w:val="32"/>
        </w:rPr>
      </w:pPr>
      <w:r>
        <w:rPr>
          <w:rFonts w:hint="eastAsia"/>
        </w:rPr>
        <w:br w:type="page"/>
      </w:r>
      <w:r>
        <w:rPr>
          <w:rFonts w:hint="eastAsia" w:ascii="宋体" w:hAnsi="宋体" w:cs="宋体"/>
          <w:b/>
          <w:bCs/>
          <w:sz w:val="24"/>
          <w:szCs w:val="32"/>
        </w:rPr>
        <w:t>5.供应商资讯服务渠道</w:t>
      </w:r>
    </w:p>
    <w:p>
      <w:r>
        <w:drawing>
          <wp:inline distT="0" distB="0" distL="0" distR="0">
            <wp:extent cx="9377680" cy="3359785"/>
            <wp:effectExtent l="19050" t="0" r="0" b="0"/>
            <wp:docPr id="6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1"/>
                    <pic:cNvPicPr>
                      <a:picLocks noChangeAspect="1" noChangeArrowheads="1"/>
                    </pic:cNvPicPr>
                  </pic:nvPicPr>
                  <pic:blipFill>
                    <a:blip r:embed="rId76" cstate="print"/>
                    <a:srcRect/>
                    <a:stretch>
                      <a:fillRect/>
                    </a:stretch>
                  </pic:blipFill>
                  <pic:spPr>
                    <a:xfrm>
                      <a:off x="0" y="0"/>
                      <a:ext cx="9377680" cy="3359785"/>
                    </a:xfrm>
                    <a:prstGeom prst="rect">
                      <a:avLst/>
                    </a:prstGeom>
                    <a:noFill/>
                    <a:ln w="9525" cmpd="sng">
                      <a:noFill/>
                      <a:miter lim="800000"/>
                      <a:headEnd/>
                      <a:tailEnd/>
                    </a:ln>
                  </pic:spPr>
                </pic:pic>
              </a:graphicData>
            </a:graphic>
          </wp:inline>
        </w:drawing>
      </w:r>
    </w:p>
    <w:p>
      <w:r>
        <w:br w:type="page"/>
      </w:r>
      <w:r>
        <w:rPr>
          <w:rFonts w:hint="eastAsia" w:ascii="宋体" w:hAnsi="宋体" w:cs="宋体"/>
          <w:b/>
          <w:bCs/>
          <w:sz w:val="24"/>
          <w:szCs w:val="32"/>
        </w:rPr>
        <w:t>6.入驻政府采购云平台（注册）</w:t>
      </w:r>
    </w:p>
    <w:p>
      <w:r>
        <w:drawing>
          <wp:inline distT="0" distB="0" distL="0" distR="0">
            <wp:extent cx="8856980" cy="3604260"/>
            <wp:effectExtent l="19050" t="0" r="1270" b="0"/>
            <wp:docPr id="6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2"/>
                    <pic:cNvPicPr>
                      <a:picLocks noChangeAspect="1" noChangeArrowheads="1"/>
                    </pic:cNvPicPr>
                  </pic:nvPicPr>
                  <pic:blipFill>
                    <a:blip r:embed="rId77" cstate="print"/>
                    <a:srcRect/>
                    <a:stretch>
                      <a:fillRect/>
                    </a:stretch>
                  </pic:blipFill>
                  <pic:spPr>
                    <a:xfrm>
                      <a:off x="0" y="0"/>
                      <a:ext cx="8856980" cy="3604260"/>
                    </a:xfrm>
                    <a:prstGeom prst="rect">
                      <a:avLst/>
                    </a:prstGeom>
                    <a:noFill/>
                    <a:ln w="9525" cmpd="sng">
                      <a:noFill/>
                      <a:miter lim="800000"/>
                      <a:headEnd/>
                      <a:tailEnd/>
                    </a:ln>
                  </pic:spPr>
                </pic:pic>
              </a:graphicData>
            </a:graphic>
          </wp:inline>
        </w:drawing>
      </w:r>
    </w:p>
    <w:p>
      <w:r>
        <w:br w:type="page"/>
      </w:r>
      <w:r>
        <w:rPr>
          <w:rFonts w:hint="eastAsia" w:ascii="宋体" w:hAnsi="宋体" w:cs="宋体"/>
          <w:b/>
          <w:bCs/>
          <w:sz w:val="24"/>
          <w:szCs w:val="32"/>
        </w:rPr>
        <w:t>7.下载《供应商政府采购项目电子交易操作指南》</w:t>
      </w:r>
    </w:p>
    <w:p>
      <w:pPr>
        <w:pStyle w:val="67"/>
        <w:rPr>
          <w:rFonts w:ascii="新宋体" w:hAnsi="新宋体" w:eastAsia="新宋体" w:cs="新宋体"/>
          <w:color w:val="auto"/>
        </w:rPr>
      </w:pPr>
      <w:r>
        <w:rPr>
          <w:color w:val="auto"/>
        </w:rPr>
        <w:drawing>
          <wp:inline distT="0" distB="0" distL="0" distR="0">
            <wp:extent cx="8856980" cy="4912360"/>
            <wp:effectExtent l="19050" t="0" r="1270" b="0"/>
            <wp:docPr id="6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3"/>
                    <pic:cNvPicPr>
                      <a:picLocks noChangeAspect="1" noChangeArrowheads="1"/>
                    </pic:cNvPicPr>
                  </pic:nvPicPr>
                  <pic:blipFill>
                    <a:blip r:embed="rId78" cstate="print"/>
                    <a:srcRect/>
                    <a:stretch>
                      <a:fillRect/>
                    </a:stretch>
                  </pic:blipFill>
                  <pic:spPr>
                    <a:xfrm>
                      <a:off x="0" y="0"/>
                      <a:ext cx="8856980" cy="4912360"/>
                    </a:xfrm>
                    <a:prstGeom prst="rect">
                      <a:avLst/>
                    </a:prstGeom>
                    <a:noFill/>
                    <a:ln w="9525" cmpd="sng">
                      <a:noFill/>
                      <a:miter lim="800000"/>
                      <a:headEnd/>
                      <a:tailEnd/>
                    </a:ln>
                  </pic:spPr>
                </pic:pic>
              </a:graphicData>
            </a:graphic>
          </wp:inline>
        </w:drawing>
      </w:r>
    </w:p>
    <w:sectPr>
      <w:pgSz w:w="16838" w:h="11906" w:orient="landscape"/>
      <w:pgMar w:top="1474" w:right="1440" w:bottom="1474" w:left="144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Arial Unicode MS">
    <w:altName w:val="宋体"/>
    <w:panose1 w:val="020B0604020202020204"/>
    <w:charset w:val="86"/>
    <w:family w:val="swiss"/>
    <w:pitch w:val="default"/>
    <w:sig w:usb0="00000000" w:usb1="00000000" w:usb2="0000003F" w:usb3="00000000" w:csb0="003F01FF" w:csb1="00000000"/>
  </w:font>
  <w:font w:name="Myriad Pro">
    <w:altName w:val="Malgun Gothic"/>
    <w:panose1 w:val="00000000000000000000"/>
    <w:charset w:val="00"/>
    <w:family w:val="swiss"/>
    <w:pitch w:val="default"/>
    <w:sig w:usb0="00000000" w:usb1="00000000" w:usb2="00000000" w:usb3="00000000" w:csb0="2000019F" w:csb1="00000000"/>
  </w:font>
  <w:font w:name="Malgun Gothic">
    <w:panose1 w:val="020B0503020000020004"/>
    <w:charset w:val="81"/>
    <w:family w:val="auto"/>
    <w:pitch w:val="default"/>
    <w:sig w:usb0="9000002F" w:usb1="29D77CFB" w:usb2="00000012" w:usb3="00000000" w:csb0="00080001" w:csb1="0000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swiss"/>
    <w:pitch w:val="default"/>
    <w:sig w:usb0="80000287" w:usb1="2ACF3C50" w:usb2="00000016" w:usb3="00000000" w:csb0="0004001F" w:csb1="00000000"/>
  </w:font>
  <w:font w:name="华文中宋">
    <w:panose1 w:val="02010600040101010101"/>
    <w:charset w:val="86"/>
    <w:family w:val="auto"/>
    <w:pitch w:val="default"/>
    <w:sig w:usb0="00000287" w:usb1="080F0000" w:usb2="00000000" w:usb3="00000000" w:csb0="0004009F" w:csb1="DFD70000"/>
  </w:font>
  <w:font w:name="方正小标宋简体">
    <w:altName w:val="方正舒体"/>
    <w:panose1 w:val="03000509000000000000"/>
    <w:charset w:val="86"/>
    <w:family w:val="script"/>
    <w:pitch w:val="default"/>
    <w:sig w:usb0="00000000" w:usb1="00000000" w:usb2="00000010" w:usb3="00000000" w:csb0="00040000" w:csb1="00000000"/>
  </w:font>
  <w:font w:name="方正舒体">
    <w:panose1 w:val="02010601030101010101"/>
    <w:charset w:val="86"/>
    <w:family w:val="auto"/>
    <w:pitch w:val="default"/>
    <w:sig w:usb0="00000003" w:usb1="080E0000" w:usb2="00000000" w:usb3="00000000" w:csb0="00040000" w:csb1="00000000"/>
  </w:font>
  <w:font w:name="楷体_GB2312">
    <w:altName w:val="楷体"/>
    <w:panose1 w:val="02010609030101010101"/>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新宋体">
    <w:panose1 w:val="02010609030101010101"/>
    <w:charset w:val="86"/>
    <w:family w:val="modern"/>
    <w:pitch w:val="default"/>
    <w:sig w:usb0="00000283" w:usb1="288F0000" w:usb2="00000006" w:usb3="00000000" w:csb0="00040001" w:csb1="00000000"/>
  </w:font>
  <w:font w:name="Tahoma">
    <w:panose1 w:val="020B0604030504040204"/>
    <w:charset w:val="00"/>
    <w:family w:val="auto"/>
    <w:pitch w:val="default"/>
    <w:sig w:usb0="E1002EFF" w:usb1="C000605B" w:usb2="00000029" w:usb3="00000000" w:csb0="200101FF" w:csb1="2028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framePr w:wrap="around" w:vAnchor="text" w:hAnchor="margin" w:xAlign="center" w:y="1"/>
      <w:rPr>
        <w:rStyle w:val="27"/>
      </w:rPr>
    </w:pPr>
    <w:r>
      <w:fldChar w:fldCharType="begin"/>
    </w:r>
    <w:r>
      <w:rPr>
        <w:rStyle w:val="27"/>
      </w:rPr>
      <w:instrText xml:space="preserve">PAGE  </w:instrText>
    </w:r>
    <w:r>
      <w:fldChar w:fldCharType="separate"/>
    </w:r>
    <w:r>
      <w:rPr>
        <w:rStyle w:val="27"/>
      </w:rPr>
      <w:t xml:space="preserve"> </w:t>
    </w:r>
    <w:r>
      <w:fldChar w:fldCharType="end"/>
    </w:r>
  </w:p>
  <w:p>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r>
      <w:pict>
        <v:shape id="文本框 58" o:spid="_x0000_s4097" o:spt="202" type="#_x0000_t202" style="position:absolute;left:0pt;margin-top:0pt;height:144pt;width:144pt;mso-position-horizontal:center;mso-position-horizontal-relative:margin;mso-wrap-style:none;z-index:251659264;mso-width-relative:page;mso-height-relative:page;" filled="f" stroked="f" coordsize="21600,21600">
          <v:path/>
          <v:fill on="f" focussize="0,0"/>
          <v:stroke on="f" weight="0.5pt" joinstyle="miter"/>
          <v:imagedata o:title=""/>
          <o:lock v:ext="edit"/>
          <v:textbox inset="0mm,0mm,0mm,0mm" style="mso-fit-shape-to-text:t;">
            <w:txbxContent>
              <w:p>
                <w:pPr>
                  <w:pStyle w:val="14"/>
                  <w:rPr>
                    <w:rFonts w:hint="eastAsia"/>
                  </w:rPr>
                </w:pPr>
                <w:r>
                  <w:rPr>
                    <w:rFonts w:hint="eastAsia"/>
                  </w:rPr>
                  <w:fldChar w:fldCharType="begin"/>
                </w:r>
                <w:r>
                  <w:rPr>
                    <w:rFonts w:hint="eastAsia"/>
                  </w:rPr>
                  <w:instrText xml:space="preserve"> PAGE  \* MERGEFORMAT </w:instrText>
                </w:r>
                <w:r>
                  <w:rPr>
                    <w:rFonts w:hint="eastAsia"/>
                  </w:rPr>
                  <w:fldChar w:fldCharType="separate"/>
                </w:r>
                <w:r>
                  <w:t>27</w:t>
                </w:r>
                <w:r>
                  <w:rPr>
                    <w:rFonts w:hint="eastAsia"/>
                  </w:rPr>
                  <w:fldChar w:fldCharType="end"/>
                </w:r>
              </w:p>
            </w:txbxContent>
          </v:textbox>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snapToGrid w:val="0"/>
      <w:jc w:val="left"/>
      <w:rPr>
        <w:rFonts w:ascii="Calibri" w:hAnsi="Calibri"/>
        <w:sz w:val="18"/>
        <w:szCs w:val="18"/>
      </w:rPr>
    </w:pPr>
    <w:r>
      <w:rPr>
        <w:rFonts w:ascii="Calibri" w:hAnsi="Calibri"/>
        <w:sz w:val="18"/>
        <w:szCs w:val="18"/>
      </w:rPr>
      <w:pict>
        <v:shape id="_x0000_s4098" o:spid="_x0000_s4098" o:spt="202" type="#_x0000_t202" style="position:absolute;left:0pt;margin-top:0pt;height:144pt;width:144pt;mso-position-horizontal:center;mso-position-horizontal-relative:margin;mso-wrap-style:none;z-index:251662336;mso-width-relative:page;mso-height-relative:page;" filled="f" stroked="f" coordsize="21600,21600">
          <v:path/>
          <v:fill on="f" focussize="0,0"/>
          <v:stroke on="f" weight="0.5pt" joinstyle="miter"/>
          <v:imagedata o:title=""/>
          <o:lock v:ext="edit"/>
          <v:textbox inset="0mm,0mm,0mm,0mm" style="mso-fit-shape-to-text:t;">
            <w:txbxContent>
              <w:p>
                <w:pPr>
                  <w:tabs>
                    <w:tab w:val="center" w:pos="4153"/>
                    <w:tab w:val="right" w:pos="8306"/>
                  </w:tabs>
                  <w:snapToGrid w:val="0"/>
                  <w:jc w:val="left"/>
                  <w:rPr>
                    <w:rFonts w:ascii="Calibri" w:hAnsi="Calibri"/>
                    <w:sz w:val="18"/>
                    <w:szCs w:val="18"/>
                  </w:rPr>
                </w:pPr>
                <w:r>
                  <w:rPr>
                    <w:rFonts w:ascii="Calibri" w:hAnsi="Calibri"/>
                    <w:sz w:val="18"/>
                    <w:szCs w:val="18"/>
                  </w:rPr>
                  <w:fldChar w:fldCharType="begin"/>
                </w:r>
                <w:r>
                  <w:rPr>
                    <w:rFonts w:ascii="Calibri" w:hAnsi="Calibri"/>
                    <w:sz w:val="18"/>
                    <w:szCs w:val="18"/>
                  </w:rPr>
                  <w:instrText xml:space="preserve"> PAGE  \* MERGEFORMAT </w:instrText>
                </w:r>
                <w:r>
                  <w:rPr>
                    <w:rFonts w:ascii="Calibri" w:hAnsi="Calibri"/>
                    <w:sz w:val="18"/>
                    <w:szCs w:val="18"/>
                  </w:rPr>
                  <w:fldChar w:fldCharType="separate"/>
                </w:r>
                <w:r>
                  <w:rPr>
                    <w:rFonts w:ascii="Calibri" w:hAnsi="Calibri"/>
                    <w:sz w:val="18"/>
                    <w:szCs w:val="18"/>
                  </w:rPr>
                  <w:t>65</w:t>
                </w:r>
                <w:r>
                  <w:rPr>
                    <w:rFonts w:ascii="Calibri" w:hAnsi="Calibri"/>
                    <w:sz w:val="18"/>
                    <w:szCs w:val="18"/>
                  </w:rPr>
                  <w:fldChar w:fldCharType="end"/>
                </w:r>
              </w:p>
            </w:txbxContent>
          </v:textbox>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r>
      <w:pict>
        <v:shape id="文本框 60" o:spid="_x0000_s4099" o:spt="202" type="#_x0000_t202" style="position:absolute;left:0pt;margin-top:0pt;height:144pt;width:144pt;mso-position-horizontal:center;mso-position-horizontal-relative:margin;mso-wrap-style:none;z-index:251660288;mso-width-relative:page;mso-height-relative:page;" filled="f" stroked="f" coordsize="21600,21600">
          <v:path/>
          <v:fill on="f" focussize="0,0"/>
          <v:stroke on="f" weight="0.5pt" joinstyle="miter"/>
          <v:imagedata o:title=""/>
          <o:lock v:ext="edit"/>
          <v:textbox inset="0mm,0mm,0mm,0mm" style="mso-fit-shape-to-text:t;">
            <w:txbxContent>
              <w:p>
                <w:pPr>
                  <w:pStyle w:val="14"/>
                  <w:rPr>
                    <w:rFonts w:hint="eastAsia"/>
                  </w:rPr>
                </w:pPr>
                <w:r>
                  <w:rPr>
                    <w:rFonts w:hint="eastAsia"/>
                  </w:rPr>
                  <w:fldChar w:fldCharType="begin"/>
                </w:r>
                <w:r>
                  <w:rPr>
                    <w:rFonts w:hint="eastAsia"/>
                  </w:rPr>
                  <w:instrText xml:space="preserve"> PAGE  \* MERGEFORMAT </w:instrText>
                </w:r>
                <w:r>
                  <w:rPr>
                    <w:rFonts w:hint="eastAsia"/>
                  </w:rPr>
                  <w:fldChar w:fldCharType="separate"/>
                </w:r>
                <w:r>
                  <w:t>163</w:t>
                </w:r>
                <w:r>
                  <w:rPr>
                    <w:rFonts w:hint="eastAsia"/>
                  </w:rPr>
                  <w:fldChar w:fldCharType="end"/>
                </w:r>
              </w:p>
            </w:txbxContent>
          </v:textbox>
        </v:shape>
      </w:pic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rFonts w:hint="eastAsia"/>
      </w:rPr>
      <w:t>四川省工商行政管理局数据中心建设项目政府采购—招标文件</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right="420"/>
      <w:rPr>
        <w:rFonts w:hint="eastAsia" w:ascii="微软雅黑" w:hAnsi="微软雅黑" w:eastAsia="微软雅黑" w:cs="微软雅黑"/>
        <w:b/>
        <w:bCs/>
        <w:sz w:val="16"/>
        <w:szCs w:val="20"/>
      </w:rPr>
    </w:pPr>
    <w:r>
      <w:rPr>
        <w:rFonts w:hint="eastAsia"/>
      </w:rPr>
      <w:drawing>
        <wp:anchor distT="0" distB="0" distL="114300" distR="114300" simplePos="0" relativeHeight="251661312" behindDoc="0" locked="0" layoutInCell="1" allowOverlap="1">
          <wp:simplePos x="0" y="0"/>
          <wp:positionH relativeFrom="column">
            <wp:posOffset>-14605</wp:posOffset>
          </wp:positionH>
          <wp:positionV relativeFrom="paragraph">
            <wp:posOffset>-41275</wp:posOffset>
          </wp:positionV>
          <wp:extent cx="236220" cy="360045"/>
          <wp:effectExtent l="19050" t="0" r="0" b="0"/>
          <wp:wrapNone/>
          <wp:docPr id="20" name="图片 1029" descr="89a4e21bc0bd372b90daf6150edcd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029" descr="89a4e21bc0bd372b90daf6150edcd75"/>
                  <pic:cNvPicPr>
                    <a:picLocks noChangeAspect="1" noChangeArrowheads="1"/>
                  </pic:cNvPicPr>
                </pic:nvPicPr>
                <pic:blipFill>
                  <a:blip r:embed="rId1"/>
                  <a:srcRect l="22293" t="23248" r="57680" b="33333"/>
                  <a:stretch>
                    <a:fillRect/>
                  </a:stretch>
                </pic:blipFill>
                <pic:spPr>
                  <a:xfrm>
                    <a:off x="0" y="0"/>
                    <a:ext cx="236220" cy="360045"/>
                  </a:xfrm>
                  <a:prstGeom prst="rect">
                    <a:avLst/>
                  </a:prstGeom>
                  <a:noFill/>
                  <a:ln w="9525" cmpd="sng">
                    <a:noFill/>
                    <a:miter lim="800000"/>
                    <a:headEnd/>
                    <a:tailEnd/>
                  </a:ln>
                </pic:spPr>
              </pic:pic>
            </a:graphicData>
          </a:graphic>
        </wp:anchor>
      </w:drawing>
    </w:r>
    <w:r>
      <w:rPr>
        <w:rFonts w:hint="eastAsia"/>
      </w:rPr>
      <w:t xml:space="preserve">     </w:t>
    </w:r>
    <w:r>
      <w:rPr>
        <w:rFonts w:hint="eastAsia" w:ascii="微软雅黑" w:hAnsi="微软雅黑" w:eastAsia="微软雅黑" w:cs="微软雅黑"/>
        <w:b/>
        <w:bCs/>
        <w:sz w:val="16"/>
        <w:szCs w:val="20"/>
      </w:rPr>
      <w:t>四 川 浩 行 招 标 代 理 有 限 公 司</w:t>
    </w:r>
  </w:p>
  <w:p>
    <w:pPr>
      <w:pBdr>
        <w:bottom w:val="single" w:color="auto" w:sz="4" w:space="0"/>
      </w:pBdr>
    </w:pPr>
    <w:r>
      <w:rPr>
        <w:rFonts w:hint="eastAsia"/>
      </w:rPr>
      <w:t xml:space="preserve">    </w:t>
    </w:r>
    <w:r>
      <w:rPr>
        <w:rFonts w:hint="eastAsia"/>
        <w:sz w:val="15"/>
        <w:szCs w:val="15"/>
      </w:rPr>
      <w:t>Sichuan Haoxing bidding Agency Co.,Ltd</w:t>
    </w:r>
    <w:r>
      <w:rPr>
        <w:rFonts w:hint="eastAsia"/>
        <w:sz w:val="18"/>
        <w:szCs w:val="18"/>
      </w:rPr>
      <w:t xml:space="preserve">                                 </w:t>
    </w:r>
    <w:r>
      <w:rPr>
        <w:rFonts w:hint="eastAsia"/>
        <w:b/>
        <w:bCs/>
        <w:sz w:val="18"/>
        <w:szCs w:val="18"/>
      </w:rPr>
      <w:t>公平       公开       高效</w:t>
    </w:r>
  </w:p>
  <w:p>
    <w:pPr>
      <w:pStyle w:val="15"/>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1D1523F"/>
    <w:multiLevelType w:val="singleLevel"/>
    <w:tmpl w:val="91D1523F"/>
    <w:lvl w:ilvl="0" w:tentative="0">
      <w:start w:val="12"/>
      <w:numFmt w:val="chineseCounting"/>
      <w:suff w:val="nothing"/>
      <w:lvlText w:val="%1、"/>
      <w:lvlJc w:val="left"/>
      <w:rPr>
        <w:rFonts w:hint="eastAsia"/>
      </w:rPr>
    </w:lvl>
  </w:abstractNum>
  <w:abstractNum w:abstractNumId="1">
    <w:nsid w:val="D746C84C"/>
    <w:multiLevelType w:val="singleLevel"/>
    <w:tmpl w:val="D746C84C"/>
    <w:lvl w:ilvl="0" w:tentative="0">
      <w:start w:val="1"/>
      <w:numFmt w:val="decimal"/>
      <w:suff w:val="nothing"/>
      <w:lvlText w:val="（%1）"/>
      <w:lvlJc w:val="left"/>
    </w:lvl>
  </w:abstractNum>
  <w:abstractNum w:abstractNumId="2">
    <w:nsid w:val="00000012"/>
    <w:multiLevelType w:val="singleLevel"/>
    <w:tmpl w:val="00000012"/>
    <w:lvl w:ilvl="0" w:tentative="0">
      <w:start w:val="1"/>
      <w:numFmt w:val="japaneseCounting"/>
      <w:lvlText w:val="第%1条"/>
      <w:lvlJc w:val="left"/>
      <w:pPr>
        <w:tabs>
          <w:tab w:val="left" w:pos="1521"/>
        </w:tabs>
        <w:ind w:left="1521" w:hanging="1095"/>
      </w:pPr>
      <w:rPr>
        <w:rFonts w:hint="eastAsia"/>
        <w:lang w:val="en-US"/>
      </w:rPr>
    </w:lvl>
  </w:abstractNum>
  <w:abstractNum w:abstractNumId="3">
    <w:nsid w:val="00000014"/>
    <w:multiLevelType w:val="multilevel"/>
    <w:tmpl w:val="00000014"/>
    <w:lvl w:ilvl="0" w:tentative="0">
      <w:start w:val="1"/>
      <w:numFmt w:val="chineseCountingThousand"/>
      <w:suff w:val="nothing"/>
      <w:lvlText w:val="(%1)"/>
      <w:lvlJc w:val="left"/>
      <w:pPr>
        <w:ind w:left="420" w:hanging="420"/>
      </w:pPr>
      <w:rPr>
        <w:rFonts w:hint="eastAsia"/>
        <w:sz w:val="21"/>
        <w:szCs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00000016"/>
    <w:multiLevelType w:val="multilevel"/>
    <w:tmpl w:val="00000016"/>
    <w:lvl w:ilvl="0" w:tentative="0">
      <w:start w:val="1"/>
      <w:numFmt w:val="decimal"/>
      <w:suff w:val="nothing"/>
      <w:lvlText w:val="%1."/>
      <w:lvlJc w:val="left"/>
      <w:pPr>
        <w:ind w:left="1146" w:hanging="720"/>
      </w:pPr>
      <w:rPr>
        <w:rFonts w:hint="eastAsia"/>
        <w:sz w:val="28"/>
        <w:szCs w:val="28"/>
      </w:rPr>
    </w:lvl>
    <w:lvl w:ilvl="1" w:tentative="0">
      <w:start w:val="1"/>
      <w:numFmt w:val="lowerLetter"/>
      <w:lvlText w:val="%2)"/>
      <w:lvlJc w:val="left"/>
      <w:pPr>
        <w:ind w:left="1056" w:hanging="420"/>
      </w:pPr>
    </w:lvl>
    <w:lvl w:ilvl="2" w:tentative="0">
      <w:start w:val="1"/>
      <w:numFmt w:val="lowerRoman"/>
      <w:lvlText w:val="%3."/>
      <w:lvlJc w:val="right"/>
      <w:pPr>
        <w:ind w:left="1476" w:hanging="420"/>
      </w:pPr>
    </w:lvl>
    <w:lvl w:ilvl="3" w:tentative="0">
      <w:start w:val="1"/>
      <w:numFmt w:val="decimal"/>
      <w:lvlText w:val="%4."/>
      <w:lvlJc w:val="left"/>
      <w:pPr>
        <w:ind w:left="1896" w:hanging="420"/>
      </w:pPr>
    </w:lvl>
    <w:lvl w:ilvl="4" w:tentative="0">
      <w:start w:val="1"/>
      <w:numFmt w:val="lowerLetter"/>
      <w:lvlText w:val="%5)"/>
      <w:lvlJc w:val="left"/>
      <w:pPr>
        <w:ind w:left="2316" w:hanging="420"/>
      </w:pPr>
    </w:lvl>
    <w:lvl w:ilvl="5" w:tentative="0">
      <w:start w:val="1"/>
      <w:numFmt w:val="lowerRoman"/>
      <w:lvlText w:val="%6."/>
      <w:lvlJc w:val="right"/>
      <w:pPr>
        <w:ind w:left="2736" w:hanging="420"/>
      </w:pPr>
    </w:lvl>
    <w:lvl w:ilvl="6" w:tentative="0">
      <w:start w:val="1"/>
      <w:numFmt w:val="decimal"/>
      <w:lvlText w:val="%7."/>
      <w:lvlJc w:val="left"/>
      <w:pPr>
        <w:ind w:left="3156" w:hanging="420"/>
      </w:pPr>
    </w:lvl>
    <w:lvl w:ilvl="7" w:tentative="0">
      <w:start w:val="1"/>
      <w:numFmt w:val="lowerLetter"/>
      <w:lvlText w:val="%8)"/>
      <w:lvlJc w:val="left"/>
      <w:pPr>
        <w:ind w:left="3576" w:hanging="420"/>
      </w:pPr>
    </w:lvl>
    <w:lvl w:ilvl="8" w:tentative="0">
      <w:start w:val="1"/>
      <w:numFmt w:val="lowerRoman"/>
      <w:lvlText w:val="%9."/>
      <w:lvlJc w:val="right"/>
      <w:pPr>
        <w:ind w:left="3996" w:hanging="420"/>
      </w:pPr>
    </w:lvl>
  </w:abstractNum>
  <w:abstractNum w:abstractNumId="5">
    <w:nsid w:val="07008092"/>
    <w:multiLevelType w:val="singleLevel"/>
    <w:tmpl w:val="07008092"/>
    <w:lvl w:ilvl="0" w:tentative="0">
      <w:start w:val="1"/>
      <w:numFmt w:val="decimal"/>
      <w:lvlText w:val="%1."/>
      <w:lvlJc w:val="left"/>
      <w:pPr>
        <w:ind w:left="425" w:hanging="425"/>
      </w:pPr>
      <w:rPr>
        <w:rFonts w:hint="default"/>
      </w:rPr>
    </w:lvl>
  </w:abstractNum>
  <w:abstractNum w:abstractNumId="6">
    <w:nsid w:val="10A60704"/>
    <w:multiLevelType w:val="singleLevel"/>
    <w:tmpl w:val="10A60704"/>
    <w:lvl w:ilvl="0" w:tentative="0">
      <w:start w:val="1"/>
      <w:numFmt w:val="chineseCounting"/>
      <w:suff w:val="nothing"/>
      <w:lvlText w:val="%1、"/>
      <w:lvlJc w:val="left"/>
      <w:rPr>
        <w:rFonts w:hint="eastAsia"/>
      </w:rPr>
    </w:lvl>
  </w:abstractNum>
  <w:abstractNum w:abstractNumId="7">
    <w:nsid w:val="1517B247"/>
    <w:multiLevelType w:val="singleLevel"/>
    <w:tmpl w:val="1517B247"/>
    <w:lvl w:ilvl="0" w:tentative="0">
      <w:start w:val="3"/>
      <w:numFmt w:val="decimal"/>
      <w:lvlText w:val="%1."/>
      <w:lvlJc w:val="left"/>
      <w:pPr>
        <w:tabs>
          <w:tab w:val="left" w:pos="312"/>
        </w:tabs>
      </w:pPr>
    </w:lvl>
  </w:abstractNum>
  <w:abstractNum w:abstractNumId="8">
    <w:nsid w:val="4BFA083B"/>
    <w:multiLevelType w:val="singleLevel"/>
    <w:tmpl w:val="4BFA083B"/>
    <w:lvl w:ilvl="0" w:tentative="0">
      <w:start w:val="6"/>
      <w:numFmt w:val="decimal"/>
      <w:suff w:val="nothing"/>
      <w:lvlText w:val="%1、"/>
      <w:lvlJc w:val="left"/>
    </w:lvl>
  </w:abstractNum>
  <w:abstractNum w:abstractNumId="9">
    <w:nsid w:val="587D89C6"/>
    <w:multiLevelType w:val="singleLevel"/>
    <w:tmpl w:val="587D89C6"/>
    <w:lvl w:ilvl="0" w:tentative="0">
      <w:start w:val="1"/>
      <w:numFmt w:val="decimal"/>
      <w:suff w:val="nothing"/>
      <w:lvlText w:val="%1、"/>
      <w:lvlJc w:val="left"/>
    </w:lvl>
  </w:abstractNum>
  <w:abstractNum w:abstractNumId="10">
    <w:nsid w:val="58807131"/>
    <w:multiLevelType w:val="singleLevel"/>
    <w:tmpl w:val="58807131"/>
    <w:lvl w:ilvl="0" w:tentative="0">
      <w:start w:val="1"/>
      <w:numFmt w:val="decimal"/>
      <w:suff w:val="nothing"/>
      <w:lvlText w:val="%1、"/>
      <w:lvlJc w:val="left"/>
    </w:lvl>
  </w:abstractNum>
  <w:abstractNum w:abstractNumId="11">
    <w:nsid w:val="59151F0D"/>
    <w:multiLevelType w:val="multilevel"/>
    <w:tmpl w:val="59151F0D"/>
    <w:lvl w:ilvl="0" w:tentative="0">
      <w:start w:val="1"/>
      <w:numFmt w:val="decimal"/>
      <w:suff w:val="nothing"/>
      <w:lvlText w:val="%1."/>
      <w:lvlJc w:val="left"/>
      <w:rPr>
        <w:rFonts w:hint="default"/>
        <w:u w:val="none"/>
      </w:rPr>
    </w:lvl>
    <w:lvl w:ilvl="1" w:tentative="0">
      <w:start w:val="1"/>
      <w:numFmt w:val="decimal"/>
      <w:lvlText w:val=""/>
      <w:lvlJc w:val="left"/>
    </w:lvl>
    <w:lvl w:ilvl="2" w:tentative="0">
      <w:start w:val="1"/>
      <w:numFmt w:val="decimal"/>
      <w:lvlText w:val=""/>
      <w:lvlJc w:val="left"/>
    </w:lvl>
    <w:lvl w:ilvl="3" w:tentative="0">
      <w:start w:val="1"/>
      <w:numFmt w:val="decimal"/>
      <w:lvlText w:val=""/>
      <w:lvlJc w:val="left"/>
    </w:lvl>
    <w:lvl w:ilvl="4" w:tentative="0">
      <w:start w:val="1"/>
      <w:numFmt w:val="decimal"/>
      <w:lvlText w:val=""/>
      <w:lvlJc w:val="left"/>
    </w:lvl>
    <w:lvl w:ilvl="5" w:tentative="0">
      <w:start w:val="1"/>
      <w:numFmt w:val="decimal"/>
      <w:lvlText w:val=""/>
      <w:lvlJc w:val="left"/>
    </w:lvl>
    <w:lvl w:ilvl="6" w:tentative="0">
      <w:start w:val="1"/>
      <w:numFmt w:val="decimal"/>
      <w:lvlText w:val=""/>
      <w:lvlJc w:val="left"/>
    </w:lvl>
    <w:lvl w:ilvl="7" w:tentative="0">
      <w:start w:val="1"/>
      <w:numFmt w:val="decimal"/>
      <w:lvlText w:val=""/>
      <w:lvlJc w:val="left"/>
    </w:lvl>
    <w:lvl w:ilvl="8" w:tentative="0">
      <w:start w:val="1"/>
      <w:numFmt w:val="decimal"/>
      <w:lvlText w:val=""/>
      <w:lvlJc w:val="left"/>
    </w:lvl>
  </w:abstractNum>
  <w:abstractNum w:abstractNumId="12">
    <w:nsid w:val="59C07086"/>
    <w:multiLevelType w:val="singleLevel"/>
    <w:tmpl w:val="59C07086"/>
    <w:lvl w:ilvl="0" w:tentative="0">
      <w:start w:val="1"/>
      <w:numFmt w:val="decimal"/>
      <w:suff w:val="nothing"/>
      <w:lvlText w:val="%1、"/>
      <w:lvlJc w:val="left"/>
    </w:lvl>
  </w:abstractNum>
  <w:num w:numId="1">
    <w:abstractNumId w:val="6"/>
  </w:num>
  <w:num w:numId="2">
    <w:abstractNumId w:val="5"/>
  </w:num>
  <w:num w:numId="3">
    <w:abstractNumId w:val="10"/>
  </w:num>
  <w:num w:numId="4">
    <w:abstractNumId w:val="9"/>
  </w:num>
  <w:num w:numId="5">
    <w:abstractNumId w:val="0"/>
  </w:num>
  <w:num w:numId="6">
    <w:abstractNumId w:val="12"/>
  </w:num>
  <w:num w:numId="7">
    <w:abstractNumId w:val="1"/>
  </w:num>
  <w:num w:numId="8">
    <w:abstractNumId w:val="8"/>
  </w:num>
  <w:num w:numId="9">
    <w:abstractNumId w:val="11"/>
  </w:num>
  <w:num w:numId="10">
    <w:abstractNumId w:val="2"/>
  </w:num>
  <w:num w:numId="11">
    <w:abstractNumId w:val="3"/>
  </w:num>
  <w:num w:numId="12">
    <w:abstractNumId w:val="4"/>
  </w:num>
  <w:num w:numId="1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1"/>
  <w:bordersDoNotSurroundFooter w:val="1"/>
  <w:attachedTemplate r:id="rId1"/>
  <w:documentProtection w:enforcement="0"/>
  <w:defaultTabStop w:val="420"/>
  <w:drawingGridVerticalSpacing w:val="156"/>
  <w:noPunctuationKerning w:val="1"/>
  <w:characterSpacingControl w:val="compressPunctuation"/>
  <w:hdrShapeDefaults>
    <o:shapelayout v:ext="edit">
      <o:idmap v:ext="edit" data="3,4"/>
    </o:shapelayout>
  </w:hdrShapeDefaults>
  <w:compat>
    <w:spaceForUL/>
    <w:balanceSingleByteDoubleByteWidth/>
    <w:doNotLeaveBackslashAlone/>
    <w:ulTrailSpace/>
    <w:doNotExpandShiftReturn/>
    <w:adjustLineHeightInTable/>
    <w:useFELayout/>
    <w:compatSetting w:name="compatibilityMode" w:uri="http://schemas.microsoft.com/office/word" w:val="12"/>
  </w:compat>
  <w:rsids>
    <w:rsidRoot w:val="2EAF22FD"/>
    <w:rsid w:val="00054692"/>
    <w:rsid w:val="000555F8"/>
    <w:rsid w:val="00056F67"/>
    <w:rsid w:val="00066324"/>
    <w:rsid w:val="000A4181"/>
    <w:rsid w:val="000B3309"/>
    <w:rsid w:val="000B6F02"/>
    <w:rsid w:val="000C3FFE"/>
    <w:rsid w:val="00121833"/>
    <w:rsid w:val="00124788"/>
    <w:rsid w:val="00142039"/>
    <w:rsid w:val="001461C0"/>
    <w:rsid w:val="00157F96"/>
    <w:rsid w:val="00175B53"/>
    <w:rsid w:val="00182650"/>
    <w:rsid w:val="00183827"/>
    <w:rsid w:val="001B01AF"/>
    <w:rsid w:val="001D5B68"/>
    <w:rsid w:val="001E6EA9"/>
    <w:rsid w:val="001F17F7"/>
    <w:rsid w:val="002016D5"/>
    <w:rsid w:val="00216766"/>
    <w:rsid w:val="00222B66"/>
    <w:rsid w:val="002263FD"/>
    <w:rsid w:val="00241F41"/>
    <w:rsid w:val="002446DF"/>
    <w:rsid w:val="00264070"/>
    <w:rsid w:val="002C0695"/>
    <w:rsid w:val="002F4620"/>
    <w:rsid w:val="00312C1B"/>
    <w:rsid w:val="003274D9"/>
    <w:rsid w:val="00352FEF"/>
    <w:rsid w:val="003737EF"/>
    <w:rsid w:val="003A79B4"/>
    <w:rsid w:val="003B3C94"/>
    <w:rsid w:val="003C13D8"/>
    <w:rsid w:val="00465110"/>
    <w:rsid w:val="0048289D"/>
    <w:rsid w:val="004B43AD"/>
    <w:rsid w:val="004C4E1D"/>
    <w:rsid w:val="005201CA"/>
    <w:rsid w:val="0057547E"/>
    <w:rsid w:val="00617F7E"/>
    <w:rsid w:val="006217FC"/>
    <w:rsid w:val="00631AD2"/>
    <w:rsid w:val="00632E1A"/>
    <w:rsid w:val="00645A03"/>
    <w:rsid w:val="00656ED8"/>
    <w:rsid w:val="006705FA"/>
    <w:rsid w:val="00681EA0"/>
    <w:rsid w:val="006861D7"/>
    <w:rsid w:val="00695979"/>
    <w:rsid w:val="006B7494"/>
    <w:rsid w:val="006D0BDC"/>
    <w:rsid w:val="006E4F24"/>
    <w:rsid w:val="006F121D"/>
    <w:rsid w:val="00702D17"/>
    <w:rsid w:val="007149B4"/>
    <w:rsid w:val="00725289"/>
    <w:rsid w:val="0073721E"/>
    <w:rsid w:val="00752B57"/>
    <w:rsid w:val="007A2085"/>
    <w:rsid w:val="007B1F95"/>
    <w:rsid w:val="007E2A13"/>
    <w:rsid w:val="007F5340"/>
    <w:rsid w:val="00836ACA"/>
    <w:rsid w:val="00874682"/>
    <w:rsid w:val="008B4365"/>
    <w:rsid w:val="00904BC5"/>
    <w:rsid w:val="00925CCA"/>
    <w:rsid w:val="0095225E"/>
    <w:rsid w:val="009A7F08"/>
    <w:rsid w:val="009B2373"/>
    <w:rsid w:val="009B4C51"/>
    <w:rsid w:val="009D0ADA"/>
    <w:rsid w:val="009E1825"/>
    <w:rsid w:val="009F0581"/>
    <w:rsid w:val="00A32C36"/>
    <w:rsid w:val="00A451A3"/>
    <w:rsid w:val="00A54E97"/>
    <w:rsid w:val="00A85B6E"/>
    <w:rsid w:val="00AB4449"/>
    <w:rsid w:val="00AF18A8"/>
    <w:rsid w:val="00B00125"/>
    <w:rsid w:val="00B40AEE"/>
    <w:rsid w:val="00B5423B"/>
    <w:rsid w:val="00B74704"/>
    <w:rsid w:val="00BC7937"/>
    <w:rsid w:val="00BE6FFC"/>
    <w:rsid w:val="00C8358F"/>
    <w:rsid w:val="00C96B76"/>
    <w:rsid w:val="00CA22F7"/>
    <w:rsid w:val="00CB6B0E"/>
    <w:rsid w:val="00D01DEC"/>
    <w:rsid w:val="00D629AC"/>
    <w:rsid w:val="00D8641E"/>
    <w:rsid w:val="00DF088B"/>
    <w:rsid w:val="00E331F6"/>
    <w:rsid w:val="00E419D1"/>
    <w:rsid w:val="00E44B2E"/>
    <w:rsid w:val="00E5129A"/>
    <w:rsid w:val="00E637C8"/>
    <w:rsid w:val="00E801E1"/>
    <w:rsid w:val="00EA5522"/>
    <w:rsid w:val="00EB4A5D"/>
    <w:rsid w:val="00EF25E6"/>
    <w:rsid w:val="00F00C51"/>
    <w:rsid w:val="00F04B64"/>
    <w:rsid w:val="00F57DA8"/>
    <w:rsid w:val="00F70CE3"/>
    <w:rsid w:val="00F913D2"/>
    <w:rsid w:val="00FE2564"/>
    <w:rsid w:val="01391C9F"/>
    <w:rsid w:val="01473076"/>
    <w:rsid w:val="014A6FCC"/>
    <w:rsid w:val="01525F69"/>
    <w:rsid w:val="01B41176"/>
    <w:rsid w:val="01B92D52"/>
    <w:rsid w:val="0267625B"/>
    <w:rsid w:val="02681060"/>
    <w:rsid w:val="02824816"/>
    <w:rsid w:val="02AC3523"/>
    <w:rsid w:val="02B72471"/>
    <w:rsid w:val="02D53761"/>
    <w:rsid w:val="0328451E"/>
    <w:rsid w:val="03377F3B"/>
    <w:rsid w:val="03743110"/>
    <w:rsid w:val="03CA3A54"/>
    <w:rsid w:val="03FB1BED"/>
    <w:rsid w:val="04261D30"/>
    <w:rsid w:val="04922832"/>
    <w:rsid w:val="05421FD3"/>
    <w:rsid w:val="05625FD0"/>
    <w:rsid w:val="0565779B"/>
    <w:rsid w:val="0566728C"/>
    <w:rsid w:val="058758B8"/>
    <w:rsid w:val="05911EBD"/>
    <w:rsid w:val="05B10794"/>
    <w:rsid w:val="05E740A0"/>
    <w:rsid w:val="06054485"/>
    <w:rsid w:val="065755AC"/>
    <w:rsid w:val="065D7F88"/>
    <w:rsid w:val="06B07816"/>
    <w:rsid w:val="06BC6C23"/>
    <w:rsid w:val="06E73713"/>
    <w:rsid w:val="07560216"/>
    <w:rsid w:val="079C1E10"/>
    <w:rsid w:val="07C04456"/>
    <w:rsid w:val="080138B5"/>
    <w:rsid w:val="0869083D"/>
    <w:rsid w:val="086F5B67"/>
    <w:rsid w:val="08DB7131"/>
    <w:rsid w:val="08FD724F"/>
    <w:rsid w:val="09301F13"/>
    <w:rsid w:val="094B293E"/>
    <w:rsid w:val="09AC3022"/>
    <w:rsid w:val="09F944B7"/>
    <w:rsid w:val="0A1F2436"/>
    <w:rsid w:val="0A2B5585"/>
    <w:rsid w:val="0A2D51F4"/>
    <w:rsid w:val="0A3D1837"/>
    <w:rsid w:val="0A517791"/>
    <w:rsid w:val="0AC00E0C"/>
    <w:rsid w:val="0AD05EDA"/>
    <w:rsid w:val="0B3C15F5"/>
    <w:rsid w:val="0BFD1EA1"/>
    <w:rsid w:val="0BFE749F"/>
    <w:rsid w:val="0C040ECA"/>
    <w:rsid w:val="0C1076B4"/>
    <w:rsid w:val="0C1111CE"/>
    <w:rsid w:val="0C2B4088"/>
    <w:rsid w:val="0C556BDD"/>
    <w:rsid w:val="0CB626EB"/>
    <w:rsid w:val="0CFC564F"/>
    <w:rsid w:val="0D29088E"/>
    <w:rsid w:val="0D2C5AC0"/>
    <w:rsid w:val="0D2D32F0"/>
    <w:rsid w:val="0D395AD0"/>
    <w:rsid w:val="0D58614E"/>
    <w:rsid w:val="0D86092E"/>
    <w:rsid w:val="0D874264"/>
    <w:rsid w:val="0DA32A74"/>
    <w:rsid w:val="0DBA0BE0"/>
    <w:rsid w:val="0DD50AC9"/>
    <w:rsid w:val="0DE55E1C"/>
    <w:rsid w:val="0DF31E7A"/>
    <w:rsid w:val="0DFA4145"/>
    <w:rsid w:val="0E2C4567"/>
    <w:rsid w:val="0E360497"/>
    <w:rsid w:val="0EA46122"/>
    <w:rsid w:val="0ED75CBE"/>
    <w:rsid w:val="0F1E5078"/>
    <w:rsid w:val="0F2D166B"/>
    <w:rsid w:val="0FB33A7F"/>
    <w:rsid w:val="0FF01D1B"/>
    <w:rsid w:val="10026AEB"/>
    <w:rsid w:val="10273041"/>
    <w:rsid w:val="10442A87"/>
    <w:rsid w:val="10AC5966"/>
    <w:rsid w:val="10C20360"/>
    <w:rsid w:val="11214746"/>
    <w:rsid w:val="11302B52"/>
    <w:rsid w:val="114F7E2D"/>
    <w:rsid w:val="11B11FA0"/>
    <w:rsid w:val="12002B7F"/>
    <w:rsid w:val="122408BC"/>
    <w:rsid w:val="12644199"/>
    <w:rsid w:val="132F32A9"/>
    <w:rsid w:val="13440FF9"/>
    <w:rsid w:val="135E6667"/>
    <w:rsid w:val="137648DD"/>
    <w:rsid w:val="138F132A"/>
    <w:rsid w:val="13E3098B"/>
    <w:rsid w:val="140842AC"/>
    <w:rsid w:val="14230F1B"/>
    <w:rsid w:val="146F1B5C"/>
    <w:rsid w:val="14784CAC"/>
    <w:rsid w:val="14917E57"/>
    <w:rsid w:val="14BF3BE6"/>
    <w:rsid w:val="14C071FD"/>
    <w:rsid w:val="15023A3D"/>
    <w:rsid w:val="15024676"/>
    <w:rsid w:val="150E6E14"/>
    <w:rsid w:val="164C5825"/>
    <w:rsid w:val="1691785F"/>
    <w:rsid w:val="16A83B3E"/>
    <w:rsid w:val="16D70848"/>
    <w:rsid w:val="1721136B"/>
    <w:rsid w:val="17212808"/>
    <w:rsid w:val="178D1909"/>
    <w:rsid w:val="182D7A34"/>
    <w:rsid w:val="184A31FB"/>
    <w:rsid w:val="184D1E3A"/>
    <w:rsid w:val="18747148"/>
    <w:rsid w:val="191232FC"/>
    <w:rsid w:val="19683159"/>
    <w:rsid w:val="199419FD"/>
    <w:rsid w:val="199B02CD"/>
    <w:rsid w:val="1A264070"/>
    <w:rsid w:val="1A6524F0"/>
    <w:rsid w:val="1A7E7A2F"/>
    <w:rsid w:val="1ACB060A"/>
    <w:rsid w:val="1AD34DEC"/>
    <w:rsid w:val="1AD9222C"/>
    <w:rsid w:val="1B000C89"/>
    <w:rsid w:val="1B2E5C5F"/>
    <w:rsid w:val="1B2F6FA1"/>
    <w:rsid w:val="1B5E4C99"/>
    <w:rsid w:val="1BDC0EA6"/>
    <w:rsid w:val="1BF37737"/>
    <w:rsid w:val="1C076EF4"/>
    <w:rsid w:val="1C264883"/>
    <w:rsid w:val="1C3A400F"/>
    <w:rsid w:val="1CAB1E2B"/>
    <w:rsid w:val="1CDD22B0"/>
    <w:rsid w:val="1D0A4645"/>
    <w:rsid w:val="1D1C538D"/>
    <w:rsid w:val="1D367289"/>
    <w:rsid w:val="1D935E2C"/>
    <w:rsid w:val="1DF65988"/>
    <w:rsid w:val="1E261A40"/>
    <w:rsid w:val="1E594B0D"/>
    <w:rsid w:val="1E701465"/>
    <w:rsid w:val="1E83795A"/>
    <w:rsid w:val="1F5A7C28"/>
    <w:rsid w:val="1F924843"/>
    <w:rsid w:val="1FAF256C"/>
    <w:rsid w:val="203C2320"/>
    <w:rsid w:val="203D3583"/>
    <w:rsid w:val="204B5D12"/>
    <w:rsid w:val="20CC7EAB"/>
    <w:rsid w:val="20DD7F97"/>
    <w:rsid w:val="210F3484"/>
    <w:rsid w:val="21284036"/>
    <w:rsid w:val="219C063D"/>
    <w:rsid w:val="21AE6AE9"/>
    <w:rsid w:val="223D6E81"/>
    <w:rsid w:val="227674C0"/>
    <w:rsid w:val="228232FF"/>
    <w:rsid w:val="229D11E4"/>
    <w:rsid w:val="233A753F"/>
    <w:rsid w:val="2373130C"/>
    <w:rsid w:val="238F33EB"/>
    <w:rsid w:val="23946BB6"/>
    <w:rsid w:val="23D739D3"/>
    <w:rsid w:val="2408755C"/>
    <w:rsid w:val="24105818"/>
    <w:rsid w:val="24207C49"/>
    <w:rsid w:val="243E20CE"/>
    <w:rsid w:val="24AC4E51"/>
    <w:rsid w:val="24FA30F3"/>
    <w:rsid w:val="2509523D"/>
    <w:rsid w:val="253711B0"/>
    <w:rsid w:val="2582095F"/>
    <w:rsid w:val="25913903"/>
    <w:rsid w:val="25BB43DA"/>
    <w:rsid w:val="25C131A4"/>
    <w:rsid w:val="25E62B70"/>
    <w:rsid w:val="26001708"/>
    <w:rsid w:val="26035EA4"/>
    <w:rsid w:val="26874E95"/>
    <w:rsid w:val="268C7F81"/>
    <w:rsid w:val="26F95A1A"/>
    <w:rsid w:val="27176D15"/>
    <w:rsid w:val="276F047C"/>
    <w:rsid w:val="278F4753"/>
    <w:rsid w:val="278FDC0A"/>
    <w:rsid w:val="27A144D4"/>
    <w:rsid w:val="284E539B"/>
    <w:rsid w:val="28E937E5"/>
    <w:rsid w:val="29032CFD"/>
    <w:rsid w:val="29A27A12"/>
    <w:rsid w:val="29EF0A22"/>
    <w:rsid w:val="2A51186F"/>
    <w:rsid w:val="2A5B0A35"/>
    <w:rsid w:val="2A6D1DFB"/>
    <w:rsid w:val="2A82291D"/>
    <w:rsid w:val="2ACC147E"/>
    <w:rsid w:val="2AD70285"/>
    <w:rsid w:val="2AE94703"/>
    <w:rsid w:val="2B14786A"/>
    <w:rsid w:val="2B1737A6"/>
    <w:rsid w:val="2B2643BC"/>
    <w:rsid w:val="2B6E2D36"/>
    <w:rsid w:val="2B985DCD"/>
    <w:rsid w:val="2BF60989"/>
    <w:rsid w:val="2C637056"/>
    <w:rsid w:val="2C670D39"/>
    <w:rsid w:val="2C8B2837"/>
    <w:rsid w:val="2C943A6F"/>
    <w:rsid w:val="2D116F45"/>
    <w:rsid w:val="2D3A42A0"/>
    <w:rsid w:val="2D516979"/>
    <w:rsid w:val="2DBF6548"/>
    <w:rsid w:val="2DED56E0"/>
    <w:rsid w:val="2DFA6C1E"/>
    <w:rsid w:val="2E653F06"/>
    <w:rsid w:val="2E9970A7"/>
    <w:rsid w:val="2EAF22FD"/>
    <w:rsid w:val="2EB330DB"/>
    <w:rsid w:val="2EDC3E10"/>
    <w:rsid w:val="2EEC7D59"/>
    <w:rsid w:val="2F0D7ECC"/>
    <w:rsid w:val="2F434FC5"/>
    <w:rsid w:val="2F5C79AF"/>
    <w:rsid w:val="2F8C1741"/>
    <w:rsid w:val="2F901033"/>
    <w:rsid w:val="2FC61A21"/>
    <w:rsid w:val="2FC96792"/>
    <w:rsid w:val="2FD36626"/>
    <w:rsid w:val="2FE2095C"/>
    <w:rsid w:val="304D5C42"/>
    <w:rsid w:val="30A71066"/>
    <w:rsid w:val="30E26227"/>
    <w:rsid w:val="30FF178C"/>
    <w:rsid w:val="3115449F"/>
    <w:rsid w:val="3121062B"/>
    <w:rsid w:val="316B4B90"/>
    <w:rsid w:val="318B02E7"/>
    <w:rsid w:val="31FC3707"/>
    <w:rsid w:val="322436BA"/>
    <w:rsid w:val="32516F3D"/>
    <w:rsid w:val="325F54A9"/>
    <w:rsid w:val="326E1D80"/>
    <w:rsid w:val="328F417F"/>
    <w:rsid w:val="32965BD8"/>
    <w:rsid w:val="32CB3B13"/>
    <w:rsid w:val="32E4235A"/>
    <w:rsid w:val="330774C7"/>
    <w:rsid w:val="330C32B7"/>
    <w:rsid w:val="3318726F"/>
    <w:rsid w:val="33344218"/>
    <w:rsid w:val="337C4A71"/>
    <w:rsid w:val="339C7C07"/>
    <w:rsid w:val="33D67386"/>
    <w:rsid w:val="33F62158"/>
    <w:rsid w:val="343708F1"/>
    <w:rsid w:val="34394D0E"/>
    <w:rsid w:val="349F3A52"/>
    <w:rsid w:val="34CF4A7E"/>
    <w:rsid w:val="34D13F90"/>
    <w:rsid w:val="35045ADE"/>
    <w:rsid w:val="352F487D"/>
    <w:rsid w:val="35741429"/>
    <w:rsid w:val="35BD3B46"/>
    <w:rsid w:val="35E47283"/>
    <w:rsid w:val="36093018"/>
    <w:rsid w:val="363813B9"/>
    <w:rsid w:val="36AB0C3B"/>
    <w:rsid w:val="36AC6C02"/>
    <w:rsid w:val="36C72BD2"/>
    <w:rsid w:val="37284F93"/>
    <w:rsid w:val="374F7C4E"/>
    <w:rsid w:val="37C27C11"/>
    <w:rsid w:val="389A098B"/>
    <w:rsid w:val="38A50C6A"/>
    <w:rsid w:val="38A8197F"/>
    <w:rsid w:val="38DA58B2"/>
    <w:rsid w:val="39034DD3"/>
    <w:rsid w:val="391C47ED"/>
    <w:rsid w:val="39A564ED"/>
    <w:rsid w:val="39DF4B46"/>
    <w:rsid w:val="3A497382"/>
    <w:rsid w:val="3B0C161F"/>
    <w:rsid w:val="3B1464F2"/>
    <w:rsid w:val="3B325625"/>
    <w:rsid w:val="3BD251C3"/>
    <w:rsid w:val="3C44560C"/>
    <w:rsid w:val="3C4F5229"/>
    <w:rsid w:val="3C691CF7"/>
    <w:rsid w:val="3CCD6577"/>
    <w:rsid w:val="3D4D70BD"/>
    <w:rsid w:val="3D575C53"/>
    <w:rsid w:val="3D6525D4"/>
    <w:rsid w:val="3D9B0643"/>
    <w:rsid w:val="3DAB528D"/>
    <w:rsid w:val="3E1D4408"/>
    <w:rsid w:val="3E245735"/>
    <w:rsid w:val="3E75624D"/>
    <w:rsid w:val="3E8C2C21"/>
    <w:rsid w:val="3EA71A00"/>
    <w:rsid w:val="3F1279DB"/>
    <w:rsid w:val="3F2324A9"/>
    <w:rsid w:val="3F4A0085"/>
    <w:rsid w:val="3F9D3E85"/>
    <w:rsid w:val="3FE10725"/>
    <w:rsid w:val="3FE20DC4"/>
    <w:rsid w:val="3FE371AB"/>
    <w:rsid w:val="3FF77485"/>
    <w:rsid w:val="401E1709"/>
    <w:rsid w:val="405C185F"/>
    <w:rsid w:val="40B91D62"/>
    <w:rsid w:val="40CB6686"/>
    <w:rsid w:val="40EC40B3"/>
    <w:rsid w:val="414D57DC"/>
    <w:rsid w:val="41B608F8"/>
    <w:rsid w:val="41E35FC7"/>
    <w:rsid w:val="42034826"/>
    <w:rsid w:val="423243B3"/>
    <w:rsid w:val="42837B5C"/>
    <w:rsid w:val="428C22E1"/>
    <w:rsid w:val="42C52071"/>
    <w:rsid w:val="42FC0893"/>
    <w:rsid w:val="43010E7A"/>
    <w:rsid w:val="43EB0092"/>
    <w:rsid w:val="44362C09"/>
    <w:rsid w:val="44730E35"/>
    <w:rsid w:val="44E560D1"/>
    <w:rsid w:val="45352031"/>
    <w:rsid w:val="453D4416"/>
    <w:rsid w:val="45621E13"/>
    <w:rsid w:val="45787092"/>
    <w:rsid w:val="45A3624B"/>
    <w:rsid w:val="45D263AC"/>
    <w:rsid w:val="45E02EF2"/>
    <w:rsid w:val="46504947"/>
    <w:rsid w:val="4685759F"/>
    <w:rsid w:val="468A14B3"/>
    <w:rsid w:val="46C70E44"/>
    <w:rsid w:val="46F670B0"/>
    <w:rsid w:val="47005893"/>
    <w:rsid w:val="47021538"/>
    <w:rsid w:val="4744777A"/>
    <w:rsid w:val="476A6BE8"/>
    <w:rsid w:val="47C63CCF"/>
    <w:rsid w:val="47C81A46"/>
    <w:rsid w:val="47F025EF"/>
    <w:rsid w:val="48107099"/>
    <w:rsid w:val="48603EE7"/>
    <w:rsid w:val="48673C5D"/>
    <w:rsid w:val="486B6FCF"/>
    <w:rsid w:val="48956FC4"/>
    <w:rsid w:val="48B071E1"/>
    <w:rsid w:val="48B92F8F"/>
    <w:rsid w:val="48DD3A1C"/>
    <w:rsid w:val="48EB6EB5"/>
    <w:rsid w:val="48FD5735"/>
    <w:rsid w:val="4909331A"/>
    <w:rsid w:val="4931781C"/>
    <w:rsid w:val="49334E97"/>
    <w:rsid w:val="49481FD5"/>
    <w:rsid w:val="495572F8"/>
    <w:rsid w:val="499A70E5"/>
    <w:rsid w:val="49BC11AF"/>
    <w:rsid w:val="49D57172"/>
    <w:rsid w:val="4A3529CB"/>
    <w:rsid w:val="4A3B5341"/>
    <w:rsid w:val="4A4F78AB"/>
    <w:rsid w:val="4A7556EB"/>
    <w:rsid w:val="4A9E13F8"/>
    <w:rsid w:val="4AC36D4A"/>
    <w:rsid w:val="4ACE5144"/>
    <w:rsid w:val="4B3E43EF"/>
    <w:rsid w:val="4B7E72E5"/>
    <w:rsid w:val="4BA00632"/>
    <w:rsid w:val="4BC841F8"/>
    <w:rsid w:val="4C171281"/>
    <w:rsid w:val="4C1A336E"/>
    <w:rsid w:val="4C4D77A7"/>
    <w:rsid w:val="4C7D1249"/>
    <w:rsid w:val="4C7F343E"/>
    <w:rsid w:val="4C893322"/>
    <w:rsid w:val="4D4501A3"/>
    <w:rsid w:val="4D567377"/>
    <w:rsid w:val="4EC450B5"/>
    <w:rsid w:val="4EFE4BCD"/>
    <w:rsid w:val="4F0745F6"/>
    <w:rsid w:val="4F1B4586"/>
    <w:rsid w:val="4F3A0CC4"/>
    <w:rsid w:val="4F481FBD"/>
    <w:rsid w:val="4F617461"/>
    <w:rsid w:val="4FB311C0"/>
    <w:rsid w:val="4FBF5C25"/>
    <w:rsid w:val="4FC10F19"/>
    <w:rsid w:val="4FD66362"/>
    <w:rsid w:val="4FDC02C1"/>
    <w:rsid w:val="50791A22"/>
    <w:rsid w:val="509B28CE"/>
    <w:rsid w:val="50B14CC8"/>
    <w:rsid w:val="50F206DB"/>
    <w:rsid w:val="50FE5372"/>
    <w:rsid w:val="51664487"/>
    <w:rsid w:val="51A20652"/>
    <w:rsid w:val="51BC3537"/>
    <w:rsid w:val="51C2393A"/>
    <w:rsid w:val="520730B4"/>
    <w:rsid w:val="52100C34"/>
    <w:rsid w:val="52376BD9"/>
    <w:rsid w:val="52BE2395"/>
    <w:rsid w:val="52E00E82"/>
    <w:rsid w:val="533218BF"/>
    <w:rsid w:val="5352072F"/>
    <w:rsid w:val="53A653A3"/>
    <w:rsid w:val="53C54FCF"/>
    <w:rsid w:val="53FD5DEF"/>
    <w:rsid w:val="541F32D7"/>
    <w:rsid w:val="5434153A"/>
    <w:rsid w:val="544B7F9B"/>
    <w:rsid w:val="54535C16"/>
    <w:rsid w:val="54BC1931"/>
    <w:rsid w:val="550301A1"/>
    <w:rsid w:val="5511438C"/>
    <w:rsid w:val="553E613C"/>
    <w:rsid w:val="55BF52C8"/>
    <w:rsid w:val="55DA0032"/>
    <w:rsid w:val="55DF3038"/>
    <w:rsid w:val="5627247F"/>
    <w:rsid w:val="569F591E"/>
    <w:rsid w:val="56E47939"/>
    <w:rsid w:val="570743C5"/>
    <w:rsid w:val="57236C34"/>
    <w:rsid w:val="577271B7"/>
    <w:rsid w:val="579201E4"/>
    <w:rsid w:val="57A23F78"/>
    <w:rsid w:val="57A3603D"/>
    <w:rsid w:val="58086D1D"/>
    <w:rsid w:val="58180389"/>
    <w:rsid w:val="585E17A5"/>
    <w:rsid w:val="58726DEA"/>
    <w:rsid w:val="589D7EC4"/>
    <w:rsid w:val="589F3BEB"/>
    <w:rsid w:val="58A23C6D"/>
    <w:rsid w:val="58E637AB"/>
    <w:rsid w:val="58F367F8"/>
    <w:rsid w:val="590B39F6"/>
    <w:rsid w:val="59353995"/>
    <w:rsid w:val="59382162"/>
    <w:rsid w:val="596265D8"/>
    <w:rsid w:val="59785EA9"/>
    <w:rsid w:val="597B1D82"/>
    <w:rsid w:val="5983074A"/>
    <w:rsid w:val="59E254E3"/>
    <w:rsid w:val="5A0A5DD7"/>
    <w:rsid w:val="5A8075AF"/>
    <w:rsid w:val="5AD46CA7"/>
    <w:rsid w:val="5B22137C"/>
    <w:rsid w:val="5B5A1249"/>
    <w:rsid w:val="5B5E2424"/>
    <w:rsid w:val="5B9223E8"/>
    <w:rsid w:val="5B9C6197"/>
    <w:rsid w:val="5BB44C65"/>
    <w:rsid w:val="5BE45361"/>
    <w:rsid w:val="5BEB0226"/>
    <w:rsid w:val="5C2560E7"/>
    <w:rsid w:val="5CDD4B72"/>
    <w:rsid w:val="5CED0393"/>
    <w:rsid w:val="5D5C4531"/>
    <w:rsid w:val="5E1A726B"/>
    <w:rsid w:val="5E1F02FC"/>
    <w:rsid w:val="5E5F5BF4"/>
    <w:rsid w:val="5EBD103E"/>
    <w:rsid w:val="5EBF0D78"/>
    <w:rsid w:val="5EE913AA"/>
    <w:rsid w:val="5EF20E61"/>
    <w:rsid w:val="5F5B2ACF"/>
    <w:rsid w:val="5F7B3496"/>
    <w:rsid w:val="5FE02D0D"/>
    <w:rsid w:val="60351F15"/>
    <w:rsid w:val="60AF3AEA"/>
    <w:rsid w:val="61017B44"/>
    <w:rsid w:val="614A2EF5"/>
    <w:rsid w:val="616A6658"/>
    <w:rsid w:val="62155063"/>
    <w:rsid w:val="62921D9F"/>
    <w:rsid w:val="629D2A7B"/>
    <w:rsid w:val="62CD42C1"/>
    <w:rsid w:val="62D11F62"/>
    <w:rsid w:val="62D33FA0"/>
    <w:rsid w:val="62D7161E"/>
    <w:rsid w:val="62D854B1"/>
    <w:rsid w:val="63056957"/>
    <w:rsid w:val="63123934"/>
    <w:rsid w:val="6351253B"/>
    <w:rsid w:val="636F35ED"/>
    <w:rsid w:val="63AE4364"/>
    <w:rsid w:val="63DC32C0"/>
    <w:rsid w:val="644954C8"/>
    <w:rsid w:val="64593E1A"/>
    <w:rsid w:val="658C3B43"/>
    <w:rsid w:val="658D4C95"/>
    <w:rsid w:val="65932E5F"/>
    <w:rsid w:val="65A7167F"/>
    <w:rsid w:val="65DB22E5"/>
    <w:rsid w:val="660805A5"/>
    <w:rsid w:val="662E1FF0"/>
    <w:rsid w:val="66355247"/>
    <w:rsid w:val="66546686"/>
    <w:rsid w:val="666E2D58"/>
    <w:rsid w:val="66C246AB"/>
    <w:rsid w:val="66CB319B"/>
    <w:rsid w:val="66D27E17"/>
    <w:rsid w:val="67150357"/>
    <w:rsid w:val="671E6D09"/>
    <w:rsid w:val="6736392A"/>
    <w:rsid w:val="67673FEB"/>
    <w:rsid w:val="67EB14E3"/>
    <w:rsid w:val="68197F1B"/>
    <w:rsid w:val="6829403A"/>
    <w:rsid w:val="68552301"/>
    <w:rsid w:val="685B2B13"/>
    <w:rsid w:val="68CE662D"/>
    <w:rsid w:val="68D571BC"/>
    <w:rsid w:val="68DC5CD9"/>
    <w:rsid w:val="699030CD"/>
    <w:rsid w:val="6A1670E4"/>
    <w:rsid w:val="6A5B3AC9"/>
    <w:rsid w:val="6ACA5038"/>
    <w:rsid w:val="6ACB7799"/>
    <w:rsid w:val="6AD426F2"/>
    <w:rsid w:val="6AD70C76"/>
    <w:rsid w:val="6B02292D"/>
    <w:rsid w:val="6B546A73"/>
    <w:rsid w:val="6B6A5828"/>
    <w:rsid w:val="6B734C74"/>
    <w:rsid w:val="6BB93914"/>
    <w:rsid w:val="6BEC6C44"/>
    <w:rsid w:val="6C0A2F85"/>
    <w:rsid w:val="6C680DF8"/>
    <w:rsid w:val="6C88270E"/>
    <w:rsid w:val="6CBE740F"/>
    <w:rsid w:val="6CCF7296"/>
    <w:rsid w:val="6CFF0C00"/>
    <w:rsid w:val="6D4B24F6"/>
    <w:rsid w:val="6D535020"/>
    <w:rsid w:val="6D5C4A95"/>
    <w:rsid w:val="6DD056E8"/>
    <w:rsid w:val="6DD437A6"/>
    <w:rsid w:val="6E151731"/>
    <w:rsid w:val="6E281067"/>
    <w:rsid w:val="6E3D6E02"/>
    <w:rsid w:val="6E7B36C7"/>
    <w:rsid w:val="6E7E7AC6"/>
    <w:rsid w:val="6E955B2C"/>
    <w:rsid w:val="6EAE1D0D"/>
    <w:rsid w:val="6ECA1450"/>
    <w:rsid w:val="6F4B7827"/>
    <w:rsid w:val="6F8307F0"/>
    <w:rsid w:val="6F9307B8"/>
    <w:rsid w:val="6FF462F0"/>
    <w:rsid w:val="700429E7"/>
    <w:rsid w:val="70337871"/>
    <w:rsid w:val="703A1F60"/>
    <w:rsid w:val="70976588"/>
    <w:rsid w:val="7116532A"/>
    <w:rsid w:val="713E4555"/>
    <w:rsid w:val="715E2E51"/>
    <w:rsid w:val="721D54AA"/>
    <w:rsid w:val="72602F96"/>
    <w:rsid w:val="72740833"/>
    <w:rsid w:val="72791E06"/>
    <w:rsid w:val="727C5DAF"/>
    <w:rsid w:val="729712BC"/>
    <w:rsid w:val="72993A33"/>
    <w:rsid w:val="72C90798"/>
    <w:rsid w:val="72DD7387"/>
    <w:rsid w:val="7313268D"/>
    <w:rsid w:val="731B0601"/>
    <w:rsid w:val="734C0F63"/>
    <w:rsid w:val="739020D2"/>
    <w:rsid w:val="73937CDD"/>
    <w:rsid w:val="73B12B82"/>
    <w:rsid w:val="73BF443B"/>
    <w:rsid w:val="73CD562B"/>
    <w:rsid w:val="73F178BA"/>
    <w:rsid w:val="74110315"/>
    <w:rsid w:val="741A319B"/>
    <w:rsid w:val="746C0C22"/>
    <w:rsid w:val="752F58FC"/>
    <w:rsid w:val="75431A9D"/>
    <w:rsid w:val="754D3C8D"/>
    <w:rsid w:val="75890595"/>
    <w:rsid w:val="75BB3DB3"/>
    <w:rsid w:val="75F46F02"/>
    <w:rsid w:val="75F50410"/>
    <w:rsid w:val="76237FD4"/>
    <w:rsid w:val="763C4D18"/>
    <w:rsid w:val="765A2030"/>
    <w:rsid w:val="76640121"/>
    <w:rsid w:val="768A2C9C"/>
    <w:rsid w:val="76DE420C"/>
    <w:rsid w:val="76F2271B"/>
    <w:rsid w:val="76FA5626"/>
    <w:rsid w:val="77356BD1"/>
    <w:rsid w:val="775C1A2D"/>
    <w:rsid w:val="775D69DE"/>
    <w:rsid w:val="77656883"/>
    <w:rsid w:val="77F52B15"/>
    <w:rsid w:val="784E38F7"/>
    <w:rsid w:val="78753C3F"/>
    <w:rsid w:val="78830CE4"/>
    <w:rsid w:val="788B0294"/>
    <w:rsid w:val="78CB7C22"/>
    <w:rsid w:val="78FA0120"/>
    <w:rsid w:val="791E492C"/>
    <w:rsid w:val="793B3E26"/>
    <w:rsid w:val="799C09A2"/>
    <w:rsid w:val="79B27EBC"/>
    <w:rsid w:val="79BE725C"/>
    <w:rsid w:val="79FD2912"/>
    <w:rsid w:val="7A211BCA"/>
    <w:rsid w:val="7A274288"/>
    <w:rsid w:val="7A3B0572"/>
    <w:rsid w:val="7A87263B"/>
    <w:rsid w:val="7AC112B1"/>
    <w:rsid w:val="7AD22DFB"/>
    <w:rsid w:val="7ADE5582"/>
    <w:rsid w:val="7AF2240D"/>
    <w:rsid w:val="7B834B41"/>
    <w:rsid w:val="7B88685E"/>
    <w:rsid w:val="7BB5051B"/>
    <w:rsid w:val="7BC53473"/>
    <w:rsid w:val="7BCD01A5"/>
    <w:rsid w:val="7BF224F2"/>
    <w:rsid w:val="7BF611C2"/>
    <w:rsid w:val="7C556524"/>
    <w:rsid w:val="7C6B20F7"/>
    <w:rsid w:val="7D3E3B0D"/>
    <w:rsid w:val="7D826A1E"/>
    <w:rsid w:val="7DB35752"/>
    <w:rsid w:val="7DEA0630"/>
    <w:rsid w:val="7E8017EF"/>
    <w:rsid w:val="7EF31F8F"/>
    <w:rsid w:val="7FED4704"/>
    <w:rsid w:val="DFF777BA"/>
    <w:rsid w:val="F77DA51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qFormat="1" w:unhideWhenUsed="0" w:uiPriority="99" w:semiHidden="0" w:name="Body Text 3"/>
    <w:lsdException w:qFormat="1"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qFormat="1" w:unhideWhenUsed="0" w:uiPriority="0" w:semiHidden="0" w:name="HTML Variable"/>
    <w:lsdException w:qFormat="1" w:unhideWhenUsed="0" w:uiPriority="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iPriority="99" w:semiHidden="0" w:name="Balloon Text"/>
    <w:lsdException w:qFormat="1" w:unhideWhenUsed="0" w:uiPriority="3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uiPriority w:val="9"/>
    <w:pPr>
      <w:keepNext/>
      <w:keepLines/>
      <w:adjustRightInd w:val="0"/>
      <w:snapToGrid w:val="0"/>
      <w:spacing w:line="360" w:lineRule="auto"/>
      <w:jc w:val="center"/>
      <w:outlineLvl w:val="0"/>
    </w:pPr>
    <w:rPr>
      <w:b/>
      <w:bCs/>
      <w:kern w:val="44"/>
      <w:sz w:val="36"/>
      <w:szCs w:val="44"/>
    </w:rPr>
  </w:style>
  <w:style w:type="paragraph" w:styleId="4">
    <w:name w:val="heading 2"/>
    <w:basedOn w:val="1"/>
    <w:next w:val="1"/>
    <w:qFormat/>
    <w:uiPriority w:val="9"/>
    <w:pPr>
      <w:keepNext/>
      <w:keepLines/>
      <w:adjustRightInd w:val="0"/>
      <w:snapToGrid w:val="0"/>
      <w:spacing w:line="416" w:lineRule="auto"/>
      <w:outlineLvl w:val="1"/>
    </w:pPr>
    <w:rPr>
      <w:rFonts w:ascii="Arial" w:hAnsi="Arial" w:eastAsia="黑体"/>
      <w:b/>
      <w:bCs/>
      <w:sz w:val="32"/>
      <w:szCs w:val="32"/>
    </w:rPr>
  </w:style>
  <w:style w:type="paragraph" w:styleId="5">
    <w:name w:val="heading 3"/>
    <w:basedOn w:val="1"/>
    <w:next w:val="1"/>
    <w:qFormat/>
    <w:uiPriority w:val="0"/>
    <w:pPr>
      <w:keepNext/>
      <w:keepLines/>
      <w:adjustRightInd w:val="0"/>
      <w:snapToGrid w:val="0"/>
      <w:spacing w:line="416" w:lineRule="auto"/>
      <w:ind w:firstLine="964" w:firstLineChars="200"/>
      <w:outlineLvl w:val="2"/>
    </w:pPr>
    <w:rPr>
      <w:b/>
      <w:bCs/>
      <w:sz w:val="24"/>
      <w:szCs w:val="32"/>
    </w:rPr>
  </w:style>
  <w:style w:type="paragraph" w:styleId="6">
    <w:name w:val="heading 4"/>
    <w:basedOn w:val="1"/>
    <w:next w:val="1"/>
    <w:qFormat/>
    <w:uiPriority w:val="0"/>
    <w:pPr>
      <w:keepNext/>
      <w:keepLines/>
      <w:spacing w:before="280" w:after="290" w:line="376" w:lineRule="auto"/>
      <w:outlineLvl w:val="3"/>
    </w:pPr>
    <w:rPr>
      <w:rFonts w:ascii="Cambria" w:hAnsi="Cambria"/>
      <w:b/>
      <w:bCs/>
      <w:sz w:val="28"/>
      <w:szCs w:val="28"/>
    </w:rPr>
  </w:style>
  <w:style w:type="character" w:default="1" w:styleId="25">
    <w:name w:val="Default Paragraph Font"/>
    <w:semiHidden/>
    <w:qFormat/>
    <w:uiPriority w:val="0"/>
  </w:style>
  <w:style w:type="table" w:default="1" w:styleId="23">
    <w:name w:val="Normal Table"/>
    <w:semiHidden/>
    <w:qFormat/>
    <w:uiPriority w:val="0"/>
    <w:tblPr>
      <w:tblCellMar>
        <w:top w:w="0" w:type="dxa"/>
        <w:left w:w="108" w:type="dxa"/>
        <w:bottom w:w="0" w:type="dxa"/>
        <w:right w:w="108" w:type="dxa"/>
      </w:tblCellMar>
    </w:tblPr>
  </w:style>
  <w:style w:type="paragraph" w:styleId="2">
    <w:name w:val="Body Text"/>
    <w:basedOn w:val="1"/>
    <w:next w:val="1"/>
    <w:qFormat/>
    <w:uiPriority w:val="0"/>
    <w:pPr>
      <w:spacing w:after="120"/>
    </w:pPr>
  </w:style>
  <w:style w:type="paragraph" w:styleId="7">
    <w:name w:val="Normal Indent"/>
    <w:basedOn w:val="1"/>
    <w:qFormat/>
    <w:uiPriority w:val="0"/>
    <w:pPr>
      <w:ind w:firstLine="200" w:firstLineChars="200"/>
    </w:pPr>
  </w:style>
  <w:style w:type="paragraph" w:styleId="8">
    <w:name w:val="annotation text"/>
    <w:basedOn w:val="1"/>
    <w:link w:val="36"/>
    <w:qFormat/>
    <w:uiPriority w:val="0"/>
    <w:pPr>
      <w:jc w:val="left"/>
    </w:pPr>
  </w:style>
  <w:style w:type="paragraph" w:styleId="9">
    <w:name w:val="Body Text 3"/>
    <w:basedOn w:val="1"/>
    <w:qFormat/>
    <w:uiPriority w:val="99"/>
    <w:pPr>
      <w:widowControl/>
      <w:jc w:val="center"/>
    </w:pPr>
    <w:rPr>
      <w:rFonts w:hAnsi="Symbol"/>
      <w:sz w:val="10"/>
      <w:szCs w:val="10"/>
    </w:rPr>
  </w:style>
  <w:style w:type="paragraph" w:styleId="10">
    <w:name w:val="Body Text Indent"/>
    <w:basedOn w:val="1"/>
    <w:qFormat/>
    <w:uiPriority w:val="0"/>
    <w:pPr>
      <w:ind w:firstLine="630"/>
    </w:pPr>
    <w:rPr>
      <w:sz w:val="32"/>
      <w:szCs w:val="20"/>
    </w:rPr>
  </w:style>
  <w:style w:type="paragraph" w:styleId="11">
    <w:name w:val="Plain Text"/>
    <w:basedOn w:val="1"/>
    <w:qFormat/>
    <w:uiPriority w:val="0"/>
    <w:rPr>
      <w:rFonts w:ascii="宋体" w:hAnsi="Courier New"/>
      <w:szCs w:val="20"/>
    </w:rPr>
  </w:style>
  <w:style w:type="paragraph" w:styleId="12">
    <w:name w:val="Body Text Indent 2"/>
    <w:basedOn w:val="1"/>
    <w:unhideWhenUsed/>
    <w:qFormat/>
    <w:uiPriority w:val="0"/>
    <w:pPr>
      <w:spacing w:after="120" w:line="480" w:lineRule="auto"/>
      <w:ind w:left="420" w:leftChars="200"/>
    </w:pPr>
  </w:style>
  <w:style w:type="paragraph" w:styleId="13">
    <w:name w:val="Balloon Text"/>
    <w:basedOn w:val="1"/>
    <w:unhideWhenUsed/>
    <w:qFormat/>
    <w:uiPriority w:val="99"/>
    <w:rPr>
      <w:kern w:val="0"/>
      <w:sz w:val="18"/>
      <w:szCs w:val="18"/>
    </w:rPr>
  </w:style>
  <w:style w:type="paragraph" w:styleId="14">
    <w:name w:val="footer"/>
    <w:basedOn w:val="1"/>
    <w:qFormat/>
    <w:uiPriority w:val="0"/>
    <w:pPr>
      <w:tabs>
        <w:tab w:val="center" w:pos="4153"/>
        <w:tab w:val="right" w:pos="8306"/>
      </w:tabs>
      <w:snapToGrid w:val="0"/>
      <w:jc w:val="left"/>
    </w:pPr>
    <w:rPr>
      <w:sz w:val="18"/>
      <w:szCs w:val="20"/>
    </w:rPr>
  </w:style>
  <w:style w:type="paragraph" w:styleId="15">
    <w:name w:val="header"/>
    <w:basedOn w:val="1"/>
    <w:qFormat/>
    <w:uiPriority w:val="0"/>
    <w:pPr>
      <w:pBdr>
        <w:bottom w:val="single" w:color="auto" w:sz="6" w:space="1"/>
      </w:pBdr>
      <w:tabs>
        <w:tab w:val="center" w:pos="4153"/>
        <w:tab w:val="right" w:pos="8306"/>
      </w:tabs>
      <w:snapToGrid w:val="0"/>
      <w:jc w:val="center"/>
    </w:pPr>
    <w:rPr>
      <w:sz w:val="18"/>
      <w:szCs w:val="20"/>
    </w:rPr>
  </w:style>
  <w:style w:type="paragraph" w:styleId="16">
    <w:name w:val="toc 1"/>
    <w:basedOn w:val="1"/>
    <w:next w:val="1"/>
    <w:qFormat/>
    <w:uiPriority w:val="0"/>
  </w:style>
  <w:style w:type="paragraph" w:styleId="17">
    <w:name w:val="Subtitle"/>
    <w:basedOn w:val="1"/>
    <w:next w:val="1"/>
    <w:qFormat/>
    <w:uiPriority w:val="0"/>
    <w:pPr>
      <w:spacing w:line="312" w:lineRule="auto"/>
      <w:jc w:val="left"/>
      <w:outlineLvl w:val="1"/>
    </w:pPr>
    <w:rPr>
      <w:rFonts w:ascii="Cambria" w:hAnsi="Cambria"/>
      <w:b/>
      <w:bCs/>
      <w:kern w:val="28"/>
      <w:szCs w:val="32"/>
    </w:rPr>
  </w:style>
  <w:style w:type="paragraph" w:styleId="18">
    <w:name w:val="Normal (Web)"/>
    <w:basedOn w:val="1"/>
    <w:qFormat/>
    <w:uiPriority w:val="0"/>
    <w:pPr>
      <w:widowControl/>
      <w:spacing w:before="100" w:beforeAutospacing="1" w:after="100" w:afterAutospacing="1"/>
      <w:jc w:val="left"/>
    </w:pPr>
    <w:rPr>
      <w:rFonts w:ascii="宋体"/>
      <w:kern w:val="0"/>
      <w:sz w:val="18"/>
      <w:szCs w:val="18"/>
    </w:rPr>
  </w:style>
  <w:style w:type="paragraph" w:styleId="19">
    <w:name w:val="Title"/>
    <w:basedOn w:val="1"/>
    <w:next w:val="1"/>
    <w:qFormat/>
    <w:uiPriority w:val="0"/>
    <w:pPr>
      <w:spacing w:before="240" w:after="60"/>
      <w:jc w:val="center"/>
      <w:outlineLvl w:val="0"/>
    </w:pPr>
    <w:rPr>
      <w:b/>
      <w:bCs/>
      <w:sz w:val="32"/>
      <w:szCs w:val="32"/>
    </w:rPr>
  </w:style>
  <w:style w:type="paragraph" w:styleId="20">
    <w:name w:val="annotation subject"/>
    <w:basedOn w:val="8"/>
    <w:next w:val="8"/>
    <w:link w:val="37"/>
    <w:qFormat/>
    <w:uiPriority w:val="0"/>
    <w:rPr>
      <w:b/>
      <w:bCs/>
    </w:rPr>
  </w:style>
  <w:style w:type="paragraph" w:styleId="21">
    <w:name w:val="Body Text First Indent"/>
    <w:basedOn w:val="2"/>
    <w:qFormat/>
    <w:uiPriority w:val="0"/>
    <w:pPr>
      <w:spacing w:after="0"/>
      <w:ind w:firstLine="420" w:firstLineChars="100"/>
    </w:pPr>
    <w:rPr>
      <w:rFonts w:ascii="Arial" w:hAnsi="Arial"/>
      <w:color w:val="000000"/>
    </w:rPr>
  </w:style>
  <w:style w:type="paragraph" w:styleId="22">
    <w:name w:val="Body Text First Indent 2"/>
    <w:basedOn w:val="10"/>
    <w:qFormat/>
    <w:uiPriority w:val="0"/>
    <w:pPr>
      <w:spacing w:after="120" w:line="276" w:lineRule="auto"/>
      <w:ind w:left="420" w:leftChars="200" w:firstLine="420"/>
    </w:pPr>
    <w:rPr>
      <w:rFonts w:ascii="Calibri" w:hAnsi="Calibri"/>
      <w:sz w:val="22"/>
      <w:szCs w:val="22"/>
      <w:lang w:eastAsia="en-US"/>
    </w:rPr>
  </w:style>
  <w:style w:type="table" w:styleId="24">
    <w:name w:val="Table Grid"/>
    <w:basedOn w:val="23"/>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6">
    <w:name w:val="Strong"/>
    <w:qFormat/>
    <w:uiPriority w:val="22"/>
    <w:rPr>
      <w:b/>
      <w:bCs/>
    </w:rPr>
  </w:style>
  <w:style w:type="character" w:styleId="27">
    <w:name w:val="page number"/>
    <w:qFormat/>
    <w:uiPriority w:val="0"/>
  </w:style>
  <w:style w:type="character" w:styleId="28">
    <w:name w:val="FollowedHyperlink"/>
    <w:qFormat/>
    <w:uiPriority w:val="0"/>
    <w:rPr>
      <w:color w:val="3D3D3D"/>
      <w:u w:val="none"/>
    </w:rPr>
  </w:style>
  <w:style w:type="character" w:styleId="29">
    <w:name w:val="Emphasis"/>
    <w:qFormat/>
    <w:uiPriority w:val="0"/>
    <w:rPr>
      <w:color w:val="F73131"/>
    </w:rPr>
  </w:style>
  <w:style w:type="character" w:styleId="30">
    <w:name w:val="HTML Definition"/>
    <w:basedOn w:val="25"/>
    <w:qFormat/>
    <w:uiPriority w:val="0"/>
  </w:style>
  <w:style w:type="character" w:styleId="31">
    <w:name w:val="HTML Variable"/>
    <w:basedOn w:val="25"/>
    <w:qFormat/>
    <w:uiPriority w:val="0"/>
  </w:style>
  <w:style w:type="character" w:styleId="32">
    <w:name w:val="Hyperlink"/>
    <w:basedOn w:val="25"/>
    <w:qFormat/>
    <w:uiPriority w:val="0"/>
    <w:rPr>
      <w:color w:val="3D3D3D"/>
      <w:u w:val="none"/>
    </w:rPr>
  </w:style>
  <w:style w:type="character" w:styleId="33">
    <w:name w:val="HTML Code"/>
    <w:qFormat/>
    <w:uiPriority w:val="0"/>
    <w:rPr>
      <w:rFonts w:ascii="Courier New" w:hAnsi="Courier New"/>
      <w:sz w:val="20"/>
    </w:rPr>
  </w:style>
  <w:style w:type="character" w:styleId="34">
    <w:name w:val="annotation reference"/>
    <w:qFormat/>
    <w:uiPriority w:val="0"/>
    <w:rPr>
      <w:sz w:val="21"/>
      <w:szCs w:val="21"/>
    </w:rPr>
  </w:style>
  <w:style w:type="character" w:styleId="35">
    <w:name w:val="HTML Cite"/>
    <w:basedOn w:val="25"/>
    <w:qFormat/>
    <w:uiPriority w:val="0"/>
  </w:style>
  <w:style w:type="character" w:customStyle="1" w:styleId="36">
    <w:name w:val="批注文字 Char"/>
    <w:basedOn w:val="25"/>
    <w:link w:val="8"/>
    <w:qFormat/>
    <w:uiPriority w:val="0"/>
    <w:rPr>
      <w:kern w:val="2"/>
      <w:sz w:val="21"/>
      <w:szCs w:val="24"/>
    </w:rPr>
  </w:style>
  <w:style w:type="character" w:customStyle="1" w:styleId="37">
    <w:name w:val="批注主题 Char"/>
    <w:basedOn w:val="36"/>
    <w:link w:val="20"/>
    <w:qFormat/>
    <w:uiPriority w:val="0"/>
  </w:style>
  <w:style w:type="character" w:customStyle="1" w:styleId="38">
    <w:name w:val="img"/>
    <w:basedOn w:val="25"/>
    <w:qFormat/>
    <w:uiPriority w:val="0"/>
  </w:style>
  <w:style w:type="character" w:customStyle="1" w:styleId="39">
    <w:name w:val="c-icon"/>
    <w:basedOn w:val="25"/>
    <w:qFormat/>
    <w:uiPriority w:val="0"/>
  </w:style>
  <w:style w:type="character" w:customStyle="1" w:styleId="40">
    <w:name w:val="font31"/>
    <w:basedOn w:val="25"/>
    <w:qFormat/>
    <w:uiPriority w:val="0"/>
    <w:rPr>
      <w:rFonts w:hint="default" w:ascii="Times New Roman" w:hAnsi="Times New Roman" w:cs="Times New Roman"/>
      <w:color w:val="000000"/>
      <w:sz w:val="24"/>
      <w:szCs w:val="24"/>
      <w:u w:val="none"/>
    </w:rPr>
  </w:style>
  <w:style w:type="character" w:customStyle="1" w:styleId="41">
    <w:name w:val="NormalCharacter"/>
    <w:semiHidden/>
    <w:qFormat/>
    <w:uiPriority w:val="0"/>
    <w:rPr>
      <w:rFonts w:ascii="Times New Roman" w:hAnsi="Times New Roman" w:eastAsia="宋体" w:cs="Times New Roman"/>
      <w:kern w:val="2"/>
      <w:sz w:val="21"/>
      <w:szCs w:val="24"/>
      <w:lang w:val="en-US" w:eastAsia="zh-CN" w:bidi="ar-SA"/>
    </w:rPr>
  </w:style>
  <w:style w:type="character" w:customStyle="1" w:styleId="42">
    <w:name w:val="font01"/>
    <w:basedOn w:val="25"/>
    <w:qFormat/>
    <w:uiPriority w:val="0"/>
    <w:rPr>
      <w:rFonts w:hint="eastAsia" w:ascii="宋体" w:hAnsi="宋体" w:eastAsia="宋体" w:cs="宋体"/>
      <w:color w:val="000000"/>
      <w:sz w:val="24"/>
      <w:szCs w:val="24"/>
      <w:u w:val="none"/>
    </w:rPr>
  </w:style>
  <w:style w:type="character" w:customStyle="1" w:styleId="43">
    <w:name w:val="c-icon28"/>
    <w:basedOn w:val="25"/>
    <w:qFormat/>
    <w:uiPriority w:val="0"/>
  </w:style>
  <w:style w:type="character" w:customStyle="1" w:styleId="44">
    <w:name w:val="font21"/>
    <w:basedOn w:val="25"/>
    <w:qFormat/>
    <w:uiPriority w:val="0"/>
    <w:rPr>
      <w:rFonts w:hint="eastAsia" w:ascii="宋体" w:hAnsi="宋体" w:eastAsia="宋体" w:cs="宋体"/>
      <w:color w:val="000000"/>
      <w:sz w:val="22"/>
      <w:szCs w:val="22"/>
      <w:u w:val="none"/>
    </w:rPr>
  </w:style>
  <w:style w:type="character" w:customStyle="1" w:styleId="45">
    <w:name w:val="font11"/>
    <w:basedOn w:val="25"/>
    <w:qFormat/>
    <w:uiPriority w:val="0"/>
    <w:rPr>
      <w:rFonts w:hint="default" w:ascii="Times New Roman" w:hAnsi="Times New Roman" w:cs="Times New Roman"/>
      <w:color w:val="000000"/>
      <w:sz w:val="22"/>
      <w:szCs w:val="22"/>
      <w:u w:val="none"/>
    </w:rPr>
  </w:style>
  <w:style w:type="character" w:customStyle="1" w:styleId="46">
    <w:name w:val="img1"/>
    <w:basedOn w:val="25"/>
    <w:qFormat/>
    <w:uiPriority w:val="0"/>
  </w:style>
  <w:style w:type="character" w:customStyle="1" w:styleId="47">
    <w:name w:val="hover24"/>
    <w:qFormat/>
    <w:uiPriority w:val="0"/>
    <w:rPr>
      <w:color w:val="315EFB"/>
    </w:rPr>
  </w:style>
  <w:style w:type="character" w:customStyle="1" w:styleId="48">
    <w:name w:val="hover23"/>
    <w:basedOn w:val="25"/>
    <w:qFormat/>
    <w:uiPriority w:val="0"/>
  </w:style>
  <w:style w:type="character" w:customStyle="1" w:styleId="49">
    <w:name w:val="font41"/>
    <w:basedOn w:val="25"/>
    <w:qFormat/>
    <w:uiPriority w:val="0"/>
    <w:rPr>
      <w:rFonts w:hint="default" w:ascii="Times New Roman" w:hAnsi="Times New Roman" w:cs="Times New Roman"/>
      <w:color w:val="000000"/>
      <w:sz w:val="24"/>
      <w:szCs w:val="24"/>
      <w:u w:val="none"/>
    </w:rPr>
  </w:style>
  <w:style w:type="character" w:customStyle="1" w:styleId="50">
    <w:name w:val="font81"/>
    <w:basedOn w:val="25"/>
    <w:qFormat/>
    <w:uiPriority w:val="0"/>
    <w:rPr>
      <w:rFonts w:hint="eastAsia" w:ascii="宋体" w:hAnsi="宋体" w:eastAsia="宋体" w:cs="宋体"/>
      <w:color w:val="000000"/>
      <w:sz w:val="24"/>
      <w:szCs w:val="24"/>
      <w:u w:val="none"/>
      <w:vertAlign w:val="superscript"/>
    </w:rPr>
  </w:style>
  <w:style w:type="paragraph" w:customStyle="1" w:styleId="51">
    <w:name w:val="BodyText"/>
    <w:basedOn w:val="1"/>
    <w:qFormat/>
    <w:uiPriority w:val="0"/>
    <w:pPr>
      <w:spacing w:after="120"/>
    </w:pPr>
  </w:style>
  <w:style w:type="paragraph" w:customStyle="1" w:styleId="52">
    <w:name w:val="WPSOffice手动目录 1"/>
    <w:qFormat/>
    <w:uiPriority w:val="0"/>
    <w:pPr>
      <w:adjustRightInd w:val="0"/>
      <w:snapToGrid w:val="0"/>
      <w:spacing w:line="360" w:lineRule="auto"/>
    </w:pPr>
    <w:rPr>
      <w:rFonts w:ascii="Times New Roman" w:hAnsi="Times New Roman" w:eastAsia="宋体" w:cs="Times New Roman"/>
      <w:sz w:val="24"/>
      <w:lang w:val="en-US" w:eastAsia="zh-CN" w:bidi="ar-SA"/>
    </w:rPr>
  </w:style>
  <w:style w:type="paragraph" w:customStyle="1" w:styleId="53">
    <w:name w:val="p0"/>
    <w:basedOn w:val="1"/>
    <w:qFormat/>
    <w:uiPriority w:val="0"/>
    <w:pPr>
      <w:widowControl/>
    </w:pPr>
    <w:rPr>
      <w:kern w:val="0"/>
      <w:szCs w:val="21"/>
    </w:rPr>
  </w:style>
  <w:style w:type="paragraph" w:customStyle="1" w:styleId="54">
    <w:name w:val="_Style 2"/>
    <w:basedOn w:val="1"/>
    <w:qFormat/>
    <w:uiPriority w:val="0"/>
    <w:pPr>
      <w:ind w:firstLine="420" w:firstLineChars="200"/>
    </w:pPr>
    <w:rPr>
      <w:sz w:val="18"/>
      <w:szCs w:val="18"/>
    </w:rPr>
  </w:style>
  <w:style w:type="paragraph" w:customStyle="1" w:styleId="55">
    <w:name w:val="正文首行缩进两字符"/>
    <w:basedOn w:val="1"/>
    <w:qFormat/>
    <w:uiPriority w:val="0"/>
    <w:pPr>
      <w:spacing w:line="360" w:lineRule="auto"/>
      <w:ind w:firstLine="200" w:firstLineChars="200"/>
    </w:pPr>
  </w:style>
  <w:style w:type="paragraph" w:customStyle="1" w:styleId="56">
    <w:name w:val="样式"/>
    <w:qFormat/>
    <w:uiPriority w:val="0"/>
    <w:pPr>
      <w:widowControl w:val="0"/>
      <w:autoSpaceDE w:val="0"/>
      <w:autoSpaceDN w:val="0"/>
      <w:adjustRightInd w:val="0"/>
    </w:pPr>
    <w:rPr>
      <w:rFonts w:ascii="宋体" w:hAnsi="宋体" w:eastAsia="宋体" w:cs="宋体"/>
      <w:sz w:val="24"/>
      <w:szCs w:val="24"/>
      <w:lang w:val="en-US" w:eastAsia="zh-CN" w:bidi="ar-SA"/>
    </w:rPr>
  </w:style>
  <w:style w:type="paragraph" w:customStyle="1" w:styleId="57">
    <w:name w:val="List Paragraph1"/>
    <w:basedOn w:val="1"/>
    <w:qFormat/>
    <w:uiPriority w:val="0"/>
    <w:pPr>
      <w:ind w:firstLine="420" w:firstLineChars="200"/>
    </w:pPr>
    <w:rPr>
      <w:rFonts w:ascii="Calibri" w:hAnsi="Calibri"/>
      <w:szCs w:val="22"/>
    </w:rPr>
  </w:style>
  <w:style w:type="paragraph" w:customStyle="1" w:styleId="58">
    <w:name w:val="中等深浅网格 1 - 强调文字颜色 21"/>
    <w:basedOn w:val="1"/>
    <w:unhideWhenUsed/>
    <w:qFormat/>
    <w:uiPriority w:val="99"/>
    <w:pPr>
      <w:ind w:firstLine="420" w:firstLineChars="200"/>
    </w:pPr>
    <w:rPr>
      <w:rFonts w:ascii="Calibri" w:hAnsi="Calibri"/>
      <w:szCs w:val="22"/>
    </w:rPr>
  </w:style>
  <w:style w:type="paragraph" w:customStyle="1" w:styleId="59">
    <w:name w:val="Body Text 2"/>
    <w:basedOn w:val="1"/>
    <w:qFormat/>
    <w:uiPriority w:val="0"/>
    <w:pPr>
      <w:adjustRightInd w:val="0"/>
      <w:spacing w:line="300" w:lineRule="auto"/>
      <w:jc w:val="center"/>
      <w:textAlignment w:val="baseline"/>
    </w:pPr>
    <w:rPr>
      <w:rFonts w:ascii="宋体" w:hAnsi="宋体"/>
      <w:kern w:val="0"/>
      <w:sz w:val="24"/>
      <w:szCs w:val="20"/>
    </w:rPr>
  </w:style>
  <w:style w:type="paragraph" w:customStyle="1" w:styleId="60">
    <w:name w:val="正文 A"/>
    <w:next w:val="2"/>
    <w:qFormat/>
    <w:uiPriority w:val="0"/>
    <w:rPr>
      <w:rFonts w:hint="eastAsia" w:ascii="Arial Unicode MS" w:hAnsi="Arial Unicode MS" w:eastAsia="Times New Roman" w:cs="Arial Unicode MS"/>
      <w:color w:val="000000"/>
      <w:sz w:val="24"/>
      <w:szCs w:val="24"/>
      <w:lang w:val="en-US" w:eastAsia="zh-CN" w:bidi="ar-SA"/>
    </w:rPr>
  </w:style>
  <w:style w:type="paragraph" w:styleId="61">
    <w:name w:val="List Paragraph"/>
    <w:basedOn w:val="1"/>
    <w:qFormat/>
    <w:uiPriority w:val="34"/>
    <w:pPr>
      <w:ind w:firstLine="420" w:firstLineChars="200"/>
    </w:pPr>
  </w:style>
  <w:style w:type="paragraph" w:customStyle="1" w:styleId="62">
    <w:name w:val="Normal"/>
    <w:qFormat/>
    <w:uiPriority w:val="0"/>
    <w:pPr>
      <w:widowControl w:val="0"/>
      <w:adjustRightInd w:val="0"/>
      <w:spacing w:line="312" w:lineRule="atLeast"/>
      <w:jc w:val="both"/>
      <w:textAlignment w:val="baseline"/>
    </w:pPr>
    <w:rPr>
      <w:rFonts w:ascii="宋体" w:hAnsi="Times New Roman" w:eastAsia="宋体" w:cs="Times New Roman"/>
      <w:sz w:val="34"/>
      <w:szCs w:val="22"/>
      <w:lang w:val="en-US" w:eastAsia="zh-CN" w:bidi="ar-SA"/>
    </w:rPr>
  </w:style>
  <w:style w:type="paragraph" w:customStyle="1" w:styleId="63">
    <w:name w:val="Table Paragraph"/>
    <w:basedOn w:val="1"/>
    <w:qFormat/>
    <w:uiPriority w:val="99"/>
    <w:pPr>
      <w:jc w:val="left"/>
    </w:pPr>
    <w:rPr>
      <w:rFonts w:ascii="Calibri" w:hAnsi="Calibri"/>
      <w:kern w:val="0"/>
      <w:sz w:val="22"/>
      <w:szCs w:val="22"/>
      <w:lang w:eastAsia="en-US"/>
    </w:rPr>
  </w:style>
  <w:style w:type="paragraph" w:customStyle="1" w:styleId="64">
    <w:name w:val="正文文本 21"/>
    <w:basedOn w:val="1"/>
    <w:qFormat/>
    <w:uiPriority w:val="0"/>
    <w:pPr>
      <w:adjustRightInd w:val="0"/>
      <w:spacing w:line="300" w:lineRule="auto"/>
      <w:jc w:val="center"/>
      <w:textAlignment w:val="baseline"/>
    </w:pPr>
    <w:rPr>
      <w:rFonts w:hAnsi="宋体"/>
      <w:sz w:val="24"/>
    </w:rPr>
  </w:style>
  <w:style w:type="paragraph" w:customStyle="1" w:styleId="65">
    <w:name w:val="正文2"/>
    <w:next w:val="1"/>
    <w:qFormat/>
    <w:uiPriority w:val="0"/>
    <w:pPr>
      <w:widowControl w:val="0"/>
      <w:adjustRightInd w:val="0"/>
      <w:spacing w:line="312" w:lineRule="atLeast"/>
      <w:jc w:val="both"/>
      <w:textAlignment w:val="baseline"/>
    </w:pPr>
    <w:rPr>
      <w:rFonts w:ascii="宋体" w:hAnsi="Times New Roman" w:eastAsia="宋体" w:cs="Times New Roman"/>
      <w:sz w:val="34"/>
      <w:szCs w:val="22"/>
      <w:lang w:val="en-US" w:eastAsia="zh-CN" w:bidi="ar-SA"/>
    </w:rPr>
  </w:style>
  <w:style w:type="paragraph" w:customStyle="1" w:styleId="66">
    <w:name w:val="列出段落1"/>
    <w:basedOn w:val="1"/>
    <w:qFormat/>
    <w:uiPriority w:val="34"/>
    <w:pPr>
      <w:ind w:firstLine="420" w:firstLineChars="200"/>
    </w:pPr>
    <w:rPr>
      <w:rFonts w:ascii="宋体" w:hAnsi="宋体" w:cs="宋体"/>
      <w:sz w:val="24"/>
    </w:rPr>
  </w:style>
  <w:style w:type="paragraph" w:customStyle="1" w:styleId="67">
    <w:name w:val="Default"/>
    <w:qFormat/>
    <w:uiPriority w:val="0"/>
    <w:pPr>
      <w:widowControl w:val="0"/>
      <w:autoSpaceDE w:val="0"/>
      <w:autoSpaceDN w:val="0"/>
      <w:adjustRightInd w:val="0"/>
    </w:pPr>
    <w:rPr>
      <w:rFonts w:ascii="Myriad Pro" w:hAnsi="Myriad Pro" w:eastAsia="Myriad Pro" w:cs="Myriad Pro"/>
      <w:color w:val="000000"/>
      <w:sz w:val="24"/>
      <w:szCs w:val="24"/>
      <w:lang w:val="en-US" w:eastAsia="zh-CN" w:bidi="ar-SA"/>
    </w:rPr>
  </w:style>
  <w:style w:type="paragraph" w:customStyle="1" w:styleId="68">
    <w:name w:val="样式 首行缩进:  2 字符"/>
    <w:basedOn w:val="1"/>
    <w:qFormat/>
    <w:uiPriority w:val="0"/>
    <w:pPr>
      <w:spacing w:line="400" w:lineRule="exact"/>
      <w:ind w:firstLine="200" w:firstLineChars="200"/>
    </w:pPr>
    <w:rPr>
      <w:rFonts w:cs="宋体"/>
      <w:sz w:val="24"/>
    </w:rPr>
  </w:style>
  <w:style w:type="paragraph" w:customStyle="1" w:styleId="69">
    <w:name w:val="op_mapdots_left"/>
    <w:basedOn w:val="1"/>
    <w:qFormat/>
    <w:uiPriority w:val="0"/>
    <w:pPr>
      <w:jc w:val="left"/>
    </w:pPr>
    <w:rPr>
      <w:kern w:val="0"/>
    </w:rPr>
  </w:style>
  <w:style w:type="paragraph" w:customStyle="1" w:styleId="70">
    <w:name w:val="_正文段落"/>
    <w:basedOn w:val="1"/>
    <w:qFormat/>
    <w:uiPriority w:val="0"/>
    <w:pPr>
      <w:spacing w:beforeLines="15" w:afterLines="15" w:line="360" w:lineRule="auto"/>
      <w:ind w:firstLine="200" w:firstLineChars="200"/>
    </w:pPr>
    <w:rPr>
      <w:rFonts w:ascii="宋体" w:eastAsia="仿宋_GB2312"/>
      <w:kern w:val="0"/>
      <w:sz w:val="28"/>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1" Type="http://schemas.openxmlformats.org/officeDocument/2006/relationships/fontTable" Target="fontTable.xml"/><Relationship Id="rId80" Type="http://schemas.openxmlformats.org/officeDocument/2006/relationships/numbering" Target="numbering.xml"/><Relationship Id="rId8" Type="http://schemas.openxmlformats.org/officeDocument/2006/relationships/footer" Target="footer3.xml"/><Relationship Id="rId79" Type="http://schemas.openxmlformats.org/officeDocument/2006/relationships/customXml" Target="../customXml/item1.xml"/><Relationship Id="rId78" Type="http://schemas.openxmlformats.org/officeDocument/2006/relationships/image" Target="media/image68.png"/><Relationship Id="rId77" Type="http://schemas.openxmlformats.org/officeDocument/2006/relationships/image" Target="media/image67.png"/><Relationship Id="rId76" Type="http://schemas.openxmlformats.org/officeDocument/2006/relationships/image" Target="media/image66.png"/><Relationship Id="rId75" Type="http://schemas.openxmlformats.org/officeDocument/2006/relationships/image" Target="media/image65.png"/><Relationship Id="rId74" Type="http://schemas.openxmlformats.org/officeDocument/2006/relationships/image" Target="media/image64.png"/><Relationship Id="rId73" Type="http://schemas.openxmlformats.org/officeDocument/2006/relationships/image" Target="media/image63.png"/><Relationship Id="rId72" Type="http://schemas.openxmlformats.org/officeDocument/2006/relationships/image" Target="media/image62.png"/><Relationship Id="rId71" Type="http://schemas.openxmlformats.org/officeDocument/2006/relationships/image" Target="media/image61.png"/><Relationship Id="rId70" Type="http://schemas.openxmlformats.org/officeDocument/2006/relationships/image" Target="media/image60.png"/><Relationship Id="rId7" Type="http://schemas.openxmlformats.org/officeDocument/2006/relationships/footer" Target="footer2.xml"/><Relationship Id="rId69" Type="http://schemas.openxmlformats.org/officeDocument/2006/relationships/image" Target="media/image59.png"/><Relationship Id="rId68" Type="http://schemas.openxmlformats.org/officeDocument/2006/relationships/image" Target="media/image58.png"/><Relationship Id="rId67" Type="http://schemas.openxmlformats.org/officeDocument/2006/relationships/image" Target="media/image57.png"/><Relationship Id="rId66" Type="http://schemas.openxmlformats.org/officeDocument/2006/relationships/image" Target="media/image56.png"/><Relationship Id="rId65" Type="http://schemas.openxmlformats.org/officeDocument/2006/relationships/image" Target="media/image55.png"/><Relationship Id="rId64" Type="http://schemas.openxmlformats.org/officeDocument/2006/relationships/image" Target="media/image54.png"/><Relationship Id="rId63" Type="http://schemas.openxmlformats.org/officeDocument/2006/relationships/image" Target="media/image53.png"/><Relationship Id="rId62" Type="http://schemas.openxmlformats.org/officeDocument/2006/relationships/image" Target="media/image52.png"/><Relationship Id="rId61" Type="http://schemas.openxmlformats.org/officeDocument/2006/relationships/image" Target="media/image51.png"/><Relationship Id="rId60" Type="http://schemas.openxmlformats.org/officeDocument/2006/relationships/image" Target="media/image50.png"/><Relationship Id="rId6" Type="http://schemas.openxmlformats.org/officeDocument/2006/relationships/header" Target="header3.xml"/><Relationship Id="rId59" Type="http://schemas.openxmlformats.org/officeDocument/2006/relationships/image" Target="media/image49.png"/><Relationship Id="rId58" Type="http://schemas.openxmlformats.org/officeDocument/2006/relationships/image" Target="media/image48.png"/><Relationship Id="rId57" Type="http://schemas.openxmlformats.org/officeDocument/2006/relationships/image" Target="media/image47.png"/><Relationship Id="rId56" Type="http://schemas.openxmlformats.org/officeDocument/2006/relationships/image" Target="media/image46.png"/><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png"/><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footer" Target="footer1.xml"/><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jpeg"/><Relationship Id="rId46" Type="http://schemas.openxmlformats.org/officeDocument/2006/relationships/image" Target="media/image36.png"/><Relationship Id="rId45" Type="http://schemas.openxmlformats.org/officeDocument/2006/relationships/image" Target="media/image35.jpe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png"/><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header" Target="header2.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header" Target="header1.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jpeg"/><Relationship Id="rId17" Type="http://schemas.openxmlformats.org/officeDocument/2006/relationships/image" Target="media/image7.jpeg"/><Relationship Id="rId16" Type="http://schemas.openxmlformats.org/officeDocument/2006/relationships/image" Target="media/image6.jpeg"/><Relationship Id="rId15" Type="http://schemas.openxmlformats.org/officeDocument/2006/relationships/image" Target="media/image5.jpeg"/><Relationship Id="rId14" Type="http://schemas.openxmlformats.org/officeDocument/2006/relationships/image" Target="media/image4.jpeg"/><Relationship Id="rId13" Type="http://schemas.openxmlformats.org/officeDocument/2006/relationships/image" Target="media/image3.jpeg"/><Relationship Id="rId12" Type="http://schemas.openxmlformats.org/officeDocument/2006/relationships/image" Target="media/image2.png"/><Relationship Id="rId11" Type="http://schemas.openxmlformats.org/officeDocument/2006/relationships/theme" Target="theme/theme1.xml"/><Relationship Id="rId10" Type="http://schemas.openxmlformats.org/officeDocument/2006/relationships/footer" Target="footer5.xml"/><Relationship Id="rId1" Type="http://schemas.openxmlformats.org/officeDocument/2006/relationships/styles" Target="styles.xml"/></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idspp\Library\Containers\com.kingsoft.wpsoffice.mac\Data\C:\Users\HP\AppData\Roaming\Kingsoft\wps\addons\pool\win-i38"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4097"/>
    <customShpInfo spid="_x0000_s4098"/>
    <customShpInfo spid="_x0000_s4099"/>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win-i38</Template>
  <Company>Hewlett-Packard Company</Company>
  <Pages>1</Pages>
  <Words>10266</Words>
  <Characters>58519</Characters>
  <Lines>487</Lines>
  <Paragraphs>137</Paragraphs>
  <TotalTime>0</TotalTime>
  <ScaleCrop>false</ScaleCrop>
  <LinksUpToDate>false</LinksUpToDate>
  <CharactersWithSpaces>68648</CharactersWithSpaces>
  <Application>WPS Office_11.1.0.10503_F1E327BC-269C-435d-A152-05C5408002CA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2021-08-20T02:08:00Z</dcterms:created>
  <dc:creator>HP</dc:creator>
  <cp:lastModifiedBy>admin</cp:lastModifiedBy>
  <cp:lastPrinted>2021-08-20T01:19:00Z</cp:lastPrinted>
  <dcterms:modified xsi:type="dcterms:W3CDTF">2021-08-27T08:51:37Z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2052-11.1.0.10503</vt:lpwstr>
  </property>
  <property fmtid="{D5CDD505-2E9C-101B-9397-08002B2CF9AE}" pid="3" name="ICV">
    <vt:lpwstr>A02760B4E82E4961A5B5DB7BB90B1048</vt:lpwstr>
  </property>
  <property fmtid="{D5CDD505-2E9C-101B-9397-08002B2CF9AE}" pid="4" name="KSOSaveFontToCloudKey">
    <vt:lpwstr>403695805_btnclosed</vt:lpwstr>
  </property>
</Properties>
</file>