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22"/>
          <w:szCs w:val="28"/>
        </w:rPr>
      </w:pPr>
      <w:r>
        <w:rPr>
          <w:rFonts w:ascii="微软雅黑" w:hAnsi="微软雅黑" w:eastAsia="微软雅黑" w:cs="微软雅黑"/>
          <w:i w:val="0"/>
          <w:iCs w:val="0"/>
          <w:caps w:val="0"/>
          <w:color w:val="auto"/>
          <w:spacing w:val="0"/>
          <w:sz w:val="20"/>
          <w:szCs w:val="20"/>
          <w:shd w:val="clear" w:fill="FFFFFF"/>
        </w:rPr>
        <w:t>  1、本项目采购预算2606896.56元/年；2、最高限价：2606896.56元/年，最高单价限价：1.2元/平方米；3、监督管理部门：双流区财政局，监督电话：028-85804726；4:、成都市双流区政府采购计划备案表：(2021)0588号；5、根据《四川省财政厅关于推进四川省政府采购</w:t>
      </w:r>
      <w:bookmarkStart w:id="0" w:name="_GoBack"/>
      <w:bookmarkEnd w:id="0"/>
      <w:r>
        <w:rPr>
          <w:rFonts w:ascii="微软雅黑" w:hAnsi="微软雅黑" w:eastAsia="微软雅黑" w:cs="微软雅黑"/>
          <w:i w:val="0"/>
          <w:iCs w:val="0"/>
          <w:caps w:val="0"/>
          <w:color w:val="auto"/>
          <w:spacing w:val="0"/>
          <w:sz w:val="20"/>
          <w:szCs w:val="20"/>
          <w:shd w:val="clear" w:fill="FFFFFF"/>
        </w:rPr>
        <w:t>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 申请政采贷具体相关流程请查看http://202.61.88.41:9009/static/login/login.html；为有效缓解中小企业融资难、融资贵问题，根据成都市财政局中国人民银行成都分行营业管理部关于印发《成都市中小企业政府采购信用融资暂行办法》和《成都市级支持中小企业政府采购信用融资实施方案》的通知（成财采〔2019〕17号），成都市范围内政府采购项目中标（成交）供应商为中小微企业的，可依据政府采购合同申请政府采购信用融资。 申请蓉采贷具体相关流程请查看http://cdcz.chengdu.gov.cn/zfcg/gpLoan。 在四川省、成都市确定的首期开展“政采贷”业务银行的基础上，双流区另有10家银行机构自愿开展政府采购信用融资业务；6、本项目中供应商在经营活动中的重大违法记录的标准和范围：资格要求中“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7、采购项目需要落实的政府采购政策:优先采购节能产品,强制采购节能产品,优先采购环保标志产品,优先采购无线局域网产品,促进中小企业发展,促进监狱企业发展,促进残疾人福利性单位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17497"/>
    <w:rsid w:val="113E3FA0"/>
    <w:rsid w:val="21262933"/>
    <w:rsid w:val="2BC65EAA"/>
    <w:rsid w:val="40660228"/>
    <w:rsid w:val="4E4D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360" w:lineRule="auto"/>
      <w:jc w:val="center"/>
      <w:outlineLvl w:val="0"/>
    </w:pPr>
    <w:rPr>
      <w:rFonts w:ascii="宋体" w:hAnsi="宋体" w:eastAsia="宋体"/>
      <w:b/>
      <w:bCs/>
      <w:snapToGrid w:val="0"/>
      <w:kern w:val="44"/>
      <w:sz w:val="32"/>
      <w:szCs w:val="44"/>
    </w:rPr>
  </w:style>
  <w:style w:type="paragraph" w:styleId="3">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eastAsia="宋体" w:asciiTheme="minorAscii" w:hAnsiTheme="minorAscii"/>
      <w:b/>
      <w:sz w:val="30"/>
      <w:szCs w:val="22"/>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标书正文"/>
    <w:basedOn w:val="1"/>
    <w:qFormat/>
    <w:uiPriority w:val="0"/>
    <w:pPr>
      <w:spacing w:line="420" w:lineRule="exact"/>
      <w:ind w:left="420" w:leftChars="200"/>
      <w:jc w:val="left"/>
    </w:pPr>
    <w:rPr>
      <w:rFonts w:asciiTheme="minorAscii" w:hAnsiTheme="minorAscii"/>
      <w:sz w:val="24"/>
    </w:rPr>
  </w:style>
  <w:style w:type="character" w:customStyle="1" w:styleId="7">
    <w:name w:val="标题 1 Char"/>
    <w:basedOn w:val="5"/>
    <w:link w:val="2"/>
    <w:qFormat/>
    <w:uiPriority w:val="0"/>
    <w:rPr>
      <w:rFonts w:ascii="宋体" w:hAnsi="宋体" w:eastAsia="宋体"/>
      <w:b/>
      <w:bCs/>
      <w:snapToGrid w:val="0"/>
      <w:kern w:val="44"/>
      <w:sz w:val="32"/>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2019-05-29T03:01:00Z</dcterms:created>
  <dc:creator>Administrator</dc:creator>
  <cp:lastModifiedBy>甘建</cp:lastModifiedBy>
  <dcterms:modified xsi:type="dcterms:W3CDTF">2021-08-02T08:33:34Z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7A237A99FAE04E2581652E002D781CF5</vt:lpwstr>
  </property>
</Properties>
</file>