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华文中宋" w:hAnsi="华文中宋" w:eastAsia="华文中宋"/>
        </w:rPr>
      </w:pPr>
      <w:bookmarkStart w:id="0" w:name="_Toc35393813"/>
      <w:bookmarkStart w:id="1" w:name="_Toc28359026"/>
      <w:bookmarkStart w:id="35" w:name="_GoBack"/>
      <w:bookmarkEnd w:id="35"/>
    </w:p>
    <w:p>
      <w:pPr>
        <w:pStyle w:val="3"/>
        <w:tabs>
          <w:tab w:val="left" w:pos="0"/>
        </w:tabs>
        <w:autoSpaceDE w:val="0"/>
        <w:autoSpaceDN w:val="0"/>
        <w:adjustRightInd w:val="0"/>
        <w:spacing w:before="0" w:after="0" w:line="360" w:lineRule="auto"/>
        <w:jc w:val="both"/>
        <w:rPr>
          <w:rFonts w:hint="eastAsia" w:ascii="华文中宋" w:hAnsi="华文中宋" w:eastAsia="华文中宋"/>
          <w:sz w:val="15"/>
          <w:szCs w:val="15"/>
        </w:rPr>
      </w:pPr>
    </w:p>
    <w:p>
      <w:pPr>
        <w:pStyle w:val="3"/>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更正公告</w:t>
      </w:r>
      <w:bookmarkEnd w:id="0"/>
      <w:bookmarkEnd w:id="1"/>
    </w:p>
    <w:p>
      <w:pPr>
        <w:pStyle w:val="4"/>
        <w:spacing w:line="360" w:lineRule="auto"/>
        <w:rPr>
          <w:rFonts w:ascii="黑体" w:hAnsi="黑体" w:cs="宋体"/>
          <w:b w:val="0"/>
          <w:sz w:val="28"/>
          <w:szCs w:val="28"/>
        </w:rPr>
      </w:pPr>
      <w:bookmarkStart w:id="2" w:name="_Toc35393814"/>
      <w:bookmarkStart w:id="3" w:name="_Toc35393645"/>
      <w:bookmarkStart w:id="4" w:name="_Toc28359104"/>
      <w:bookmarkStart w:id="5" w:name="_Toc28359027"/>
      <w:r>
        <w:rPr>
          <w:rFonts w:hint="eastAsia" w:ascii="黑体" w:hAnsi="黑体" w:cs="宋体"/>
          <w:b w:val="0"/>
          <w:sz w:val="28"/>
          <w:szCs w:val="28"/>
        </w:rPr>
        <w:t>一、项目基本情况</w:t>
      </w:r>
      <w:bookmarkEnd w:id="2"/>
      <w:bookmarkEnd w:id="3"/>
      <w:bookmarkEnd w:id="4"/>
      <w:bookmarkEnd w:id="5"/>
    </w:p>
    <w:p>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sz w:val="28"/>
          <w:szCs w:val="28"/>
          <w:u w:val="single"/>
          <w:lang w:eastAsia="zh-CN"/>
        </w:rPr>
        <w:t>510101202100728</w:t>
      </w:r>
    </w:p>
    <w:p>
      <w:pPr>
        <w:ind w:firstLine="560" w:firstLineChars="200"/>
        <w:rPr>
          <w:rFonts w:ascii="仿宋" w:hAnsi="仿宋" w:eastAsia="仿宋"/>
          <w:sz w:val="28"/>
          <w:szCs w:val="28"/>
        </w:rPr>
      </w:pPr>
      <w:r>
        <w:rPr>
          <w:rFonts w:hint="eastAsia" w:ascii="仿宋" w:hAnsi="仿宋" w:eastAsia="仿宋"/>
          <w:sz w:val="28"/>
          <w:szCs w:val="28"/>
        </w:rPr>
        <w:t>原公告的采购项目名称：</w:t>
      </w:r>
      <w:r>
        <w:rPr>
          <w:rFonts w:hint="eastAsia" w:ascii="仿宋" w:hAnsi="仿宋" w:eastAsia="仿宋"/>
          <w:sz w:val="28"/>
          <w:szCs w:val="28"/>
          <w:u w:val="single"/>
        </w:rPr>
        <w:t>成都市文物考古工作队皈家堡遗址发掘报告出版服务采购项目</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首次公告日期：</w:t>
      </w:r>
      <w:r>
        <w:rPr>
          <w:rFonts w:hint="eastAsia" w:ascii="仿宋" w:hAnsi="仿宋" w:eastAsia="仿宋"/>
          <w:sz w:val="28"/>
          <w:szCs w:val="28"/>
          <w:u w:val="single"/>
          <w:lang w:val="en-US" w:eastAsia="zh-CN"/>
        </w:rPr>
        <w:t>2021年6月29</w:t>
      </w:r>
    </w:p>
    <w:p>
      <w:pPr>
        <w:pStyle w:val="4"/>
        <w:spacing w:line="360" w:lineRule="auto"/>
        <w:rPr>
          <w:rFonts w:ascii="黑体" w:hAnsi="黑体" w:cs="宋体"/>
          <w:b w:val="0"/>
          <w:sz w:val="28"/>
          <w:szCs w:val="28"/>
        </w:rPr>
      </w:pPr>
      <w:bookmarkStart w:id="6" w:name="_Toc35393815"/>
      <w:bookmarkStart w:id="7" w:name="_Toc35393646"/>
      <w:bookmarkStart w:id="8" w:name="_Toc28359105"/>
      <w:bookmarkStart w:id="9" w:name="_Toc28359028"/>
      <w:r>
        <w:rPr>
          <w:rFonts w:hint="eastAsia" w:ascii="黑体" w:hAnsi="黑体" w:cs="宋体"/>
          <w:b w:val="0"/>
          <w:sz w:val="28"/>
          <w:szCs w:val="28"/>
        </w:rPr>
        <w:t>二、更正信息</w:t>
      </w:r>
      <w:bookmarkEnd w:id="6"/>
      <w:bookmarkEnd w:id="7"/>
      <w:bookmarkEnd w:id="8"/>
      <w:bookmarkEnd w:id="9"/>
    </w:p>
    <w:p>
      <w:pPr>
        <w:ind w:firstLine="560" w:firstLineChars="200"/>
        <w:rPr>
          <w:rFonts w:ascii="仿宋" w:hAnsi="仿宋" w:eastAsia="仿宋"/>
          <w:sz w:val="28"/>
          <w:szCs w:val="28"/>
        </w:rPr>
      </w:pPr>
      <w:r>
        <w:rPr>
          <w:rFonts w:hint="eastAsia" w:ascii="仿宋" w:hAnsi="仿宋" w:eastAsia="仿宋"/>
          <w:sz w:val="28"/>
          <w:szCs w:val="28"/>
        </w:rPr>
        <w:t>更正事项：</w:t>
      </w:r>
      <w:r>
        <w:rPr>
          <w:rFonts w:hint="eastAsia" w:ascii="仿宋" w:hAnsi="仿宋" w:eastAsia="仿宋"/>
          <w:sz w:val="28"/>
          <w:szCs w:val="28"/>
        </w:rPr>
        <w:sym w:font="Wingdings 2" w:char="0052"/>
      </w:r>
      <w:r>
        <w:rPr>
          <w:rFonts w:hint="eastAsia" w:ascii="仿宋" w:hAnsi="仿宋" w:eastAsia="仿宋"/>
          <w:sz w:val="28"/>
          <w:szCs w:val="28"/>
        </w:rPr>
        <w:t xml:space="preserve">采购公告 □采购文件 □采购结果     </w:t>
      </w:r>
    </w:p>
    <w:p>
      <w:pPr>
        <w:adjustRightInd w:val="0"/>
        <w:snapToGrid w:val="0"/>
        <w:spacing w:line="520" w:lineRule="exact"/>
        <w:ind w:firstLine="560" w:firstLineChars="200"/>
        <w:rPr>
          <w:rFonts w:hint="eastAsia" w:ascii="仿宋" w:hAnsi="仿宋" w:eastAsia="仿宋" w:cs="仿宋"/>
          <w:b/>
          <w:kern w:val="44"/>
          <w:sz w:val="24"/>
        </w:rPr>
      </w:pPr>
      <w:r>
        <w:rPr>
          <w:rFonts w:hint="eastAsia" w:ascii="仿宋" w:hAnsi="仿宋" w:eastAsia="仿宋"/>
          <w:sz w:val="28"/>
          <w:szCs w:val="28"/>
        </w:rPr>
        <w:t>更正内容：</w:t>
      </w:r>
      <w:r>
        <w:rPr>
          <w:rFonts w:hint="eastAsia" w:ascii="仿宋" w:hAnsi="仿宋" w:eastAsia="仿宋"/>
          <w:sz w:val="28"/>
          <w:szCs w:val="28"/>
          <w:u w:val="single"/>
          <w:lang w:eastAsia="zh-CN"/>
        </w:rPr>
        <w:t>采购需求附件“</w:t>
      </w:r>
      <w:r>
        <w:rPr>
          <w:rFonts w:hint="eastAsia" w:ascii="仿宋" w:hAnsi="仿宋" w:eastAsia="仿宋" w:cs="仿宋"/>
          <w:b/>
          <w:kern w:val="44"/>
          <w:sz w:val="24"/>
        </w:rPr>
        <w:t xml:space="preserve">一、项目概况 </w:t>
      </w:r>
    </w:p>
    <w:p>
      <w:pPr>
        <w:spacing w:line="520" w:lineRule="exact"/>
        <w:ind w:firstLine="480" w:firstLineChars="200"/>
        <w:rPr>
          <w:rFonts w:hint="eastAsia" w:ascii="仿宋" w:hAnsi="仿宋" w:eastAsia="仿宋" w:cs="仿宋"/>
          <w:sz w:val="24"/>
          <w:szCs w:val="21"/>
        </w:rPr>
      </w:pPr>
      <w:r>
        <w:rPr>
          <w:rFonts w:ascii="仿宋" w:hAnsi="仿宋" w:eastAsia="仿宋" w:cs="仿宋"/>
          <w:sz w:val="24"/>
          <w:szCs w:val="21"/>
        </w:rPr>
        <w:t>2022</w:t>
      </w:r>
      <w:r>
        <w:rPr>
          <w:rFonts w:hint="eastAsia" w:ascii="仿宋" w:hAnsi="仿宋" w:eastAsia="仿宋" w:cs="仿宋"/>
          <w:sz w:val="24"/>
          <w:szCs w:val="21"/>
        </w:rPr>
        <w:t>年1</w:t>
      </w:r>
      <w:r>
        <w:rPr>
          <w:rFonts w:ascii="仿宋" w:hAnsi="仿宋" w:eastAsia="仿宋" w:cs="仿宋"/>
          <w:sz w:val="24"/>
          <w:szCs w:val="21"/>
        </w:rPr>
        <w:t>2</w:t>
      </w:r>
      <w:r>
        <w:rPr>
          <w:rFonts w:hint="eastAsia" w:ascii="仿宋" w:hAnsi="仿宋" w:eastAsia="仿宋" w:cs="仿宋"/>
          <w:sz w:val="24"/>
          <w:szCs w:val="21"/>
        </w:rPr>
        <w:t>月3</w:t>
      </w:r>
      <w:r>
        <w:rPr>
          <w:rFonts w:ascii="仿宋" w:hAnsi="仿宋" w:eastAsia="仿宋" w:cs="仿宋"/>
          <w:sz w:val="24"/>
          <w:szCs w:val="21"/>
        </w:rPr>
        <w:t>1</w:t>
      </w:r>
      <w:r>
        <w:rPr>
          <w:rFonts w:hint="eastAsia" w:ascii="仿宋" w:hAnsi="仿宋" w:eastAsia="仿宋" w:cs="仿宋"/>
          <w:sz w:val="24"/>
          <w:szCs w:val="21"/>
        </w:rPr>
        <w:t>日前完成都蒲江飞龙村盐井沟M1 出土51件竹木漆器类文物的保护修复工作。</w:t>
      </w:r>
    </w:p>
    <w:p>
      <w:pPr>
        <w:numPr>
          <w:ilvl w:val="0"/>
          <w:numId w:val="0"/>
        </w:numPr>
        <w:adjustRightInd w:val="0"/>
        <w:snapToGrid w:val="0"/>
        <w:spacing w:line="520" w:lineRule="exact"/>
        <w:ind w:left="482" w:leftChars="0"/>
        <w:rPr>
          <w:rFonts w:hint="eastAsia" w:ascii="仿宋" w:hAnsi="仿宋" w:eastAsia="仿宋" w:cs="仿宋"/>
          <w:b/>
          <w:kern w:val="44"/>
          <w:sz w:val="24"/>
        </w:rPr>
      </w:pPr>
      <w:bookmarkStart w:id="10" w:name="_Toc414266429"/>
      <w:bookmarkStart w:id="11" w:name="_Toc414614595"/>
      <w:bookmarkStart w:id="12" w:name="_Toc269717608"/>
      <w:bookmarkStart w:id="13" w:name="_Toc421277691"/>
      <w:bookmarkStart w:id="14" w:name="_Toc414266275"/>
      <w:bookmarkStart w:id="15" w:name="_Toc427148985"/>
      <w:bookmarkStart w:id="16" w:name="_Toc9553"/>
      <w:r>
        <w:rPr>
          <w:rFonts w:hint="eastAsia" w:ascii="仿宋" w:hAnsi="仿宋" w:eastAsia="仿宋" w:cs="仿宋"/>
          <w:b/>
          <w:kern w:val="44"/>
          <w:sz w:val="24"/>
          <w:lang w:eastAsia="zh-CN"/>
        </w:rPr>
        <w:t>二、</w:t>
      </w:r>
      <w:r>
        <w:rPr>
          <w:rFonts w:hint="eastAsia" w:ascii="仿宋" w:hAnsi="仿宋" w:eastAsia="仿宋" w:cs="仿宋"/>
          <w:b/>
          <w:kern w:val="44"/>
          <w:sz w:val="24"/>
        </w:rPr>
        <w:t>服务内容</w:t>
      </w:r>
      <w:bookmarkEnd w:id="10"/>
      <w:bookmarkEnd w:id="11"/>
      <w:bookmarkEnd w:id="12"/>
      <w:bookmarkEnd w:id="13"/>
      <w:bookmarkEnd w:id="14"/>
      <w:bookmarkEnd w:id="15"/>
      <w:r>
        <w:rPr>
          <w:rFonts w:hint="eastAsia" w:ascii="仿宋" w:hAnsi="仿宋" w:eastAsia="仿宋" w:cs="仿宋"/>
          <w:b/>
          <w:kern w:val="44"/>
          <w:sz w:val="24"/>
        </w:rPr>
        <w:t>及要求 </w:t>
      </w:r>
      <w:bookmarkEnd w:id="16"/>
    </w:p>
    <w:p>
      <w:pPr>
        <w:adjustRightInd w:val="0"/>
        <w:snapToGrid w:val="0"/>
        <w:spacing w:line="360" w:lineRule="auto"/>
        <w:ind w:firstLine="470" w:firstLineChars="196"/>
        <w:rPr>
          <w:rFonts w:ascii="仿宋" w:hAnsi="仿宋" w:eastAsia="仿宋"/>
          <w:sz w:val="24"/>
        </w:rPr>
      </w:pPr>
      <w:r>
        <w:rPr>
          <w:rFonts w:hint="eastAsia" w:ascii="仿宋" w:hAnsi="仿宋" w:eastAsia="仿宋"/>
          <w:sz w:val="24"/>
        </w:rPr>
        <w:t>（1）服务内容：根据四川省文物局批复（川文物函﹝2020﹞52号），</w:t>
      </w:r>
      <w:r>
        <w:rPr>
          <w:rFonts w:ascii="仿宋" w:hAnsi="仿宋" w:eastAsia="仿宋"/>
          <w:sz w:val="24"/>
        </w:rPr>
        <w:t>2022</w:t>
      </w:r>
      <w:r>
        <w:rPr>
          <w:rFonts w:hint="eastAsia" w:ascii="仿宋" w:hAnsi="仿宋" w:eastAsia="仿宋"/>
          <w:sz w:val="24"/>
        </w:rPr>
        <w:t>年1</w:t>
      </w:r>
      <w:r>
        <w:rPr>
          <w:rFonts w:ascii="仿宋" w:hAnsi="仿宋" w:eastAsia="仿宋"/>
          <w:sz w:val="24"/>
        </w:rPr>
        <w:t>2</w:t>
      </w:r>
      <w:r>
        <w:rPr>
          <w:rFonts w:hint="eastAsia" w:ascii="仿宋" w:hAnsi="仿宋" w:eastAsia="仿宋"/>
          <w:sz w:val="24"/>
        </w:rPr>
        <w:t>月3</w:t>
      </w:r>
      <w:r>
        <w:rPr>
          <w:rFonts w:ascii="仿宋" w:hAnsi="仿宋" w:eastAsia="仿宋"/>
          <w:sz w:val="24"/>
        </w:rPr>
        <w:t>1</w:t>
      </w:r>
      <w:r>
        <w:rPr>
          <w:rFonts w:hint="eastAsia" w:ascii="仿宋" w:hAnsi="仿宋" w:eastAsia="仿宋"/>
          <w:sz w:val="24"/>
        </w:rPr>
        <w:t>日前，按照《成都蒲江飞龙村盐井沟M1出土竹木漆器整理与保护修复方案》完成成都蒲江飞龙村盐井沟M1 出土5</w:t>
      </w:r>
      <w:r>
        <w:rPr>
          <w:rFonts w:ascii="仿宋" w:hAnsi="仿宋" w:eastAsia="仿宋"/>
          <w:sz w:val="24"/>
        </w:rPr>
        <w:t>1</w:t>
      </w:r>
      <w:r>
        <w:rPr>
          <w:rFonts w:hint="eastAsia" w:ascii="仿宋" w:hAnsi="仿宋" w:eastAsia="仿宋"/>
          <w:sz w:val="24"/>
        </w:rPr>
        <w:t>件竹木漆器类文物的保护修复工作，经过保护修复的文物应能在适宜的环境条件下长期保存。</w:t>
      </w:r>
    </w:p>
    <w:p>
      <w:pPr>
        <w:adjustRightInd w:val="0"/>
        <w:snapToGrid w:val="0"/>
        <w:spacing w:line="360" w:lineRule="auto"/>
        <w:ind w:firstLine="470" w:firstLineChars="196"/>
        <w:rPr>
          <w:rFonts w:hint="eastAsia" w:ascii="仿宋" w:hAnsi="仿宋" w:eastAsia="仿宋"/>
          <w:sz w:val="24"/>
        </w:rPr>
      </w:pPr>
      <w:r>
        <w:rPr>
          <w:rFonts w:hint="eastAsia" w:ascii="仿宋" w:hAnsi="仿宋" w:eastAsia="仿宋"/>
          <w:sz w:val="24"/>
        </w:rPr>
        <w:t>（2）投标人在投标文件中承诺派出的项目负责人、实施团队人员必须实际参与到本项目,不得虚假响应。如因实际情况需要更换相应岗位中的人员，必须按照投标人所提供的投标文件中响应或承诺的同专业、同级别的文凭、职称及同工作经验年限的人员进行替换，且必须经过采购人同意。</w:t>
      </w:r>
      <w:r>
        <w:rPr>
          <w:rFonts w:hint="eastAsia" w:ascii="仿宋" w:hAnsi="仿宋" w:eastAsia="仿宋"/>
          <w:b/>
          <w:bCs/>
          <w:sz w:val="24"/>
        </w:rPr>
        <w:t>（提供承诺函原件，格式不限）</w:t>
      </w:r>
    </w:p>
    <w:p>
      <w:pPr>
        <w:adjustRightInd w:val="0"/>
        <w:snapToGrid w:val="0"/>
        <w:spacing w:line="360" w:lineRule="auto"/>
        <w:ind w:firstLine="470" w:firstLineChars="196"/>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）保护修复工具：熟悉漆木器文物的保护修复工作流程，具有基本的保护修复工具及设备：精密PH计或PH试纸、光度计、温湿度计、医用天平、竹刀、牛角刀、宣纸、游标卡尺、油画笔、取样瓶等。</w:t>
      </w:r>
    </w:p>
    <w:p>
      <w:pPr>
        <w:adjustRightInd w:val="0"/>
        <w:snapToGrid w:val="0"/>
        <w:spacing w:line="360" w:lineRule="auto"/>
        <w:ind w:firstLine="472" w:firstLineChars="196"/>
        <w:rPr>
          <w:rFonts w:hint="eastAsia" w:ascii="仿宋" w:hAnsi="仿宋" w:eastAsia="仿宋"/>
          <w:b/>
          <w:bCs/>
          <w:sz w:val="24"/>
        </w:rPr>
      </w:pPr>
      <w:r>
        <w:rPr>
          <w:rFonts w:hint="eastAsia" w:ascii="仿宋" w:hAnsi="仿宋" w:eastAsia="仿宋"/>
          <w:b/>
          <w:bCs/>
          <w:sz w:val="24"/>
        </w:rPr>
        <w:t>★三、商务要求</w:t>
      </w:r>
    </w:p>
    <w:p>
      <w:pPr>
        <w:adjustRightInd w:val="0"/>
        <w:snapToGrid w:val="0"/>
        <w:spacing w:line="360" w:lineRule="auto"/>
        <w:ind w:firstLine="470" w:firstLineChars="196"/>
        <w:rPr>
          <w:rFonts w:ascii="仿宋" w:hAnsi="仿宋" w:eastAsia="仿宋"/>
          <w:sz w:val="24"/>
        </w:rPr>
      </w:pPr>
      <w:r>
        <w:rPr>
          <w:rFonts w:hint="eastAsia" w:ascii="仿宋" w:hAnsi="仿宋" w:eastAsia="仿宋"/>
          <w:sz w:val="24"/>
        </w:rPr>
        <w:t>1.服务期限：合同签订之日起至</w:t>
      </w:r>
      <w:r>
        <w:rPr>
          <w:rFonts w:ascii="仿宋" w:hAnsi="仿宋" w:eastAsia="仿宋"/>
          <w:sz w:val="24"/>
        </w:rPr>
        <w:t>2022</w:t>
      </w:r>
      <w:r>
        <w:rPr>
          <w:rFonts w:hint="eastAsia" w:ascii="仿宋" w:hAnsi="仿宋" w:eastAsia="仿宋"/>
          <w:sz w:val="24"/>
        </w:rPr>
        <w:t>年1</w:t>
      </w:r>
      <w:r>
        <w:rPr>
          <w:rFonts w:ascii="仿宋" w:hAnsi="仿宋" w:eastAsia="仿宋"/>
          <w:sz w:val="24"/>
        </w:rPr>
        <w:t>2</w:t>
      </w:r>
      <w:r>
        <w:rPr>
          <w:rFonts w:hint="eastAsia" w:ascii="仿宋" w:hAnsi="仿宋" w:eastAsia="仿宋"/>
          <w:sz w:val="24"/>
        </w:rPr>
        <w:t>月3</w:t>
      </w:r>
      <w:r>
        <w:rPr>
          <w:rFonts w:ascii="仿宋" w:hAnsi="仿宋" w:eastAsia="仿宋"/>
          <w:sz w:val="24"/>
        </w:rPr>
        <w:t>1</w:t>
      </w:r>
      <w:r>
        <w:rPr>
          <w:rFonts w:hint="eastAsia" w:ascii="仿宋" w:hAnsi="仿宋" w:eastAsia="仿宋"/>
          <w:sz w:val="24"/>
        </w:rPr>
        <w:t>日；</w:t>
      </w:r>
    </w:p>
    <w:p>
      <w:pPr>
        <w:adjustRightInd w:val="0"/>
        <w:snapToGrid w:val="0"/>
        <w:spacing w:line="360" w:lineRule="auto"/>
        <w:ind w:firstLine="470" w:firstLineChars="196"/>
        <w:rPr>
          <w:rFonts w:ascii="仿宋" w:hAnsi="仿宋" w:eastAsia="仿宋"/>
          <w:sz w:val="24"/>
        </w:rPr>
      </w:pPr>
      <w:r>
        <w:rPr>
          <w:rFonts w:hint="eastAsia" w:ascii="仿宋" w:hAnsi="仿宋" w:eastAsia="仿宋"/>
          <w:sz w:val="24"/>
        </w:rPr>
        <w:t>2.服务地点：四川省成都市，成都市文物考古工作队安排地点；</w:t>
      </w:r>
    </w:p>
    <w:p>
      <w:pPr>
        <w:adjustRightInd w:val="0"/>
        <w:snapToGrid w:val="0"/>
        <w:spacing w:line="360" w:lineRule="auto"/>
        <w:ind w:firstLine="470" w:firstLineChars="196"/>
        <w:rPr>
          <w:rFonts w:ascii="仿宋" w:hAnsi="仿宋" w:eastAsia="仿宋"/>
          <w:sz w:val="24"/>
        </w:rPr>
      </w:pPr>
      <w:r>
        <w:rPr>
          <w:rFonts w:hint="eastAsia" w:ascii="仿宋" w:hAnsi="仿宋" w:eastAsia="仿宋"/>
          <w:sz w:val="24"/>
        </w:rPr>
        <w:t>3.付款方式：合同签订后10个工作日内，支付合同金额的50%；成交供应商完成5</w:t>
      </w:r>
      <w:r>
        <w:rPr>
          <w:rFonts w:ascii="仿宋" w:hAnsi="仿宋" w:eastAsia="仿宋"/>
          <w:sz w:val="24"/>
        </w:rPr>
        <w:t>1</w:t>
      </w:r>
      <w:r>
        <w:rPr>
          <w:rFonts w:hint="eastAsia" w:ascii="仿宋" w:hAnsi="仿宋" w:eastAsia="仿宋"/>
          <w:sz w:val="24"/>
        </w:rPr>
        <w:t>件竹木漆器类文物的保护修复后，成都市文物考古工作队组织专家验收并出具履约验收报告后，付清剩余的合同金额。</w:t>
      </w:r>
    </w:p>
    <w:p>
      <w:pPr>
        <w:adjustRightInd w:val="0"/>
        <w:snapToGrid w:val="0"/>
        <w:spacing w:line="360" w:lineRule="auto"/>
        <w:ind w:firstLine="470" w:firstLineChars="196"/>
        <w:rPr>
          <w:rFonts w:hint="eastAsia"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验收方式：成都市文物考古工作队组织专家验收并出具履约验收报告。</w:t>
      </w:r>
    </w:p>
    <w:p>
      <w:pPr>
        <w:adjustRightInd w:val="0"/>
        <w:snapToGrid w:val="0"/>
        <w:spacing w:line="360" w:lineRule="auto"/>
        <w:ind w:firstLine="470" w:firstLineChars="196"/>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质量保证及售后服务：承诺项目验收合格后，提供至少为期1年的免费售后服务期。</w:t>
      </w:r>
    </w:p>
    <w:p>
      <w:pPr>
        <w:pStyle w:val="5"/>
        <w:spacing w:line="400" w:lineRule="exact"/>
        <w:ind w:firstLine="0" w:firstLineChars="0"/>
        <w:rPr>
          <w:rFonts w:ascii="仿宋" w:hAnsi="仿宋" w:eastAsia="仿宋"/>
          <w:sz w:val="24"/>
        </w:rPr>
      </w:pPr>
    </w:p>
    <w:p>
      <w:pPr>
        <w:adjustRightInd w:val="0"/>
        <w:snapToGrid w:val="0"/>
        <w:spacing w:line="360" w:lineRule="auto"/>
        <w:ind w:firstLine="470" w:firstLineChars="196"/>
        <w:rPr>
          <w:rFonts w:hint="eastAsia" w:ascii="仿宋" w:hAnsi="仿宋" w:eastAsia="仿宋"/>
          <w:sz w:val="28"/>
          <w:szCs w:val="28"/>
          <w:u w:val="none"/>
          <w:lang w:eastAsia="zh-CN"/>
        </w:rPr>
      </w:pPr>
      <w:r>
        <w:rPr>
          <w:rFonts w:ascii="仿宋" w:hAnsi="仿宋" w:eastAsia="仿宋"/>
          <w:sz w:val="24"/>
        </w:rPr>
        <w:t>注意：本章的要求不能作为资格性条件要求评审，如存在资格性条件要求，应当认定磋商文件编制存在重大缺陷，磋商小组应当停止评审。</w:t>
      </w:r>
      <w:r>
        <w:rPr>
          <w:rFonts w:hint="eastAsia" w:ascii="仿宋" w:hAnsi="仿宋" w:eastAsia="仿宋"/>
          <w:sz w:val="28"/>
          <w:szCs w:val="28"/>
          <w:u w:val="none"/>
          <w:lang w:eastAsia="zh-CN"/>
        </w:rPr>
        <w:t>”</w:t>
      </w:r>
    </w:p>
    <w:p>
      <w:pPr>
        <w:pStyle w:val="2"/>
        <w:rPr>
          <w:rFonts w:hint="eastAsia" w:ascii="仿宋" w:hAnsi="仿宋" w:eastAsia="仿宋"/>
          <w:b/>
          <w:bCs/>
          <w:sz w:val="28"/>
          <w:szCs w:val="28"/>
          <w:u w:val="none"/>
          <w:lang w:eastAsia="zh-CN"/>
        </w:rPr>
      </w:pPr>
      <w:r>
        <w:rPr>
          <w:rFonts w:hint="eastAsia" w:ascii="仿宋" w:hAnsi="仿宋" w:eastAsia="仿宋"/>
          <w:b/>
          <w:bCs/>
          <w:sz w:val="28"/>
          <w:szCs w:val="28"/>
          <w:u w:val="none"/>
          <w:lang w:eastAsia="zh-CN"/>
        </w:rPr>
        <w:t>更正为：</w:t>
      </w:r>
    </w:p>
    <w:p>
      <w:pPr>
        <w:adjustRightInd w:val="0"/>
        <w:snapToGrid w:val="0"/>
        <w:spacing w:line="520" w:lineRule="exact"/>
        <w:ind w:firstLine="420" w:firstLineChars="200"/>
        <w:rPr>
          <w:rFonts w:hint="eastAsia" w:ascii="仿宋" w:hAnsi="仿宋" w:eastAsia="仿宋" w:cs="仿宋"/>
          <w:b/>
          <w:kern w:val="44"/>
          <w:sz w:val="24"/>
        </w:rPr>
      </w:pPr>
      <w:r>
        <w:rPr>
          <w:rFonts w:hint="eastAsia"/>
          <w:lang w:eastAsia="zh-CN"/>
        </w:rPr>
        <w:t>“</w:t>
      </w:r>
      <w:r>
        <w:rPr>
          <w:rFonts w:hint="eastAsia" w:ascii="仿宋" w:hAnsi="仿宋" w:eastAsia="仿宋" w:cs="仿宋"/>
          <w:b/>
          <w:kern w:val="44"/>
          <w:sz w:val="24"/>
        </w:rPr>
        <w:t xml:space="preserve">一、项目概况 </w:t>
      </w:r>
    </w:p>
    <w:p>
      <w:pPr>
        <w:spacing w:line="52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本书将完整发表四川省盐源县皈家堡遗址2015-2019年的发掘资料。本书首先介绍了盐源盆地的自然地理环境和历史沿革、考古发现与研究情况以及本课题的相关背景信息等，然后介绍了该遗址历年发掘区内的地层堆积情况，之后按照遗存的年代顺序，分新石器时代、青铜时代和历史时期三个篇章介绍相关遗存，每个篇章内先对各类出土器物进行类型分析，再分区对地层、遗迹及其出土遗物进行介绍。再此基础上，分章节讨论该遗址相关遗存的分期与年代、文化面貌与特征、文化属性、与周边文化的关系等问题，最后对本次发掘存在的问题进行梳理、对相关课题研究提出展望。此外，本书还收录关于本遗址的相关科技考古研究成果，包括植物、测年、动物等相关研究报告。</w:t>
      </w:r>
    </w:p>
    <w:p>
      <w:pPr>
        <w:adjustRightInd w:val="0"/>
        <w:snapToGrid w:val="0"/>
        <w:spacing w:line="520" w:lineRule="exact"/>
        <w:ind w:firstLine="482" w:firstLineChars="200"/>
        <w:rPr>
          <w:rFonts w:hint="eastAsia" w:ascii="仿宋" w:hAnsi="仿宋" w:eastAsia="仿宋" w:cs="仿宋"/>
          <w:b/>
          <w:kern w:val="44"/>
          <w:sz w:val="24"/>
        </w:rPr>
      </w:pPr>
      <w:r>
        <w:rPr>
          <w:rFonts w:hint="eastAsia" w:ascii="仿宋" w:hAnsi="仿宋" w:eastAsia="仿宋" w:cs="仿宋"/>
          <w:b/>
          <w:kern w:val="44"/>
          <w:sz w:val="24"/>
        </w:rPr>
        <w:t>二、服务内容及要求 </w:t>
      </w:r>
    </w:p>
    <w:p>
      <w:pPr>
        <w:spacing w:line="520" w:lineRule="exact"/>
        <w:ind w:firstLine="482" w:firstLineChars="200"/>
        <w:rPr>
          <w:rFonts w:hint="eastAsia" w:ascii="仿宋" w:hAnsi="仿宋" w:eastAsia="仿宋" w:cs="仿宋"/>
          <w:b/>
          <w:kern w:val="44"/>
          <w:sz w:val="24"/>
          <w:szCs w:val="21"/>
        </w:rPr>
      </w:pPr>
      <w:r>
        <w:rPr>
          <w:rFonts w:hint="eastAsia" w:ascii="仿宋" w:hAnsi="仿宋" w:eastAsia="仿宋" w:cs="仿宋"/>
          <w:b/>
          <w:kern w:val="44"/>
          <w:sz w:val="24"/>
          <w:szCs w:val="21"/>
        </w:rPr>
        <w:t>（一）规格要求</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1.成品尺寸：大16开（尺寸为215mm×285mm），上中下3册</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2.正文：包括文字65万字，线图约600面，100克纯木浆胶版纸，单色印刷；</w:t>
      </w:r>
    </w:p>
    <w:p>
      <w:pPr>
        <w:spacing w:line="520" w:lineRule="exact"/>
        <w:ind w:firstLine="720" w:firstLineChars="300"/>
        <w:rPr>
          <w:rFonts w:hint="eastAsia" w:ascii="仿宋" w:hAnsi="仿宋" w:eastAsia="仿宋" w:cs="仿宋"/>
          <w:bCs/>
          <w:kern w:val="44"/>
          <w:sz w:val="24"/>
          <w:szCs w:val="21"/>
        </w:rPr>
      </w:pPr>
      <w:r>
        <w:rPr>
          <w:rFonts w:hint="eastAsia" w:ascii="仿宋" w:hAnsi="仿宋" w:eastAsia="仿宋" w:cs="仿宋"/>
          <w:bCs/>
          <w:kern w:val="44"/>
          <w:sz w:val="24"/>
          <w:szCs w:val="21"/>
        </w:rPr>
        <w:t>彩版：彩色照片240面，157克铜版纸，四色印刷（图片抠图、换底、调色，数码打样）</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3.封面：157g铜版纸，四色印刷，覆膜，前后进口荷兰板，烫金（根据封面设计而定）</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4.环衬：前后，特种纸，不印刷</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5.装订：精装</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6.数量：1200套</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7.打包方式：牛皮纸打包装箱</w:t>
      </w:r>
    </w:p>
    <w:p>
      <w:pPr>
        <w:spacing w:line="520" w:lineRule="exact"/>
        <w:ind w:firstLine="482" w:firstLineChars="200"/>
        <w:rPr>
          <w:rFonts w:hint="eastAsia" w:ascii="仿宋" w:hAnsi="仿宋" w:eastAsia="仿宋" w:cs="仿宋"/>
          <w:b/>
          <w:kern w:val="44"/>
          <w:sz w:val="24"/>
          <w:szCs w:val="21"/>
        </w:rPr>
      </w:pPr>
      <w:r>
        <w:rPr>
          <w:rFonts w:hint="eastAsia" w:ascii="仿宋" w:hAnsi="仿宋" w:eastAsia="仿宋" w:cs="仿宋"/>
          <w:b/>
          <w:kern w:val="44"/>
          <w:sz w:val="24"/>
          <w:szCs w:val="21"/>
        </w:rPr>
        <w:t>（二）技术要求</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1.编校：承担该书出版的责任编辑须熟悉图书出版业务且为考古学或历史学专业，并且其中有取得副编审及以上职称者。成品图书的文字差错率在 1/10000 以下。在图片的编辑过程确保文件排版精美及印制质量，保障编辑图片达到印刷工艺要求。整体排版彰显图文统一性，做到图文并茂。</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2.设计：封面、扉页、封底设计能恰当反映图书内容，构思合理、格调健康、文字准确、色彩和谐，应具有凉山彝族自治州人文地理特色，精致美观、具有艺术性。内文版式设计规范、统一,字号字型、序号的使用符合规范。设计出堪称一流的精品出版物。</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3.印刷：版芯正直，订口、切口、天头、地脚等规范一致；墨色均匀，压力一致，图版网点清楚、层次分明。</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4.装订：锁线精装，无缺页、白页、脏页，无颠倒、顶头、倒头，装订平整。</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5.服务：在书稿编写期间，供应商能现场或在线解答采购人在编写过程中遇到的有关问题，并负责图书英文翻译校稿工作。图书出版后，应及时将原稿（包括文字、线图、彩色照片等）、图书样稿电子版发送给采购人，并负责将印刷的图书免费运送到指定地点。</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6.售后：成交供应商向采购单位提供的书籍必须是全新、表面无刮伤、无瑕疵，书籍质量出现问题，成交供应商应负责三包（包修、包换、包退），费用由成交供应商负担。</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7.如遇自然灾害原因和人力不可抗拒的因素，不能按时提交图书，可由采购人和成交供应商双方协调解决。</w:t>
      </w:r>
    </w:p>
    <w:p>
      <w:pPr>
        <w:spacing w:line="520" w:lineRule="exact"/>
        <w:ind w:firstLine="482" w:firstLineChars="200"/>
        <w:rPr>
          <w:rFonts w:hint="eastAsia" w:ascii="仿宋" w:hAnsi="仿宋" w:eastAsia="仿宋" w:cs="仿宋"/>
          <w:b/>
          <w:kern w:val="44"/>
          <w:sz w:val="24"/>
          <w:szCs w:val="21"/>
        </w:rPr>
      </w:pPr>
      <w:r>
        <w:rPr>
          <w:rFonts w:hint="eastAsia" w:ascii="仿宋" w:hAnsi="仿宋" w:eastAsia="仿宋" w:cs="仿宋"/>
          <w:b/>
          <w:kern w:val="44"/>
          <w:sz w:val="24"/>
          <w:szCs w:val="21"/>
        </w:rPr>
        <w:t>（三）其他要求</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1.供应商的报价是指含稿费、书号、采访、摄影、编辑、设计、校对、制版、印刷、税金、利润、管理及其他不可预见费以及采购文件规定的其他费用的包干价。</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2.供应商负责上述包括书号、编辑、设计、制作、校对、印刷工作。</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3.上述作品的内容由采购人审核，经采购人审核通过后，方可开展后续工作。</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4.磋商文件未尽事宜由采购人和成交供应商在图书出版合同中另行协商约定。</w:t>
      </w:r>
    </w:p>
    <w:p>
      <w:pPr>
        <w:spacing w:line="520" w:lineRule="exact"/>
        <w:ind w:firstLine="482" w:firstLineChars="200"/>
        <w:rPr>
          <w:rFonts w:hint="eastAsia" w:ascii="仿宋" w:hAnsi="仿宋" w:eastAsia="仿宋" w:cs="仿宋"/>
          <w:b/>
          <w:kern w:val="44"/>
          <w:sz w:val="24"/>
          <w:szCs w:val="21"/>
        </w:rPr>
      </w:pPr>
      <w:r>
        <w:rPr>
          <w:rFonts w:hint="eastAsia" w:ascii="仿宋" w:hAnsi="仿宋" w:eastAsia="仿宋" w:cs="仿宋"/>
          <w:b/>
          <w:kern w:val="44"/>
          <w:sz w:val="24"/>
          <w:szCs w:val="21"/>
        </w:rPr>
        <w:t>（四）权责说明</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1.供应商可以对本作品进行必要的文字加工，包括必要的增删和统一体例；供应商如更改本作品名称或对本作品内容做实质性的修改，应征得采购人同意。对违反国家出版法律法规相关规定的内容，供应商有权删除或修改。本项目作品若存在出版导向不正确、有严重违反国家出版法律法规相关规定的内容，供应商有权单方面终止合同，不予出版。</w:t>
      </w:r>
      <w:r>
        <w:rPr>
          <w:rFonts w:hint="eastAsia" w:ascii="仿宋" w:hAnsi="仿宋" w:eastAsia="仿宋" w:cs="仿宋"/>
          <w:bCs/>
          <w:kern w:val="44"/>
          <w:sz w:val="24"/>
          <w:szCs w:val="21"/>
        </w:rPr>
        <w:br w:type="textWrapping"/>
      </w:r>
      <w:r>
        <w:rPr>
          <w:rFonts w:hint="eastAsia" w:ascii="仿宋" w:hAnsi="仿宋" w:eastAsia="仿宋" w:cs="仿宋"/>
          <w:bCs/>
          <w:kern w:val="44"/>
          <w:sz w:val="24"/>
          <w:szCs w:val="21"/>
        </w:rPr>
        <w:t xml:space="preserve">    2.本项目作品的校样由供应商及采购人共同校核，采购人收到校稿后应在供应商确定时间内校核完毕并签字退回供应商。</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3.根据文责自负的原则，采购人对本作品的内容（含所有文字、图片等）负责，保证本作品不侵犯任何第三人的合法权利（包括但不限于著作权人身权、财产权，以及名誉权、肖像权和其他合法权利）。</w:t>
      </w:r>
    </w:p>
    <w:p>
      <w:pPr>
        <w:spacing w:line="520" w:lineRule="exact"/>
        <w:ind w:firstLine="480" w:firstLineChars="200"/>
        <w:rPr>
          <w:rFonts w:hint="eastAsia" w:ascii="仿宋" w:hAnsi="仿宋" w:eastAsia="仿宋" w:cs="仿宋"/>
          <w:bCs/>
          <w:kern w:val="44"/>
          <w:sz w:val="24"/>
          <w:szCs w:val="21"/>
        </w:rPr>
      </w:pPr>
      <w:r>
        <w:rPr>
          <w:rFonts w:hint="eastAsia" w:ascii="仿宋" w:hAnsi="仿宋" w:eastAsia="仿宋" w:cs="仿宋"/>
          <w:bCs/>
          <w:kern w:val="44"/>
          <w:sz w:val="24"/>
          <w:szCs w:val="21"/>
        </w:rPr>
        <w:t>4.采购人保证本作品不含有下列内容：（1）反对宪法确定的基本原则的；（2）危害国家统一、主权和领土完整的；（3）泄露国家秘密、危害国家安全或者损害国家荣誉和利益的；（4）煽动民族仇恨、民族歧视，破坏民族团结，或者侵害民族风俗、习惯的；（5）宣扬邪教、迷信的；（6）扰乱社会秩序，破坏社会稳定的；（7）宣扬淫秽、赌博、暴力或教唆犯罪的；（8）侮辱或者诽谤他人，侵害他人合法权益的；（9）危害社会公德或者民族优秀文化传统的；（10）有法律、行政法规和国家规定禁止的其他内容的。</w:t>
      </w:r>
    </w:p>
    <w:p>
      <w:pPr>
        <w:spacing w:line="520" w:lineRule="exact"/>
        <w:ind w:firstLine="482" w:firstLineChars="200"/>
        <w:rPr>
          <w:rFonts w:hint="eastAsia" w:ascii="仿宋" w:hAnsi="仿宋" w:eastAsia="仿宋" w:cs="仿宋"/>
          <w:b/>
          <w:kern w:val="44"/>
          <w:sz w:val="24"/>
          <w:szCs w:val="21"/>
        </w:rPr>
      </w:pPr>
      <w:r>
        <w:rPr>
          <w:rFonts w:hint="eastAsia" w:ascii="仿宋" w:hAnsi="仿宋" w:eastAsia="仿宋" w:cs="仿宋"/>
          <w:b/>
          <w:kern w:val="44"/>
          <w:sz w:val="24"/>
          <w:szCs w:val="21"/>
          <w:lang w:eastAsia="zh-CN"/>
        </w:rPr>
        <w:t>★</w:t>
      </w:r>
      <w:r>
        <w:rPr>
          <w:rFonts w:hint="eastAsia" w:ascii="仿宋" w:hAnsi="仿宋" w:eastAsia="仿宋" w:cs="仿宋"/>
          <w:b/>
          <w:kern w:val="44"/>
          <w:sz w:val="24"/>
          <w:szCs w:val="21"/>
        </w:rPr>
        <w:t>三、商务要求</w:t>
      </w:r>
    </w:p>
    <w:p>
      <w:pPr>
        <w:adjustRightInd w:val="0"/>
        <w:snapToGrid w:val="0"/>
        <w:spacing w:line="360" w:lineRule="auto"/>
        <w:ind w:firstLine="470" w:firstLineChars="196"/>
        <w:rPr>
          <w:rFonts w:ascii="仿宋" w:hAnsi="仿宋" w:eastAsia="仿宋" w:cs="Times New Roman"/>
          <w:color w:val="FF0000"/>
          <w:sz w:val="24"/>
        </w:rPr>
      </w:pPr>
      <w:r>
        <w:rPr>
          <w:rFonts w:hint="eastAsia" w:ascii="仿宋" w:hAnsi="仿宋" w:eastAsia="仿宋" w:cs="Times New Roman"/>
          <w:sz w:val="24"/>
        </w:rPr>
        <w:t>1</w:t>
      </w:r>
      <w:r>
        <w:rPr>
          <w:rFonts w:ascii="仿宋" w:hAnsi="仿宋" w:eastAsia="仿宋" w:cs="Times New Roman"/>
          <w:sz w:val="24"/>
        </w:rPr>
        <w:t>.</w:t>
      </w:r>
      <w:r>
        <w:rPr>
          <w:rFonts w:hint="eastAsia" w:ascii="仿宋" w:hAnsi="仿宋" w:eastAsia="仿宋" w:cs="Times New Roman"/>
          <w:color w:val="auto"/>
          <w:sz w:val="24"/>
        </w:rPr>
        <w:t>付款方式：本项目支持预付款，预付款为合同金额的60</w:t>
      </w:r>
      <w:r>
        <w:rPr>
          <w:rFonts w:ascii="仿宋" w:hAnsi="仿宋" w:eastAsia="仿宋" w:cs="Times New Roman"/>
          <w:color w:val="auto"/>
          <w:sz w:val="24"/>
        </w:rPr>
        <w:t>%，预付款于签订合同</w:t>
      </w:r>
      <w:r>
        <w:rPr>
          <w:rFonts w:hint="eastAsia" w:ascii="仿宋" w:hAnsi="仿宋" w:eastAsia="仿宋" w:cs="Times New Roman"/>
          <w:color w:val="auto"/>
          <w:sz w:val="24"/>
        </w:rPr>
        <w:t>后</w:t>
      </w:r>
      <w:r>
        <w:rPr>
          <w:rFonts w:ascii="仿宋" w:hAnsi="仿宋" w:eastAsia="仿宋" w:cs="Times New Roman"/>
          <w:color w:val="auto"/>
          <w:sz w:val="24"/>
        </w:rPr>
        <w:t>10个工作日内支付，并在结算支付金额中扣除</w:t>
      </w:r>
      <w:r>
        <w:rPr>
          <w:rFonts w:hint="eastAsia" w:ascii="仿宋" w:hAnsi="仿宋" w:eastAsia="仿宋" w:cs="Times New Roman"/>
          <w:color w:val="auto"/>
          <w:sz w:val="24"/>
        </w:rPr>
        <w:t>。图书出版并完成验收后</w:t>
      </w:r>
      <w:r>
        <w:rPr>
          <w:rFonts w:hint="eastAsia" w:ascii="仿宋" w:hAnsi="仿宋" w:eastAsia="仿宋" w:cs="Times New Roman"/>
          <w:color w:val="auto"/>
          <w:sz w:val="24"/>
          <w:lang w:val="en-US" w:eastAsia="zh-CN"/>
        </w:rPr>
        <w:t>10个工作日内</w:t>
      </w:r>
      <w:r>
        <w:rPr>
          <w:rFonts w:hint="eastAsia" w:ascii="仿宋" w:hAnsi="仿宋" w:eastAsia="仿宋" w:cs="Times New Roman"/>
          <w:color w:val="auto"/>
          <w:sz w:val="24"/>
        </w:rPr>
        <w:t>，支付出版经费的40%。</w:t>
      </w:r>
    </w:p>
    <w:p>
      <w:pPr>
        <w:adjustRightInd w:val="0"/>
        <w:snapToGrid w:val="0"/>
        <w:spacing w:line="360" w:lineRule="auto"/>
        <w:ind w:firstLine="470" w:firstLineChars="196"/>
        <w:rPr>
          <w:rFonts w:ascii="仿宋" w:hAnsi="仿宋" w:eastAsia="仿宋" w:cs="Times New Roman"/>
          <w:sz w:val="24"/>
        </w:rPr>
      </w:pPr>
      <w:r>
        <w:rPr>
          <w:rFonts w:hint="eastAsia" w:ascii="仿宋" w:hAnsi="仿宋" w:eastAsia="仿宋" w:cs="Times New Roman"/>
          <w:sz w:val="24"/>
        </w:rPr>
        <w:t>2</w:t>
      </w:r>
      <w:r>
        <w:rPr>
          <w:rFonts w:ascii="仿宋" w:hAnsi="仿宋" w:eastAsia="仿宋" w:cs="Times New Roman"/>
          <w:sz w:val="24"/>
        </w:rPr>
        <w:t>.服务期限：</w:t>
      </w:r>
      <w:r>
        <w:rPr>
          <w:rFonts w:hint="eastAsia" w:ascii="仿宋" w:hAnsi="仿宋" w:eastAsia="仿宋" w:cs="Times New Roman"/>
          <w:sz w:val="24"/>
        </w:rPr>
        <w:t>合同签订后1</w:t>
      </w:r>
      <w:r>
        <w:rPr>
          <w:rFonts w:ascii="仿宋" w:hAnsi="仿宋" w:eastAsia="仿宋" w:cs="Times New Roman"/>
          <w:sz w:val="24"/>
        </w:rPr>
        <w:t>5</w:t>
      </w:r>
      <w:r>
        <w:rPr>
          <w:rFonts w:hint="eastAsia" w:ascii="仿宋" w:hAnsi="仿宋" w:eastAsia="仿宋" w:cs="Times New Roman"/>
          <w:sz w:val="24"/>
        </w:rPr>
        <w:t>个月。</w:t>
      </w:r>
    </w:p>
    <w:p>
      <w:pPr>
        <w:rPr>
          <w:rFonts w:hint="eastAsia"/>
          <w:lang w:eastAsia="zh-CN"/>
        </w:rPr>
      </w:pPr>
      <w:r>
        <w:rPr>
          <w:rFonts w:hint="eastAsia" w:ascii="仿宋" w:hAnsi="仿宋" w:eastAsia="仿宋" w:cs="Times New Roman"/>
          <w:sz w:val="24"/>
        </w:rPr>
        <w:t>3</w:t>
      </w:r>
      <w:r>
        <w:rPr>
          <w:rFonts w:ascii="仿宋" w:hAnsi="仿宋" w:eastAsia="仿宋" w:cs="Times New Roman"/>
          <w:sz w:val="24"/>
        </w:rPr>
        <w:t>.</w:t>
      </w:r>
      <w:r>
        <w:rPr>
          <w:rFonts w:hint="eastAsia" w:ascii="仿宋" w:hAnsi="仿宋" w:eastAsia="仿宋" w:cs="Times New Roman"/>
          <w:sz w:val="24"/>
        </w:rPr>
        <w:t>交付要求：</w:t>
      </w:r>
      <w:r>
        <w:rPr>
          <w:rFonts w:ascii="仿宋" w:hAnsi="仿宋" w:eastAsia="仿宋" w:cs="Times New Roman"/>
          <w:sz w:val="24"/>
        </w:rPr>
        <w:t>供应商</w:t>
      </w:r>
      <w:r>
        <w:rPr>
          <w:rFonts w:hint="eastAsia" w:ascii="仿宋" w:hAnsi="仿宋" w:eastAsia="仿宋" w:cs="Times New Roman"/>
          <w:sz w:val="24"/>
          <w:lang w:eastAsia="zh-CN"/>
        </w:rPr>
        <w:t>须</w:t>
      </w:r>
      <w:r>
        <w:rPr>
          <w:rFonts w:ascii="仿宋" w:hAnsi="仿宋" w:eastAsia="仿宋" w:cs="Times New Roman"/>
          <w:sz w:val="24"/>
        </w:rPr>
        <w:t>在</w:t>
      </w:r>
      <w:r>
        <w:rPr>
          <w:rFonts w:hint="eastAsia" w:ascii="仿宋" w:hAnsi="仿宋" w:eastAsia="仿宋" w:cs="Times New Roman"/>
          <w:sz w:val="24"/>
        </w:rPr>
        <w:t>交稿</w:t>
      </w:r>
      <w:r>
        <w:rPr>
          <w:rFonts w:ascii="仿宋" w:hAnsi="仿宋" w:eastAsia="仿宋" w:cs="Times New Roman"/>
          <w:sz w:val="24"/>
        </w:rPr>
        <w:t>后15</w:t>
      </w:r>
      <w:r>
        <w:rPr>
          <w:rFonts w:hint="eastAsia" w:ascii="仿宋" w:hAnsi="仿宋" w:eastAsia="仿宋" w:cs="Times New Roman"/>
          <w:sz w:val="24"/>
        </w:rPr>
        <w:t>个月</w:t>
      </w:r>
      <w:r>
        <w:rPr>
          <w:rFonts w:ascii="仿宋" w:hAnsi="仿宋" w:eastAsia="仿宋" w:cs="Times New Roman"/>
          <w:sz w:val="24"/>
        </w:rPr>
        <w:t>内完成成品书交付。成交供应商因不可抗力因素导</w:t>
      </w:r>
      <w:r>
        <w:rPr>
          <w:rFonts w:hint="eastAsia" w:ascii="仿宋" w:hAnsi="仿宋" w:eastAsia="仿宋" w:cs="Times New Roman"/>
          <w:sz w:val="24"/>
        </w:rPr>
        <w:t>致不能出版，应在期限届满前</w:t>
      </w:r>
      <w:r>
        <w:rPr>
          <w:rFonts w:ascii="仿宋" w:hAnsi="仿宋" w:eastAsia="仿宋" w:cs="Times New Roman"/>
          <w:sz w:val="24"/>
        </w:rPr>
        <w:t>15日通知采购人，双方另行约定出版日期，出书日期可</w:t>
      </w:r>
      <w:r>
        <w:rPr>
          <w:rFonts w:hint="eastAsia" w:ascii="仿宋" w:hAnsi="仿宋" w:eastAsia="仿宋" w:cs="Times New Roman"/>
          <w:sz w:val="24"/>
        </w:rPr>
        <w:t>适当延长。</w:t>
      </w:r>
      <w:r>
        <w:rPr>
          <w:rFonts w:hint="eastAsia"/>
          <w:lang w:eastAsia="zh-CN"/>
        </w:rPr>
        <w:t>”</w:t>
      </w:r>
    </w:p>
    <w:p>
      <w:pPr>
        <w:pStyle w:val="2"/>
        <w:rPr>
          <w:rFonts w:hint="eastAsia"/>
          <w:lang w:eastAsia="zh-CN"/>
        </w:rPr>
      </w:pPr>
    </w:p>
    <w:p>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更正日期：</w:t>
      </w:r>
      <w:r>
        <w:rPr>
          <w:rFonts w:hint="eastAsia" w:ascii="仿宋" w:hAnsi="仿宋" w:eastAsia="仿宋"/>
          <w:sz w:val="28"/>
          <w:szCs w:val="28"/>
          <w:u w:val="single"/>
          <w:lang w:val="en-US" w:eastAsia="zh-CN"/>
        </w:rPr>
        <w:t>2021年6月29日</w:t>
      </w:r>
    </w:p>
    <w:p>
      <w:pPr>
        <w:pStyle w:val="4"/>
        <w:spacing w:line="360" w:lineRule="auto"/>
        <w:rPr>
          <w:rFonts w:ascii="黑体" w:hAnsi="黑体" w:cs="宋体"/>
          <w:b w:val="0"/>
          <w:sz w:val="28"/>
          <w:szCs w:val="28"/>
        </w:rPr>
      </w:pPr>
      <w:bookmarkStart w:id="17" w:name="_Toc35393647"/>
      <w:bookmarkStart w:id="18" w:name="_Toc35393816"/>
      <w:r>
        <w:rPr>
          <w:rFonts w:hint="eastAsia" w:ascii="黑体" w:hAnsi="黑体" w:cs="宋体"/>
          <w:b w:val="0"/>
          <w:sz w:val="28"/>
          <w:szCs w:val="28"/>
        </w:rPr>
        <w:t>三、其他补充事宜</w:t>
      </w:r>
      <w:bookmarkEnd w:id="17"/>
      <w:bookmarkEnd w:id="18"/>
    </w:p>
    <w:p>
      <w:pPr>
        <w:ind w:firstLine="560" w:firstLineChars="200"/>
        <w:rPr>
          <w:rFonts w:hint="eastAsia" w:ascii="仿宋" w:hAnsi="仿宋" w:eastAsia="仿宋"/>
          <w:sz w:val="28"/>
          <w:szCs w:val="28"/>
        </w:rPr>
      </w:pPr>
      <w:r>
        <w:rPr>
          <w:rFonts w:hint="eastAsia" w:ascii="仿宋" w:hAnsi="仿宋" w:eastAsia="仿宋"/>
          <w:sz w:val="28"/>
          <w:szCs w:val="28"/>
        </w:rPr>
        <w:t xml:space="preserve">1.本项目备案号：（2021）1940号，采购预算品目为出版服务，预算金额为人民币 86万元，最高限价为人民币86万元，本项目属于专门面向中小企业采购的项目,服务承接企业应为中小微企业或监狱企业或残疾人福利性单位。2.监督部门，成都市财政局。联系电话：028-61882648。3.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成交供应商为中小企业的，可依据政府采购合同申请政府采购信用融资。4.本项目中供应商在经营活动中的重大违法记录的标准和范围：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5.供应商严禁提供虚假承诺，如提供虚假承诺将报告监管部门严肃追究法律责任。 </w:t>
      </w:r>
    </w:p>
    <w:p>
      <w:pPr>
        <w:pStyle w:val="4"/>
        <w:spacing w:line="360" w:lineRule="auto"/>
        <w:rPr>
          <w:rFonts w:ascii="黑体" w:hAnsi="黑体" w:cs="宋体"/>
          <w:b w:val="0"/>
          <w:sz w:val="28"/>
          <w:szCs w:val="28"/>
        </w:rPr>
      </w:pPr>
      <w:bookmarkStart w:id="19" w:name="_Toc28359106"/>
      <w:bookmarkStart w:id="20" w:name="_Toc28359029"/>
      <w:bookmarkStart w:id="21" w:name="_Toc35393648"/>
      <w:bookmarkStart w:id="22" w:name="_Toc35393817"/>
      <w:r>
        <w:rPr>
          <w:rFonts w:hint="eastAsia" w:ascii="黑体" w:hAnsi="黑体" w:cs="宋体"/>
          <w:b w:val="0"/>
          <w:sz w:val="28"/>
          <w:szCs w:val="28"/>
        </w:rPr>
        <w:t>四、凡对本次公告内容提出询问，请按以下方式联系。</w:t>
      </w:r>
      <w:bookmarkEnd w:id="19"/>
      <w:bookmarkEnd w:id="20"/>
      <w:bookmarkEnd w:id="21"/>
      <w:bookmarkEnd w:id="22"/>
    </w:p>
    <w:p>
      <w:pPr>
        <w:pStyle w:val="4"/>
        <w:spacing w:line="360" w:lineRule="auto"/>
        <w:ind w:left="-67" w:leftChars="-32" w:firstLine="560" w:firstLineChars="200"/>
        <w:rPr>
          <w:rFonts w:ascii="仿宋" w:hAnsi="仿宋" w:eastAsia="仿宋" w:cs="宋体"/>
          <w:b w:val="0"/>
          <w:sz w:val="28"/>
          <w:szCs w:val="28"/>
        </w:rPr>
      </w:pPr>
      <w:bookmarkStart w:id="23" w:name="_Toc28359107"/>
      <w:bookmarkStart w:id="24" w:name="_Toc28359030"/>
      <w:bookmarkStart w:id="25" w:name="_Toc35393649"/>
      <w:bookmarkStart w:id="26" w:name="_Toc35393818"/>
      <w:r>
        <w:rPr>
          <w:rFonts w:hint="eastAsia" w:ascii="仿宋" w:hAnsi="仿宋" w:eastAsia="仿宋" w:cs="宋体"/>
          <w:b w:val="0"/>
          <w:sz w:val="28"/>
          <w:szCs w:val="28"/>
        </w:rPr>
        <w:t>1.采购人信息</w:t>
      </w:r>
      <w:bookmarkEnd w:id="23"/>
      <w:bookmarkEnd w:id="24"/>
      <w:bookmarkEnd w:id="25"/>
      <w:bookmarkEnd w:id="26"/>
    </w:p>
    <w:p>
      <w:pPr>
        <w:ind w:firstLine="560" w:firstLineChars="200"/>
        <w:rPr>
          <w:rFonts w:ascii="仿宋" w:hAnsi="仿宋" w:eastAsia="仿宋"/>
          <w:sz w:val="28"/>
          <w:szCs w:val="28"/>
        </w:rPr>
      </w:pPr>
      <w:r>
        <w:rPr>
          <w:rFonts w:hint="eastAsia" w:ascii="仿宋" w:hAnsi="仿宋" w:eastAsia="仿宋"/>
          <w:sz w:val="28"/>
          <w:szCs w:val="28"/>
        </w:rPr>
        <w:t>名    称：成都市文物考古工作队</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lang w:eastAsia="zh-TW"/>
        </w:rPr>
        <w:t>成都市青羊区十二桥路18号</w:t>
      </w:r>
    </w:p>
    <w:p>
      <w:pPr>
        <w:ind w:firstLine="560" w:firstLineChars="200"/>
        <w:rPr>
          <w:rFonts w:ascii="仿宋" w:hAnsi="仿宋" w:eastAsia="仿宋"/>
          <w:sz w:val="28"/>
          <w:szCs w:val="28"/>
          <w:u w:val="single"/>
        </w:rPr>
      </w:pPr>
      <w:r>
        <w:rPr>
          <w:rFonts w:hint="eastAsia" w:ascii="仿宋" w:hAnsi="仿宋" w:eastAsia="仿宋"/>
          <w:sz w:val="28"/>
          <w:szCs w:val="28"/>
        </w:rPr>
        <w:t>联系方式：15982821979</w:t>
      </w:r>
    </w:p>
    <w:p>
      <w:pPr>
        <w:pStyle w:val="4"/>
        <w:spacing w:line="360" w:lineRule="auto"/>
        <w:ind w:left="-67" w:leftChars="-32" w:firstLine="560" w:firstLineChars="200"/>
        <w:rPr>
          <w:rFonts w:ascii="仿宋" w:hAnsi="仿宋" w:eastAsia="仿宋" w:cs="宋体"/>
          <w:b w:val="0"/>
          <w:sz w:val="28"/>
          <w:szCs w:val="28"/>
        </w:rPr>
      </w:pPr>
      <w:bookmarkStart w:id="27" w:name="_Toc35393819"/>
      <w:bookmarkStart w:id="28" w:name="_Toc28359108"/>
      <w:bookmarkStart w:id="29" w:name="_Toc28359031"/>
      <w:bookmarkStart w:id="30" w:name="_Toc35393650"/>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w:t>
      </w:r>
      <w:bookmarkEnd w:id="27"/>
      <w:bookmarkEnd w:id="28"/>
      <w:bookmarkEnd w:id="29"/>
      <w:bookmarkEnd w:id="30"/>
    </w:p>
    <w:p>
      <w:pPr>
        <w:ind w:firstLine="560" w:firstLineChars="200"/>
        <w:rPr>
          <w:rFonts w:ascii="仿宋" w:hAnsi="仿宋" w:eastAsia="仿宋"/>
          <w:sz w:val="28"/>
          <w:szCs w:val="28"/>
        </w:rPr>
      </w:pPr>
      <w:r>
        <w:rPr>
          <w:rFonts w:hint="eastAsia" w:ascii="仿宋" w:hAnsi="仿宋" w:eastAsia="仿宋"/>
          <w:sz w:val="28"/>
          <w:szCs w:val="28"/>
        </w:rPr>
        <w:t>名    称：四川中亿衡工程项目管理有限公司</w:t>
      </w:r>
    </w:p>
    <w:p>
      <w:pPr>
        <w:ind w:firstLine="560" w:firstLineChars="200"/>
        <w:rPr>
          <w:rFonts w:ascii="仿宋" w:hAnsi="仿宋" w:eastAsia="仿宋"/>
          <w:sz w:val="28"/>
          <w:szCs w:val="28"/>
        </w:rPr>
      </w:pPr>
      <w:r>
        <w:rPr>
          <w:rFonts w:hint="eastAsia" w:ascii="仿宋" w:hAnsi="仿宋" w:eastAsia="仿宋"/>
          <w:sz w:val="28"/>
          <w:szCs w:val="28"/>
        </w:rPr>
        <w:t>地    址：成都市高新区天府大道北段1480号德商国际A座605-2</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bookmarkStart w:id="31" w:name="_Toc28359032"/>
      <w:bookmarkStart w:id="32" w:name="_Toc28359109"/>
      <w:r>
        <w:rPr>
          <w:rFonts w:hint="eastAsia" w:ascii="仿宋" w:hAnsi="仿宋" w:eastAsia="仿宋"/>
          <w:sz w:val="28"/>
          <w:szCs w:val="28"/>
        </w:rPr>
        <w:t>028-65734600</w:t>
      </w:r>
    </w:p>
    <w:p>
      <w:pPr>
        <w:pStyle w:val="4"/>
        <w:spacing w:line="360" w:lineRule="auto"/>
        <w:ind w:left="-67" w:leftChars="-32" w:firstLine="560" w:firstLineChars="200"/>
        <w:rPr>
          <w:rFonts w:ascii="仿宋" w:hAnsi="仿宋" w:eastAsia="仿宋" w:cs="宋体"/>
          <w:b w:val="0"/>
          <w:sz w:val="28"/>
          <w:szCs w:val="28"/>
        </w:rPr>
      </w:pPr>
      <w:bookmarkStart w:id="33" w:name="_Toc35393651"/>
      <w:bookmarkStart w:id="34" w:name="_Toc35393820"/>
      <w:r>
        <w:rPr>
          <w:rFonts w:hint="eastAsia" w:ascii="仿宋" w:hAnsi="仿宋" w:eastAsia="仿宋" w:cs="宋体"/>
          <w:b w:val="0"/>
          <w:sz w:val="28"/>
          <w:szCs w:val="28"/>
        </w:rPr>
        <w:t>3.项目联系方式</w:t>
      </w:r>
      <w:bookmarkEnd w:id="31"/>
      <w:bookmarkEnd w:id="32"/>
      <w:bookmarkEnd w:id="33"/>
      <w:bookmarkEnd w:id="34"/>
    </w:p>
    <w:p>
      <w:pPr>
        <w:pStyle w:val="8"/>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none"/>
          <w:lang w:eastAsia="zh-CN"/>
        </w:rPr>
        <w:t>刘老师</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话：028-65734600</w:t>
      </w:r>
    </w:p>
    <w:p>
      <w:pPr>
        <w:widowControl/>
        <w:ind w:firstLine="562" w:firstLineChars="200"/>
        <w:jc w:val="left"/>
        <w:rPr>
          <w:rFonts w:ascii="仿宋_GB2312" w:eastAsia="仿宋_GB2312"/>
          <w:b/>
          <w:bCs/>
          <w:kern w:val="44"/>
          <w:sz w:val="28"/>
          <w:szCs w:val="28"/>
        </w:rPr>
      </w:pPr>
    </w:p>
    <w:p>
      <w:pPr>
        <w:rPr>
          <w:rFonts w:ascii="仿宋" w:hAnsi="仿宋" w:eastAsia="仿宋"/>
          <w:sz w:val="28"/>
          <w:szCs w:val="28"/>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94"/>
    <w:rsid w:val="000312DE"/>
    <w:rsid w:val="0005737B"/>
    <w:rsid w:val="000726D8"/>
    <w:rsid w:val="000A551C"/>
    <w:rsid w:val="000A6769"/>
    <w:rsid w:val="000D3B95"/>
    <w:rsid w:val="000D5040"/>
    <w:rsid w:val="000D6508"/>
    <w:rsid w:val="000E16F0"/>
    <w:rsid w:val="00110BD8"/>
    <w:rsid w:val="001224B2"/>
    <w:rsid w:val="00151C8B"/>
    <w:rsid w:val="0016536B"/>
    <w:rsid w:val="00244094"/>
    <w:rsid w:val="00246690"/>
    <w:rsid w:val="002F4172"/>
    <w:rsid w:val="00322E12"/>
    <w:rsid w:val="00345542"/>
    <w:rsid w:val="003D04C7"/>
    <w:rsid w:val="00430D5D"/>
    <w:rsid w:val="00445621"/>
    <w:rsid w:val="004B0417"/>
    <w:rsid w:val="004F0CA3"/>
    <w:rsid w:val="004F449A"/>
    <w:rsid w:val="005902A4"/>
    <w:rsid w:val="005F02BB"/>
    <w:rsid w:val="006939FC"/>
    <w:rsid w:val="006F41B7"/>
    <w:rsid w:val="0079663A"/>
    <w:rsid w:val="007E2D83"/>
    <w:rsid w:val="007F518C"/>
    <w:rsid w:val="0080774A"/>
    <w:rsid w:val="00877C6E"/>
    <w:rsid w:val="008974EE"/>
    <w:rsid w:val="008A1192"/>
    <w:rsid w:val="008A2FE7"/>
    <w:rsid w:val="0090581E"/>
    <w:rsid w:val="00966F02"/>
    <w:rsid w:val="009A15C7"/>
    <w:rsid w:val="00A30F31"/>
    <w:rsid w:val="00A3374C"/>
    <w:rsid w:val="00A344BA"/>
    <w:rsid w:val="00A936C5"/>
    <w:rsid w:val="00C37A88"/>
    <w:rsid w:val="00C52F06"/>
    <w:rsid w:val="00C61BBE"/>
    <w:rsid w:val="00C95981"/>
    <w:rsid w:val="00D26832"/>
    <w:rsid w:val="00DA7067"/>
    <w:rsid w:val="00DC09FA"/>
    <w:rsid w:val="00E457B7"/>
    <w:rsid w:val="00E702D6"/>
    <w:rsid w:val="00E75E92"/>
    <w:rsid w:val="00ED7C2A"/>
    <w:rsid w:val="00EE3266"/>
    <w:rsid w:val="00F53A4B"/>
    <w:rsid w:val="195D69A2"/>
    <w:rsid w:val="217C6D52"/>
    <w:rsid w:val="314F669A"/>
    <w:rsid w:val="4B172F94"/>
    <w:rsid w:val="4FA92E8B"/>
    <w:rsid w:val="64FD7BCD"/>
    <w:rsid w:val="6FA604B8"/>
    <w:rsid w:val="778B2A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Salutation"/>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link w:val="32"/>
    <w:semiHidden/>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Plain Text"/>
    <w:basedOn w:val="1"/>
    <w:link w:val="33"/>
    <w:qFormat/>
    <w:uiPriority w:val="0"/>
    <w:rPr>
      <w:rFonts w:ascii="宋体" w:hAnsi="Courier New" w:eastAsiaTheme="minorEastAsia" w:cstheme="minorBidi"/>
      <w:szCs w:val="22"/>
    </w:rPr>
  </w:style>
  <w:style w:type="paragraph" w:styleId="9">
    <w:name w:val="Date"/>
    <w:basedOn w:val="1"/>
    <w:next w:val="1"/>
    <w:link w:val="34"/>
    <w:qFormat/>
    <w:uiPriority w:val="0"/>
    <w:pPr>
      <w:adjustRightInd w:val="0"/>
      <w:spacing w:line="360" w:lineRule="atLeast"/>
      <w:textAlignment w:val="baseline"/>
    </w:pPr>
    <w:rPr>
      <w:rFonts w:ascii="宋体" w:cs="宋体"/>
      <w:kern w:val="0"/>
      <w:sz w:val="24"/>
      <w:szCs w:val="24"/>
    </w:rPr>
  </w:style>
  <w:style w:type="paragraph" w:styleId="10">
    <w:name w:val="Balloon Text"/>
    <w:basedOn w:val="1"/>
    <w:link w:val="35"/>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Body Text 2"/>
    <w:basedOn w:val="1"/>
    <w:link w:val="36"/>
    <w:qFormat/>
    <w:uiPriority w:val="0"/>
    <w:pPr>
      <w:spacing w:after="120" w:line="480" w:lineRule="auto"/>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6"/>
    <w:link w:val="37"/>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semiHidden/>
    <w:unhideWhenUsed/>
    <w:uiPriority w:val="99"/>
    <w:rPr>
      <w:color w:val="3D3D3D"/>
      <w:u w:val="none"/>
    </w:rPr>
  </w:style>
  <w:style w:type="character" w:styleId="22">
    <w:name w:val="HTML Definition"/>
    <w:basedOn w:val="20"/>
    <w:semiHidden/>
    <w:unhideWhenUsed/>
    <w:qFormat/>
    <w:uiPriority w:val="99"/>
  </w:style>
  <w:style w:type="character" w:styleId="23">
    <w:name w:val="HTML Variable"/>
    <w:basedOn w:val="20"/>
    <w:semiHidden/>
    <w:unhideWhenUsed/>
    <w:uiPriority w:val="99"/>
  </w:style>
  <w:style w:type="character" w:styleId="24">
    <w:name w:val="Hyperlink"/>
    <w:basedOn w:val="20"/>
    <w:unhideWhenUsed/>
    <w:qFormat/>
    <w:uiPriority w:val="99"/>
    <w:rPr>
      <w:color w:val="0000FF" w:themeColor="hyperlink"/>
      <w:u w:val="single"/>
      <w14:textFill>
        <w14:solidFill>
          <w14:schemeClr w14:val="hlink"/>
        </w14:solidFill>
      </w14:textFill>
    </w:rPr>
  </w:style>
  <w:style w:type="character" w:styleId="25">
    <w:name w:val="HTML Code"/>
    <w:basedOn w:val="20"/>
    <w:semiHidden/>
    <w:unhideWhenUsed/>
    <w:uiPriority w:val="99"/>
    <w:rPr>
      <w:rFonts w:ascii="Courier New" w:hAnsi="Courier New"/>
      <w:sz w:val="20"/>
    </w:rPr>
  </w:style>
  <w:style w:type="character" w:styleId="26">
    <w:name w:val="annotation reference"/>
    <w:basedOn w:val="20"/>
    <w:semiHidden/>
    <w:unhideWhenUsed/>
    <w:qFormat/>
    <w:uiPriority w:val="99"/>
    <w:rPr>
      <w:sz w:val="21"/>
      <w:szCs w:val="21"/>
    </w:rPr>
  </w:style>
  <w:style w:type="character" w:styleId="27">
    <w:name w:val="HTML Cite"/>
    <w:basedOn w:val="20"/>
    <w:semiHidden/>
    <w:unhideWhenUsed/>
    <w:uiPriority w:val="99"/>
  </w:style>
  <w:style w:type="character" w:customStyle="1" w:styleId="28">
    <w:name w:val="页眉 Char"/>
    <w:basedOn w:val="20"/>
    <w:link w:val="12"/>
    <w:qFormat/>
    <w:uiPriority w:val="99"/>
    <w:rPr>
      <w:sz w:val="18"/>
      <w:szCs w:val="18"/>
    </w:rPr>
  </w:style>
  <w:style w:type="character" w:customStyle="1" w:styleId="29">
    <w:name w:val="页脚 Char"/>
    <w:basedOn w:val="20"/>
    <w:link w:val="11"/>
    <w:uiPriority w:val="99"/>
    <w:rPr>
      <w:sz w:val="18"/>
      <w:szCs w:val="18"/>
    </w:rPr>
  </w:style>
  <w:style w:type="character" w:customStyle="1" w:styleId="30">
    <w:name w:val="标题 1 Char"/>
    <w:basedOn w:val="20"/>
    <w:link w:val="3"/>
    <w:qFormat/>
    <w:uiPriority w:val="9"/>
    <w:rPr>
      <w:rFonts w:ascii="Times New Roman" w:hAnsi="Times New Roman" w:eastAsia="宋体" w:cs="Times New Roman"/>
      <w:b/>
      <w:bCs/>
      <w:kern w:val="44"/>
      <w:sz w:val="44"/>
      <w:szCs w:val="44"/>
    </w:rPr>
  </w:style>
  <w:style w:type="character" w:customStyle="1" w:styleId="31">
    <w:name w:val="标题 2 Char"/>
    <w:basedOn w:val="20"/>
    <w:link w:val="4"/>
    <w:qFormat/>
    <w:uiPriority w:val="0"/>
    <w:rPr>
      <w:rFonts w:ascii="Arial" w:hAnsi="Arial" w:eastAsia="黑体" w:cs="Arial"/>
      <w:b/>
      <w:bCs/>
      <w:sz w:val="32"/>
      <w:szCs w:val="32"/>
    </w:rPr>
  </w:style>
  <w:style w:type="character" w:customStyle="1" w:styleId="32">
    <w:name w:val="批注文字 Char"/>
    <w:basedOn w:val="20"/>
    <w:link w:val="6"/>
    <w:semiHidden/>
    <w:qFormat/>
    <w:uiPriority w:val="99"/>
    <w:rPr>
      <w:rFonts w:ascii="Times New Roman" w:hAnsi="Times New Roman" w:eastAsia="宋体" w:cs="Times New Roman"/>
      <w:szCs w:val="21"/>
    </w:rPr>
  </w:style>
  <w:style w:type="character" w:customStyle="1" w:styleId="33">
    <w:name w:val="纯文本 Char"/>
    <w:basedOn w:val="20"/>
    <w:link w:val="8"/>
    <w:qFormat/>
    <w:uiPriority w:val="0"/>
    <w:rPr>
      <w:rFonts w:ascii="宋体" w:hAnsi="Courier New"/>
    </w:rPr>
  </w:style>
  <w:style w:type="character" w:customStyle="1" w:styleId="34">
    <w:name w:val="日期 Char"/>
    <w:basedOn w:val="20"/>
    <w:link w:val="9"/>
    <w:qFormat/>
    <w:uiPriority w:val="0"/>
    <w:rPr>
      <w:rFonts w:ascii="宋体" w:hAnsi="Times New Roman" w:eastAsia="宋体" w:cs="宋体"/>
      <w:kern w:val="0"/>
      <w:sz w:val="24"/>
      <w:szCs w:val="24"/>
    </w:rPr>
  </w:style>
  <w:style w:type="character" w:customStyle="1" w:styleId="35">
    <w:name w:val="批注框文本 Char"/>
    <w:basedOn w:val="20"/>
    <w:link w:val="10"/>
    <w:semiHidden/>
    <w:qFormat/>
    <w:uiPriority w:val="99"/>
    <w:rPr>
      <w:rFonts w:ascii="Times New Roman" w:hAnsi="Times New Roman" w:eastAsia="宋体" w:cs="Times New Roman"/>
      <w:sz w:val="18"/>
      <w:szCs w:val="18"/>
    </w:rPr>
  </w:style>
  <w:style w:type="character" w:customStyle="1" w:styleId="36">
    <w:name w:val="正文文本 2 Char"/>
    <w:basedOn w:val="20"/>
    <w:link w:val="15"/>
    <w:qFormat/>
    <w:uiPriority w:val="0"/>
    <w:rPr>
      <w:rFonts w:ascii="Times New Roman" w:hAnsi="Times New Roman" w:eastAsia="宋体" w:cs="Times New Roman"/>
      <w:szCs w:val="21"/>
    </w:rPr>
  </w:style>
  <w:style w:type="character" w:customStyle="1" w:styleId="37">
    <w:name w:val="批注主题 Char"/>
    <w:basedOn w:val="32"/>
    <w:link w:val="17"/>
    <w:semiHidden/>
    <w:qFormat/>
    <w:uiPriority w:val="99"/>
    <w:rPr>
      <w:rFonts w:ascii="Times New Roman" w:hAnsi="Times New Roman" w:eastAsia="宋体" w:cs="Times New Roman"/>
      <w:b/>
      <w:bCs/>
      <w:szCs w:val="21"/>
    </w:rPr>
  </w:style>
  <w:style w:type="character" w:customStyle="1" w:styleId="38">
    <w:name w:val="纯文本 字符"/>
    <w:basedOn w:val="20"/>
    <w:semiHidden/>
    <w:qFormat/>
    <w:uiPriority w:val="99"/>
    <w:rPr>
      <w:rFonts w:hAnsi="Courier New" w:cs="Courier New" w:asciiTheme="minorEastAsia"/>
      <w:szCs w:val="21"/>
    </w:rPr>
  </w:style>
  <w:style w:type="paragraph" w:styleId="39">
    <w:name w:val="List Paragraph"/>
    <w:basedOn w:val="1"/>
    <w:qFormat/>
    <w:uiPriority w:val="34"/>
    <w:pPr>
      <w:ind w:firstLine="420" w:firstLineChars="200"/>
    </w:pPr>
  </w:style>
  <w:style w:type="paragraph" w:customStyle="1" w:styleId="40">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2">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qowt-font10-gbk"/>
    <w:basedOn w:val="20"/>
    <w:qFormat/>
    <w:uiPriority w:val="0"/>
  </w:style>
  <w:style w:type="character" w:customStyle="1" w:styleId="44">
    <w:name w:val="img"/>
    <w:basedOn w:val="20"/>
    <w:qFormat/>
    <w:uiPriority w:val="0"/>
  </w:style>
  <w:style w:type="character" w:customStyle="1" w:styleId="45">
    <w:name w:val="img1"/>
    <w:basedOn w:val="2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87</Words>
  <Characters>497</Characters>
  <Lines>4</Lines>
  <Paragraphs>1</Paragraphs>
  <TotalTime>0</TotalTime>
  <ScaleCrop>false</ScaleCrop>
  <LinksUpToDate>false</LinksUpToDate>
  <CharactersWithSpaces>583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2020-05-12T08:32:00Z</dcterms:created>
  <dc:creator>赵璧</dc:creator>
  <cp:lastModifiedBy>凉凉</cp:lastModifiedBy>
  <cp:lastPrinted>2021-06-29T04:33:00Z</cp:lastPrinted>
  <dcterms:modified xsi:type="dcterms:W3CDTF">2021-06-29T09:48:21Z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0BFA6A4BE8C44442BDDF8A88D9ED471A</vt:lpwstr>
  </property>
</Properties>
</file>