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 w:hAnsi="仿宋" w:eastAsia="仿宋" w:cs="仿宋"/>
          <w:color w:val="auto"/>
          <w:sz w:val="24"/>
          <w:szCs w:val="24"/>
          <w:highlight w:val="none"/>
        </w:rPr>
      </w:pPr>
      <w:bookmarkStart w:id="0" w:name="_Toc18287"/>
      <w:r>
        <w:rPr>
          <w:rFonts w:hint="eastAsia" w:ascii="仿宋" w:hAnsi="仿宋" w:eastAsia="仿宋" w:cs="仿宋"/>
          <w:color w:val="auto"/>
          <w:highlight w:val="none"/>
        </w:rPr>
        <w:t>第五章 采购项目技术、服务及其他商务要求</w:t>
      </w:r>
      <w:bookmarkEnd w:id="0"/>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本章中标注“★”的条款为本项目的实质性条款，</w:t>
      </w:r>
      <w:r>
        <w:rPr>
          <w:rFonts w:hint="eastAsia" w:ascii="仿宋" w:hAnsi="仿宋" w:eastAsia="仿宋" w:cs="仿宋"/>
          <w:b/>
          <w:bCs/>
          <w:color w:val="auto"/>
          <w:sz w:val="24"/>
          <w:highlight w:val="none"/>
          <w:lang w:eastAsia="zh-CN"/>
        </w:rPr>
        <w:t>供应商</w:t>
      </w:r>
      <w:r>
        <w:rPr>
          <w:rFonts w:hint="eastAsia" w:ascii="仿宋" w:hAnsi="仿宋" w:eastAsia="仿宋" w:cs="仿宋"/>
          <w:b/>
          <w:bCs/>
          <w:color w:val="auto"/>
          <w:sz w:val="24"/>
          <w:highlight w:val="none"/>
        </w:rPr>
        <w:t>不满足的，将按照无效</w:t>
      </w:r>
      <w:r>
        <w:rPr>
          <w:rFonts w:hint="eastAsia" w:ascii="仿宋" w:hAnsi="仿宋" w:eastAsia="仿宋" w:cs="仿宋"/>
          <w:b/>
          <w:bCs/>
          <w:color w:val="auto"/>
          <w:sz w:val="24"/>
          <w:highlight w:val="none"/>
          <w:lang w:val="en-US" w:eastAsia="zh-CN"/>
        </w:rPr>
        <w:t>响应</w:t>
      </w:r>
      <w:r>
        <w:rPr>
          <w:rFonts w:hint="eastAsia" w:ascii="仿宋" w:hAnsi="仿宋" w:eastAsia="仿宋" w:cs="仿宋"/>
          <w:b/>
          <w:bCs/>
          <w:color w:val="auto"/>
          <w:sz w:val="24"/>
          <w:highlight w:val="none"/>
        </w:rPr>
        <w:t>处理。</w:t>
      </w:r>
    </w:p>
    <w:p>
      <w:pPr>
        <w:numPr>
          <w:ilvl w:val="0"/>
          <w:numId w:val="2"/>
        </w:numPr>
        <w:spacing w:line="240" w:lineRule="auto"/>
        <w:ind w:firstLine="482" w:firstLineChars="200"/>
        <w:rPr>
          <w:rFonts w:hint="default"/>
          <w:lang w:val="en-US" w:eastAsia="zh-CN"/>
        </w:rPr>
      </w:pPr>
      <w:r>
        <w:rPr>
          <w:rFonts w:hint="eastAsia" w:ascii="仿宋" w:hAnsi="仿宋" w:eastAsia="仿宋" w:cs="仿宋"/>
          <w:b/>
          <w:bCs/>
          <w:sz w:val="24"/>
          <w:lang w:val="en-US" w:eastAsia="zh-CN"/>
        </w:rPr>
        <w:t>项目简介</w:t>
      </w:r>
    </w:p>
    <w:p>
      <w:pPr>
        <w:spacing w:line="240" w:lineRule="auto"/>
        <w:ind w:firstLine="480" w:firstLineChars="20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根据工作安排，开展“增绿补绿、拆墙透绿、立体添绿”等绿化美化彩化行动，拟对从绕城高速永宁出口经过永宁大道、芙蓉大道，到达三医创新中心等区域进行植绿补绿。</w:t>
      </w:r>
    </w:p>
    <w:p>
      <w:pPr>
        <w:spacing w:line="240" w:lineRule="auto"/>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rPr>
        <w:t>二、</w:t>
      </w:r>
      <w:r>
        <w:rPr>
          <w:rFonts w:hint="eastAsia" w:ascii="仿宋" w:hAnsi="仿宋" w:eastAsia="仿宋" w:cs="仿宋"/>
          <w:b/>
          <w:bCs/>
          <w:sz w:val="24"/>
          <w:szCs w:val="24"/>
          <w:lang w:val="en-US" w:eastAsia="zh-CN"/>
        </w:rPr>
        <w:t>技术服务内容及要求</w:t>
      </w:r>
    </w:p>
    <w:p>
      <w:pPr>
        <w:spacing w:line="240" w:lineRule="auto"/>
        <w:ind w:firstLine="480" w:firstLineChars="200"/>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2.1、货物内容及</w:t>
      </w:r>
      <w:r>
        <w:rPr>
          <w:rFonts w:hint="eastAsia" w:ascii="仿宋" w:hAnsi="仿宋" w:eastAsia="仿宋" w:cs="仿宋"/>
          <w:bCs/>
          <w:sz w:val="24"/>
          <w:szCs w:val="24"/>
        </w:rPr>
        <w:t>技术参数</w:t>
      </w:r>
      <w:r>
        <w:rPr>
          <w:rFonts w:hint="eastAsia" w:ascii="仿宋" w:hAnsi="仿宋" w:eastAsia="仿宋" w:cs="仿宋"/>
          <w:bCs/>
          <w:sz w:val="24"/>
          <w:szCs w:val="24"/>
          <w:lang w:val="en-US" w:eastAsia="zh-CN"/>
        </w:rPr>
        <w:t>表</w:t>
      </w:r>
    </w:p>
    <w:tbl>
      <w:tblPr>
        <w:tblStyle w:val="4"/>
        <w:tblW w:w="9304" w:type="dxa"/>
        <w:tblInd w:w="98" w:type="dxa"/>
        <w:tblLayout w:type="autofit"/>
        <w:tblCellMar>
          <w:top w:w="0" w:type="dxa"/>
          <w:left w:w="108" w:type="dxa"/>
          <w:bottom w:w="0" w:type="dxa"/>
          <w:right w:w="108" w:type="dxa"/>
        </w:tblCellMar>
      </w:tblPr>
      <w:tblGrid>
        <w:gridCol w:w="685"/>
        <w:gridCol w:w="1283"/>
        <w:gridCol w:w="4666"/>
        <w:gridCol w:w="707"/>
        <w:gridCol w:w="808"/>
        <w:gridCol w:w="1155"/>
      </w:tblGrid>
      <w:tr>
        <w:tblPrEx>
          <w:tblCellMar>
            <w:top w:w="0" w:type="dxa"/>
            <w:left w:w="108" w:type="dxa"/>
            <w:bottom w:w="0" w:type="dxa"/>
            <w:right w:w="108" w:type="dxa"/>
          </w:tblCellMar>
        </w:tblPrEx>
        <w:trPr>
          <w:trHeight w:val="1044"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货物名称</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技术参数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计量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工程量</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最高单价限价（元）</w:t>
            </w:r>
          </w:p>
        </w:tc>
      </w:tr>
      <w:tr>
        <w:tblPrEx>
          <w:tblCellMar>
            <w:top w:w="0" w:type="dxa"/>
            <w:left w:w="108" w:type="dxa"/>
            <w:bottom w:w="0" w:type="dxa"/>
            <w:right w:w="108" w:type="dxa"/>
          </w:tblCellMar>
        </w:tblPrEx>
        <w:trPr>
          <w:trHeight w:val="2975"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乔木银杏A</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1.种类：银杏A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▲2.胸径或干径：40cm≤米径＜42cm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▲3.株高、冠径：H:8-10m，P:5m-6m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其他：主干通直，无偏冠，树形优美，全冠种植，整树无钉，苗木的起挖运栽、场地费、机械费、绿地整理/堆土/起坡造型、种植土换填、钢支撑桩、草绳绕树干、树干涂白、杀虫剂、营养液等由供应商综合考虑进入报价中，满足业主及规范要求 </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46276.36</w:t>
            </w:r>
          </w:p>
        </w:tc>
      </w:tr>
      <w:tr>
        <w:tblPrEx>
          <w:tblCellMar>
            <w:top w:w="0" w:type="dxa"/>
            <w:left w:w="108" w:type="dxa"/>
            <w:bottom w:w="0" w:type="dxa"/>
            <w:right w:w="108" w:type="dxa"/>
          </w:tblCellMar>
        </w:tblPrEx>
        <w:trPr>
          <w:trHeight w:val="2523"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乔木银杏B</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1.种类：银杏B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▲2.胸径或干径：38cm≤米径＜39cm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▲3.株高、冠径：H:8-10m，P:5m-6m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钢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40344.71</w:t>
            </w:r>
          </w:p>
        </w:tc>
      </w:tr>
      <w:tr>
        <w:tblPrEx>
          <w:tblCellMar>
            <w:top w:w="0" w:type="dxa"/>
            <w:left w:w="108" w:type="dxa"/>
            <w:bottom w:w="0" w:type="dxa"/>
            <w:right w:w="108" w:type="dxa"/>
          </w:tblCellMar>
        </w:tblPrEx>
        <w:trPr>
          <w:trHeight w:val="25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乔木银杏C</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1.种类：银杏C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▲2.胸径或干径：36cm≤米径＜38cm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▲3.株高、冠径：H:8-10m，P:5m-6m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钢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35860.44</w:t>
            </w:r>
          </w:p>
        </w:tc>
      </w:tr>
      <w:tr>
        <w:tblPrEx>
          <w:tblCellMar>
            <w:top w:w="0" w:type="dxa"/>
            <w:left w:w="108" w:type="dxa"/>
            <w:bottom w:w="0" w:type="dxa"/>
            <w:right w:w="108" w:type="dxa"/>
          </w:tblCellMar>
        </w:tblPrEx>
        <w:trPr>
          <w:trHeight w:val="3004"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乔木银杏D</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1.种类：银杏D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▲2.胸径或干径：30cm≤米径＜32cm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▲3.株高、冠径：H:8-10m，P:5m-6m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钢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20095.71</w:t>
            </w:r>
          </w:p>
        </w:tc>
      </w:tr>
      <w:tr>
        <w:tblPrEx>
          <w:tblCellMar>
            <w:top w:w="0" w:type="dxa"/>
            <w:left w:w="108" w:type="dxa"/>
            <w:bottom w:w="0" w:type="dxa"/>
            <w:right w:w="108" w:type="dxa"/>
          </w:tblCellMar>
        </w:tblPrEx>
        <w:trPr>
          <w:trHeight w:val="241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乔木银杏E</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1.种类：银杏E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▲2.胸径或干径：28cm≤米径＜30cm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▲3.株高、冠径：H:8-10m，P:5m-6m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钢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12843.69</w:t>
            </w:r>
          </w:p>
        </w:tc>
      </w:tr>
      <w:tr>
        <w:tblPrEx>
          <w:tblCellMar>
            <w:top w:w="0" w:type="dxa"/>
            <w:left w:w="108" w:type="dxa"/>
            <w:bottom w:w="0" w:type="dxa"/>
            <w:right w:w="108" w:type="dxa"/>
          </w:tblCellMar>
        </w:tblPrEx>
        <w:trPr>
          <w:trHeight w:val="3068"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乔木银杏F</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1.种类：银杏F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▲2.胸径或干径：25cm≤米径＜27cm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▲3.株高、冠径：H:7-9m，P:5m-6m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钢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7872.09</w:t>
            </w:r>
          </w:p>
        </w:tc>
      </w:tr>
      <w:tr>
        <w:tblPrEx>
          <w:tblCellMar>
            <w:top w:w="0" w:type="dxa"/>
            <w:left w:w="108" w:type="dxa"/>
            <w:bottom w:w="0" w:type="dxa"/>
            <w:right w:w="108" w:type="dxa"/>
          </w:tblCellMar>
        </w:tblPrEx>
        <w:trPr>
          <w:trHeight w:val="3018"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紫薇A</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1.种类：紫薇A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▲2.胸径或干径：11cm≤米径&lt;12cm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▲3.株高、冠径：H:3-4m,P:2m-3m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2896.89</w:t>
            </w:r>
          </w:p>
        </w:tc>
      </w:tr>
      <w:tr>
        <w:tblPrEx>
          <w:tblCellMar>
            <w:top w:w="0" w:type="dxa"/>
            <w:left w:w="108" w:type="dxa"/>
            <w:bottom w:w="0" w:type="dxa"/>
            <w:right w:w="108" w:type="dxa"/>
          </w:tblCellMar>
        </w:tblPrEx>
        <w:trPr>
          <w:trHeight w:val="9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紫薇B</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1.种类：紫薇B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▲2.胸径或干径：10cm≤米径&lt;11cm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▲3.株高、冠径：H:3-4m,P:2m-3m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2002.71</w:t>
            </w:r>
          </w:p>
        </w:tc>
      </w:tr>
      <w:tr>
        <w:tblPrEx>
          <w:tblCellMar>
            <w:top w:w="0" w:type="dxa"/>
            <w:left w:w="108" w:type="dxa"/>
            <w:bottom w:w="0" w:type="dxa"/>
            <w:right w:w="108" w:type="dxa"/>
          </w:tblCellMar>
        </w:tblPrEx>
        <w:trPr>
          <w:trHeight w:val="135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蓝花楹A</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1.种类：蓝花楹A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▲2.胸径或干径：24cm≤米径&lt;25cm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▲3.株高、冠径：H:7-9m,P:5m-6m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24457.94</w:t>
            </w:r>
          </w:p>
        </w:tc>
      </w:tr>
      <w:tr>
        <w:tblPrEx>
          <w:tblCellMar>
            <w:top w:w="0" w:type="dxa"/>
            <w:left w:w="108" w:type="dxa"/>
            <w:bottom w:w="0" w:type="dxa"/>
            <w:right w:w="108" w:type="dxa"/>
          </w:tblCellMar>
        </w:tblPrEx>
        <w:trPr>
          <w:trHeight w:val="2535"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蓝花楹B</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1.种类：蓝花楹B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▲2.胸径或干径：18cm≤米径&lt;21cm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▲3.株高、冠径：H:6-8m,P:5m-6m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12678.42</w:t>
            </w:r>
          </w:p>
        </w:tc>
      </w:tr>
      <w:tr>
        <w:tblPrEx>
          <w:tblCellMar>
            <w:top w:w="0" w:type="dxa"/>
            <w:left w:w="108" w:type="dxa"/>
            <w:bottom w:w="0" w:type="dxa"/>
            <w:right w:w="108" w:type="dxa"/>
          </w:tblCellMar>
        </w:tblPrEx>
        <w:trPr>
          <w:trHeight w:val="23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桢楠</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1.种类：桢楠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▲2.胸径或干径：31cm≤米径＜33cm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▲3.株高、冠径：H:8-10m,P:4m-5m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钢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9604.84</w:t>
            </w:r>
          </w:p>
        </w:tc>
      </w:tr>
      <w:tr>
        <w:tblPrEx>
          <w:tblCellMar>
            <w:top w:w="0" w:type="dxa"/>
            <w:left w:w="108" w:type="dxa"/>
            <w:bottom w:w="0" w:type="dxa"/>
            <w:right w:w="108" w:type="dxa"/>
          </w:tblCellMar>
        </w:tblPrEx>
        <w:trPr>
          <w:trHeight w:val="2398"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银桂A</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1.种类：银桂A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▲2.胸径或干径：24cm≤米径＜26cm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▲3.株高、冠径：H:4-6m，P:4m-5m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钢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10289.88</w:t>
            </w:r>
          </w:p>
        </w:tc>
      </w:tr>
      <w:tr>
        <w:tblPrEx>
          <w:tblCellMar>
            <w:top w:w="0" w:type="dxa"/>
            <w:left w:w="108" w:type="dxa"/>
            <w:bottom w:w="0" w:type="dxa"/>
            <w:right w:w="108" w:type="dxa"/>
          </w:tblCellMar>
        </w:tblPrEx>
        <w:trPr>
          <w:trHeight w:val="631"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银桂B</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1.种类：银桂B</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▲2.胸径或干径：23cm≤米径＜24cm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▲3.株高、冠径：H:4-6m，P:4m-5m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9269.26</w:t>
            </w:r>
          </w:p>
        </w:tc>
      </w:tr>
      <w:tr>
        <w:tblPrEx>
          <w:tblCellMar>
            <w:top w:w="0" w:type="dxa"/>
            <w:left w:w="108" w:type="dxa"/>
            <w:bottom w:w="0" w:type="dxa"/>
            <w:right w:w="108" w:type="dxa"/>
          </w:tblCellMar>
        </w:tblPrEx>
        <w:trPr>
          <w:trHeight w:val="2642"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银桂C</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1.种类：银桂C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▲2.胸径或干径：21cm≤米径＜23cm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▲3.株高、冠径：H:4-6m，P:4m-5m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8909.07</w:t>
            </w:r>
          </w:p>
        </w:tc>
      </w:tr>
      <w:tr>
        <w:tblPrEx>
          <w:tblCellMar>
            <w:top w:w="0" w:type="dxa"/>
            <w:left w:w="108" w:type="dxa"/>
            <w:bottom w:w="0" w:type="dxa"/>
            <w:right w:w="108" w:type="dxa"/>
          </w:tblCellMar>
        </w:tblPrEx>
        <w:trPr>
          <w:trHeight w:val="2272"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朱砂桂A</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1.种类：朱砂桂A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▲2.胸径或干径：17cm≤米径&lt;18cm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▲3.株高、冠径：H:4-6m,P:4m-5m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9037.35</w:t>
            </w:r>
          </w:p>
        </w:tc>
      </w:tr>
      <w:tr>
        <w:tblPrEx>
          <w:tblCellMar>
            <w:top w:w="0" w:type="dxa"/>
            <w:left w:w="108" w:type="dxa"/>
            <w:bottom w:w="0" w:type="dxa"/>
            <w:right w:w="108" w:type="dxa"/>
          </w:tblCellMar>
        </w:tblPrEx>
        <w:trPr>
          <w:trHeight w:val="2857"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朱砂桂B</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1.种类：朱砂桂B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▲2.胸径或干径：16cm≤米径&lt;17cm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▲3.株高、冠径：H:4-6m,P:4m-5m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6735.35</w:t>
            </w:r>
          </w:p>
        </w:tc>
      </w:tr>
      <w:tr>
        <w:tblPrEx>
          <w:tblCellMar>
            <w:top w:w="0" w:type="dxa"/>
            <w:left w:w="108" w:type="dxa"/>
            <w:bottom w:w="0" w:type="dxa"/>
            <w:right w:w="108" w:type="dxa"/>
          </w:tblCellMar>
        </w:tblPrEx>
        <w:trPr>
          <w:trHeight w:val="9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朱砂桂C</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1.种类：朱砂桂C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▲2.胸径或干径：14cm≤米径&lt;15cm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▲3.株高、冠径：H:4-6m,P:4m-5m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4390.8</w:t>
            </w:r>
          </w:p>
        </w:tc>
      </w:tr>
      <w:tr>
        <w:tblPrEx>
          <w:tblCellMar>
            <w:top w:w="0" w:type="dxa"/>
            <w:left w:w="108" w:type="dxa"/>
            <w:bottom w:w="0" w:type="dxa"/>
            <w:right w:w="108" w:type="dxa"/>
          </w:tblCellMar>
        </w:tblPrEx>
        <w:trPr>
          <w:trHeight w:val="256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朱砂桂D</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1.种类：朱砂桂D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▲2.胸径或干径：12cm≤米径&lt;13cm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▲3.株高、冠径：H:4-5m,P:3m-4m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其他：主干通直，无偏冠，树形优美，全冠种植，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3212.68</w:t>
            </w:r>
          </w:p>
        </w:tc>
      </w:tr>
      <w:tr>
        <w:tblPrEx>
          <w:tblCellMar>
            <w:top w:w="0" w:type="dxa"/>
            <w:left w:w="108" w:type="dxa"/>
            <w:bottom w:w="0" w:type="dxa"/>
            <w:right w:w="108" w:type="dxa"/>
          </w:tblCellMar>
        </w:tblPrEx>
        <w:trPr>
          <w:trHeight w:val="1550"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茶花球</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1.种类：茶花球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▲2.冠幅：80-100cm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3.起挖方式：综合，由供应商综合考虑进入报价中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4.养护期：12个月，由供应商综合考虑进入报价中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▲5.其他：整树无钉，苗木的起挖运栽、场地费、机械费、绿地整理/堆土/起坡造型、种植土换填、井字支撑桩、草绳绕树干、树干涂白、杀虫剂、营养液等由供应商综合考虑进入报价中，满足业主及规范要求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株</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176.64</w:t>
            </w:r>
          </w:p>
        </w:tc>
      </w:tr>
      <w:tr>
        <w:tblPrEx>
          <w:tblCellMar>
            <w:top w:w="0" w:type="dxa"/>
            <w:left w:w="108" w:type="dxa"/>
            <w:bottom w:w="0" w:type="dxa"/>
            <w:right w:w="108" w:type="dxa"/>
          </w:tblCellMar>
        </w:tblPrEx>
        <w:trPr>
          <w:trHeight w:val="1595"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地被麦冬</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1.草(灌木)籽种类：麦冬，密植、不露土；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2.养护期：3个月，由供应商综合考虑进入报价中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▲3.其他：满足设计规范及业主要求，场地费、机械费、绿地整理/堆土/起坡造型、种植土换填、杀虫剂、营养液等由供应商综合考虑进入报价中，满足业主及规范要求 </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37.7</w:t>
            </w:r>
          </w:p>
        </w:tc>
      </w:tr>
      <w:tr>
        <w:tblPrEx>
          <w:tblCellMar>
            <w:top w:w="0" w:type="dxa"/>
            <w:left w:w="108" w:type="dxa"/>
            <w:bottom w:w="0" w:type="dxa"/>
            <w:right w:w="108" w:type="dxa"/>
          </w:tblCellMar>
        </w:tblPrEx>
        <w:trPr>
          <w:trHeight w:val="2308" w:hRule="atLeast"/>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台湾2号草坪</w:t>
            </w:r>
          </w:p>
        </w:tc>
        <w:tc>
          <w:tcPr>
            <w:tcW w:w="4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1.草(灌木)籽种类：台湾2号草皮铺植，无杂草，生长健壮，色泽统一；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2.养护期：3个月，由供应商综合考虑进入报价中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▲3.其他：满足设计规范及业主要求，场地费、机械费、绿地整理/堆土/起坡造型、种植土换填、杀虫剂、营养液等由供应商综合考虑进入报价中，满足业主及规范要求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39.91</w:t>
            </w:r>
          </w:p>
        </w:tc>
      </w:tr>
    </w:tbl>
    <w:p>
      <w:pPr>
        <w:spacing w:line="240" w:lineRule="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2.2货物起挖要求</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2.2.1.挖掘前1—2天根据土壤干湿情况适当浇水，以防止土壤过干导致土球松散。遇到土壤过于干旱时应提前3—5天浇足水，最好在挖掘前5—8天根部施用0.2%—0.3%翠姆磷酸二氢钾增加树体吸收营养（嫁肥）。</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2.2.2.裸根苗木远距离运输需在根兜里填塞湿草或包裹塑料薄膜保湿，以免根部失水过多，影响成活率，并且应注意防止日晒。</w:t>
      </w:r>
    </w:p>
    <w:p>
      <w:pPr>
        <w:spacing w:line="240" w:lineRule="auto"/>
        <w:rPr>
          <w:rFonts w:hint="eastAsia"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2.3货物装运及卸载要求</w:t>
      </w:r>
    </w:p>
    <w:p>
      <w:pPr>
        <w:spacing w:line="240" w:lineRule="auto"/>
        <w:ind w:firstLine="480" w:firstLineChars="200"/>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2.3.</w:t>
      </w:r>
      <w:r>
        <w:rPr>
          <w:rFonts w:hint="default" w:ascii="仿宋" w:hAnsi="仿宋" w:eastAsia="仿宋" w:cs="仿宋"/>
          <w:bCs/>
          <w:sz w:val="24"/>
          <w:szCs w:val="24"/>
          <w:vertAlign w:val="baseline"/>
          <w:lang w:val="en-US" w:eastAsia="zh-CN"/>
        </w:rPr>
        <w:t>1.运输过程中要防止苗木遭到暴晒、雨淋和二次机械损伤。</w:t>
      </w:r>
    </w:p>
    <w:p>
      <w:pPr>
        <w:spacing w:line="240" w:lineRule="auto"/>
        <w:ind w:firstLine="480" w:firstLineChars="200"/>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2.3.</w:t>
      </w:r>
      <w:r>
        <w:rPr>
          <w:rFonts w:hint="default" w:ascii="仿宋" w:hAnsi="仿宋" w:eastAsia="仿宋" w:cs="仿宋"/>
          <w:bCs/>
          <w:sz w:val="24"/>
          <w:szCs w:val="24"/>
          <w:vertAlign w:val="baseline"/>
          <w:lang w:val="en-US" w:eastAsia="zh-CN"/>
        </w:rPr>
        <w:t>2.树根放在车头，树冠放在车尾，土球垫稳，树梢不得拖地，树体与车体接触处垫软垫物，避免损伤树皮，否则</w:t>
      </w:r>
      <w:r>
        <w:rPr>
          <w:rFonts w:hint="eastAsia" w:ascii="仿宋" w:hAnsi="仿宋" w:eastAsia="仿宋" w:cs="仿宋"/>
          <w:bCs/>
          <w:sz w:val="24"/>
          <w:szCs w:val="24"/>
          <w:vertAlign w:val="baseline"/>
          <w:lang w:val="en-US" w:eastAsia="zh-CN"/>
        </w:rPr>
        <w:t>采购人</w:t>
      </w:r>
      <w:r>
        <w:rPr>
          <w:rFonts w:hint="default" w:ascii="仿宋" w:hAnsi="仿宋" w:eastAsia="仿宋" w:cs="仿宋"/>
          <w:bCs/>
          <w:sz w:val="24"/>
          <w:szCs w:val="24"/>
          <w:vertAlign w:val="baseline"/>
          <w:lang w:val="en-US" w:eastAsia="zh-CN"/>
        </w:rPr>
        <w:t>可拒绝收货。</w:t>
      </w:r>
    </w:p>
    <w:p>
      <w:pPr>
        <w:spacing w:line="240" w:lineRule="auto"/>
        <w:ind w:firstLine="480" w:firstLineChars="200"/>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2.3.</w:t>
      </w:r>
      <w:r>
        <w:rPr>
          <w:rFonts w:hint="default" w:ascii="仿宋" w:hAnsi="仿宋" w:eastAsia="仿宋" w:cs="仿宋"/>
          <w:bCs/>
          <w:sz w:val="24"/>
          <w:szCs w:val="24"/>
          <w:vertAlign w:val="baseline"/>
          <w:lang w:val="en-US" w:eastAsia="zh-CN"/>
        </w:rPr>
        <w:t>3.裸根乔木应特别注意根部保护，避免劈裂、折断。</w:t>
      </w:r>
    </w:p>
    <w:p>
      <w:pPr>
        <w:spacing w:line="240" w:lineRule="auto"/>
        <w:ind w:firstLine="480" w:firstLineChars="200"/>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2.3.</w:t>
      </w:r>
      <w:r>
        <w:rPr>
          <w:rFonts w:hint="default" w:ascii="仿宋" w:hAnsi="仿宋" w:eastAsia="仿宋" w:cs="仿宋"/>
          <w:bCs/>
          <w:sz w:val="24"/>
          <w:szCs w:val="24"/>
          <w:vertAlign w:val="baseline"/>
          <w:lang w:val="en-US" w:eastAsia="zh-CN"/>
        </w:rPr>
        <w:t>4</w:t>
      </w:r>
      <w:r>
        <w:rPr>
          <w:rFonts w:hint="eastAsia" w:ascii="仿宋" w:hAnsi="仿宋" w:eastAsia="仿宋" w:cs="仿宋"/>
          <w:bCs/>
          <w:sz w:val="24"/>
          <w:szCs w:val="24"/>
          <w:vertAlign w:val="baseline"/>
          <w:lang w:val="en-US" w:eastAsia="zh-CN"/>
        </w:rPr>
        <w:t>.</w:t>
      </w:r>
      <w:r>
        <w:rPr>
          <w:rFonts w:hint="default" w:ascii="仿宋" w:hAnsi="仿宋" w:eastAsia="仿宋" w:cs="仿宋"/>
          <w:bCs/>
          <w:sz w:val="24"/>
          <w:szCs w:val="24"/>
          <w:vertAlign w:val="baseline"/>
          <w:lang w:val="en-US" w:eastAsia="zh-CN"/>
        </w:rPr>
        <w:t xml:space="preserve">装完后用湿草袋或苫布遮盖加以保湿保护。远距离运输和气候过冷过热时必须进行根部保湿。                                                 </w:t>
      </w:r>
    </w:p>
    <w:p>
      <w:pPr>
        <w:spacing w:line="240" w:lineRule="auto"/>
        <w:rPr>
          <w:rFonts w:hint="default" w:ascii="仿宋" w:hAnsi="仿宋" w:eastAsia="仿宋" w:cs="仿宋"/>
          <w:bCs/>
          <w:sz w:val="24"/>
          <w:szCs w:val="24"/>
          <w:vertAlign w:val="baseline"/>
          <w:lang w:val="en-US" w:eastAsia="zh-CN"/>
        </w:rPr>
      </w:pPr>
      <w:r>
        <w:rPr>
          <w:rFonts w:hint="default" w:ascii="仿宋" w:hAnsi="仿宋" w:eastAsia="仿宋" w:cs="仿宋"/>
          <w:bCs/>
          <w:sz w:val="24"/>
          <w:szCs w:val="24"/>
          <w:vertAlign w:val="baseline"/>
          <w:lang w:val="en-US" w:eastAsia="zh-CN"/>
        </w:rPr>
        <w:t xml:space="preserve">   </w:t>
      </w:r>
      <w:r>
        <w:rPr>
          <w:rFonts w:hint="eastAsia" w:ascii="仿宋" w:hAnsi="仿宋" w:eastAsia="仿宋" w:cs="仿宋"/>
          <w:bCs/>
          <w:sz w:val="24"/>
          <w:szCs w:val="24"/>
          <w:vertAlign w:val="baseline"/>
          <w:lang w:val="en-US" w:eastAsia="zh-CN"/>
        </w:rPr>
        <w:t>2.3.5.</w:t>
      </w:r>
      <w:r>
        <w:rPr>
          <w:rFonts w:hint="default" w:ascii="仿宋" w:hAnsi="仿宋" w:eastAsia="仿宋" w:cs="仿宋"/>
          <w:bCs/>
          <w:sz w:val="24"/>
          <w:szCs w:val="24"/>
          <w:vertAlign w:val="baseline"/>
          <w:lang w:val="en-US" w:eastAsia="zh-CN"/>
        </w:rPr>
        <w:t>货物到达现场后</w:t>
      </w:r>
      <w:r>
        <w:rPr>
          <w:rFonts w:hint="eastAsia" w:ascii="仿宋" w:hAnsi="仿宋" w:eastAsia="仿宋" w:cs="仿宋"/>
          <w:bCs/>
          <w:sz w:val="24"/>
          <w:szCs w:val="24"/>
          <w:vertAlign w:val="baseline"/>
          <w:lang w:val="en-US" w:eastAsia="zh-CN"/>
        </w:rPr>
        <w:t>供应商须将货物卸载至采购人指定地点。</w:t>
      </w:r>
    </w:p>
    <w:p>
      <w:pPr>
        <w:spacing w:line="240" w:lineRule="auto"/>
        <w:rPr>
          <w:rFonts w:hint="default" w:ascii="仿宋" w:hAnsi="仿宋" w:eastAsia="仿宋" w:cs="仿宋"/>
          <w:b/>
          <w:bCs w:val="0"/>
          <w:sz w:val="24"/>
          <w:szCs w:val="24"/>
          <w:vertAlign w:val="baseline"/>
          <w:lang w:val="en-US" w:eastAsia="zh-CN"/>
        </w:rPr>
      </w:pPr>
      <w:r>
        <w:rPr>
          <w:rFonts w:hint="eastAsia" w:ascii="仿宋" w:hAnsi="仿宋" w:eastAsia="仿宋" w:cs="仿宋"/>
          <w:b/>
          <w:bCs w:val="0"/>
          <w:sz w:val="24"/>
          <w:szCs w:val="24"/>
          <w:vertAlign w:val="baseline"/>
          <w:lang w:val="en-US" w:eastAsia="zh-CN"/>
        </w:rPr>
        <w:t>2.4.平整场地要求</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2.4.1.清理、消毒、杀菌：种植前应对种植区域的土壤理化性质进行初步分析，如有地下害虫，应提前进行杀菌、除虫。及时拔除土壤中杂草根、清理大石块等。标准：自表层土壤30cm内中不能有超过直径大于5cm的石头，同时将种种植土壤翻松，保持土壤表层疏松、通气和良好的透水性能。</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2.4.2.栽植植物铺土，应满足最低种植土层厚度：</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2.4.3.种植地的土壤不得含有建筑废土及其他有害成分。</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2.4.4.草坪种植地、花卉种植地等应施足基肥，翻耕30cm，搂平耙细，去除杂物，平整度和坡度应符合设计要求。</w:t>
      </w:r>
    </w:p>
    <w:p>
      <w:pPr>
        <w:spacing w:line="240" w:lineRule="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2.5.货物栽植要求</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2.5.1.种植穴的大小根据苗木根系、土球直径确定。通常种植穴较土球直径大于80cm，深度较土球厚度大于30cm。</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2.5.2.乔木土球和根系下的有效土层必须≥30cm。</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2.5.3.种植穴必须垂直下挖，上下口径相等，穴底土壤要踏实或夯实，以免灌水时渗漏太快。土层干燥时应进行种植穴浸穴。</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2.5.4.种植穴要求排水良好，排水不良或地下水位过高时在穴底铺15cm沙砾或设渗水管、盲沟、或抬高地面以利排水。</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2.5.5.如种植土太瘠薄，则需在穴底施足充分腐熟的有机肥做底肥，回填30cm种植土。</w:t>
      </w:r>
    </w:p>
    <w:p>
      <w:pPr>
        <w:spacing w:line="24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Cs/>
          <w:sz w:val="24"/>
          <w:szCs w:val="24"/>
          <w:vertAlign w:val="baseline"/>
          <w:lang w:val="en-US" w:eastAsia="zh-CN"/>
        </w:rPr>
        <w:t>2.5.6.种植穴回填土应疏松肥沃，并在回填后立即灌水夯实，保证根系与土壤充分接触。</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 w:val="0"/>
          <w:bCs/>
          <w:sz w:val="24"/>
          <w:szCs w:val="24"/>
          <w:lang w:val="en-US" w:eastAsia="zh-CN"/>
        </w:rPr>
        <w:t>2.5.7.</w:t>
      </w:r>
      <w:r>
        <w:rPr>
          <w:rFonts w:hint="eastAsia" w:ascii="仿宋" w:hAnsi="仿宋" w:eastAsia="仿宋" w:cs="仿宋"/>
          <w:bCs/>
          <w:sz w:val="24"/>
          <w:szCs w:val="24"/>
          <w:vertAlign w:val="baseline"/>
          <w:lang w:val="en-US" w:eastAsia="zh-CN"/>
        </w:rPr>
        <w:t>带土球树木栽植，用吊车将树木吊起时，应使树干直立，然后慢慢放入种植穴内。种植时选好主要观赏面的方向，并照顾朝阳面，树弯尽量迎风，种植时要栽正扶植，树冠主尖与根在一垂直线上。</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 w:val="0"/>
          <w:bCs/>
          <w:sz w:val="24"/>
          <w:szCs w:val="24"/>
          <w:lang w:val="en-US" w:eastAsia="zh-CN"/>
        </w:rPr>
        <w:t>2.5.8.</w:t>
      </w:r>
      <w:r>
        <w:rPr>
          <w:rFonts w:hint="eastAsia" w:ascii="仿宋" w:hAnsi="仿宋" w:eastAsia="仿宋" w:cs="仿宋"/>
          <w:b w:val="0"/>
          <w:bCs/>
          <w:sz w:val="24"/>
          <w:szCs w:val="24"/>
          <w:vertAlign w:val="baseline"/>
          <w:lang w:val="en-US" w:eastAsia="zh-CN"/>
        </w:rPr>
        <w:t xml:space="preserve"> 土</w:t>
      </w:r>
      <w:r>
        <w:rPr>
          <w:rFonts w:hint="eastAsia" w:ascii="仿宋" w:hAnsi="仿宋" w:eastAsia="仿宋" w:cs="仿宋"/>
          <w:bCs/>
          <w:sz w:val="24"/>
          <w:szCs w:val="24"/>
          <w:vertAlign w:val="baseline"/>
          <w:lang w:val="en-US" w:eastAsia="zh-CN"/>
        </w:rPr>
        <w:t>球树木的种植穴为圆坑，较根系或土球的直径加大60～80cm，深度加深20－30cm 种植穴如果建渣、石块多，土壤质量差，须对种植穴更换良好的耕种土壤。</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 w:val="0"/>
          <w:bCs/>
          <w:sz w:val="24"/>
          <w:szCs w:val="24"/>
          <w:lang w:val="en-US" w:eastAsia="zh-CN"/>
        </w:rPr>
        <w:t>2.5.9.</w:t>
      </w:r>
      <w:r>
        <w:rPr>
          <w:rFonts w:hint="eastAsia" w:ascii="仿宋" w:hAnsi="仿宋" w:eastAsia="仿宋" w:cs="仿宋"/>
          <w:b w:val="0"/>
          <w:bCs/>
          <w:sz w:val="24"/>
          <w:szCs w:val="24"/>
          <w:vertAlign w:val="baseline"/>
          <w:lang w:val="en-US" w:eastAsia="zh-CN"/>
        </w:rPr>
        <w:t>定</w:t>
      </w:r>
      <w:r>
        <w:rPr>
          <w:rFonts w:hint="eastAsia" w:ascii="仿宋" w:hAnsi="仿宋" w:eastAsia="仿宋" w:cs="仿宋"/>
          <w:bCs/>
          <w:sz w:val="24"/>
          <w:szCs w:val="24"/>
          <w:vertAlign w:val="baseline"/>
          <w:lang w:val="en-US" w:eastAsia="zh-CN"/>
        </w:rPr>
        <w:t>植进行种植坑的回土和施肥，填土前应将草绳或蒲包片尽量取出，如不好取出，也应剪断草绳，剪碎蒲包片，然后分层填土踏实，每30cm一层，回土高度保证树木下坑后土球上表面略高于地面5～10厘米。</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 w:val="0"/>
          <w:bCs/>
          <w:sz w:val="24"/>
          <w:szCs w:val="24"/>
          <w:lang w:val="en-US" w:eastAsia="zh-CN"/>
        </w:rPr>
        <w:t>2.5.10</w:t>
      </w:r>
      <w:r>
        <w:rPr>
          <w:rFonts w:hint="eastAsia" w:ascii="仿宋" w:hAnsi="仿宋" w:eastAsia="仿宋" w:cs="仿宋"/>
          <w:b w:val="0"/>
          <w:bCs/>
          <w:sz w:val="24"/>
          <w:szCs w:val="24"/>
          <w:vertAlign w:val="baseline"/>
          <w:lang w:val="en-US" w:eastAsia="zh-CN"/>
        </w:rPr>
        <w:t>树</w:t>
      </w:r>
      <w:r>
        <w:rPr>
          <w:rFonts w:hint="eastAsia" w:ascii="仿宋" w:hAnsi="仿宋" w:eastAsia="仿宋" w:cs="仿宋"/>
          <w:bCs/>
          <w:sz w:val="24"/>
          <w:szCs w:val="24"/>
          <w:vertAlign w:val="baseline"/>
          <w:lang w:val="en-US" w:eastAsia="zh-CN"/>
        </w:rPr>
        <w:t>木种植后应立即支撑固定，慎防倾倒。支撑选用抱箍，木质或者钢抱箍支撑，使用三角或四角支架，并用布条或麻布片绑在树干上作为保护层，以防支撑物晃动伤害树皮。严禁使用铁钉、抓钉，破坏树木。</w:t>
      </w:r>
    </w:p>
    <w:p>
      <w:pPr>
        <w:spacing w:line="240" w:lineRule="auto"/>
        <w:ind w:firstLine="480" w:firstLineChars="2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val="en-US" w:eastAsia="zh-CN"/>
        </w:rPr>
        <w:t>2.5.11</w:t>
      </w:r>
      <w:r>
        <w:rPr>
          <w:rFonts w:hint="eastAsia" w:ascii="仿宋" w:hAnsi="仿宋" w:eastAsia="仿宋" w:cs="仿宋"/>
          <w:b w:val="0"/>
          <w:bCs/>
          <w:sz w:val="24"/>
          <w:szCs w:val="24"/>
          <w:vertAlign w:val="baseline"/>
          <w:lang w:val="en-US" w:eastAsia="zh-CN"/>
        </w:rPr>
        <w:t xml:space="preserve">开堰。土堰内径与坑沿相同，堰高20～30cm左右。堰用细土、拍实，不漏水。 </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 w:val="0"/>
          <w:bCs/>
          <w:sz w:val="24"/>
          <w:szCs w:val="24"/>
          <w:lang w:val="en-US" w:eastAsia="zh-CN"/>
        </w:rPr>
        <w:t>2.5.12</w:t>
      </w:r>
      <w:r>
        <w:rPr>
          <w:rFonts w:hint="eastAsia" w:ascii="仿宋" w:hAnsi="仿宋" w:eastAsia="仿宋" w:cs="仿宋"/>
          <w:bCs/>
          <w:sz w:val="24"/>
          <w:szCs w:val="24"/>
          <w:vertAlign w:val="baseline"/>
          <w:lang w:val="en-US" w:eastAsia="zh-CN"/>
        </w:rPr>
        <w:t>浇水。浇水三遍，第一遍水水量不易过大，水流要缓慢灌，使土下沉；栽后两、三天内完成第二遍浇水；一周内完成第三遍浇水。三遍水的水量保证浇足，每次浇水后整堰，填土堵漏。坑壁应平滑垂直。掘好后坑底部放20～30cm的土堆。</w:t>
      </w:r>
    </w:p>
    <w:p>
      <w:pPr>
        <w:spacing w:line="240" w:lineRule="auto"/>
        <w:ind w:firstLine="482" w:firstLineChars="200"/>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2.6养护要求</w:t>
      </w:r>
    </w:p>
    <w:p>
      <w:pPr>
        <w:spacing w:line="24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Cs/>
          <w:sz w:val="24"/>
          <w:szCs w:val="24"/>
          <w:vertAlign w:val="baseline"/>
          <w:lang w:val="en-US" w:eastAsia="zh-CN"/>
        </w:rPr>
        <w:t>2.6.1</w:t>
      </w:r>
      <w:r>
        <w:rPr>
          <w:rFonts w:hint="eastAsia" w:ascii="仿宋" w:hAnsi="仿宋" w:eastAsia="仿宋" w:cs="仿宋"/>
          <w:b w:val="0"/>
          <w:bCs/>
          <w:sz w:val="24"/>
          <w:szCs w:val="24"/>
          <w:lang w:val="en-US" w:eastAsia="zh-CN"/>
        </w:rPr>
        <w:t xml:space="preserve">树木移植后成活养护期1年。养护期从苗木假植基地管理方确认的栽植完成时间起开始计算，成活养护1年后终止。期间保证水分充足是确保树木成活的关键。视树木生长需要和气候变化而定，浇后中耕或封堰。根据树种和天气情况进行喷水保湿或树干包裹。 </w:t>
      </w:r>
    </w:p>
    <w:p>
      <w:pPr>
        <w:spacing w:line="24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Cs/>
          <w:sz w:val="24"/>
          <w:szCs w:val="24"/>
          <w:vertAlign w:val="baseline"/>
          <w:lang w:val="en-US" w:eastAsia="zh-CN"/>
        </w:rPr>
        <w:t>2.6.2</w:t>
      </w:r>
      <w:r>
        <w:rPr>
          <w:rFonts w:hint="eastAsia" w:ascii="仿宋" w:hAnsi="仿宋" w:eastAsia="仿宋" w:cs="仿宋"/>
          <w:b w:val="0"/>
          <w:bCs/>
          <w:sz w:val="24"/>
          <w:szCs w:val="24"/>
          <w:lang w:val="en-US" w:eastAsia="zh-CN"/>
        </w:rPr>
        <w:t>对易发生病虫害的树木，采取措施及时防治。冬季气温偏低，采用草绳绕干等方法进行防寒。</w:t>
      </w:r>
    </w:p>
    <w:p>
      <w:pPr>
        <w:spacing w:line="24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Cs/>
          <w:sz w:val="24"/>
          <w:szCs w:val="24"/>
          <w:vertAlign w:val="baseline"/>
          <w:lang w:val="en-US" w:eastAsia="zh-CN"/>
        </w:rPr>
        <w:t>2.6.3</w:t>
      </w:r>
      <w:r>
        <w:rPr>
          <w:rFonts w:hint="eastAsia" w:ascii="仿宋" w:hAnsi="仿宋" w:eastAsia="仿宋" w:cs="仿宋"/>
          <w:b w:val="0"/>
          <w:bCs/>
          <w:sz w:val="24"/>
          <w:szCs w:val="24"/>
          <w:lang w:val="en-US" w:eastAsia="zh-CN"/>
        </w:rPr>
        <w:t>一年后苗木移植成活率目标达到85%以上，项目业主单位向区综合行政执法局办理移植树木看护管理的移交手续。</w:t>
      </w:r>
    </w:p>
    <w:p>
      <w:pPr>
        <w:spacing w:line="240" w:lineRule="auto"/>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2.7 设计要求</w:t>
      </w:r>
    </w:p>
    <w:p>
      <w:pPr>
        <w:spacing w:line="240" w:lineRule="auto"/>
        <w:ind w:firstLine="480" w:firstLineChars="200"/>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2.7.1供应商根据项目实施区域图</w:t>
      </w:r>
      <w:r>
        <w:rPr>
          <w:rFonts w:hint="eastAsia" w:ascii="仿宋" w:hAnsi="仿宋" w:eastAsia="仿宋" w:cs="仿宋"/>
          <w:b/>
          <w:bCs w:val="0"/>
          <w:sz w:val="24"/>
          <w:szCs w:val="24"/>
          <w:vertAlign w:val="baseline"/>
          <w:lang w:val="en-US" w:eastAsia="zh-CN"/>
        </w:rPr>
        <w:t>（详见附件1）</w:t>
      </w:r>
      <w:r>
        <w:rPr>
          <w:rFonts w:hint="eastAsia" w:ascii="仿宋" w:hAnsi="仿宋" w:eastAsia="仿宋" w:cs="仿宋"/>
          <w:bCs/>
          <w:sz w:val="24"/>
          <w:szCs w:val="24"/>
          <w:vertAlign w:val="baseline"/>
          <w:lang w:val="en-US" w:eastAsia="zh-CN"/>
        </w:rPr>
        <w:t>，提供设计图纸方案：①色系搭配②图案造型③区域配置④货物品种</w:t>
      </w:r>
    </w:p>
    <w:p>
      <w:pPr>
        <w:spacing w:line="240" w:lineRule="auto"/>
        <w:ind w:firstLine="480" w:firstLineChars="200"/>
        <w:rPr>
          <w:rFonts w:hint="default"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2.7.2成交供应商须在项目实施前编制具体实施的方案，采购人审核后方可实施。</w:t>
      </w:r>
    </w:p>
    <w:p>
      <w:pPr>
        <w:spacing w:line="240" w:lineRule="auto"/>
        <w:ind w:firstLine="482" w:firstLineChars="200"/>
        <w:rPr>
          <w:rFonts w:ascii="仿宋" w:hAnsi="仿宋" w:eastAsia="仿宋" w:cs="仿宋"/>
          <w:bCs/>
          <w:sz w:val="24"/>
          <w:szCs w:val="24"/>
        </w:rPr>
      </w:pPr>
      <w:r>
        <w:rPr>
          <w:rFonts w:hint="eastAsia" w:ascii="仿宋" w:hAnsi="仿宋" w:eastAsia="仿宋" w:cs="仿宋"/>
          <w:b/>
          <w:sz w:val="24"/>
          <w:szCs w:val="24"/>
          <w:lang w:val="en-US" w:eastAsia="zh-CN"/>
        </w:rPr>
        <w:t>四</w:t>
      </w:r>
      <w:r>
        <w:rPr>
          <w:rFonts w:hint="eastAsia" w:ascii="仿宋" w:hAnsi="仿宋" w:eastAsia="仿宋" w:cs="仿宋"/>
          <w:b/>
          <w:sz w:val="24"/>
          <w:szCs w:val="24"/>
        </w:rPr>
        <w:t>、商务要求</w:t>
      </w:r>
    </w:p>
    <w:p>
      <w:pPr>
        <w:spacing w:line="240" w:lineRule="auto"/>
        <w:ind w:left="239" w:leftChars="114"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交货</w:t>
      </w:r>
      <w:r>
        <w:rPr>
          <w:rFonts w:hint="eastAsia" w:ascii="仿宋" w:hAnsi="仿宋" w:eastAsia="仿宋" w:cs="仿宋"/>
          <w:b/>
          <w:bCs/>
          <w:sz w:val="24"/>
          <w:szCs w:val="24"/>
        </w:rPr>
        <w:t>时间</w:t>
      </w:r>
      <w:r>
        <w:rPr>
          <w:rFonts w:hint="eastAsia" w:ascii="仿宋" w:hAnsi="仿宋" w:eastAsia="仿宋" w:cs="仿宋"/>
          <w:sz w:val="24"/>
          <w:szCs w:val="24"/>
        </w:rPr>
        <w:t>：</w:t>
      </w:r>
      <w:r>
        <w:rPr>
          <w:rFonts w:hint="eastAsia" w:ascii="仿宋" w:hAnsi="仿宋" w:eastAsia="仿宋" w:cs="仿宋"/>
          <w:sz w:val="24"/>
          <w:szCs w:val="24"/>
          <w:lang w:val="en-US" w:eastAsia="zh-CN"/>
        </w:rPr>
        <w:t>90日历天</w:t>
      </w:r>
    </w:p>
    <w:p>
      <w:pPr>
        <w:spacing w:line="240" w:lineRule="auto"/>
        <w:ind w:left="239" w:leftChars="114" w:firstLine="482" w:firstLineChars="200"/>
        <w:rPr>
          <w:rFonts w:ascii="仿宋" w:hAnsi="仿宋" w:eastAsia="仿宋" w:cs="仿宋"/>
          <w:sz w:val="24"/>
          <w:szCs w:val="24"/>
        </w:rPr>
      </w:pP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交货</w:t>
      </w:r>
      <w:r>
        <w:rPr>
          <w:rFonts w:hint="eastAsia" w:ascii="仿宋" w:hAnsi="仿宋" w:eastAsia="仿宋" w:cs="仿宋"/>
          <w:b/>
          <w:bCs/>
          <w:sz w:val="24"/>
          <w:szCs w:val="24"/>
        </w:rPr>
        <w:t>地点</w:t>
      </w:r>
      <w:r>
        <w:rPr>
          <w:rFonts w:hint="eastAsia" w:ascii="仿宋" w:hAnsi="仿宋" w:eastAsia="仿宋" w:cs="仿宋"/>
          <w:sz w:val="24"/>
          <w:szCs w:val="24"/>
        </w:rPr>
        <w:t>：</w:t>
      </w:r>
      <w:r>
        <w:rPr>
          <w:rFonts w:hint="eastAsia" w:ascii="仿宋" w:hAnsi="仿宋" w:eastAsia="仿宋" w:cs="仿宋"/>
          <w:sz w:val="24"/>
          <w:szCs w:val="24"/>
          <w:lang w:val="en-US" w:eastAsia="zh-CN"/>
        </w:rPr>
        <w:t>采购人指定地点</w:t>
      </w:r>
      <w:r>
        <w:rPr>
          <w:rFonts w:hint="eastAsia" w:ascii="仿宋" w:hAnsi="仿宋" w:eastAsia="仿宋" w:cs="仿宋"/>
          <w:sz w:val="24"/>
          <w:szCs w:val="24"/>
        </w:rPr>
        <w:t>；</w:t>
      </w:r>
    </w:p>
    <w:p>
      <w:pPr>
        <w:spacing w:line="240" w:lineRule="auto"/>
        <w:ind w:left="239" w:leftChars="114" w:firstLine="482" w:firstLineChars="200"/>
        <w:rPr>
          <w:rFonts w:ascii="仿宋" w:hAnsi="仿宋" w:eastAsia="仿宋" w:cs="仿宋"/>
          <w:color w:val="auto"/>
          <w:sz w:val="24"/>
          <w:szCs w:val="24"/>
        </w:rPr>
      </w:pPr>
      <w:r>
        <w:rPr>
          <w:rFonts w:hint="eastAsia" w:ascii="仿宋" w:hAnsi="仿宋" w:eastAsia="仿宋" w:cs="仿宋"/>
          <w:b/>
          <w:bCs/>
          <w:sz w:val="24"/>
          <w:szCs w:val="24"/>
        </w:rPr>
        <w:t>★3.付款方式</w:t>
      </w:r>
      <w:r>
        <w:rPr>
          <w:rFonts w:hint="eastAsia" w:ascii="仿宋" w:hAnsi="仿宋" w:eastAsia="仿宋" w:cs="仿宋"/>
          <w:sz w:val="24"/>
          <w:szCs w:val="24"/>
        </w:rPr>
        <w:t>：</w:t>
      </w:r>
      <w:r>
        <w:rPr>
          <w:rFonts w:hint="eastAsia" w:ascii="仿宋" w:hAnsi="仿宋" w:eastAsia="仿宋" w:cs="仿宋"/>
          <w:color w:val="auto"/>
          <w:sz w:val="24"/>
          <w:szCs w:val="24"/>
        </w:rPr>
        <w:t>合同签订后支付合同金额的</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货物栽植完成并通过采购人验收后据实支付至结算价的95%，剩余5%待养护期满后支付</w:t>
      </w:r>
      <w:r>
        <w:rPr>
          <w:rFonts w:hint="eastAsia" w:ascii="仿宋" w:hAnsi="仿宋" w:eastAsia="仿宋" w:cs="仿宋"/>
          <w:color w:val="auto"/>
          <w:sz w:val="24"/>
          <w:szCs w:val="24"/>
        </w:rPr>
        <w:t>。</w:t>
      </w:r>
    </w:p>
    <w:p>
      <w:pPr>
        <w:spacing w:line="240" w:lineRule="auto"/>
        <w:ind w:left="239" w:leftChars="114"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★4.报价要求：</w:t>
      </w:r>
    </w:p>
    <w:p>
      <w:pPr>
        <w:spacing w:line="240" w:lineRule="auto"/>
        <w:ind w:left="239" w:leftChars="114" w:firstLine="480" w:firstLineChars="200"/>
        <w:rPr>
          <w:rFonts w:ascii="仿宋" w:hAnsi="仿宋" w:eastAsia="仿宋" w:cs="仿宋"/>
          <w:sz w:val="24"/>
          <w:szCs w:val="24"/>
        </w:rPr>
      </w:pPr>
      <w:r>
        <w:rPr>
          <w:rFonts w:hint="eastAsia" w:ascii="仿宋" w:hAnsi="仿宋" w:eastAsia="仿宋" w:cs="仿宋"/>
          <w:sz w:val="24"/>
          <w:szCs w:val="24"/>
        </w:rPr>
        <w:t>（1）所有报价一律以人民币报价。采购人不接受任何非人民币币种的报价。</w:t>
      </w:r>
    </w:p>
    <w:p>
      <w:pPr>
        <w:spacing w:line="240" w:lineRule="auto"/>
        <w:ind w:left="239" w:leftChars="114" w:firstLine="480" w:firstLineChars="200"/>
        <w:rPr>
          <w:rFonts w:ascii="仿宋" w:hAnsi="仿宋" w:eastAsia="仿宋" w:cs="仿宋"/>
          <w:sz w:val="24"/>
          <w:szCs w:val="24"/>
        </w:rPr>
      </w:pPr>
      <w:r>
        <w:rPr>
          <w:rFonts w:hint="eastAsia" w:ascii="仿宋" w:hAnsi="仿宋" w:eastAsia="仿宋" w:cs="仿宋"/>
          <w:sz w:val="24"/>
          <w:szCs w:val="24"/>
        </w:rPr>
        <w:t>（2）供应商的报价是</w:t>
      </w:r>
      <w:r>
        <w:rPr>
          <w:rFonts w:hint="eastAsia" w:ascii="仿宋" w:hAnsi="仿宋" w:eastAsia="仿宋" w:cs="仿宋"/>
          <w:sz w:val="24"/>
          <w:szCs w:val="24"/>
          <w:lang w:val="en-US" w:eastAsia="zh-CN"/>
        </w:rPr>
        <w:t>含货物</w:t>
      </w:r>
      <w:r>
        <w:rPr>
          <w:rFonts w:hint="eastAsia" w:ascii="仿宋" w:hAnsi="仿宋" w:eastAsia="仿宋" w:cs="仿宋"/>
          <w:sz w:val="24"/>
          <w:szCs w:val="24"/>
        </w:rPr>
        <w:t>、</w:t>
      </w:r>
      <w:r>
        <w:rPr>
          <w:rFonts w:hint="eastAsia" w:ascii="仿宋" w:hAnsi="仿宋" w:eastAsia="仿宋" w:cs="仿宋"/>
          <w:sz w:val="24"/>
          <w:szCs w:val="24"/>
          <w:lang w:val="en-US" w:eastAsia="zh-CN"/>
        </w:rPr>
        <w:t>设计、包装</w:t>
      </w:r>
      <w:r>
        <w:rPr>
          <w:rFonts w:hint="eastAsia" w:ascii="仿宋" w:hAnsi="仿宋" w:eastAsia="仿宋" w:cs="仿宋"/>
          <w:sz w:val="24"/>
          <w:szCs w:val="24"/>
        </w:rPr>
        <w:t>、</w:t>
      </w:r>
      <w:r>
        <w:rPr>
          <w:rFonts w:hint="eastAsia" w:ascii="仿宋" w:hAnsi="仿宋" w:eastAsia="仿宋" w:cs="仿宋"/>
          <w:sz w:val="24"/>
          <w:szCs w:val="24"/>
          <w:lang w:val="en-US" w:eastAsia="zh-CN"/>
        </w:rPr>
        <w:t>运输</w:t>
      </w:r>
      <w:r>
        <w:rPr>
          <w:rFonts w:hint="eastAsia" w:ascii="仿宋" w:hAnsi="仿宋" w:eastAsia="仿宋" w:cs="仿宋"/>
          <w:sz w:val="24"/>
          <w:szCs w:val="24"/>
        </w:rPr>
        <w:t>、</w:t>
      </w:r>
      <w:r>
        <w:rPr>
          <w:rFonts w:hint="eastAsia" w:ascii="仿宋" w:hAnsi="仿宋" w:eastAsia="仿宋" w:cs="仿宋"/>
          <w:sz w:val="24"/>
          <w:szCs w:val="24"/>
          <w:lang w:val="en-US" w:eastAsia="zh-CN"/>
        </w:rPr>
        <w:t>栽植</w:t>
      </w:r>
      <w:r>
        <w:rPr>
          <w:rFonts w:hint="eastAsia" w:ascii="仿宋" w:hAnsi="仿宋" w:eastAsia="仿宋" w:cs="仿宋"/>
          <w:sz w:val="24"/>
          <w:szCs w:val="24"/>
        </w:rPr>
        <w:t>、</w:t>
      </w:r>
      <w:r>
        <w:rPr>
          <w:rFonts w:hint="eastAsia" w:ascii="仿宋" w:hAnsi="仿宋" w:eastAsia="仿宋" w:cs="仿宋"/>
          <w:sz w:val="24"/>
          <w:szCs w:val="24"/>
          <w:lang w:val="en-US" w:eastAsia="zh-CN"/>
        </w:rPr>
        <w:t>养护、地整理/堆土/起坡造型、种植土换填</w:t>
      </w:r>
      <w:r>
        <w:rPr>
          <w:rFonts w:hint="eastAsia" w:ascii="仿宋" w:hAnsi="仿宋" w:eastAsia="仿宋" w:cs="仿宋"/>
          <w:sz w:val="24"/>
          <w:szCs w:val="24"/>
        </w:rPr>
        <w:t>以及其他售后服务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采购代理服务费</w:t>
      </w:r>
      <w:r>
        <w:rPr>
          <w:rFonts w:hint="eastAsia" w:ascii="仿宋" w:hAnsi="仿宋" w:eastAsia="仿宋" w:cs="仿宋"/>
          <w:sz w:val="24"/>
          <w:szCs w:val="24"/>
        </w:rPr>
        <w:t>等全部内容，直至交付采购人可以正常使用的标准其响应本项目要求的全部工作内容的价格体现，采购人将不再支付其他额外费用。</w:t>
      </w:r>
    </w:p>
    <w:p>
      <w:pPr>
        <w:spacing w:line="24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（3）成交供应商按成交单价据实结算，但不超合同价。</w:t>
      </w:r>
    </w:p>
    <w:p>
      <w:pPr>
        <w:spacing w:line="24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.验收：按照国家有关规定及采购文件要求、供应商响应文件承诺</w:t>
      </w:r>
      <w:r>
        <w:rPr>
          <w:rFonts w:hint="eastAsia" w:ascii="仿宋" w:hAnsi="仿宋" w:eastAsia="仿宋" w:cs="仿宋"/>
          <w:sz w:val="24"/>
          <w:szCs w:val="24"/>
          <w:lang w:val="en-US" w:eastAsia="zh-CN"/>
        </w:rPr>
        <w:t>由采购人或第三方机构</w:t>
      </w:r>
      <w:r>
        <w:rPr>
          <w:rFonts w:hint="eastAsia" w:ascii="仿宋" w:hAnsi="仿宋" w:eastAsia="仿宋" w:cs="仿宋"/>
          <w:sz w:val="24"/>
          <w:szCs w:val="24"/>
        </w:rPr>
        <w:t>进行验收。</w:t>
      </w:r>
    </w:p>
    <w:p>
      <w:r>
        <w:rPr>
          <w:rFonts w:hint="eastAsia" w:ascii="仿宋" w:hAnsi="仿宋" w:eastAsia="仿宋" w:cs="仿宋"/>
          <w:sz w:val="24"/>
          <w:szCs w:val="24"/>
          <w:lang w:val="en-US" w:eastAsia="zh-CN"/>
        </w:rPr>
        <w:t>6</w:t>
      </w:r>
      <w:r>
        <w:rPr>
          <w:rFonts w:hint="eastAsia" w:ascii="仿宋" w:hAnsi="仿宋" w:eastAsia="仿宋" w:cs="仿宋"/>
          <w:sz w:val="24"/>
          <w:szCs w:val="24"/>
        </w:rPr>
        <w:t>.履约验收：中标人与采购人应严格按照《财政部关于进一步加强政府采购需求和履约验收管理的指导意见》（财库〔2016〕205号）的要求执行</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02319"/>
    <w:multiLevelType w:val="singleLevel"/>
    <w:tmpl w:val="BDD02319"/>
    <w:lvl w:ilvl="0" w:tentative="0">
      <w:start w:val="1"/>
      <w:numFmt w:val="chineseCounting"/>
      <w:suff w:val="nothing"/>
      <w:lvlText w:val="%1、"/>
      <w:lvlJc w:val="left"/>
      <w:rPr>
        <w:rFonts w:hint="eastAsia"/>
      </w:rPr>
    </w:lvl>
  </w:abstractNum>
  <w:abstractNum w:abstractNumId="1">
    <w:nsid w:val="59C07086"/>
    <w:multiLevelType w:val="multilevel"/>
    <w:tmpl w:val="59C0708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pStyle w:val="2"/>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11A52"/>
    <w:rsid w:val="4F01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tabs>
        <w:tab w:val="left" w:pos="851"/>
        <w:tab w:val="clear" w:pos="1680"/>
      </w:tabs>
      <w:spacing w:before="240" w:after="240" w:line="500" w:lineRule="atLeast"/>
      <w:outlineLvl w:val="3"/>
    </w:pPr>
    <w:rPr>
      <w:rFonts w:ascii="黑体" w:hAnsi="Arial" w:eastAsia="黑体"/>
      <w:sz w:val="28"/>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2021-08-23T08:28:00Z</dcterms:created>
  <dc:creator>SHUANG</dc:creator>
  <cp:lastModifiedBy>SHUANG</cp:lastModifiedBy>
  <dcterms:modified xsi:type="dcterms:W3CDTF">2021-08-23T08:28:54Z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0B8C6884CC354C268C8FFF80F0E1432B</vt:lpwstr>
  </property>
</Properties>
</file>