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bCs/>
          <w:smallCaps w:val="0"/>
          <w:snapToGrid/>
          <w:color w:val="auto"/>
          <w:spacing w:val="0"/>
          <w:kern w:val="21"/>
          <w:sz w:val="24"/>
          <w:szCs w:val="24"/>
          <w:u w:val="single"/>
          <w:lang w:eastAsia="zh-CN"/>
        </w:rPr>
        <w:t>锦江区第一次全国自然灾害综合风险普查（应急系统）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项目编号：</w:t>
      </w:r>
      <w:r>
        <w:rPr>
          <w:rFonts w:hint="eastAsia" w:ascii="宋体" w:hAnsi="宋体" w:eastAsia="宋体" w:cs="宋体"/>
          <w:smallCaps w:val="0"/>
          <w:snapToGrid/>
          <w:color w:val="auto"/>
          <w:spacing w:val="0"/>
          <w:kern w:val="21"/>
          <w:sz w:val="24"/>
          <w:szCs w:val="24"/>
          <w:lang w:eastAsia="zh-CN"/>
        </w:rPr>
        <w:t>510104202100100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更正原因：采购公告因工作失误，在其它补充事宜中未上传政采贷等相关信息。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更正前的其他补充事宜：无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更正后的其他补充事宜：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1、本项目计划号：(2021)0288号；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2、监督单位：成都市锦江区财政局，联系电话： 028-86513373；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3、本项目可开展政府采购信用融资。相关要求详见《四川省财政厅关于推进四川省政府采购供应商信用融资工作的通知》（川财采〔2018〕123 号）、《成都市中小企业政府采购信用融资暂行办法》（成财采〔2019〕17 号）等有关规定，上述文件请在四川政府采购网查询。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政府采购供应商信用融资，是指银行以政府采购供应商信用审查和政府采购信誉为基础，依托政府采购合同，按优于一般企业的贷款程序和利率，直接向申请贷款的供应商发放无财产抵押贷款的一种融资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（2）有融资需求的供应商可根据四川政府采购网公示的银行及其“政采贷”产品，自行选择符合自身情况的“政采贷”银行及其产品，凭中标(成交)通知书向银行提出贷款意向申请。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（3）参加本次采购活动成交的中小企业无需提供财产抵押或第三方担保，凭借政府采购合同可向金融机构申请融资。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东方华仁集团有限公司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2021年9月2日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7B03"/>
    <w:rsid w:val="3B7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2021-09-02T08:18:00Z</dcterms:created>
  <dc:creator>WPS_1527837229</dc:creator>
  <cp:lastModifiedBy>WPS_1527837229</cp:lastModifiedBy>
  <dcterms:modified xsi:type="dcterms:W3CDTF">2021-09-02T08:25:55Z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5757D43CFC1A4C4CBAC312AF7F2703B3</vt:lpwstr>
  </property>
</Properties>
</file>