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i w:val="0"/>
          <w:iCs w:val="0"/>
          <w:caps w:val="0"/>
          <w:color w:val="666666"/>
          <w:spacing w:val="0"/>
          <w:sz w:val="18"/>
          <w:szCs w:val="18"/>
          <w:shd w:val="clear" w:fill="FFFFFF"/>
        </w:rPr>
        <w:t> </w:t>
      </w:r>
      <w:r>
        <w:rPr>
          <w:rFonts w:hint="eastAsia" w:ascii="微软雅黑" w:hAnsi="微软雅黑" w:eastAsia="微软雅黑" w:cs="微软雅黑"/>
          <w:i w:val="0"/>
          <w:iCs w:val="0"/>
          <w:caps w:val="0"/>
          <w:color w:val="666666"/>
          <w:spacing w:val="0"/>
          <w:sz w:val="18"/>
          <w:szCs w:val="18"/>
          <w:shd w:val="clear" w:fill="FFFFFF"/>
        </w:rPr>
        <w:t>一、采购实施计划备案表备案号(2021)0304号，品目编码及名称：C0803审计服务；二、监督部门：成都市双流区财政局；监督电话：028-85804726；三、供应商信用融资：根据《四川省财政厅关于推进四川省政府采购供应商信用融资工作的通知》（川财采[2018]123号）文件要求、《成都市中小企业政府采购信用融资暂行办法》和《成都市级支持中小企业政府采购信用融资实施方案》（成财采〔2019〕17 号），成都市范围内政府采购项目中标（成交）的中小微企业可依据政府采购合同向开展政府采购信用融资业务的银行申请政府采购信用融资；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0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2021-07-16T09:17:43Z</dcterms:created>
  <dc:creator>admin</dc:creator>
  <cp:lastModifiedBy>admin</cp:lastModifiedBy>
  <dcterms:modified xsi:type="dcterms:W3CDTF">2021-07-16T09:17:50Z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77662E93EE1D4B32A823F0191273A09F</vt:lpwstr>
  </property>
</Properties>
</file>