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kinsoku/>
        <w:wordWrap/>
        <w:overflowPunct/>
        <w:topLinePunct w:val="0"/>
        <w:autoSpaceDE/>
        <w:autoSpaceDN/>
        <w:bidi w:val="0"/>
        <w:adjustRightInd/>
        <w:snapToGrid w:val="0"/>
        <w:spacing w:before="0" w:after="0"/>
        <w:ind w:left="0" w:leftChars="0" w:firstLine="0" w:firstLineChars="0"/>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8"/>
          <w:szCs w:val="28"/>
          <w:highlight w:val="none"/>
          <w:lang w:val="en-US" w:eastAsia="zh-CN"/>
        </w:rPr>
        <w:t>采购需求</w:t>
      </w:r>
    </w:p>
    <w:p>
      <w:pPr>
        <w:spacing w:line="360" w:lineRule="auto"/>
        <w:outlineLvl w:val="1"/>
        <w:rPr>
          <w:rFonts w:ascii="宋体" w:hAnsi="宋体" w:cs="仿宋"/>
          <w:b/>
          <w:sz w:val="24"/>
        </w:rPr>
      </w:pPr>
      <w:bookmarkStart w:id="0" w:name="_Toc499712187"/>
      <w:r>
        <w:rPr>
          <w:rFonts w:hint="eastAsia" w:ascii="宋体" w:hAnsi="宋体" w:cs="仿宋"/>
          <w:b/>
          <w:sz w:val="24"/>
        </w:rPr>
        <w:t>一、项目概述：</w:t>
      </w:r>
      <w:bookmarkEnd w:id="0"/>
    </w:p>
    <w:p>
      <w:pPr>
        <w:pStyle w:val="7"/>
        <w:keepLines w:val="0"/>
        <w:snapToGrid w:val="0"/>
        <w:spacing w:before="0" w:after="0"/>
        <w:ind w:firstLine="480"/>
        <w:jc w:val="left"/>
        <w:rPr>
          <w:rFonts w:ascii="宋体" w:hAnsi="宋体" w:eastAsia="宋体" w:cs="宋体"/>
          <w:sz w:val="24"/>
          <w:szCs w:val="24"/>
          <w:lang w:eastAsia="zh-CN"/>
        </w:rPr>
      </w:pPr>
      <w:r>
        <w:rPr>
          <w:rFonts w:hint="eastAsia" w:ascii="宋体" w:hAnsi="宋体" w:eastAsia="宋体" w:cs="宋体"/>
          <w:sz w:val="24"/>
          <w:lang w:eastAsia="zh-CN"/>
        </w:rPr>
        <w:t>本项目为四川省乐山市2021年峨边彝族自治县新场乡高标准农田建设项目监理服务项目，共计1个包。采购预算36.69万元，最高限价36.69万元，超过最高限价的报价，其响应文件按无效处理。</w:t>
      </w:r>
    </w:p>
    <w:p>
      <w:pPr>
        <w:spacing w:line="360" w:lineRule="auto"/>
        <w:outlineLvl w:val="1"/>
        <w:rPr>
          <w:rFonts w:ascii="宋体" w:hAnsi="宋体" w:cs="仿宋"/>
          <w:b/>
          <w:sz w:val="24"/>
        </w:rPr>
      </w:pPr>
      <w:r>
        <w:rPr>
          <w:rFonts w:hint="eastAsia" w:ascii="宋体" w:hAnsi="宋体" w:cs="宋体"/>
          <w:b/>
          <w:bCs/>
          <w:sz w:val="24"/>
        </w:rPr>
        <w:t>★</w:t>
      </w:r>
      <w:r>
        <w:rPr>
          <w:rFonts w:hint="eastAsia" w:ascii="宋体" w:hAnsi="宋体" w:cs="仿宋"/>
          <w:b/>
          <w:sz w:val="24"/>
        </w:rPr>
        <w:t>二、服务内容及要求（实质性要求）</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（一）监理工作总体要求与目标</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1、达到《土地开发整理项目验收规程》最新合格标准。</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2、达到现行水利工程验收标准。</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（二）项目准备阶段</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1、协助采购人明确项目需求，确定项目建设目标。</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2、促使采购人、承建单位所签订的项目合同在技术、经济上合理有效，符合国家法律法规。</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（三）项目实施阶段</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1、加强项目实施方案的合法性、合理性、与设计方案的符合性。</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2、促使项目中所使用的产品和服务建设合同及国家相关法律、法规和标准。</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3、明确项目实施计划，对于计划的调整应合理、受控。</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4、促使项目实施过程满足建设合同的要求，并与项目设计方案、项目计划相符。</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（四）项目验收阶段</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1、明确项目测试验收方案（验收目标、责任双方、验收提交清单、验收标准、验收方式、验收环境等）的符合性及可行性。</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2、促使项目的最终功能和性能符合建设合同、法律法规和标准的要求。</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3、推动承建单位所提供的项目各阶段形成的技术、管理文档的内容和种类符合相关标准。</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（五）责任阶段</w:t>
      </w:r>
    </w:p>
    <w:p>
      <w:pPr>
        <w:pStyle w:val="7"/>
        <w:keepLines w:val="0"/>
        <w:snapToGrid w:val="0"/>
        <w:spacing w:before="0" w:after="0"/>
        <w:ind w:firstLine="480"/>
        <w:jc w:val="left"/>
        <w:rPr>
          <w:rFonts w:ascii="宋体" w:hAnsi="宋体" w:eastAsia="宋体" w:cs="宋体"/>
          <w:sz w:val="24"/>
          <w:szCs w:val="24"/>
          <w:lang w:eastAsia="zh-CN"/>
        </w:rPr>
      </w:pPr>
      <w:r>
        <w:rPr>
          <w:rFonts w:hint="eastAsia" w:ascii="宋体" w:hAnsi="宋体" w:eastAsia="宋体" w:cs="宋体"/>
          <w:sz w:val="24"/>
          <w:szCs w:val="24"/>
          <w:lang w:eastAsia="zh-CN"/>
        </w:rPr>
        <w:t>在项目完成后，若出现质量问题，需成交供应商派遣专业人员现场监理，并组织施工单位进行修补。</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（六）项目要求</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1、成交供应商应当依照法律、法规以及有关技术标准、建设工程监理规范、设计文件和建设工程承包合同，代表建设单位对施工质量实施监理，并对施工质量承担监理责任。</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2、成交供应商应依据监理合同配备监理组成员进驻施工现场和需要的检测设备和工具。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3、成交供应商必须遵守国家有关的法律、法规及技术标准；全面履行监理合同，控制本工程质量、造价和进度，管理建设工程相关合同，协调工程建设有关各方关系；做好各类监理资料的管理工作，监理工作结束后，向采购人或相关部门提交完整的监理档案资料。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4、成交供应商应对项目监理机构的工作进行考核，指导项目监理机构有效地开展监理工作。项目监理机构应在完成监理合同约定的监理工作后撤离现场。</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5、总监理工程师应履行下列主要职责：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5.1、组织项目监理机构，确定人员岗位职责，全面负责项目监理机构的日常工作；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5.2、主持编制监理规划，审批监理实施细则和旁站监理工作方案；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6、专业监理工程师应履行下列主要职责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6.1、在总监理工程师指导下，巡视检查施工现场；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6.2、负责编制相应专业的监理实施细则；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6.3、组织、指导、检查和监督本专业监理员工作；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6.4、做好监理日记；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 xml:space="preserve">6.5、负责相应监理资料的收集、汇总及整理，参与编写监理月报； </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7、专业监理工程师应履行下列主要职责</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7.1在专业监理工程师的指导下开展现场监理工作;</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7.2检查承包单位投入工程项目的人力、材料、主要设备及其使用、运行状况,并做好检查记录;</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7.3复核或从施工现场直接获取工程计量的有关数据并签署原始凭证;</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7.4按设计图及有关标准,对承包单位的工艺过程或施工工序进行检查和记录,对加工制作及工序施工质量检查结果进行记录;</w:t>
      </w:r>
    </w:p>
    <w:p>
      <w:pPr>
        <w:pStyle w:val="7"/>
        <w:keepLines w:val="0"/>
        <w:snapToGrid w:val="0"/>
        <w:spacing w:before="0" w:after="0"/>
        <w:ind w:firstLine="0" w:firstLineChars="0"/>
        <w:jc w:val="left"/>
        <w:rPr>
          <w:rFonts w:ascii="宋体" w:hAnsi="宋体" w:eastAsia="宋体" w:cs="宋体"/>
          <w:sz w:val="24"/>
          <w:szCs w:val="24"/>
          <w:lang w:eastAsia="zh-CN"/>
        </w:rPr>
      </w:pPr>
      <w:r>
        <w:rPr>
          <w:rFonts w:hint="eastAsia" w:ascii="宋体" w:hAnsi="宋体" w:eastAsia="宋体" w:cs="宋体"/>
          <w:sz w:val="24"/>
          <w:szCs w:val="24"/>
          <w:lang w:eastAsia="zh-CN"/>
        </w:rPr>
        <w:t>7.5进行旁站监理工作,并做好记录,发现问题及时指出并向专业监理工程师报告;</w:t>
      </w:r>
    </w:p>
    <w:p>
      <w:pPr>
        <w:pStyle w:val="7"/>
        <w:keepLines w:val="0"/>
        <w:snapToGrid w:val="0"/>
        <w:spacing w:before="0" w:after="0"/>
        <w:ind w:firstLine="0" w:firstLineChars="0"/>
        <w:jc w:val="left"/>
        <w:rPr>
          <w:rFonts w:ascii="宋体" w:hAnsi="宋体" w:eastAsia="宋体" w:cs="宋体"/>
          <w:b/>
          <w:bCs/>
          <w:sz w:val="24"/>
          <w:szCs w:val="24"/>
          <w:lang w:eastAsia="zh-CN"/>
        </w:rPr>
      </w:pPr>
      <w:r>
        <w:rPr>
          <w:rFonts w:hint="eastAsia" w:ascii="宋体" w:hAnsi="宋体" w:eastAsia="宋体" w:cs="宋体"/>
          <w:sz w:val="24"/>
          <w:szCs w:val="24"/>
          <w:lang w:eastAsia="zh-CN"/>
        </w:rPr>
        <w:t>7.6做好监理日记,文件记录做到重点详细、及时完整。</w:t>
      </w:r>
    </w:p>
    <w:p>
      <w:pPr>
        <w:pStyle w:val="7"/>
        <w:keepLines w:val="0"/>
        <w:snapToGrid w:val="0"/>
        <w:spacing w:before="0" w:after="0"/>
        <w:ind w:firstLine="0" w:firstLineChars="0"/>
        <w:jc w:val="left"/>
        <w:rPr>
          <w:rFonts w:ascii="宋体" w:hAnsi="宋体" w:eastAsia="宋体" w:cs="宋体"/>
          <w:b/>
          <w:bCs/>
          <w:sz w:val="24"/>
          <w:szCs w:val="24"/>
          <w:lang w:eastAsia="zh-CN"/>
        </w:rPr>
      </w:pPr>
    </w:p>
    <w:p>
      <w:pPr>
        <w:spacing w:line="420" w:lineRule="exact"/>
        <w:rPr>
          <w:rFonts w:ascii="宋体" w:hAnsi="宋体" w:cs="仿宋"/>
          <w:b/>
          <w:sz w:val="24"/>
        </w:rPr>
      </w:pPr>
      <w:bookmarkStart w:id="1" w:name="_Toc494389229"/>
      <w:bookmarkStart w:id="2" w:name="_Toc499712189"/>
      <w:r>
        <w:rPr>
          <w:rFonts w:hint="eastAsia" w:ascii="宋体" w:hAnsi="宋体" w:cs="宋体"/>
          <w:b/>
          <w:bCs/>
          <w:sz w:val="24"/>
        </w:rPr>
        <w:t>★</w:t>
      </w:r>
      <w:r>
        <w:rPr>
          <w:rFonts w:hint="eastAsia" w:ascii="宋体" w:hAnsi="宋体" w:cs="仿宋"/>
          <w:b/>
          <w:sz w:val="24"/>
        </w:rPr>
        <w:t>三、</w:t>
      </w:r>
      <w:bookmarkEnd w:id="1"/>
      <w:bookmarkEnd w:id="2"/>
      <w:r>
        <w:rPr>
          <w:rFonts w:hint="eastAsia" w:ascii="宋体" w:hAnsi="宋体" w:cs="仿宋"/>
          <w:b/>
          <w:sz w:val="24"/>
        </w:rPr>
        <w:t>商务要求（实质性要求）</w:t>
      </w:r>
    </w:p>
    <w:p>
      <w:pPr>
        <w:spacing w:line="360" w:lineRule="auto"/>
        <w:rPr>
          <w:rFonts w:ascii="宋体" w:hAnsi="宋体"/>
          <w:sz w:val="24"/>
        </w:rPr>
      </w:pPr>
      <w:r>
        <w:rPr>
          <w:rFonts w:hint="eastAsia" w:ascii="宋体" w:hAnsi="宋体"/>
          <w:sz w:val="24"/>
        </w:rPr>
        <w:t>1、服务期限：合同签订之日起至本项目结清费用为止。</w:t>
      </w:r>
    </w:p>
    <w:p>
      <w:pPr>
        <w:spacing w:line="360" w:lineRule="auto"/>
        <w:rPr>
          <w:rFonts w:ascii="宋体" w:hAnsi="宋体"/>
          <w:sz w:val="24"/>
        </w:rPr>
      </w:pPr>
      <w:r>
        <w:rPr>
          <w:rFonts w:hint="eastAsia" w:ascii="宋体" w:hAnsi="宋体"/>
          <w:sz w:val="24"/>
        </w:rPr>
        <w:t>2、履约地点：峨边彝族自治县</w:t>
      </w:r>
      <w:r>
        <w:rPr>
          <w:rFonts w:hint="eastAsia" w:ascii="宋体" w:hAnsi="宋体" w:cs="宋体"/>
          <w:sz w:val="24"/>
        </w:rPr>
        <w:t>新场乡</w:t>
      </w:r>
    </w:p>
    <w:p>
      <w:pPr>
        <w:spacing w:line="360" w:lineRule="auto"/>
        <w:rPr>
          <w:rFonts w:ascii="宋体" w:hAnsi="宋体"/>
          <w:sz w:val="24"/>
        </w:rPr>
      </w:pPr>
      <w:r>
        <w:rPr>
          <w:rFonts w:hint="eastAsia" w:ascii="宋体" w:hAnsi="宋体"/>
          <w:sz w:val="24"/>
        </w:rPr>
        <w:t>3、售后服务要求：</w:t>
      </w:r>
    </w:p>
    <w:p>
      <w:pPr>
        <w:spacing w:line="360" w:lineRule="auto"/>
        <w:ind w:firstLine="480" w:firstLineChars="200"/>
        <w:rPr>
          <w:rFonts w:ascii="宋体" w:hAnsi="宋体"/>
          <w:sz w:val="24"/>
        </w:rPr>
      </w:pPr>
      <w:r>
        <w:rPr>
          <w:rFonts w:hint="eastAsia" w:ascii="宋体" w:hAnsi="宋体"/>
          <w:sz w:val="24"/>
        </w:rPr>
        <w:t>在所监理的项目质量保修期或质保期内，负责检查项目质量状况，组织鉴定质量问题责任，督促责任单位维修或整改。</w:t>
      </w:r>
    </w:p>
    <w:p>
      <w:pPr>
        <w:spacing w:line="360" w:lineRule="auto"/>
        <w:rPr>
          <w:rFonts w:ascii="宋体" w:hAnsi="宋体"/>
          <w:sz w:val="24"/>
        </w:rPr>
      </w:pPr>
      <w:r>
        <w:rPr>
          <w:rFonts w:hint="eastAsia" w:ascii="宋体" w:hAnsi="宋体"/>
          <w:sz w:val="24"/>
        </w:rPr>
        <w:t>4、付款方式：</w:t>
      </w:r>
    </w:p>
    <w:p>
      <w:pPr>
        <w:spacing w:line="360" w:lineRule="auto"/>
        <w:ind w:firstLine="480" w:firstLineChars="200"/>
        <w:rPr>
          <w:rFonts w:ascii="宋体" w:hAnsi="宋体"/>
          <w:sz w:val="24"/>
        </w:rPr>
      </w:pPr>
      <w:r>
        <w:rPr>
          <w:rFonts w:hint="eastAsia" w:ascii="宋体" w:hAnsi="宋体"/>
          <w:sz w:val="24"/>
        </w:rPr>
        <w:t>合同签订后10日内，采购人向成交供应商支付合同总额的20%预付款。工程量完成60%后再支付合同总价的30%；工程完工并经县级初验合格后再支付至合同总价的85%；待验收结算审计后，支付至合同总价的100%。付款前成交供应商须开具相应金额的正式发票。</w:t>
      </w:r>
    </w:p>
    <w:p>
      <w:pPr>
        <w:spacing w:line="360" w:lineRule="auto"/>
        <w:rPr>
          <w:rFonts w:ascii="宋体" w:hAnsi="宋体"/>
          <w:sz w:val="24"/>
        </w:rPr>
      </w:pPr>
      <w:r>
        <w:rPr>
          <w:rFonts w:hint="eastAsia" w:ascii="宋体" w:hAnsi="宋体"/>
          <w:sz w:val="24"/>
        </w:rPr>
        <w:t>5、验收要求：</w:t>
      </w:r>
    </w:p>
    <w:p>
      <w:pPr>
        <w:spacing w:line="360" w:lineRule="auto"/>
        <w:rPr>
          <w:rFonts w:hint="eastAsia" w:ascii="宋体" w:hAnsi="宋体"/>
          <w:sz w:val="24"/>
        </w:rPr>
      </w:pPr>
      <w:r>
        <w:rPr>
          <w:rFonts w:hint="eastAsia" w:ascii="宋体" w:hAnsi="宋体"/>
          <w:sz w:val="24"/>
        </w:rPr>
        <w:t>成交供应商须按照相关技术标准相关规定完成的全部成果，结合《财政部关于进一步加强政府采购需求和履约验收管理的指导意见》（财库〔2016〕205号）文件规定，经相关部门及采购单位验收合格。</w:t>
      </w:r>
    </w:p>
    <w:p>
      <w:pPr>
        <w:spacing w:line="360" w:lineRule="auto"/>
        <w:rPr>
          <w:rFonts w:hint="eastAsia" w:ascii="宋体" w:hAnsi="宋体"/>
          <w:sz w:val="24"/>
        </w:rPr>
      </w:pPr>
    </w:p>
    <w:p>
      <w:pPr>
        <w:spacing w:line="360" w:lineRule="auto"/>
        <w:rPr>
          <w:rFonts w:hint="eastAsia" w:ascii="宋体" w:hAnsi="宋体" w:cs="宋体"/>
          <w:highlight w:val="none"/>
        </w:rPr>
      </w:pPr>
      <w:r>
        <w:rPr>
          <w:rFonts w:hint="eastAsia" w:ascii="宋体" w:hAnsi="宋体" w:cs="宋体"/>
          <w:b/>
          <w:bCs/>
          <w:color w:val="auto"/>
          <w:sz w:val="24"/>
          <w:szCs w:val="24"/>
          <w:highlight w:val="none"/>
          <w:lang w:eastAsia="zh-CN"/>
        </w:rPr>
        <w:t>四</w:t>
      </w:r>
      <w:bookmarkStart w:id="3" w:name="_GoBack"/>
      <w:bookmarkEnd w:id="3"/>
      <w:r>
        <w:rPr>
          <w:rFonts w:hint="eastAsia" w:ascii="宋体" w:hAnsi="宋体" w:cs="宋体"/>
          <w:b/>
          <w:bCs/>
          <w:sz w:val="24"/>
          <w:highlight w:val="none"/>
        </w:rPr>
        <w:t>、拟</w:t>
      </w:r>
      <w:r>
        <w:rPr>
          <w:rFonts w:hint="eastAsia" w:ascii="宋体" w:hAnsi="宋体" w:cs="宋体"/>
          <w:b/>
          <w:sz w:val="24"/>
          <w:highlight w:val="none"/>
        </w:rPr>
        <w:t>采用的采购方式、评审方法和评审标准</w:t>
      </w:r>
    </w:p>
    <w:p>
      <w:pPr>
        <w:spacing w:line="540" w:lineRule="exact"/>
        <w:ind w:firstLine="482"/>
        <w:rPr>
          <w:rFonts w:hint="default" w:ascii="宋体" w:hAnsi="宋体" w:eastAsia="宋体" w:cs="宋体"/>
          <w:bCs/>
          <w:sz w:val="24"/>
          <w:highlight w:val="none"/>
          <w:lang w:val="en-US" w:eastAsia="zh-CN"/>
        </w:rPr>
      </w:pPr>
      <w:r>
        <w:rPr>
          <w:rFonts w:hint="eastAsia" w:ascii="宋体" w:hAnsi="宋体" w:cs="宋体"/>
          <w:bCs/>
          <w:sz w:val="24"/>
          <w:highlight w:val="none"/>
          <w:lang w:val="zh-CN"/>
        </w:rPr>
        <w:t>采购方式：</w:t>
      </w:r>
      <w:r>
        <w:rPr>
          <w:rFonts w:hint="eastAsia" w:ascii="宋体" w:hAnsi="宋体" w:cs="宋体"/>
          <w:bCs/>
          <w:sz w:val="24"/>
          <w:highlight w:val="none"/>
          <w:lang w:val="en-US" w:eastAsia="zh-CN"/>
        </w:rPr>
        <w:t>竞争性磋商</w:t>
      </w:r>
    </w:p>
    <w:p>
      <w:pPr>
        <w:spacing w:line="540" w:lineRule="exact"/>
        <w:ind w:firstLine="482"/>
        <w:rPr>
          <w:rFonts w:hint="eastAsia" w:ascii="宋体" w:hAnsi="宋体" w:cs="宋体"/>
          <w:bCs/>
          <w:sz w:val="24"/>
          <w:highlight w:val="none"/>
          <w:lang w:val="zh-CN"/>
        </w:rPr>
      </w:pPr>
      <w:r>
        <w:rPr>
          <w:rFonts w:hint="eastAsia" w:ascii="宋体" w:hAnsi="宋体" w:cs="宋体"/>
          <w:bCs/>
          <w:sz w:val="24"/>
          <w:highlight w:val="none"/>
          <w:lang w:val="zh-CN"/>
        </w:rPr>
        <w:t>评审方法：综合评分法</w:t>
      </w:r>
    </w:p>
    <w:p>
      <w:pPr>
        <w:pStyle w:val="2"/>
        <w:rPr>
          <w:rFonts w:hint="eastAsia"/>
          <w:highlight w:val="none"/>
          <w:lang w:val="zh-CN"/>
        </w:rPr>
      </w:pPr>
    </w:p>
    <w:tbl>
      <w:tblPr>
        <w:tblStyle w:val="5"/>
        <w:tblW w:w="96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631"/>
        <w:gridCol w:w="796"/>
        <w:gridCol w:w="827"/>
        <w:gridCol w:w="436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5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序号</w:t>
            </w:r>
          </w:p>
        </w:tc>
        <w:tc>
          <w:tcPr>
            <w:tcW w:w="16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评分因素</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1及权重</w:t>
            </w:r>
          </w:p>
        </w:tc>
        <w:tc>
          <w:tcPr>
            <w:tcW w:w="79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分值</w:t>
            </w:r>
          </w:p>
        </w:tc>
        <w:tc>
          <w:tcPr>
            <w:tcW w:w="519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评分标准</w:t>
            </w:r>
          </w:p>
        </w:tc>
        <w:tc>
          <w:tcPr>
            <w:tcW w:w="147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5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w:t>
            </w:r>
          </w:p>
        </w:tc>
        <w:tc>
          <w:tcPr>
            <w:tcW w:w="16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报价10%</w:t>
            </w:r>
          </w:p>
        </w:tc>
        <w:tc>
          <w:tcPr>
            <w:tcW w:w="79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10分</w:t>
            </w:r>
          </w:p>
        </w:tc>
        <w:tc>
          <w:tcPr>
            <w:tcW w:w="5193"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1、满足本项目采购文件要求且投标价格最低的投标报价为评标基准价，其价格分为满分。其他投标人的价格分：投标报价得分=(评标基准价／投标报价)×10</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注：按照《政府采购促进中小企业发展管理办法》（财库〔2020〕46号）规定，本项目已响应政府采购扶持政策专门面向中小企业采购，故小微企业不再享受价格扣除优惠。</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2</w:t>
            </w:r>
            <w:r>
              <w:rPr>
                <w:rFonts w:hint="eastAsia" w:asciiTheme="minorEastAsia" w:hAnsiTheme="minorEastAsia" w:eastAsiaTheme="minorEastAsia" w:cstheme="minorEastAsia"/>
                <w:color w:val="auto"/>
                <w:sz w:val="24"/>
                <w:szCs w:val="24"/>
                <w:highlight w:val="none"/>
              </w:rPr>
              <w:t>、参加政府采购活动的中小企业应当提供《中小企业声明函》，监狱企业提供由省级以上监狱管理局、戒毒管理局（含新疆生产建设兵团）出具的属于监狱企业的证明文件。监狱企业、残疾企业视同小微企业，不重复享受价格扣除。</w:t>
            </w:r>
          </w:p>
        </w:tc>
        <w:tc>
          <w:tcPr>
            <w:tcW w:w="1476"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38"/>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共同评分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5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2</w:t>
            </w:r>
          </w:p>
        </w:tc>
        <w:tc>
          <w:tcPr>
            <w:tcW w:w="16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监理大纲45.5%</w:t>
            </w:r>
          </w:p>
        </w:tc>
        <w:tc>
          <w:tcPr>
            <w:tcW w:w="79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45.5分</w:t>
            </w:r>
          </w:p>
        </w:tc>
        <w:tc>
          <w:tcPr>
            <w:tcW w:w="5193" w:type="dxa"/>
            <w:gridSpan w:val="2"/>
            <w:vAlign w:val="center"/>
          </w:tcPr>
          <w:p>
            <w:pPr>
              <w:pStyle w:val="11"/>
              <w:spacing w:before="50"/>
              <w:ind w:right="135"/>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根据供应商提供的监理大纲方案，包含：</w:t>
            </w:r>
          </w:p>
          <w:p>
            <w:pPr>
              <w:pStyle w:val="11"/>
              <w:spacing w:before="48" w:line="280" w:lineRule="auto"/>
              <w:ind w:left="106" w:right="154"/>
              <w:jc w:val="left"/>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①对项目的重难点分析及对策、②质量控制措施方案（</w:t>
            </w:r>
            <w:r>
              <w:rPr>
                <w:rFonts w:hint="eastAsia" w:asciiTheme="minorEastAsia" w:hAnsiTheme="minorEastAsia" w:eastAsiaTheme="minorEastAsia" w:cstheme="minorEastAsia"/>
                <w:spacing w:val="-1"/>
                <w:sz w:val="24"/>
                <w:szCs w:val="24"/>
                <w:highlight w:val="none"/>
              </w:rPr>
              <w:t>质量控制目标、质量控制内容、质量控制方法、施工准备阶段质量控制措施、实施阶段质量控制措施、交工验收阶段质量控制措施、缺陷</w:t>
            </w:r>
            <w:r>
              <w:rPr>
                <w:rFonts w:hint="eastAsia" w:asciiTheme="minorEastAsia" w:hAnsiTheme="minorEastAsia" w:eastAsiaTheme="minorEastAsia" w:cstheme="minorEastAsia"/>
                <w:sz w:val="24"/>
                <w:szCs w:val="24"/>
                <w:highlight w:val="none"/>
              </w:rPr>
              <w:t>责任期阶段质量控制措施）</w:t>
            </w:r>
            <w:r>
              <w:rPr>
                <w:rFonts w:hint="eastAsia" w:asciiTheme="minorEastAsia" w:hAnsiTheme="minorEastAsia" w:eastAsiaTheme="minorEastAsia" w:cstheme="minorEastAsia"/>
                <w:spacing w:val="-2"/>
                <w:sz w:val="24"/>
                <w:szCs w:val="24"/>
                <w:highlight w:val="none"/>
              </w:rPr>
              <w:t>、③进度控制措施方</w:t>
            </w:r>
            <w:r>
              <w:rPr>
                <w:rFonts w:hint="eastAsia" w:asciiTheme="minorEastAsia" w:hAnsiTheme="minorEastAsia" w:eastAsiaTheme="minorEastAsia" w:cstheme="minorEastAsia"/>
                <w:sz w:val="24"/>
                <w:szCs w:val="24"/>
                <w:highlight w:val="none"/>
              </w:rPr>
              <w:t>案（</w:t>
            </w:r>
            <w:r>
              <w:rPr>
                <w:rFonts w:hint="eastAsia" w:asciiTheme="minorEastAsia" w:hAnsiTheme="minorEastAsia" w:eastAsiaTheme="minorEastAsia" w:cstheme="minorEastAsia"/>
                <w:spacing w:val="-1"/>
                <w:sz w:val="24"/>
                <w:szCs w:val="24"/>
                <w:highlight w:val="none"/>
              </w:rPr>
              <w:t>进度控制目标、进度控制方法措施、进度控</w:t>
            </w:r>
            <w:r>
              <w:rPr>
                <w:rFonts w:hint="eastAsia" w:asciiTheme="minorEastAsia" w:hAnsiTheme="minorEastAsia" w:eastAsiaTheme="minorEastAsia" w:cstheme="minorEastAsia"/>
                <w:sz w:val="24"/>
                <w:szCs w:val="24"/>
                <w:highlight w:val="none"/>
              </w:rPr>
              <w:t>制的重点和难点分析及监理对策措施）</w:t>
            </w:r>
            <w:r>
              <w:rPr>
                <w:rFonts w:hint="eastAsia" w:asciiTheme="minorEastAsia" w:hAnsiTheme="minorEastAsia" w:eastAsiaTheme="minorEastAsia" w:cstheme="minorEastAsia"/>
                <w:spacing w:val="-5"/>
                <w:sz w:val="24"/>
                <w:szCs w:val="24"/>
                <w:highlight w:val="none"/>
              </w:rPr>
              <w:t>、④造价</w:t>
            </w:r>
            <w:r>
              <w:rPr>
                <w:rFonts w:hint="eastAsia" w:asciiTheme="minorEastAsia" w:hAnsiTheme="minorEastAsia" w:eastAsiaTheme="minorEastAsia" w:cstheme="minorEastAsia"/>
                <w:sz w:val="24"/>
                <w:szCs w:val="24"/>
                <w:highlight w:val="none"/>
              </w:rPr>
              <w:t>控制措施方案（</w:t>
            </w:r>
            <w:r>
              <w:rPr>
                <w:rFonts w:hint="eastAsia" w:asciiTheme="minorEastAsia" w:hAnsiTheme="minorEastAsia" w:eastAsiaTheme="minorEastAsia" w:cstheme="minorEastAsia"/>
                <w:spacing w:val="-2"/>
                <w:sz w:val="24"/>
                <w:szCs w:val="24"/>
                <w:highlight w:val="none"/>
              </w:rPr>
              <w:t>投资控制目标、控制方法、控制</w:t>
            </w:r>
            <w:r>
              <w:rPr>
                <w:rFonts w:hint="eastAsia" w:asciiTheme="minorEastAsia" w:hAnsiTheme="minorEastAsia" w:eastAsiaTheme="minorEastAsia" w:cstheme="minorEastAsia"/>
                <w:sz w:val="24"/>
                <w:szCs w:val="24"/>
                <w:highlight w:val="none"/>
              </w:rPr>
              <w:t>措施，工程合同计量与支付审核控制）</w:t>
            </w:r>
            <w:r>
              <w:rPr>
                <w:rFonts w:hint="eastAsia" w:asciiTheme="minorEastAsia" w:hAnsiTheme="minorEastAsia" w:eastAsiaTheme="minorEastAsia" w:cstheme="minorEastAsia"/>
                <w:spacing w:val="-5"/>
                <w:sz w:val="24"/>
                <w:szCs w:val="24"/>
                <w:highlight w:val="none"/>
              </w:rPr>
              <w:t>、⑤合同</w:t>
            </w:r>
            <w:r>
              <w:rPr>
                <w:rFonts w:hint="eastAsia" w:asciiTheme="minorEastAsia" w:hAnsiTheme="minorEastAsia" w:eastAsiaTheme="minorEastAsia" w:cstheme="minorEastAsia"/>
                <w:sz w:val="24"/>
                <w:szCs w:val="24"/>
                <w:highlight w:val="none"/>
              </w:rPr>
              <w:t>管理方案（合同管理、合同价款支付）</w:t>
            </w:r>
            <w:r>
              <w:rPr>
                <w:rFonts w:hint="eastAsia" w:asciiTheme="minorEastAsia" w:hAnsiTheme="minorEastAsia" w:eastAsiaTheme="minorEastAsia" w:cstheme="minorEastAsia"/>
                <w:spacing w:val="-5"/>
                <w:sz w:val="24"/>
                <w:szCs w:val="24"/>
                <w:highlight w:val="none"/>
              </w:rPr>
              <w:t>、⑥组织</w:t>
            </w:r>
            <w:r>
              <w:rPr>
                <w:rFonts w:hint="eastAsia" w:asciiTheme="minorEastAsia" w:hAnsiTheme="minorEastAsia" w:eastAsiaTheme="minorEastAsia" w:cstheme="minorEastAsia"/>
                <w:sz w:val="24"/>
                <w:szCs w:val="24"/>
                <w:highlight w:val="none"/>
              </w:rPr>
              <w:t>协调措施方案（</w:t>
            </w:r>
            <w:r>
              <w:rPr>
                <w:rFonts w:hint="eastAsia" w:asciiTheme="minorEastAsia" w:hAnsiTheme="minorEastAsia" w:eastAsiaTheme="minorEastAsia" w:cstheme="minorEastAsia"/>
                <w:spacing w:val="-2"/>
                <w:sz w:val="24"/>
                <w:szCs w:val="24"/>
                <w:highlight w:val="none"/>
              </w:rPr>
              <w:t>组织协调目的、组织协调内容、</w:t>
            </w:r>
            <w:r>
              <w:rPr>
                <w:rFonts w:hint="eastAsia" w:asciiTheme="minorEastAsia" w:hAnsiTheme="minorEastAsia" w:eastAsiaTheme="minorEastAsia" w:cstheme="minorEastAsia"/>
                <w:sz w:val="24"/>
                <w:szCs w:val="24"/>
                <w:highlight w:val="none"/>
              </w:rPr>
              <w:t>组织协调方法、监理工作近、远层关系协调）</w:t>
            </w:r>
            <w:r>
              <w:rPr>
                <w:rFonts w:hint="eastAsia" w:asciiTheme="minorEastAsia" w:hAnsiTheme="minorEastAsia" w:eastAsiaTheme="minorEastAsia" w:cstheme="minorEastAsia"/>
                <w:spacing w:val="-17"/>
                <w:sz w:val="24"/>
                <w:szCs w:val="24"/>
                <w:highlight w:val="none"/>
              </w:rPr>
              <w:t>、</w:t>
            </w:r>
            <w:r>
              <w:rPr>
                <w:rFonts w:hint="eastAsia" w:asciiTheme="minorEastAsia" w:hAnsiTheme="minorEastAsia" w:eastAsiaTheme="minorEastAsia" w:cstheme="minorEastAsia"/>
                <w:sz w:val="24"/>
                <w:szCs w:val="24"/>
                <w:highlight w:val="none"/>
              </w:rPr>
              <w:t>⑦安全文明施工及环保水保监控方案（安全文明施工目标、安全文明施工内容、安全文明施工监控重点、施工临时用电措施、环保及水保措施、危险源分析及监控措施、安全文明施工的事前、事中、事后控制管理措施）；各分项内容完整、</w:t>
            </w:r>
            <w:r>
              <w:rPr>
                <w:rFonts w:hint="eastAsia" w:asciiTheme="minorEastAsia" w:hAnsiTheme="minorEastAsia" w:eastAsiaTheme="minorEastAsia" w:cstheme="minorEastAsia"/>
                <w:spacing w:val="-10"/>
                <w:sz w:val="24"/>
                <w:szCs w:val="24"/>
                <w:highlight w:val="none"/>
              </w:rPr>
              <w:t xml:space="preserve">科学合理、满足项目实际情况的得 </w:t>
            </w:r>
            <w:r>
              <w:rPr>
                <w:rFonts w:hint="eastAsia" w:asciiTheme="minorEastAsia" w:hAnsiTheme="minorEastAsia" w:eastAsiaTheme="minorEastAsia" w:cstheme="minorEastAsia"/>
                <w:sz w:val="24"/>
                <w:szCs w:val="24"/>
                <w:highlight w:val="none"/>
              </w:rPr>
              <w:t>45.5</w:t>
            </w:r>
            <w:r>
              <w:rPr>
                <w:rFonts w:hint="eastAsia" w:asciiTheme="minorEastAsia" w:hAnsiTheme="minorEastAsia" w:eastAsiaTheme="minorEastAsia" w:cstheme="minorEastAsia"/>
                <w:spacing w:val="-23"/>
                <w:sz w:val="24"/>
                <w:szCs w:val="24"/>
                <w:highlight w:val="none"/>
              </w:rPr>
              <w:t xml:space="preserve"> 分，每缺</w:t>
            </w:r>
            <w:r>
              <w:rPr>
                <w:rFonts w:hint="eastAsia" w:asciiTheme="minorEastAsia" w:hAnsiTheme="minorEastAsia" w:eastAsiaTheme="minorEastAsia" w:cstheme="minorEastAsia"/>
                <w:spacing w:val="-9"/>
                <w:sz w:val="24"/>
                <w:szCs w:val="24"/>
                <w:highlight w:val="none"/>
              </w:rPr>
              <w:t xml:space="preserve">少一项内容扣 </w:t>
            </w:r>
            <w:r>
              <w:rPr>
                <w:rFonts w:hint="eastAsia" w:asciiTheme="minorEastAsia" w:hAnsiTheme="minorEastAsia" w:eastAsiaTheme="minorEastAsia" w:cstheme="minorEastAsia"/>
                <w:sz w:val="24"/>
                <w:szCs w:val="24"/>
                <w:highlight w:val="none"/>
              </w:rPr>
              <w:t>6.5</w:t>
            </w:r>
            <w:r>
              <w:rPr>
                <w:rFonts w:hint="eastAsia" w:asciiTheme="minorEastAsia" w:hAnsiTheme="minorEastAsia" w:eastAsiaTheme="minorEastAsia" w:cstheme="minorEastAsia"/>
                <w:spacing w:val="-8"/>
                <w:sz w:val="24"/>
                <w:szCs w:val="24"/>
                <w:highlight w:val="none"/>
              </w:rPr>
              <w:t xml:space="preserve"> 分，每有一项内容不完整或不</w:t>
            </w:r>
            <w:r>
              <w:rPr>
                <w:rFonts w:hint="eastAsia" w:asciiTheme="minorEastAsia" w:hAnsiTheme="minorEastAsia" w:eastAsiaTheme="minorEastAsia" w:cstheme="minorEastAsia"/>
                <w:spacing w:val="-6"/>
                <w:sz w:val="24"/>
                <w:szCs w:val="24"/>
                <w:highlight w:val="none"/>
              </w:rPr>
              <w:t>满足项目实际情况的扣</w:t>
            </w:r>
            <w:r>
              <w:rPr>
                <w:rFonts w:hint="eastAsia" w:asciiTheme="minorEastAsia" w:hAnsiTheme="minorEastAsia" w:eastAsiaTheme="minorEastAsia" w:cstheme="minorEastAsia"/>
                <w:spacing w:val="-6"/>
                <w:sz w:val="24"/>
                <w:szCs w:val="24"/>
                <w:highlight w:val="none"/>
                <w:lang w:val="en-US" w:eastAsia="zh-CN"/>
              </w:rPr>
              <w:t>4</w:t>
            </w:r>
            <w:r>
              <w:rPr>
                <w:rFonts w:hint="eastAsia" w:asciiTheme="minorEastAsia" w:hAnsiTheme="minorEastAsia" w:eastAsiaTheme="minorEastAsia" w:cstheme="minorEastAsia"/>
                <w:spacing w:val="-16"/>
                <w:sz w:val="24"/>
                <w:szCs w:val="24"/>
                <w:highlight w:val="none"/>
              </w:rPr>
              <w:t>分，直至本项分值扣</w:t>
            </w:r>
            <w:r>
              <w:rPr>
                <w:rFonts w:hint="eastAsia" w:asciiTheme="minorEastAsia" w:hAnsiTheme="minorEastAsia" w:eastAsiaTheme="minorEastAsia" w:cstheme="minorEastAsia"/>
                <w:sz w:val="24"/>
                <w:szCs w:val="24"/>
                <w:highlight w:val="none"/>
              </w:rPr>
              <w:t>完为止。不提供的不得分</w:t>
            </w:r>
            <w:r>
              <w:rPr>
                <w:rFonts w:hint="eastAsia" w:asciiTheme="minorEastAsia" w:hAnsiTheme="minorEastAsia" w:eastAsiaTheme="minorEastAsia" w:cstheme="minorEastAsia"/>
                <w:sz w:val="24"/>
                <w:szCs w:val="24"/>
                <w:highlight w:val="none"/>
                <w:lang w:eastAsia="zh-CN"/>
              </w:rPr>
              <w:t>。</w:t>
            </w:r>
          </w:p>
          <w:p>
            <w:pPr>
              <w:pStyle w:val="11"/>
              <w:spacing w:line="280" w:lineRule="auto"/>
              <w:ind w:left="106" w:right="154"/>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sz w:val="24"/>
                <w:szCs w:val="24"/>
                <w:highlight w:val="none"/>
              </w:rPr>
              <w:t>注：不满足项目实际情况是指：方案内容与项目需求不一致、涉及的技术规范标准等与国家或行业或采购文件要求不一致，方案内容存在凭空想象与编造、内容与实际实施存在差异性，各分项方案组织无条理性、安排混乱、语义表述不清，存在歧义，内容不合理等。</w:t>
            </w:r>
          </w:p>
        </w:tc>
        <w:tc>
          <w:tcPr>
            <w:tcW w:w="1476"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38"/>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技术类评分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57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3</w:t>
            </w:r>
          </w:p>
        </w:tc>
        <w:tc>
          <w:tcPr>
            <w:tcW w:w="1631"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人员配备</w:t>
            </w:r>
            <w:r>
              <w:rPr>
                <w:rFonts w:hint="eastAsia" w:asciiTheme="minorEastAsia" w:hAnsiTheme="minorEastAsia" w:eastAsiaTheme="minorEastAsia" w:cstheme="minorEastAsia"/>
                <w:color w:val="auto"/>
                <w:sz w:val="24"/>
                <w:szCs w:val="24"/>
                <w:highlight w:val="none"/>
                <w:lang w:val="en-US" w:eastAsia="zh-CN"/>
              </w:rPr>
              <w:t>36.5</w:t>
            </w:r>
            <w:r>
              <w:rPr>
                <w:rFonts w:hint="eastAsia" w:asciiTheme="minorEastAsia" w:hAnsiTheme="minorEastAsia" w:eastAsiaTheme="minorEastAsia" w:cstheme="minorEastAsia"/>
                <w:color w:val="auto"/>
                <w:sz w:val="24"/>
                <w:szCs w:val="24"/>
                <w:highlight w:val="none"/>
              </w:rPr>
              <w:t>%</w:t>
            </w:r>
          </w:p>
        </w:tc>
        <w:tc>
          <w:tcPr>
            <w:tcW w:w="796"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36.5</w:t>
            </w:r>
            <w:r>
              <w:rPr>
                <w:rFonts w:hint="eastAsia" w:asciiTheme="minorEastAsia" w:hAnsiTheme="minorEastAsia" w:eastAsiaTheme="minorEastAsia" w:cstheme="minorEastAsia"/>
                <w:color w:val="auto"/>
                <w:sz w:val="24"/>
                <w:szCs w:val="24"/>
                <w:highlight w:val="none"/>
              </w:rPr>
              <w:t>分</w:t>
            </w:r>
          </w:p>
        </w:tc>
        <w:tc>
          <w:tcPr>
            <w:tcW w:w="82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企业技术负责人14分</w:t>
            </w:r>
          </w:p>
        </w:tc>
        <w:tc>
          <w:tcPr>
            <w:tcW w:w="4366" w:type="dxa"/>
            <w:vAlign w:val="center"/>
          </w:tcPr>
          <w:p>
            <w:pPr>
              <w:pStyle w:val="3"/>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技术负责人具有全国水利工程建设监理工程师资格证书得7分，具有全国注册安全工程师（注册类别：其他安全）资格得4分，同时取得注册土木工程师（水利水电工程）资格得3分，共计14分。（以项目招标公告前一天监理资质证书的信息为准）</w:t>
            </w:r>
          </w:p>
        </w:tc>
        <w:tc>
          <w:tcPr>
            <w:tcW w:w="1476"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eastAsia="宋体" w:asciiTheme="minorEastAsia" w:hAnsiTheme="minorEastAsia" w:cstheme="minorEastAsia"/>
                <w:color w:val="auto"/>
                <w:sz w:val="24"/>
                <w:szCs w:val="24"/>
                <w:highlight w:val="none"/>
                <w:lang w:eastAsia="zh-CN"/>
              </w:rPr>
            </w:pPr>
            <w:r>
              <w:rPr>
                <w:rFonts w:hint="eastAsia" w:ascii="宋体" w:hAnsi="宋体" w:cs="宋体"/>
                <w:sz w:val="24"/>
                <w:szCs w:val="24"/>
                <w:highlight w:val="none"/>
              </w:rPr>
              <w:t>提供人员证书复印件加盖单位公章，并提供以上人员在本单位的在职证明材料</w:t>
            </w:r>
            <w:r>
              <w:rPr>
                <w:rFonts w:hint="eastAsia" w:ascii="宋体" w:hAnsi="宋体" w:cs="宋体"/>
                <w:sz w:val="24"/>
                <w:szCs w:val="24"/>
                <w:highlight w:val="none"/>
                <w:lang w:eastAsia="zh-CN"/>
              </w:rPr>
              <w:t>；全国水利工程建设监理工程师提供在全国水利建设市场信用信息平台上的截图（</w:t>
            </w:r>
            <w:r>
              <w:rPr>
                <w:rFonts w:hint="eastAsia" w:asciiTheme="minorEastAsia" w:hAnsiTheme="minorEastAsia" w:eastAsiaTheme="minorEastAsia" w:cstheme="minorEastAsia"/>
                <w:color w:val="auto"/>
                <w:sz w:val="24"/>
                <w:szCs w:val="24"/>
                <w:highlight w:val="none"/>
                <w:lang w:val="en-US" w:eastAsia="zh-CN"/>
              </w:rPr>
              <w:t>以项目招标公告前一天截图信息为准</w:t>
            </w:r>
            <w:r>
              <w:rPr>
                <w:rFonts w:hint="eastAsia" w:ascii="宋体" w:hAnsi="宋体" w:cs="宋体"/>
                <w:sz w:val="24"/>
                <w:szCs w:val="24"/>
                <w:highlight w:val="none"/>
                <w:lang w:eastAsia="zh-CN"/>
              </w:rPr>
              <w:t>）。</w:t>
            </w:r>
            <w:r>
              <w:rPr>
                <w:rFonts w:hint="eastAsia" w:ascii="宋体" w:hAnsi="宋体" w:cs="宋体"/>
                <w:sz w:val="24"/>
                <w:szCs w:val="24"/>
                <w:highlight w:val="none"/>
              </w:rPr>
              <w:t>以上人员不重复计分。</w:t>
            </w:r>
            <w:r>
              <w:rPr>
                <w:rFonts w:hint="eastAsia" w:ascii="宋体" w:hAnsi="宋体" w:cs="宋体"/>
                <w:sz w:val="24"/>
                <w:szCs w:val="24"/>
                <w:highlight w:val="none"/>
                <w:lang w:eastAsia="zh-CN"/>
              </w:rPr>
              <w:t>共同评分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57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163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p>
        </w:tc>
        <w:tc>
          <w:tcPr>
            <w:tcW w:w="796"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p>
        </w:tc>
        <w:tc>
          <w:tcPr>
            <w:tcW w:w="82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总监能力7分</w:t>
            </w:r>
          </w:p>
        </w:tc>
        <w:tc>
          <w:tcPr>
            <w:tcW w:w="436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具有全国水利工程建设监理工程师资格证书得3分，具有中级职称加1分，具有高级职称加4分。本项最高得7分。</w:t>
            </w:r>
          </w:p>
        </w:tc>
        <w:tc>
          <w:tcPr>
            <w:tcW w:w="1476"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7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val="en-US" w:eastAsia="zh-CN"/>
              </w:rPr>
            </w:pPr>
          </w:p>
        </w:tc>
        <w:tc>
          <w:tcPr>
            <w:tcW w:w="1631"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p>
        </w:tc>
        <w:tc>
          <w:tcPr>
            <w:tcW w:w="796"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p>
        </w:tc>
        <w:tc>
          <w:tcPr>
            <w:tcW w:w="82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项目人员配备</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15.5分</w:t>
            </w:r>
          </w:p>
        </w:tc>
        <w:tc>
          <w:tcPr>
            <w:tcW w:w="4366" w:type="dxa"/>
            <w:vAlign w:val="center"/>
          </w:tcPr>
          <w:p>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专业监理工程师1名：具有全国水利工程建设监理工程师资格证书得3.5分；</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测量监理工程师1名：具有全国水利工程建设监理工程师资格证书得3.5分；</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造价监理工程师1名：具有全国水利工程造价工程师注册证书及全国水利工程建设监理工程师资格证书得3.5分；</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安全监理工程师1名：具有全国注册安全工程师（注册类别：其他安全（水利））资格得3分；</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监理员1名：具有省级监理员培训合格证书得2分。</w:t>
            </w:r>
          </w:p>
        </w:tc>
        <w:tc>
          <w:tcPr>
            <w:tcW w:w="1476"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57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w:t>
            </w:r>
          </w:p>
        </w:tc>
        <w:tc>
          <w:tcPr>
            <w:tcW w:w="163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类似业绩</w:t>
            </w: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w:t>
            </w:r>
          </w:p>
        </w:tc>
        <w:tc>
          <w:tcPr>
            <w:tcW w:w="79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8</w:t>
            </w:r>
            <w:r>
              <w:rPr>
                <w:rFonts w:hint="eastAsia" w:asciiTheme="minorEastAsia" w:hAnsiTheme="minorEastAsia" w:eastAsiaTheme="minorEastAsia" w:cstheme="minorEastAsia"/>
                <w:color w:val="auto"/>
                <w:sz w:val="24"/>
                <w:szCs w:val="24"/>
                <w:highlight w:val="none"/>
              </w:rPr>
              <w:t>分</w:t>
            </w:r>
          </w:p>
        </w:tc>
        <w:tc>
          <w:tcPr>
            <w:tcW w:w="5193" w:type="dxa"/>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2"/>
                <w:sz w:val="24"/>
                <w:szCs w:val="24"/>
                <w:highlight w:val="none"/>
                <w:lang w:val="en-US" w:eastAsia="zh-CN" w:bidi="ar-SA"/>
              </w:rPr>
              <w:t>2018年至今完成一个类似项目加2分，本项最高得8分。注：须附监理合同协议书复印件或成交通知书，加盖公章，业绩时间：以合同协议书或中标（成交通知书）时间为准。</w:t>
            </w:r>
          </w:p>
        </w:tc>
        <w:tc>
          <w:tcPr>
            <w:tcW w:w="147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eastAsia="zh-CN"/>
              </w:rPr>
              <w:t>共同评分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911FE9"/>
    <w:multiLevelType w:val="singleLevel"/>
    <w:tmpl w:val="95911FE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787170"/>
    <w:rsid w:val="57DA3DB0"/>
    <w:rsid w:val="5B1F2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annotation text"/>
    <w:basedOn w:val="1"/>
    <w:qFormat/>
    <w:uiPriority w:val="0"/>
    <w:pPr>
      <w:jc w:val="left"/>
    </w:pPr>
  </w:style>
  <w:style w:type="paragraph" w:styleId="4">
    <w:name w:val="Body Text First Indent"/>
    <w:basedOn w:val="2"/>
    <w:qFormat/>
    <w:uiPriority w:val="99"/>
    <w:pPr>
      <w:ind w:firstLine="420" w:firstLineChars="100"/>
    </w:pPr>
    <w:rPr>
      <w:szCs w:val="20"/>
    </w:rPr>
  </w:style>
  <w:style w:type="paragraph" w:customStyle="1" w:styleId="7">
    <w:name w:val="样式2"/>
    <w:basedOn w:val="8"/>
    <w:qFormat/>
    <w:uiPriority w:val="0"/>
    <w:pPr>
      <w:keepLines/>
      <w:spacing w:before="240" w:after="120" w:line="360" w:lineRule="auto"/>
      <w:contextualSpacing/>
      <w:outlineLvl w:val="1"/>
    </w:pPr>
    <w:rPr>
      <w:rFonts w:ascii="黑体" w:hAnsi="黑体" w:eastAsia="黑体"/>
      <w:sz w:val="32"/>
      <w:szCs w:val="36"/>
      <w:lang w:eastAsia="en-US" w:bidi="en-US"/>
    </w:rPr>
  </w:style>
  <w:style w:type="paragraph" w:customStyle="1" w:styleId="8">
    <w:name w:val="列出段落2"/>
    <w:basedOn w:val="1"/>
    <w:qFormat/>
    <w:uiPriority w:val="34"/>
    <w:pPr>
      <w:ind w:firstLine="420" w:firstLineChars="200"/>
    </w:pPr>
    <w:rPr>
      <w:rFonts w:ascii="宋体" w:hAnsi="宋体"/>
      <w:sz w:val="24"/>
    </w:rPr>
  </w:style>
  <w:style w:type="paragraph" w:customStyle="1" w:styleId="9">
    <w:name w:val="List Paragraph"/>
    <w:basedOn w:val="1"/>
    <w:qFormat/>
    <w:uiPriority w:val="34"/>
    <w:pPr>
      <w:ind w:firstLine="420" w:firstLineChars="200"/>
    </w:pPr>
    <w:rPr>
      <w:rFonts w:ascii="宋体" w:hAnsi="宋体"/>
      <w:sz w:val="24"/>
      <w:szCs w:val="24"/>
    </w:rPr>
  </w:style>
  <w:style w:type="paragraph" w:customStyle="1" w:styleId="10">
    <w:name w:val="正文首行缩进两字符"/>
    <w:basedOn w:val="1"/>
    <w:qFormat/>
    <w:uiPriority w:val="0"/>
    <w:pPr>
      <w:spacing w:line="360" w:lineRule="auto"/>
      <w:ind w:firstLine="200" w:firstLineChars="200"/>
    </w:pPr>
  </w:style>
  <w:style w:type="paragraph" w:customStyle="1" w:styleId="11">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小鱼</cp:lastModifiedBy>
  <dcterms:modified xsi:type="dcterms:W3CDTF">2021-11-01T09:33:00Z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90EF85BA5935435B89001F264891697F</vt:lpwstr>
  </property>
</Properties>
</file>