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rPr>
      </w:pPr>
    </w:p>
    <w:p>
      <w:pPr>
        <w:pStyle w:val="2"/>
        <w:rPr>
          <w:rFonts w:ascii="华文中宋" w:hAnsi="华文中宋" w:eastAsia="华文中宋"/>
        </w:rPr>
      </w:pPr>
    </w:p>
    <w:p>
      <w:pPr>
        <w:spacing w:line="360" w:lineRule="auto"/>
        <w:jc w:val="center"/>
        <w:rPr>
          <w:rFonts w:ascii="华文中宋" w:hAnsi="华文中宋" w:eastAsia="华文中宋"/>
          <w:spacing w:val="-20"/>
          <w:sz w:val="96"/>
          <w:szCs w:val="96"/>
        </w:rPr>
      </w:pPr>
      <w:r>
        <w:rPr>
          <w:rFonts w:hint="eastAsia" w:ascii="华文中宋" w:hAnsi="华文中宋" w:eastAsia="华文中宋"/>
          <w:spacing w:val="-20"/>
          <w:sz w:val="96"/>
          <w:szCs w:val="96"/>
        </w:rPr>
        <w:t>竞争性磋商文件</w:t>
      </w: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223" w:leftChars="336" w:hanging="1417" w:hangingChars="443"/>
        <w:rPr>
          <w:rFonts w:ascii="华文中宋" w:hAnsi="华文中宋" w:eastAsia="华文中宋"/>
          <w:sz w:val="32"/>
          <w:szCs w:val="32"/>
        </w:rPr>
      </w:pPr>
      <w:r>
        <w:rPr>
          <w:rFonts w:hint="eastAsia" w:ascii="华文中宋" w:hAnsi="华文中宋" w:eastAsia="华文中宋"/>
          <w:sz w:val="32"/>
          <w:szCs w:val="32"/>
        </w:rPr>
        <w:t>项目名称：成都东部新区福田街道办事处安置小区物业管理采购项目</w:t>
      </w:r>
    </w:p>
    <w:p>
      <w:pPr>
        <w:spacing w:line="360" w:lineRule="auto"/>
        <w:ind w:left="2223" w:leftChars="336" w:hanging="1417" w:hangingChars="443"/>
        <w:rPr>
          <w:rFonts w:ascii="华文中宋" w:hAnsi="华文中宋" w:eastAsia="华文中宋"/>
          <w:sz w:val="32"/>
          <w:szCs w:val="32"/>
        </w:rPr>
      </w:pPr>
      <w:r>
        <w:rPr>
          <w:rFonts w:hint="eastAsia" w:ascii="华文中宋" w:hAnsi="华文中宋" w:eastAsia="华文中宋"/>
          <w:sz w:val="32"/>
          <w:szCs w:val="32"/>
        </w:rPr>
        <w:t>项目编号:东部新区政采招（2021）A0005号</w:t>
      </w: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成都东部新区福田街道办事处、</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成都东部新区党工委管委会（成都市东部新城办）综合部</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sz w:val="32"/>
          <w:szCs w:val="32"/>
        </w:rPr>
        <w:t>二○二一年七月</w:t>
      </w:r>
      <w:r>
        <w:rPr>
          <w:rFonts w:ascii="华文中宋" w:hAnsi="华文中宋" w:eastAsia="华文中宋"/>
          <w:bCs/>
          <w:sz w:val="36"/>
          <w:szCs w:val="36"/>
        </w:rPr>
        <w:br w:type="page"/>
      </w:r>
      <w:r>
        <w:rPr>
          <w:rFonts w:hint="eastAsia" w:ascii="宋体" w:hAnsi="宋体"/>
          <w:b/>
          <w:bCs/>
          <w:sz w:val="36"/>
          <w:szCs w:val="36"/>
        </w:rPr>
        <w:t>目 录</w:t>
      </w:r>
    </w:p>
    <w:p>
      <w:pPr>
        <w:pStyle w:val="31"/>
        <w:tabs>
          <w:tab w:val="right" w:leader="dot" w:pos="9214"/>
          <w:tab w:val="clear" w:pos="840"/>
          <w:tab w:val="clear" w:pos="9204"/>
        </w:tabs>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fldChar w:fldCharType="begin"/>
      </w:r>
      <w:r>
        <w:instrText xml:space="preserve"> HYPERLINK \l "_Toc22135" </w:instrText>
      </w:r>
      <w:r>
        <w:fldChar w:fldCharType="separate"/>
      </w:r>
      <w:r>
        <w:rPr>
          <w:szCs w:val="32"/>
        </w:rPr>
        <w:t xml:space="preserve">第1章 </w:t>
      </w:r>
      <w:r>
        <w:rPr>
          <w:rFonts w:hint="eastAsia"/>
        </w:rPr>
        <w:t>竞争性磋商邀请</w:t>
      </w:r>
      <w:r>
        <w:tab/>
      </w:r>
      <w:r>
        <w:fldChar w:fldCharType="begin"/>
      </w:r>
      <w:r>
        <w:instrText xml:space="preserve"> PAGEREF _Toc22135 \h </w:instrText>
      </w:r>
      <w:r>
        <w:fldChar w:fldCharType="separate"/>
      </w:r>
      <w:r>
        <w:t>3</w:t>
      </w:r>
      <w:r>
        <w:fldChar w:fldCharType="end"/>
      </w:r>
      <w:r>
        <w:fldChar w:fldCharType="end"/>
      </w:r>
    </w:p>
    <w:p>
      <w:pPr>
        <w:pStyle w:val="31"/>
        <w:tabs>
          <w:tab w:val="right" w:leader="dot" w:pos="9214"/>
          <w:tab w:val="clear" w:pos="840"/>
          <w:tab w:val="clear" w:pos="9204"/>
        </w:tabs>
      </w:pPr>
      <w:r>
        <w:fldChar w:fldCharType="begin"/>
      </w:r>
      <w:r>
        <w:instrText xml:space="preserve"> HYPERLINK \l "_Toc18168" </w:instrText>
      </w:r>
      <w:r>
        <w:fldChar w:fldCharType="separate"/>
      </w:r>
      <w:r>
        <w:rPr>
          <w:szCs w:val="32"/>
        </w:rPr>
        <w:t xml:space="preserve">第2章 </w:t>
      </w:r>
      <w:r>
        <w:rPr>
          <w:rFonts w:hint="eastAsia"/>
        </w:rPr>
        <w:t>供应商须知</w:t>
      </w:r>
      <w:r>
        <w:tab/>
      </w:r>
      <w:r>
        <w:fldChar w:fldCharType="begin"/>
      </w:r>
      <w:r>
        <w:instrText xml:space="preserve"> PAGEREF _Toc18168 \h </w:instrText>
      </w:r>
      <w:r>
        <w:fldChar w:fldCharType="separate"/>
      </w:r>
      <w:r>
        <w:t>8</w:t>
      </w:r>
      <w:r>
        <w:fldChar w:fldCharType="end"/>
      </w:r>
      <w:r>
        <w:fldChar w:fldCharType="end"/>
      </w:r>
    </w:p>
    <w:p>
      <w:pPr>
        <w:pStyle w:val="38"/>
        <w:tabs>
          <w:tab w:val="right" w:leader="dot" w:pos="9214"/>
        </w:tabs>
      </w:pPr>
      <w:r>
        <w:fldChar w:fldCharType="begin"/>
      </w:r>
      <w:r>
        <w:instrText xml:space="preserve"> HYPERLINK \l "_Toc21224" </w:instrText>
      </w:r>
      <w:r>
        <w:fldChar w:fldCharType="separate"/>
      </w:r>
      <w:r>
        <w:rPr>
          <w:szCs w:val="28"/>
        </w:rPr>
        <w:t xml:space="preserve">2.1 </w:t>
      </w:r>
      <w:r>
        <w:rPr>
          <w:rFonts w:hint="eastAsia"/>
        </w:rPr>
        <w:t>供应商须知前附表</w:t>
      </w:r>
      <w:r>
        <w:tab/>
      </w:r>
      <w:r>
        <w:fldChar w:fldCharType="begin"/>
      </w:r>
      <w:r>
        <w:instrText xml:space="preserve"> PAGEREF _Toc21224 \h </w:instrText>
      </w:r>
      <w:r>
        <w:fldChar w:fldCharType="separate"/>
      </w:r>
      <w:r>
        <w:t>8</w:t>
      </w:r>
      <w:r>
        <w:fldChar w:fldCharType="end"/>
      </w:r>
      <w:r>
        <w:fldChar w:fldCharType="end"/>
      </w:r>
    </w:p>
    <w:p>
      <w:pPr>
        <w:pStyle w:val="38"/>
        <w:tabs>
          <w:tab w:val="right" w:leader="dot" w:pos="9214"/>
        </w:tabs>
      </w:pPr>
      <w:r>
        <w:fldChar w:fldCharType="begin"/>
      </w:r>
      <w:r>
        <w:instrText xml:space="preserve"> HYPERLINK \l "_Toc24944" </w:instrText>
      </w:r>
      <w:r>
        <w:fldChar w:fldCharType="separate"/>
      </w:r>
      <w:r>
        <w:rPr>
          <w:szCs w:val="28"/>
        </w:rPr>
        <w:t xml:space="preserve">2.2 </w:t>
      </w:r>
      <w:r>
        <w:rPr>
          <w:rFonts w:hint="eastAsia"/>
        </w:rPr>
        <w:t>总则</w:t>
      </w:r>
      <w:r>
        <w:tab/>
      </w:r>
      <w:r>
        <w:fldChar w:fldCharType="begin"/>
      </w:r>
      <w:r>
        <w:instrText xml:space="preserve"> PAGEREF _Toc24944 \h </w:instrText>
      </w:r>
      <w:r>
        <w:fldChar w:fldCharType="separate"/>
      </w:r>
      <w:r>
        <w:t>10</w:t>
      </w:r>
      <w:r>
        <w:fldChar w:fldCharType="end"/>
      </w:r>
      <w:r>
        <w:fldChar w:fldCharType="end"/>
      </w:r>
    </w:p>
    <w:p>
      <w:pPr>
        <w:pStyle w:val="38"/>
        <w:tabs>
          <w:tab w:val="right" w:leader="dot" w:pos="9214"/>
        </w:tabs>
      </w:pPr>
      <w:r>
        <w:fldChar w:fldCharType="begin"/>
      </w:r>
      <w:r>
        <w:instrText xml:space="preserve"> HYPERLINK \l "_Toc32451" </w:instrText>
      </w:r>
      <w:r>
        <w:fldChar w:fldCharType="separate"/>
      </w:r>
      <w:r>
        <w:rPr>
          <w:szCs w:val="28"/>
        </w:rPr>
        <w:t xml:space="preserve">2.3 </w:t>
      </w:r>
      <w:r>
        <w:rPr>
          <w:rFonts w:hint="eastAsia"/>
        </w:rPr>
        <w:t>磋商</w:t>
      </w:r>
      <w:r>
        <w:t>文件</w:t>
      </w:r>
      <w:r>
        <w:tab/>
      </w:r>
      <w:r>
        <w:fldChar w:fldCharType="begin"/>
      </w:r>
      <w:r>
        <w:instrText xml:space="preserve"> PAGEREF _Toc32451 \h </w:instrText>
      </w:r>
      <w:r>
        <w:fldChar w:fldCharType="separate"/>
      </w:r>
      <w:r>
        <w:t>12</w:t>
      </w:r>
      <w:r>
        <w:fldChar w:fldCharType="end"/>
      </w:r>
      <w:r>
        <w:fldChar w:fldCharType="end"/>
      </w:r>
    </w:p>
    <w:p>
      <w:pPr>
        <w:pStyle w:val="38"/>
        <w:tabs>
          <w:tab w:val="right" w:leader="dot" w:pos="9214"/>
        </w:tabs>
      </w:pPr>
      <w:r>
        <w:fldChar w:fldCharType="begin"/>
      </w:r>
      <w:r>
        <w:instrText xml:space="preserve"> HYPERLINK \l "_Toc27707" </w:instrText>
      </w:r>
      <w:r>
        <w:fldChar w:fldCharType="separate"/>
      </w:r>
      <w:r>
        <w:rPr>
          <w:szCs w:val="28"/>
        </w:rPr>
        <w:t xml:space="preserve">2.4 </w:t>
      </w:r>
      <w:r>
        <w:rPr>
          <w:rFonts w:hint="eastAsia"/>
        </w:rPr>
        <w:t>响应文件</w:t>
      </w:r>
      <w:r>
        <w:tab/>
      </w:r>
      <w:r>
        <w:fldChar w:fldCharType="begin"/>
      </w:r>
      <w:r>
        <w:instrText xml:space="preserve"> PAGEREF _Toc27707 \h </w:instrText>
      </w:r>
      <w:r>
        <w:fldChar w:fldCharType="separate"/>
      </w:r>
      <w:r>
        <w:t>13</w:t>
      </w:r>
      <w:r>
        <w:fldChar w:fldCharType="end"/>
      </w:r>
      <w:r>
        <w:fldChar w:fldCharType="end"/>
      </w:r>
    </w:p>
    <w:p>
      <w:pPr>
        <w:pStyle w:val="38"/>
        <w:tabs>
          <w:tab w:val="right" w:leader="dot" w:pos="9214"/>
        </w:tabs>
      </w:pPr>
      <w:r>
        <w:fldChar w:fldCharType="begin"/>
      </w:r>
      <w:r>
        <w:instrText xml:space="preserve"> HYPERLINK \l "_Toc13040" </w:instrText>
      </w:r>
      <w:r>
        <w:fldChar w:fldCharType="separate"/>
      </w:r>
      <w:r>
        <w:rPr>
          <w:szCs w:val="28"/>
        </w:rPr>
        <w:t xml:space="preserve">2.5 </w:t>
      </w:r>
      <w:r>
        <w:t>成交通知书</w:t>
      </w:r>
      <w:r>
        <w:tab/>
      </w:r>
      <w:r>
        <w:fldChar w:fldCharType="begin"/>
      </w:r>
      <w:r>
        <w:instrText xml:space="preserve"> PAGEREF _Toc13040 \h </w:instrText>
      </w:r>
      <w:r>
        <w:fldChar w:fldCharType="separate"/>
      </w:r>
      <w:r>
        <w:t>20</w:t>
      </w:r>
      <w:r>
        <w:fldChar w:fldCharType="end"/>
      </w:r>
      <w:r>
        <w:fldChar w:fldCharType="end"/>
      </w:r>
    </w:p>
    <w:p>
      <w:pPr>
        <w:pStyle w:val="38"/>
        <w:tabs>
          <w:tab w:val="right" w:leader="dot" w:pos="9214"/>
        </w:tabs>
      </w:pPr>
      <w:r>
        <w:fldChar w:fldCharType="begin"/>
      </w:r>
      <w:r>
        <w:instrText xml:space="preserve"> HYPERLINK \l "_Toc21291" </w:instrText>
      </w:r>
      <w:r>
        <w:fldChar w:fldCharType="separate"/>
      </w:r>
      <w:r>
        <w:rPr>
          <w:szCs w:val="28"/>
        </w:rPr>
        <w:t xml:space="preserve">2.6 </w:t>
      </w:r>
      <w:r>
        <w:rPr>
          <w:rFonts w:hint="eastAsia"/>
        </w:rPr>
        <w:t>签订及履行合同和验收</w:t>
      </w:r>
      <w:r>
        <w:tab/>
      </w:r>
      <w:r>
        <w:fldChar w:fldCharType="begin"/>
      </w:r>
      <w:r>
        <w:instrText xml:space="preserve"> PAGEREF _Toc21291 \h </w:instrText>
      </w:r>
      <w:r>
        <w:fldChar w:fldCharType="separate"/>
      </w:r>
      <w:r>
        <w:t>21</w:t>
      </w:r>
      <w:r>
        <w:fldChar w:fldCharType="end"/>
      </w:r>
      <w:r>
        <w:fldChar w:fldCharType="end"/>
      </w:r>
    </w:p>
    <w:p>
      <w:pPr>
        <w:pStyle w:val="38"/>
        <w:tabs>
          <w:tab w:val="right" w:leader="dot" w:pos="9214"/>
        </w:tabs>
      </w:pPr>
      <w:r>
        <w:fldChar w:fldCharType="begin"/>
      </w:r>
      <w:r>
        <w:instrText xml:space="preserve"> HYPERLINK \l "_Toc28763" </w:instrText>
      </w:r>
      <w:r>
        <w:fldChar w:fldCharType="separate"/>
      </w:r>
      <w:r>
        <w:rPr>
          <w:szCs w:val="28"/>
        </w:rPr>
        <w:t xml:space="preserve">2.7 </w:t>
      </w:r>
      <w:r>
        <w:rPr>
          <w:rFonts w:hint="eastAsia"/>
        </w:rPr>
        <w:t>竞争性磋商工作纪律及要求</w:t>
      </w:r>
      <w:r>
        <w:tab/>
      </w:r>
      <w:r>
        <w:fldChar w:fldCharType="begin"/>
      </w:r>
      <w:r>
        <w:instrText xml:space="preserve"> PAGEREF _Toc28763 \h </w:instrText>
      </w:r>
      <w:r>
        <w:fldChar w:fldCharType="separate"/>
      </w:r>
      <w:r>
        <w:t>23</w:t>
      </w:r>
      <w:r>
        <w:fldChar w:fldCharType="end"/>
      </w:r>
      <w:r>
        <w:fldChar w:fldCharType="end"/>
      </w:r>
    </w:p>
    <w:p>
      <w:pPr>
        <w:pStyle w:val="38"/>
        <w:tabs>
          <w:tab w:val="right" w:leader="dot" w:pos="9214"/>
        </w:tabs>
      </w:pPr>
      <w:r>
        <w:fldChar w:fldCharType="begin"/>
      </w:r>
      <w:r>
        <w:instrText xml:space="preserve"> HYPERLINK \l "_Toc20051" </w:instrText>
      </w:r>
      <w:r>
        <w:fldChar w:fldCharType="separate"/>
      </w:r>
      <w:r>
        <w:rPr>
          <w:szCs w:val="28"/>
        </w:rPr>
        <w:t xml:space="preserve">2.8 </w:t>
      </w:r>
      <w:r>
        <w:rPr>
          <w:rFonts w:hint="eastAsia"/>
        </w:rPr>
        <w:t>询问、质疑和投诉</w:t>
      </w:r>
      <w:r>
        <w:tab/>
      </w:r>
      <w:r>
        <w:fldChar w:fldCharType="begin"/>
      </w:r>
      <w:r>
        <w:instrText xml:space="preserve"> PAGEREF _Toc20051 \h </w:instrText>
      </w:r>
      <w:r>
        <w:fldChar w:fldCharType="separate"/>
      </w:r>
      <w:r>
        <w:t>25</w:t>
      </w:r>
      <w:r>
        <w:fldChar w:fldCharType="end"/>
      </w:r>
      <w:r>
        <w:fldChar w:fldCharType="end"/>
      </w:r>
    </w:p>
    <w:p>
      <w:pPr>
        <w:pStyle w:val="38"/>
        <w:tabs>
          <w:tab w:val="right" w:leader="dot" w:pos="9214"/>
        </w:tabs>
      </w:pPr>
      <w:r>
        <w:fldChar w:fldCharType="begin"/>
      </w:r>
      <w:r>
        <w:instrText xml:space="preserve"> HYPERLINK \l "_Toc17983" </w:instrText>
      </w:r>
      <w:r>
        <w:fldChar w:fldCharType="separate"/>
      </w:r>
      <w:r>
        <w:rPr>
          <w:szCs w:val="28"/>
        </w:rPr>
        <w:t xml:space="preserve">2.9 </w:t>
      </w:r>
      <w:r>
        <w:rPr>
          <w:rFonts w:hint="eastAsia"/>
        </w:rPr>
        <w:t>中小企业信用担保融资</w:t>
      </w:r>
      <w:r>
        <w:tab/>
      </w:r>
      <w:r>
        <w:fldChar w:fldCharType="begin"/>
      </w:r>
      <w:r>
        <w:instrText xml:space="preserve"> PAGEREF _Toc17983 \h </w:instrText>
      </w:r>
      <w:r>
        <w:fldChar w:fldCharType="separate"/>
      </w:r>
      <w:r>
        <w:t>27</w:t>
      </w:r>
      <w:r>
        <w:fldChar w:fldCharType="end"/>
      </w:r>
      <w:r>
        <w:fldChar w:fldCharType="end"/>
      </w:r>
    </w:p>
    <w:p>
      <w:pPr>
        <w:pStyle w:val="38"/>
        <w:tabs>
          <w:tab w:val="right" w:leader="dot" w:pos="9214"/>
        </w:tabs>
      </w:pPr>
      <w:r>
        <w:fldChar w:fldCharType="begin"/>
      </w:r>
      <w:r>
        <w:instrText xml:space="preserve"> HYPERLINK \l "_Toc20916" </w:instrText>
      </w:r>
      <w:r>
        <w:fldChar w:fldCharType="separate"/>
      </w:r>
      <w:r>
        <w:rPr>
          <w:szCs w:val="28"/>
        </w:rPr>
        <w:t xml:space="preserve">2.10 </w:t>
      </w:r>
      <w:r>
        <w:rPr>
          <w:rFonts w:hint="eastAsia"/>
        </w:rPr>
        <w:t>其他</w:t>
      </w:r>
      <w:r>
        <w:tab/>
      </w:r>
      <w:r>
        <w:fldChar w:fldCharType="begin"/>
      </w:r>
      <w:r>
        <w:instrText xml:space="preserve"> PAGEREF _Toc20916 \h </w:instrText>
      </w:r>
      <w:r>
        <w:fldChar w:fldCharType="separate"/>
      </w:r>
      <w:r>
        <w:t>27</w:t>
      </w:r>
      <w:r>
        <w:fldChar w:fldCharType="end"/>
      </w:r>
      <w:r>
        <w:fldChar w:fldCharType="end"/>
      </w:r>
    </w:p>
    <w:p>
      <w:pPr>
        <w:pStyle w:val="31"/>
        <w:tabs>
          <w:tab w:val="right" w:leader="dot" w:pos="9214"/>
          <w:tab w:val="clear" w:pos="840"/>
          <w:tab w:val="clear" w:pos="9204"/>
        </w:tabs>
      </w:pPr>
      <w:r>
        <w:fldChar w:fldCharType="begin"/>
      </w:r>
      <w:r>
        <w:instrText xml:space="preserve"> HYPERLINK \l "_Toc7065" </w:instrText>
      </w:r>
      <w:r>
        <w:fldChar w:fldCharType="separate"/>
      </w:r>
      <w:r>
        <w:rPr>
          <w:szCs w:val="32"/>
        </w:rPr>
        <w:t xml:space="preserve">第3章 </w:t>
      </w:r>
      <w:r>
        <w:rPr>
          <w:rFonts w:hint="eastAsia"/>
        </w:rPr>
        <w:t>响应文件格式</w:t>
      </w:r>
      <w:r>
        <w:tab/>
      </w:r>
      <w:r>
        <w:fldChar w:fldCharType="begin"/>
      </w:r>
      <w:r>
        <w:instrText xml:space="preserve"> PAGEREF _Toc7065 \h </w:instrText>
      </w:r>
      <w:r>
        <w:fldChar w:fldCharType="separate"/>
      </w:r>
      <w:r>
        <w:t>28</w:t>
      </w:r>
      <w:r>
        <w:fldChar w:fldCharType="end"/>
      </w:r>
      <w:r>
        <w:fldChar w:fldCharType="end"/>
      </w:r>
    </w:p>
    <w:p>
      <w:pPr>
        <w:pStyle w:val="38"/>
        <w:tabs>
          <w:tab w:val="right" w:leader="dot" w:pos="9214"/>
        </w:tabs>
      </w:pPr>
      <w:r>
        <w:fldChar w:fldCharType="begin"/>
      </w:r>
      <w:r>
        <w:instrText xml:space="preserve"> HYPERLINK \l "_Toc26443" </w:instrText>
      </w:r>
      <w:r>
        <w:fldChar w:fldCharType="separate"/>
      </w:r>
      <w:r>
        <w:rPr>
          <w:szCs w:val="28"/>
        </w:rPr>
        <w:t xml:space="preserve">3.1 </w:t>
      </w:r>
      <w:r>
        <w:rPr>
          <w:rFonts w:hint="eastAsia"/>
        </w:rPr>
        <w:t>资格性响应文件格式</w:t>
      </w:r>
      <w:r>
        <w:tab/>
      </w:r>
      <w:r>
        <w:fldChar w:fldCharType="begin"/>
      </w:r>
      <w:r>
        <w:instrText xml:space="preserve"> PAGEREF _Toc26443 \h </w:instrText>
      </w:r>
      <w:r>
        <w:fldChar w:fldCharType="separate"/>
      </w:r>
      <w:r>
        <w:t>28</w:t>
      </w:r>
      <w:r>
        <w:fldChar w:fldCharType="end"/>
      </w:r>
      <w:r>
        <w:fldChar w:fldCharType="end"/>
      </w:r>
    </w:p>
    <w:p>
      <w:pPr>
        <w:pStyle w:val="38"/>
        <w:tabs>
          <w:tab w:val="right" w:leader="dot" w:pos="9214"/>
        </w:tabs>
      </w:pPr>
      <w:r>
        <w:fldChar w:fldCharType="begin"/>
      </w:r>
      <w:r>
        <w:instrText xml:space="preserve"> HYPERLINK \l "_Toc32137" </w:instrText>
      </w:r>
      <w:r>
        <w:fldChar w:fldCharType="separate"/>
      </w:r>
      <w:r>
        <w:rPr>
          <w:szCs w:val="28"/>
        </w:rPr>
        <w:t xml:space="preserve">3.2 </w:t>
      </w:r>
      <w:r>
        <w:rPr>
          <w:rFonts w:hint="eastAsia"/>
        </w:rPr>
        <w:t>技术、服务性响应文件格式</w:t>
      </w:r>
      <w:r>
        <w:tab/>
      </w:r>
      <w:r>
        <w:fldChar w:fldCharType="begin"/>
      </w:r>
      <w:r>
        <w:instrText xml:space="preserve"> PAGEREF _Toc32137 \h </w:instrText>
      </w:r>
      <w:r>
        <w:fldChar w:fldCharType="separate"/>
      </w:r>
      <w:r>
        <w:t>39</w:t>
      </w:r>
      <w:r>
        <w:fldChar w:fldCharType="end"/>
      </w:r>
      <w:r>
        <w:fldChar w:fldCharType="end"/>
      </w:r>
    </w:p>
    <w:p>
      <w:pPr>
        <w:pStyle w:val="38"/>
        <w:tabs>
          <w:tab w:val="right" w:leader="dot" w:pos="9214"/>
        </w:tabs>
      </w:pPr>
      <w:r>
        <w:fldChar w:fldCharType="begin"/>
      </w:r>
      <w:r>
        <w:instrText xml:space="preserve"> HYPERLINK \l "_Toc11906" </w:instrText>
      </w:r>
      <w:r>
        <w:fldChar w:fldCharType="separate"/>
      </w:r>
      <w:r>
        <w:rPr>
          <w:szCs w:val="28"/>
        </w:rPr>
        <w:t xml:space="preserve">3.3 </w:t>
      </w:r>
      <w:r>
        <w:rPr>
          <w:rFonts w:hint="eastAsia"/>
        </w:rPr>
        <w:t>最后报价表</w:t>
      </w:r>
      <w:r>
        <w:tab/>
      </w:r>
      <w:r>
        <w:fldChar w:fldCharType="begin"/>
      </w:r>
      <w:r>
        <w:instrText xml:space="preserve"> PAGEREF _Toc11906 \h </w:instrText>
      </w:r>
      <w:r>
        <w:fldChar w:fldCharType="separate"/>
      </w:r>
      <w:r>
        <w:t>43</w:t>
      </w:r>
      <w:r>
        <w:fldChar w:fldCharType="end"/>
      </w:r>
      <w:r>
        <w:fldChar w:fldCharType="end"/>
      </w:r>
    </w:p>
    <w:p>
      <w:pPr>
        <w:pStyle w:val="31"/>
        <w:tabs>
          <w:tab w:val="right" w:leader="dot" w:pos="9214"/>
          <w:tab w:val="clear" w:pos="840"/>
          <w:tab w:val="clear" w:pos="9204"/>
        </w:tabs>
      </w:pPr>
      <w:r>
        <w:fldChar w:fldCharType="begin"/>
      </w:r>
      <w:r>
        <w:instrText xml:space="preserve"> HYPERLINK \l "_Toc24939" </w:instrText>
      </w:r>
      <w:r>
        <w:fldChar w:fldCharType="separate"/>
      </w:r>
      <w:r>
        <w:rPr>
          <w:szCs w:val="32"/>
        </w:rPr>
        <w:t xml:space="preserve">第4章 </w:t>
      </w:r>
      <w:r>
        <w:rPr>
          <w:rFonts w:hint="eastAsia"/>
        </w:rPr>
        <w:t>技术、服务、商务及其他要求</w:t>
      </w:r>
      <w:r>
        <w:tab/>
      </w:r>
      <w:r>
        <w:fldChar w:fldCharType="begin"/>
      </w:r>
      <w:r>
        <w:instrText xml:space="preserve"> PAGEREF _Toc24939 \h </w:instrText>
      </w:r>
      <w:r>
        <w:fldChar w:fldCharType="separate"/>
      </w:r>
      <w:r>
        <w:t>44</w:t>
      </w:r>
      <w:r>
        <w:fldChar w:fldCharType="end"/>
      </w:r>
      <w:r>
        <w:fldChar w:fldCharType="end"/>
      </w:r>
    </w:p>
    <w:p>
      <w:pPr>
        <w:pStyle w:val="38"/>
        <w:tabs>
          <w:tab w:val="right" w:leader="dot" w:pos="9214"/>
        </w:tabs>
      </w:pPr>
      <w:r>
        <w:fldChar w:fldCharType="begin"/>
      </w:r>
      <w:r>
        <w:instrText xml:space="preserve"> HYPERLINK \l "_Toc21599" </w:instrText>
      </w:r>
      <w:r>
        <w:fldChar w:fldCharType="separate"/>
      </w:r>
      <w:r>
        <w:rPr>
          <w:szCs w:val="28"/>
        </w:rPr>
        <w:t xml:space="preserve">4.1 </w:t>
      </w:r>
      <w:r>
        <w:rPr>
          <w:rFonts w:hint="eastAsia"/>
        </w:rPr>
        <w:t>服务内容及要求</w:t>
      </w:r>
      <w:r>
        <w:tab/>
      </w:r>
      <w:r>
        <w:fldChar w:fldCharType="begin"/>
      </w:r>
      <w:r>
        <w:instrText xml:space="preserve"> PAGEREF _Toc21599 \h </w:instrText>
      </w:r>
      <w:r>
        <w:fldChar w:fldCharType="separate"/>
      </w:r>
      <w:r>
        <w:t>44</w:t>
      </w:r>
      <w:r>
        <w:fldChar w:fldCharType="end"/>
      </w:r>
      <w:r>
        <w:fldChar w:fldCharType="end"/>
      </w:r>
    </w:p>
    <w:p>
      <w:pPr>
        <w:pStyle w:val="38"/>
        <w:tabs>
          <w:tab w:val="right" w:leader="dot" w:pos="9214"/>
        </w:tabs>
      </w:pPr>
      <w:r>
        <w:fldChar w:fldCharType="begin"/>
      </w:r>
      <w:r>
        <w:instrText xml:space="preserve"> HYPERLINK \l "_Toc229" </w:instrText>
      </w:r>
      <w:r>
        <w:fldChar w:fldCharType="separate"/>
      </w:r>
      <w:r>
        <w:rPr>
          <w:szCs w:val="28"/>
        </w:rPr>
        <w:t xml:space="preserve">4.2 </w:t>
      </w:r>
      <w:r>
        <w:rPr>
          <w:rFonts w:hint="eastAsia"/>
        </w:rPr>
        <w:t>满足采购需求的最低要求</w:t>
      </w:r>
      <w:r>
        <w:tab/>
      </w:r>
      <w:r>
        <w:fldChar w:fldCharType="begin"/>
      </w:r>
      <w:r>
        <w:instrText xml:space="preserve"> PAGEREF _Toc229 \h </w:instrText>
      </w:r>
      <w:r>
        <w:fldChar w:fldCharType="separate"/>
      </w:r>
      <w:r>
        <w:t>70</w:t>
      </w:r>
      <w:r>
        <w:fldChar w:fldCharType="end"/>
      </w:r>
      <w:r>
        <w:fldChar w:fldCharType="end"/>
      </w:r>
    </w:p>
    <w:p>
      <w:pPr>
        <w:pStyle w:val="31"/>
        <w:tabs>
          <w:tab w:val="right" w:leader="dot" w:pos="9214"/>
          <w:tab w:val="clear" w:pos="840"/>
          <w:tab w:val="clear" w:pos="9204"/>
        </w:tabs>
      </w:pPr>
      <w:r>
        <w:fldChar w:fldCharType="begin"/>
      </w:r>
      <w:r>
        <w:instrText xml:space="preserve"> HYPERLINK \l "_Toc12767" </w:instrText>
      </w:r>
      <w:r>
        <w:fldChar w:fldCharType="separate"/>
      </w:r>
      <w:r>
        <w:rPr>
          <w:szCs w:val="32"/>
        </w:rPr>
        <w:t xml:space="preserve">第5章 </w:t>
      </w:r>
      <w:r>
        <w:rPr>
          <w:rFonts w:hint="eastAsia"/>
        </w:rPr>
        <w:t>资格性审查</w:t>
      </w:r>
      <w:r>
        <w:tab/>
      </w:r>
      <w:r>
        <w:fldChar w:fldCharType="begin"/>
      </w:r>
      <w:r>
        <w:instrText xml:space="preserve"> PAGEREF _Toc12767 \h </w:instrText>
      </w:r>
      <w:r>
        <w:fldChar w:fldCharType="separate"/>
      </w:r>
      <w:r>
        <w:t>71</w:t>
      </w:r>
      <w:r>
        <w:fldChar w:fldCharType="end"/>
      </w:r>
      <w:r>
        <w:fldChar w:fldCharType="end"/>
      </w:r>
    </w:p>
    <w:p>
      <w:pPr>
        <w:pStyle w:val="31"/>
        <w:tabs>
          <w:tab w:val="right" w:leader="dot" w:pos="9214"/>
          <w:tab w:val="clear" w:pos="840"/>
          <w:tab w:val="clear" w:pos="9204"/>
        </w:tabs>
      </w:pPr>
      <w:r>
        <w:fldChar w:fldCharType="begin"/>
      </w:r>
      <w:r>
        <w:instrText xml:space="preserve"> HYPERLINK \l "_Toc26433" </w:instrText>
      </w:r>
      <w:r>
        <w:fldChar w:fldCharType="separate"/>
      </w:r>
      <w:r>
        <w:rPr>
          <w:szCs w:val="32"/>
        </w:rPr>
        <w:t xml:space="preserve">第6章 </w:t>
      </w:r>
      <w:r>
        <w:rPr>
          <w:rFonts w:hint="eastAsia"/>
        </w:rPr>
        <w:t>磋商办法</w:t>
      </w:r>
      <w:r>
        <w:tab/>
      </w:r>
      <w:r>
        <w:fldChar w:fldCharType="begin"/>
      </w:r>
      <w:r>
        <w:instrText xml:space="preserve"> PAGEREF _Toc26433 \h </w:instrText>
      </w:r>
      <w:r>
        <w:fldChar w:fldCharType="separate"/>
      </w:r>
      <w:r>
        <w:t>76</w:t>
      </w:r>
      <w:r>
        <w:fldChar w:fldCharType="end"/>
      </w:r>
      <w:r>
        <w:fldChar w:fldCharType="end"/>
      </w:r>
    </w:p>
    <w:p>
      <w:pPr>
        <w:pStyle w:val="38"/>
        <w:tabs>
          <w:tab w:val="right" w:leader="dot" w:pos="9214"/>
        </w:tabs>
      </w:pPr>
      <w:r>
        <w:fldChar w:fldCharType="begin"/>
      </w:r>
      <w:r>
        <w:instrText xml:space="preserve"> HYPERLINK \l "_Toc27223" </w:instrText>
      </w:r>
      <w:r>
        <w:fldChar w:fldCharType="separate"/>
      </w:r>
      <w:r>
        <w:rPr>
          <w:szCs w:val="28"/>
        </w:rPr>
        <w:t xml:space="preserve">6.1 </w:t>
      </w:r>
      <w:r>
        <w:rPr>
          <w:rFonts w:hint="eastAsia"/>
        </w:rPr>
        <w:t>总则</w:t>
      </w:r>
      <w:r>
        <w:tab/>
      </w:r>
      <w:r>
        <w:fldChar w:fldCharType="begin"/>
      </w:r>
      <w:r>
        <w:instrText xml:space="preserve"> PAGEREF _Toc27223 \h </w:instrText>
      </w:r>
      <w:r>
        <w:fldChar w:fldCharType="separate"/>
      </w:r>
      <w:r>
        <w:t>76</w:t>
      </w:r>
      <w:r>
        <w:fldChar w:fldCharType="end"/>
      </w:r>
      <w:r>
        <w:fldChar w:fldCharType="end"/>
      </w:r>
    </w:p>
    <w:p>
      <w:pPr>
        <w:pStyle w:val="38"/>
        <w:tabs>
          <w:tab w:val="right" w:leader="dot" w:pos="9214"/>
        </w:tabs>
      </w:pPr>
      <w:r>
        <w:fldChar w:fldCharType="begin"/>
      </w:r>
      <w:r>
        <w:instrText xml:space="preserve"> HYPERLINK \l "_Toc17105" </w:instrText>
      </w:r>
      <w:r>
        <w:fldChar w:fldCharType="separate"/>
      </w:r>
      <w:r>
        <w:rPr>
          <w:szCs w:val="28"/>
        </w:rPr>
        <w:t xml:space="preserve">6.2 </w:t>
      </w:r>
      <w:r>
        <w:rPr>
          <w:rFonts w:hint="eastAsia"/>
        </w:rPr>
        <w:t>磋商程序</w:t>
      </w:r>
      <w:r>
        <w:tab/>
      </w:r>
      <w:r>
        <w:fldChar w:fldCharType="begin"/>
      </w:r>
      <w:r>
        <w:instrText xml:space="preserve"> PAGEREF _Toc17105 \h </w:instrText>
      </w:r>
      <w:r>
        <w:fldChar w:fldCharType="separate"/>
      </w:r>
      <w:r>
        <w:t>77</w:t>
      </w:r>
      <w:r>
        <w:fldChar w:fldCharType="end"/>
      </w:r>
      <w:r>
        <w:fldChar w:fldCharType="end"/>
      </w:r>
    </w:p>
    <w:p>
      <w:pPr>
        <w:pStyle w:val="38"/>
        <w:tabs>
          <w:tab w:val="right" w:leader="dot" w:pos="9214"/>
        </w:tabs>
      </w:pPr>
      <w:r>
        <w:fldChar w:fldCharType="begin"/>
      </w:r>
      <w:r>
        <w:instrText xml:space="preserve"> HYPERLINK \l "_Toc29153" </w:instrText>
      </w:r>
      <w:r>
        <w:fldChar w:fldCharType="separate"/>
      </w:r>
      <w:r>
        <w:t xml:space="preserve">6.2.1 </w:t>
      </w:r>
      <w:r>
        <w:rPr>
          <w:rFonts w:hint="eastAsia"/>
        </w:rPr>
        <w:t>确定邀请参加磋商的供应商数量</w:t>
      </w:r>
      <w:r>
        <w:tab/>
      </w:r>
      <w:r>
        <w:fldChar w:fldCharType="begin"/>
      </w:r>
      <w:r>
        <w:instrText xml:space="preserve"> PAGEREF _Toc29153 \h </w:instrText>
      </w:r>
      <w:r>
        <w:fldChar w:fldCharType="separate"/>
      </w:r>
      <w:r>
        <w:t>77</w:t>
      </w:r>
      <w:r>
        <w:fldChar w:fldCharType="end"/>
      </w:r>
      <w:r>
        <w:fldChar w:fldCharType="end"/>
      </w:r>
    </w:p>
    <w:p>
      <w:pPr>
        <w:pStyle w:val="38"/>
        <w:tabs>
          <w:tab w:val="right" w:leader="dot" w:pos="9214"/>
        </w:tabs>
      </w:pPr>
      <w:r>
        <w:fldChar w:fldCharType="begin"/>
      </w:r>
      <w:r>
        <w:instrText xml:space="preserve"> HYPERLINK \l "_Toc25130" </w:instrText>
      </w:r>
      <w:r>
        <w:fldChar w:fldCharType="separate"/>
      </w:r>
      <w:r>
        <w:t xml:space="preserve">6.2.2 </w:t>
      </w:r>
      <w:r>
        <w:rPr>
          <w:rFonts w:hint="eastAsia"/>
        </w:rPr>
        <w:t>成立磋商小组</w:t>
      </w:r>
      <w:r>
        <w:tab/>
      </w:r>
      <w:r>
        <w:fldChar w:fldCharType="begin"/>
      </w:r>
      <w:r>
        <w:instrText xml:space="preserve"> PAGEREF _Toc25130 \h </w:instrText>
      </w:r>
      <w:r>
        <w:fldChar w:fldCharType="separate"/>
      </w:r>
      <w:r>
        <w:t>77</w:t>
      </w:r>
      <w:r>
        <w:fldChar w:fldCharType="end"/>
      </w:r>
      <w:r>
        <w:fldChar w:fldCharType="end"/>
      </w:r>
    </w:p>
    <w:p>
      <w:pPr>
        <w:pStyle w:val="38"/>
        <w:tabs>
          <w:tab w:val="right" w:leader="dot" w:pos="9214"/>
        </w:tabs>
      </w:pPr>
      <w:r>
        <w:fldChar w:fldCharType="begin"/>
      </w:r>
      <w:r>
        <w:instrText xml:space="preserve"> HYPERLINK \l "_Toc25620" </w:instrText>
      </w:r>
      <w:r>
        <w:fldChar w:fldCharType="separate"/>
      </w:r>
      <w:r>
        <w:t xml:space="preserve">6.2.3 </w:t>
      </w:r>
      <w:r>
        <w:rPr>
          <w:rFonts w:hint="eastAsia"/>
        </w:rPr>
        <w:t>磋商</w:t>
      </w:r>
      <w:r>
        <w:tab/>
      </w:r>
      <w:r>
        <w:fldChar w:fldCharType="begin"/>
      </w:r>
      <w:r>
        <w:instrText xml:space="preserve"> PAGEREF _Toc25620 \h </w:instrText>
      </w:r>
      <w:r>
        <w:fldChar w:fldCharType="separate"/>
      </w:r>
      <w:r>
        <w:t>78</w:t>
      </w:r>
      <w:r>
        <w:fldChar w:fldCharType="end"/>
      </w:r>
      <w:r>
        <w:fldChar w:fldCharType="end"/>
      </w:r>
    </w:p>
    <w:p>
      <w:pPr>
        <w:pStyle w:val="38"/>
        <w:tabs>
          <w:tab w:val="right" w:leader="dot" w:pos="9214"/>
        </w:tabs>
      </w:pPr>
      <w:r>
        <w:fldChar w:fldCharType="begin"/>
      </w:r>
      <w:r>
        <w:instrText xml:space="preserve"> HYPERLINK \l "_Toc17526" </w:instrText>
      </w:r>
      <w:r>
        <w:fldChar w:fldCharType="separate"/>
      </w:r>
      <w:r>
        <w:t xml:space="preserve">6.2.4 </w:t>
      </w:r>
      <w:r>
        <w:rPr>
          <w:rFonts w:hint="eastAsia"/>
        </w:rPr>
        <w:t>符合性审查</w:t>
      </w:r>
      <w:r>
        <w:tab/>
      </w:r>
      <w:r>
        <w:fldChar w:fldCharType="begin"/>
      </w:r>
      <w:r>
        <w:instrText xml:space="preserve"> PAGEREF _Toc17526 \h </w:instrText>
      </w:r>
      <w:r>
        <w:fldChar w:fldCharType="separate"/>
      </w:r>
      <w:r>
        <w:t>79</w:t>
      </w:r>
      <w:r>
        <w:fldChar w:fldCharType="end"/>
      </w:r>
      <w:r>
        <w:fldChar w:fldCharType="end"/>
      </w:r>
    </w:p>
    <w:p>
      <w:pPr>
        <w:pStyle w:val="38"/>
        <w:tabs>
          <w:tab w:val="right" w:leader="dot" w:pos="9214"/>
        </w:tabs>
      </w:pPr>
      <w:r>
        <w:fldChar w:fldCharType="begin"/>
      </w:r>
      <w:r>
        <w:instrText xml:space="preserve"> HYPERLINK \l "_Toc5531" </w:instrText>
      </w:r>
      <w:r>
        <w:fldChar w:fldCharType="separate"/>
      </w:r>
      <w:r>
        <w:t xml:space="preserve">6.2.5 </w:t>
      </w:r>
      <w:r>
        <w:rPr>
          <w:rFonts w:hint="eastAsia"/>
        </w:rPr>
        <w:t>最后报价审查</w:t>
      </w:r>
      <w:r>
        <w:tab/>
      </w:r>
      <w:r>
        <w:fldChar w:fldCharType="begin"/>
      </w:r>
      <w:r>
        <w:instrText xml:space="preserve"> PAGEREF _Toc5531 \h </w:instrText>
      </w:r>
      <w:r>
        <w:fldChar w:fldCharType="separate"/>
      </w:r>
      <w:r>
        <w:t>81</w:t>
      </w:r>
      <w:r>
        <w:fldChar w:fldCharType="end"/>
      </w:r>
      <w:r>
        <w:fldChar w:fldCharType="end"/>
      </w:r>
    </w:p>
    <w:p>
      <w:pPr>
        <w:pStyle w:val="38"/>
        <w:tabs>
          <w:tab w:val="right" w:leader="dot" w:pos="9214"/>
        </w:tabs>
      </w:pPr>
      <w:r>
        <w:fldChar w:fldCharType="begin"/>
      </w:r>
      <w:r>
        <w:instrText xml:space="preserve"> HYPERLINK \l "_Toc7481" </w:instrText>
      </w:r>
      <w:r>
        <w:fldChar w:fldCharType="separate"/>
      </w:r>
      <w:r>
        <w:rPr>
          <w:szCs w:val="28"/>
        </w:rPr>
        <w:t xml:space="preserve">6.3 </w:t>
      </w:r>
      <w:r>
        <w:rPr>
          <w:rFonts w:hint="eastAsia"/>
        </w:rPr>
        <w:t>争议处理规则</w:t>
      </w:r>
      <w:r>
        <w:tab/>
      </w:r>
      <w:r>
        <w:fldChar w:fldCharType="begin"/>
      </w:r>
      <w:r>
        <w:instrText xml:space="preserve"> PAGEREF _Toc7481 \h </w:instrText>
      </w:r>
      <w:r>
        <w:fldChar w:fldCharType="separate"/>
      </w:r>
      <w:r>
        <w:t>86</w:t>
      </w:r>
      <w:r>
        <w:fldChar w:fldCharType="end"/>
      </w:r>
      <w:r>
        <w:fldChar w:fldCharType="end"/>
      </w:r>
    </w:p>
    <w:p>
      <w:pPr>
        <w:pStyle w:val="38"/>
        <w:tabs>
          <w:tab w:val="right" w:leader="dot" w:pos="9214"/>
        </w:tabs>
      </w:pPr>
      <w:r>
        <w:fldChar w:fldCharType="begin"/>
      </w:r>
      <w:r>
        <w:instrText xml:space="preserve"> HYPERLINK \l "_Toc24425" </w:instrText>
      </w:r>
      <w:r>
        <w:fldChar w:fldCharType="separate"/>
      </w:r>
      <w:r>
        <w:rPr>
          <w:szCs w:val="28"/>
        </w:rPr>
        <w:t xml:space="preserve">6.4 </w:t>
      </w:r>
      <w:r>
        <w:rPr>
          <w:rFonts w:hint="eastAsia"/>
        </w:rPr>
        <w:t>评审办法和标准</w:t>
      </w:r>
      <w:r>
        <w:tab/>
      </w:r>
      <w:r>
        <w:fldChar w:fldCharType="begin"/>
      </w:r>
      <w:r>
        <w:instrText xml:space="preserve"> PAGEREF _Toc24425 \h </w:instrText>
      </w:r>
      <w:r>
        <w:fldChar w:fldCharType="separate"/>
      </w:r>
      <w:r>
        <w:t>86</w:t>
      </w:r>
      <w:r>
        <w:fldChar w:fldCharType="end"/>
      </w:r>
      <w:r>
        <w:fldChar w:fldCharType="end"/>
      </w:r>
    </w:p>
    <w:p>
      <w:pPr>
        <w:pStyle w:val="38"/>
        <w:tabs>
          <w:tab w:val="right" w:leader="dot" w:pos="9214"/>
        </w:tabs>
      </w:pPr>
      <w:r>
        <w:fldChar w:fldCharType="begin"/>
      </w:r>
      <w:r>
        <w:instrText xml:space="preserve"> HYPERLINK \l "_Toc28462" </w:instrText>
      </w:r>
      <w:r>
        <w:fldChar w:fldCharType="separate"/>
      </w:r>
      <w:r>
        <w:rPr>
          <w:szCs w:val="28"/>
        </w:rPr>
        <w:t xml:space="preserve">6.5 </w:t>
      </w:r>
      <w:r>
        <w:rPr>
          <w:rFonts w:hint="eastAsia"/>
        </w:rPr>
        <w:t>采购失败情形</w:t>
      </w:r>
      <w:r>
        <w:tab/>
      </w:r>
      <w:r>
        <w:fldChar w:fldCharType="begin"/>
      </w:r>
      <w:r>
        <w:instrText xml:space="preserve"> PAGEREF _Toc28462 \h </w:instrText>
      </w:r>
      <w:r>
        <w:fldChar w:fldCharType="separate"/>
      </w:r>
      <w:r>
        <w:t>90</w:t>
      </w:r>
      <w:r>
        <w:fldChar w:fldCharType="end"/>
      </w:r>
      <w:r>
        <w:fldChar w:fldCharType="end"/>
      </w:r>
    </w:p>
    <w:p>
      <w:pPr>
        <w:pStyle w:val="38"/>
        <w:tabs>
          <w:tab w:val="right" w:leader="dot" w:pos="9214"/>
        </w:tabs>
      </w:pPr>
      <w:r>
        <w:fldChar w:fldCharType="begin"/>
      </w:r>
      <w:r>
        <w:instrText xml:space="preserve"> HYPERLINK \l "_Toc22676" </w:instrText>
      </w:r>
      <w:r>
        <w:fldChar w:fldCharType="separate"/>
      </w:r>
      <w:r>
        <w:rPr>
          <w:szCs w:val="28"/>
        </w:rPr>
        <w:t xml:space="preserve">6.6 </w:t>
      </w:r>
      <w:r>
        <w:rPr>
          <w:rFonts w:hint="eastAsia"/>
        </w:rPr>
        <w:t>确定成交供应商</w:t>
      </w:r>
      <w:r>
        <w:tab/>
      </w:r>
      <w:r>
        <w:fldChar w:fldCharType="begin"/>
      </w:r>
      <w:r>
        <w:instrText xml:space="preserve"> PAGEREF _Toc22676 \h </w:instrText>
      </w:r>
      <w:r>
        <w:fldChar w:fldCharType="separate"/>
      </w:r>
      <w:r>
        <w:t>91</w:t>
      </w:r>
      <w:r>
        <w:fldChar w:fldCharType="end"/>
      </w:r>
      <w:r>
        <w:fldChar w:fldCharType="end"/>
      </w:r>
    </w:p>
    <w:p>
      <w:pPr>
        <w:pStyle w:val="38"/>
        <w:tabs>
          <w:tab w:val="right" w:leader="dot" w:pos="9214"/>
        </w:tabs>
      </w:pPr>
      <w:r>
        <w:fldChar w:fldCharType="begin"/>
      </w:r>
      <w:r>
        <w:instrText xml:space="preserve"> HYPERLINK \l "_Toc16174" </w:instrText>
      </w:r>
      <w:r>
        <w:fldChar w:fldCharType="separate"/>
      </w:r>
      <w:r>
        <w:rPr>
          <w:szCs w:val="28"/>
        </w:rPr>
        <w:t xml:space="preserve">6.7 </w:t>
      </w:r>
      <w:r>
        <w:rPr>
          <w:rFonts w:hint="eastAsia"/>
        </w:rPr>
        <w:t>磋商小组成员义务</w:t>
      </w:r>
      <w:r>
        <w:tab/>
      </w:r>
      <w:r>
        <w:fldChar w:fldCharType="begin"/>
      </w:r>
      <w:r>
        <w:instrText xml:space="preserve"> PAGEREF _Toc16174 \h </w:instrText>
      </w:r>
      <w:r>
        <w:fldChar w:fldCharType="separate"/>
      </w:r>
      <w:r>
        <w:t>92</w:t>
      </w:r>
      <w:r>
        <w:fldChar w:fldCharType="end"/>
      </w:r>
      <w:r>
        <w:fldChar w:fldCharType="end"/>
      </w:r>
    </w:p>
    <w:p>
      <w:pPr>
        <w:pStyle w:val="38"/>
        <w:tabs>
          <w:tab w:val="right" w:leader="dot" w:pos="9214"/>
        </w:tabs>
      </w:pPr>
      <w:r>
        <w:fldChar w:fldCharType="begin"/>
      </w:r>
      <w:r>
        <w:instrText xml:space="preserve"> HYPERLINK \l "_Toc7212" </w:instrText>
      </w:r>
      <w:r>
        <w:fldChar w:fldCharType="separate"/>
      </w:r>
      <w:r>
        <w:rPr>
          <w:szCs w:val="28"/>
        </w:rPr>
        <w:t xml:space="preserve">6.8 </w:t>
      </w:r>
      <w:r>
        <w:rPr>
          <w:rFonts w:hint="eastAsia"/>
        </w:rPr>
        <w:t>磋商小组及其成员不得有下列行为</w:t>
      </w:r>
      <w:r>
        <w:tab/>
      </w:r>
      <w:r>
        <w:fldChar w:fldCharType="begin"/>
      </w:r>
      <w:r>
        <w:instrText xml:space="preserve"> PAGEREF _Toc7212 \h </w:instrText>
      </w:r>
      <w:r>
        <w:fldChar w:fldCharType="separate"/>
      </w:r>
      <w:r>
        <w:t>93</w:t>
      </w:r>
      <w:r>
        <w:fldChar w:fldCharType="end"/>
      </w:r>
      <w:r>
        <w:fldChar w:fldCharType="end"/>
      </w:r>
    </w:p>
    <w:p>
      <w:pPr>
        <w:pStyle w:val="38"/>
        <w:tabs>
          <w:tab w:val="right" w:leader="dot" w:pos="9214"/>
        </w:tabs>
      </w:pPr>
      <w:r>
        <w:fldChar w:fldCharType="begin"/>
      </w:r>
      <w:r>
        <w:instrText xml:space="preserve"> HYPERLINK \l "_Toc10052" </w:instrText>
      </w:r>
      <w:r>
        <w:fldChar w:fldCharType="separate"/>
      </w:r>
      <w:r>
        <w:rPr>
          <w:szCs w:val="28"/>
        </w:rPr>
        <w:t xml:space="preserve">6.9 </w:t>
      </w:r>
      <w:r>
        <w:rPr>
          <w:rFonts w:hint="eastAsia"/>
        </w:rPr>
        <w:t>磋商纪律</w:t>
      </w:r>
      <w:r>
        <w:tab/>
      </w:r>
      <w:r>
        <w:fldChar w:fldCharType="begin"/>
      </w:r>
      <w:r>
        <w:instrText xml:space="preserve"> PAGEREF _Toc10052 \h </w:instrText>
      </w:r>
      <w:r>
        <w:fldChar w:fldCharType="separate"/>
      </w:r>
      <w:r>
        <w:t>93</w:t>
      </w:r>
      <w:r>
        <w:fldChar w:fldCharType="end"/>
      </w:r>
      <w:r>
        <w:fldChar w:fldCharType="end"/>
      </w:r>
    </w:p>
    <w:p>
      <w:pPr>
        <w:pStyle w:val="31"/>
        <w:tabs>
          <w:tab w:val="right" w:leader="dot" w:pos="9214"/>
          <w:tab w:val="clear" w:pos="840"/>
          <w:tab w:val="clear" w:pos="9204"/>
        </w:tabs>
      </w:pPr>
      <w:r>
        <w:fldChar w:fldCharType="begin"/>
      </w:r>
      <w:r>
        <w:instrText xml:space="preserve"> HYPERLINK \l "_Toc25209" </w:instrText>
      </w:r>
      <w:r>
        <w:fldChar w:fldCharType="separate"/>
      </w:r>
      <w:r>
        <w:rPr>
          <w:szCs w:val="32"/>
        </w:rPr>
        <w:t xml:space="preserve">第7章 </w:t>
      </w:r>
      <w:r>
        <w:rPr>
          <w:rFonts w:hint="eastAsia"/>
        </w:rPr>
        <w:t>政府</w:t>
      </w:r>
      <w:r>
        <w:t>采购</w:t>
      </w:r>
      <w:r>
        <w:rPr>
          <w:rFonts w:hint="eastAsia"/>
        </w:rPr>
        <w:t>合同草案</w:t>
      </w:r>
      <w:r>
        <w:tab/>
      </w:r>
      <w:r>
        <w:fldChar w:fldCharType="begin"/>
      </w:r>
      <w:r>
        <w:instrText xml:space="preserve"> PAGEREF _Toc25209 \h </w:instrText>
      </w:r>
      <w:r>
        <w:fldChar w:fldCharType="separate"/>
      </w:r>
      <w:r>
        <w:t>96</w:t>
      </w:r>
      <w:r>
        <w:fldChar w:fldCharType="end"/>
      </w:r>
      <w:r>
        <w:fldChar w:fldCharType="end"/>
      </w:r>
    </w:p>
    <w:p>
      <w:pPr>
        <w:pStyle w:val="31"/>
        <w:spacing w:line="300" w:lineRule="exact"/>
        <w:rPr>
          <w:rFonts w:ascii="宋体" w:hAnsi="宋体"/>
          <w:b w:val="0"/>
          <w:bCs w:val="0"/>
          <w:sz w:val="36"/>
          <w:szCs w:val="36"/>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宋体" w:hAnsi="宋体"/>
          <w:bCs w:val="0"/>
          <w:szCs w:val="36"/>
        </w:rPr>
        <w:fldChar w:fldCharType="end"/>
      </w:r>
    </w:p>
    <w:p>
      <w:pPr>
        <w:pStyle w:val="3"/>
        <w:numPr>
          <w:ilvl w:val="0"/>
          <w:numId w:val="1"/>
        </w:numPr>
        <w:spacing w:before="0" w:after="0"/>
        <w:ind w:left="0" w:firstLine="0"/>
      </w:pPr>
      <w:bookmarkStart w:id="0" w:name="_Toc22135"/>
      <w:r>
        <w:rPr>
          <w:rFonts w:hint="eastAsia"/>
        </w:rPr>
        <w:t>竞争性磋商邀请</w:t>
      </w:r>
      <w:bookmarkEnd w:id="0"/>
    </w:p>
    <w:p>
      <w:pPr>
        <w:spacing w:line="600" w:lineRule="exact"/>
        <w:ind w:right="-24" w:rightChars="-10" w:firstLine="565" w:firstLineChars="201"/>
        <w:rPr>
          <w:rFonts w:ascii="宋体" w:hAnsi="宋体"/>
          <w:sz w:val="28"/>
          <w:szCs w:val="28"/>
        </w:rPr>
      </w:pPr>
      <w:r>
        <w:rPr>
          <w:rFonts w:hint="eastAsia" w:ascii="宋体" w:hAnsi="宋体"/>
          <w:b/>
          <w:sz w:val="28"/>
          <w:szCs w:val="28"/>
        </w:rPr>
        <w:t>成都东部新区党工委管委会（成都市东部新城办）综合部</w:t>
      </w:r>
      <w:r>
        <w:rPr>
          <w:rFonts w:hint="eastAsia" w:ascii="宋体" w:hAnsi="宋体"/>
          <w:sz w:val="28"/>
          <w:szCs w:val="28"/>
        </w:rPr>
        <w:t>受成都东部新区福田街道办事处委托,拟对</w:t>
      </w:r>
      <w:r>
        <w:rPr>
          <w:rFonts w:hint="eastAsia" w:ascii="宋体" w:hAnsi="宋体"/>
          <w:b/>
          <w:sz w:val="28"/>
          <w:szCs w:val="28"/>
        </w:rPr>
        <w:t>成都东部新区福田街道办事处安置小区物业管理采购项目</w:t>
      </w:r>
      <w:r>
        <w:rPr>
          <w:rFonts w:hint="eastAsia" w:ascii="宋体" w:hAnsi="宋体"/>
          <w:sz w:val="28"/>
          <w:szCs w:val="28"/>
        </w:rPr>
        <w:t>采用竞争性磋商采购方式进行采购，兹邀请符合本次采购要求的供应商参加本项目的竞争性磋商。</w:t>
      </w:r>
    </w:p>
    <w:p>
      <w:pPr>
        <w:numPr>
          <w:ilvl w:val="0"/>
          <w:numId w:val="2"/>
        </w:numPr>
        <w:spacing w:line="600" w:lineRule="exact"/>
        <w:ind w:left="1134" w:hanging="563"/>
        <w:jc w:val="both"/>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sz w:val="28"/>
          <w:szCs w:val="28"/>
        </w:rPr>
        <w:t>东部新区政采招（2021）A0005号</w:t>
      </w:r>
    </w:p>
    <w:p>
      <w:pPr>
        <w:spacing w:line="600" w:lineRule="exact"/>
        <w:ind w:firstLine="562" w:firstLineChars="200"/>
        <w:rPr>
          <w:rFonts w:ascii="宋体" w:hAnsi="宋体"/>
          <w:b/>
          <w:sz w:val="28"/>
          <w:szCs w:val="28"/>
        </w:rPr>
      </w:pPr>
      <w:r>
        <w:rPr>
          <w:rFonts w:hint="eastAsia" w:ascii="宋体" w:hAnsi="宋体"/>
          <w:b/>
          <w:sz w:val="28"/>
          <w:szCs w:val="28"/>
        </w:rPr>
        <w:t>（采购项目编号：</w:t>
      </w:r>
      <w:r>
        <w:rPr>
          <w:rFonts w:ascii="宋体" w:hAnsi="宋体"/>
          <w:b/>
          <w:sz w:val="28"/>
          <w:szCs w:val="28"/>
        </w:rPr>
        <w:t>510118202100032</w:t>
      </w:r>
      <w:r>
        <w:rPr>
          <w:rFonts w:hint="eastAsia" w:ascii="宋体" w:hAnsi="宋体"/>
          <w:b/>
          <w:sz w:val="28"/>
          <w:szCs w:val="28"/>
        </w:rPr>
        <w:t>）</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项目名称</w:t>
      </w:r>
      <w:r>
        <w:rPr>
          <w:rFonts w:hint="eastAsia" w:ascii="宋体" w:hAnsi="宋体"/>
          <w:sz w:val="28"/>
          <w:szCs w:val="28"/>
        </w:rPr>
        <w:t>：成都东部新区福田街道办事处安置小区物业管理采购项目</w:t>
      </w:r>
    </w:p>
    <w:p>
      <w:pPr>
        <w:numPr>
          <w:ilvl w:val="0"/>
          <w:numId w:val="2"/>
        </w:numPr>
        <w:spacing w:line="600" w:lineRule="exact"/>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财政性资金，政府采购实施计划备案表号：（2021）0099号；预算品目：C1204物业管理服务；预算金额：383万元</w:t>
      </w:r>
      <w:r>
        <w:rPr>
          <w:rFonts w:hint="eastAsia" w:ascii="宋体" w:hAnsi="宋体"/>
          <w:sz w:val="28"/>
          <w:szCs w:val="28"/>
          <w:lang w:val="en-US" w:eastAsia="zh-CN"/>
        </w:rPr>
        <w:t>/年</w:t>
      </w:r>
      <w:r>
        <w:rPr>
          <w:rFonts w:hint="eastAsia" w:ascii="宋体" w:hAnsi="宋体"/>
          <w:sz w:val="28"/>
          <w:szCs w:val="28"/>
        </w:rPr>
        <w:t>，最高限价：383万元</w:t>
      </w:r>
      <w:r>
        <w:rPr>
          <w:rFonts w:hint="eastAsia" w:ascii="宋体" w:hAnsi="宋体"/>
          <w:sz w:val="28"/>
          <w:szCs w:val="28"/>
          <w:lang w:val="en-US" w:eastAsia="zh-CN"/>
        </w:rPr>
        <w:t>/年</w:t>
      </w:r>
      <w:r>
        <w:rPr>
          <w:rFonts w:hint="eastAsia" w:ascii="宋体" w:hAnsi="宋体"/>
          <w:sz w:val="28"/>
          <w:szCs w:val="28"/>
        </w:rPr>
        <w:t>；采购标的及所属行业：物业管理。</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采购项目简介：</w:t>
      </w:r>
    </w:p>
    <w:p>
      <w:pPr>
        <w:widowControl w:val="0"/>
        <w:spacing w:line="360" w:lineRule="auto"/>
        <w:ind w:firstLine="562" w:firstLineChars="201"/>
        <w:jc w:val="both"/>
        <w:rPr>
          <w:rFonts w:ascii="宋体" w:hAnsi="宋体"/>
          <w:kern w:val="2"/>
          <w:sz w:val="28"/>
        </w:rPr>
      </w:pPr>
      <w:r>
        <w:rPr>
          <w:rFonts w:hint="eastAsia" w:ascii="宋体" w:hAnsi="宋体"/>
          <w:kern w:val="2"/>
          <w:sz w:val="28"/>
        </w:rPr>
        <w:t>成都东部新区福田街道办事处社区工程一期安置小区，位于成都东部新区福田街道办事处定水村八组，项目占地134.58亩，总建筑面积约242,480.38平方米。其中地上住宅建筑面积194,366.43平方米；地上商业及配套建筑面积15,029.51平方米，公共配套建筑面积33,084.44平方米。</w:t>
      </w:r>
    </w:p>
    <w:p>
      <w:pPr>
        <w:tabs>
          <w:tab w:val="left" w:pos="1134"/>
        </w:tabs>
        <w:spacing w:line="600" w:lineRule="exact"/>
        <w:ind w:left="7" w:firstLine="560" w:firstLineChars="200"/>
        <w:rPr>
          <w:rFonts w:ascii="宋体" w:hAnsi="宋体"/>
          <w:kern w:val="2"/>
          <w:sz w:val="28"/>
        </w:rPr>
      </w:pPr>
      <w:r>
        <w:rPr>
          <w:rFonts w:hint="eastAsia" w:ascii="宋体" w:hAnsi="宋体"/>
          <w:kern w:val="2"/>
          <w:sz w:val="28"/>
        </w:rPr>
        <w:t>福田街道社区工程一期住宅共有电梯46部、出入口12个（主，次出入口共12个）、发电机3台，每台500千伏安，监控室4个，地下室机动车位1,513个，非机动车位1,604个、物业服务用房942.43平方米；总安置人数约2407人，安置户数约1424户。</w:t>
      </w:r>
    </w:p>
    <w:p>
      <w:pPr>
        <w:tabs>
          <w:tab w:val="left" w:pos="1134"/>
        </w:tabs>
        <w:spacing w:line="600" w:lineRule="exact"/>
        <w:ind w:left="7" w:firstLine="560" w:firstLineChars="200"/>
        <w:rPr>
          <w:rFonts w:ascii="宋体" w:hAnsi="宋体"/>
          <w:sz w:val="28"/>
          <w:szCs w:val="28"/>
        </w:rPr>
      </w:pPr>
      <w:r>
        <w:rPr>
          <w:rFonts w:hint="eastAsia" w:ascii="宋体" w:hAnsi="宋体"/>
          <w:sz w:val="28"/>
          <w:szCs w:val="28"/>
        </w:rPr>
        <w:t>详细的服务、商务及其他要求见第4章。</w:t>
      </w:r>
    </w:p>
    <w:p>
      <w:pPr>
        <w:numPr>
          <w:ilvl w:val="0"/>
          <w:numId w:val="2"/>
        </w:numPr>
        <w:spacing w:line="600" w:lineRule="exact"/>
        <w:ind w:left="0" w:firstLine="567"/>
        <w:rPr>
          <w:rFonts w:ascii="宋体" w:hAnsi="宋体"/>
          <w:sz w:val="28"/>
          <w:szCs w:val="28"/>
        </w:rPr>
      </w:pPr>
      <w:r>
        <w:rPr>
          <w:rFonts w:hint="eastAsia" w:ascii="宋体" w:hAnsi="宋体"/>
          <w:b/>
          <w:sz w:val="28"/>
        </w:rPr>
        <w:t>定向采购情况：</w:t>
      </w:r>
      <w:r>
        <w:rPr>
          <w:rFonts w:hint="eastAsia" w:ascii="宋体" w:hAnsi="宋体"/>
          <w:sz w:val="28"/>
        </w:rPr>
        <w:t>本项目专门面向中小企业采购。</w:t>
      </w:r>
    </w:p>
    <w:p>
      <w:pPr>
        <w:numPr>
          <w:ilvl w:val="0"/>
          <w:numId w:val="2"/>
        </w:numPr>
        <w:tabs>
          <w:tab w:val="left" w:pos="5949"/>
        </w:tabs>
        <w:spacing w:line="600" w:lineRule="exact"/>
        <w:ind w:left="0" w:firstLine="567"/>
        <w:jc w:val="both"/>
        <w:rPr>
          <w:rFonts w:ascii="宋体" w:hAnsi="宋体"/>
          <w:sz w:val="28"/>
        </w:rPr>
      </w:pPr>
      <w:r>
        <w:rPr>
          <w:rFonts w:hint="eastAsia" w:ascii="宋体" w:hAnsi="宋体"/>
          <w:b/>
          <w:bCs/>
          <w:sz w:val="28"/>
          <w:szCs w:val="28"/>
        </w:rPr>
        <w:t>邀请供应商：</w:t>
      </w:r>
      <w:r>
        <w:rPr>
          <w:rFonts w:hint="eastAsia" w:ascii="宋体" w:hAnsi="宋体"/>
          <w:sz w:val="28"/>
        </w:rPr>
        <w:t>本次竞争性磋商在四川政府采购网上以公告形式发布，</w:t>
      </w:r>
      <w:r>
        <w:rPr>
          <w:rFonts w:hint="eastAsia" w:ascii="宋体" w:hAnsi="宋体"/>
          <w:sz w:val="28"/>
          <w:szCs w:val="28"/>
        </w:rPr>
        <w:t>兹邀请符合本次采购要求的供应商参加本项目的竞争性磋商。</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符合《政府采购法》第二十二条第一款规定的条件；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未处于被行政部门禁止参与政府采购活动的期限内；</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在中华人民共和国境内依法登记注册，并有效存续具有独立法人资格的供应商；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本项目为专门面向中小企业采购项目，供应商应为中型、小型、微型企业（说明：供应商为监狱企业、残疾人福利性单位的视同小型、微型企业）；</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本次政府采购活动</w:t>
      </w:r>
      <w:r>
        <w:rPr>
          <w:rFonts w:hint="eastAsia" w:ascii="宋体" w:hAnsi="宋体"/>
          <w:b/>
          <w:bCs/>
          <w:sz w:val="28"/>
          <w:szCs w:val="28"/>
        </w:rPr>
        <w:t>不接受</w:t>
      </w:r>
      <w:r>
        <w:rPr>
          <w:rFonts w:hint="eastAsia" w:ascii="宋体" w:hAnsi="宋体"/>
          <w:sz w:val="28"/>
          <w:szCs w:val="28"/>
        </w:rPr>
        <w:t>供应商以联合体的形式参加磋商。</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采购项目技术、服务、商务和报价要求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采购内容</w:t>
      </w:r>
    </w:p>
    <w:p>
      <w:pPr>
        <w:widowControl w:val="0"/>
        <w:spacing w:line="360" w:lineRule="auto"/>
        <w:ind w:firstLine="562" w:firstLineChars="201"/>
        <w:jc w:val="both"/>
        <w:rPr>
          <w:rFonts w:ascii="宋体" w:hAnsi="宋体"/>
          <w:kern w:val="2"/>
          <w:sz w:val="28"/>
        </w:rPr>
      </w:pPr>
      <w:r>
        <w:rPr>
          <w:rFonts w:hint="eastAsia" w:ascii="宋体" w:hAnsi="宋体"/>
          <w:kern w:val="2"/>
          <w:sz w:val="28"/>
        </w:rPr>
        <w:t>成都东部新区福田街道办事处社区工程一期安置小区，位于成都东部新区福田街道办事处定水村八组，项目占地134.58亩，总建筑面积约242,480.38平方米。其中地上住宅建筑面积194,366.43平方米；地上商业及配套建筑面积15,029.51平方米，公共配套建筑面积33,084.44平方米。</w:t>
      </w:r>
    </w:p>
    <w:p>
      <w:pPr>
        <w:tabs>
          <w:tab w:val="left" w:pos="1134"/>
        </w:tabs>
        <w:spacing w:line="600" w:lineRule="exact"/>
        <w:ind w:left="7" w:firstLine="560" w:firstLineChars="200"/>
        <w:rPr>
          <w:rFonts w:ascii="宋体" w:hAnsi="宋体"/>
          <w:kern w:val="2"/>
          <w:sz w:val="28"/>
        </w:rPr>
      </w:pPr>
      <w:r>
        <w:rPr>
          <w:rFonts w:hint="eastAsia" w:ascii="宋体" w:hAnsi="宋体"/>
          <w:kern w:val="2"/>
          <w:sz w:val="28"/>
        </w:rPr>
        <w:t>福田街道社区工程一期住宅共有电梯46部、出入口12个（主，次出入口共12个）、发电机3台，每台500千伏安，监控室4个，地下室机动车位1,513个，非机动车位1,604个、物业服务用房942.43平方米；总安置人数约2407人，安置户数约1424户。</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技术、服务要求</w:t>
      </w:r>
    </w:p>
    <w:p>
      <w:pPr>
        <w:spacing w:line="600" w:lineRule="exact"/>
        <w:ind w:firstLine="560" w:firstLineChars="200"/>
        <w:rPr>
          <w:rFonts w:ascii="宋体" w:hAnsi="宋体"/>
          <w:sz w:val="28"/>
          <w:szCs w:val="28"/>
        </w:rPr>
      </w:pPr>
      <w:r>
        <w:rPr>
          <w:rFonts w:hint="eastAsia" w:ascii="宋体" w:hAnsi="宋体"/>
          <w:sz w:val="28"/>
          <w:szCs w:val="28"/>
        </w:rPr>
        <w:t>见磋商文件 “第4章项目技术、服务、商务及其他要求”。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报价要求</w:t>
      </w:r>
    </w:p>
    <w:p>
      <w:pPr>
        <w:spacing w:line="600" w:lineRule="exact"/>
        <w:ind w:firstLine="562" w:firstLineChars="201"/>
        <w:rPr>
          <w:rFonts w:ascii="宋体" w:hAnsi="宋体"/>
          <w:sz w:val="28"/>
          <w:szCs w:val="28"/>
        </w:rPr>
      </w:pPr>
      <w:r>
        <w:rPr>
          <w:rFonts w:hint="eastAsia" w:ascii="宋体" w:hAnsi="宋体"/>
          <w:sz w:val="28"/>
          <w:szCs w:val="28"/>
        </w:rPr>
        <w:t>供应商按磋商文件要求进行报价。</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磋商文件获取时间</w:t>
      </w:r>
    </w:p>
    <w:p>
      <w:pPr>
        <w:spacing w:line="600" w:lineRule="exact"/>
        <w:ind w:firstLine="560" w:firstLineChars="200"/>
        <w:rPr>
          <w:rFonts w:ascii="宋体" w:hAnsi="宋体"/>
          <w:sz w:val="28"/>
          <w:szCs w:val="28"/>
        </w:rPr>
      </w:pPr>
      <w:r>
        <w:rPr>
          <w:rFonts w:hint="eastAsia" w:ascii="宋体" w:hAnsi="宋体"/>
          <w:sz w:val="28"/>
          <w:szCs w:val="28"/>
        </w:rPr>
        <w:t>（一）磋商文件获取时间：2021年7月</w:t>
      </w:r>
      <w:r>
        <w:rPr>
          <w:rFonts w:hint="eastAsia" w:ascii="宋体" w:hAnsi="宋体"/>
          <w:sz w:val="28"/>
          <w:szCs w:val="28"/>
          <w:lang w:val="en-US" w:eastAsia="zh-CN"/>
        </w:rPr>
        <w:t>7</w:t>
      </w:r>
      <w:r>
        <w:rPr>
          <w:rFonts w:hint="eastAsia" w:ascii="宋体" w:hAnsi="宋体"/>
          <w:sz w:val="28"/>
          <w:szCs w:val="28"/>
        </w:rPr>
        <w:t>日至7月1</w:t>
      </w:r>
      <w:r>
        <w:rPr>
          <w:rFonts w:hint="eastAsia" w:ascii="宋体" w:hAnsi="宋体"/>
          <w:sz w:val="28"/>
          <w:szCs w:val="28"/>
          <w:lang w:val="en-US" w:eastAsia="zh-CN"/>
        </w:rPr>
        <w:t>3</w:t>
      </w:r>
      <w:r>
        <w:rPr>
          <w:rFonts w:hint="eastAsia" w:ascii="宋体" w:hAnsi="宋体"/>
          <w:sz w:val="28"/>
          <w:szCs w:val="28"/>
        </w:rPr>
        <w:t>日。</w:t>
      </w:r>
    </w:p>
    <w:p>
      <w:pPr>
        <w:spacing w:line="600" w:lineRule="exact"/>
        <w:ind w:firstLine="560" w:firstLineChars="200"/>
        <w:rPr>
          <w:rFonts w:ascii="宋体" w:hAnsi="宋体"/>
          <w:sz w:val="28"/>
          <w:szCs w:val="28"/>
        </w:rPr>
      </w:pPr>
      <w:r>
        <w:rPr>
          <w:rFonts w:hint="eastAsia" w:ascii="宋体" w:hAnsi="宋体"/>
          <w:sz w:val="28"/>
          <w:szCs w:val="28"/>
        </w:rPr>
        <w:t>（二）公告期限：2021年7月</w:t>
      </w:r>
      <w:r>
        <w:rPr>
          <w:rFonts w:hint="eastAsia" w:ascii="宋体" w:hAnsi="宋体"/>
          <w:sz w:val="28"/>
          <w:szCs w:val="28"/>
          <w:lang w:val="en-US" w:eastAsia="zh-CN"/>
        </w:rPr>
        <w:t>7</w:t>
      </w:r>
      <w:r>
        <w:rPr>
          <w:rFonts w:hint="eastAsia" w:ascii="宋体" w:hAnsi="宋体"/>
          <w:sz w:val="28"/>
          <w:szCs w:val="28"/>
        </w:rPr>
        <w:t>日至7月1</w:t>
      </w:r>
      <w:r>
        <w:rPr>
          <w:rFonts w:hint="eastAsia" w:ascii="宋体" w:hAnsi="宋体"/>
          <w:sz w:val="28"/>
          <w:szCs w:val="28"/>
          <w:lang w:val="en-US" w:eastAsia="zh-CN"/>
        </w:rPr>
        <w:t>7</w:t>
      </w:r>
      <w:r>
        <w:rPr>
          <w:rFonts w:hint="eastAsia" w:ascii="宋体" w:hAnsi="宋体"/>
          <w:sz w:val="28"/>
          <w:szCs w:val="28"/>
        </w:rPr>
        <w:t>日。</w:t>
      </w:r>
    </w:p>
    <w:p>
      <w:pPr>
        <w:numPr>
          <w:ilvl w:val="0"/>
          <w:numId w:val="2"/>
        </w:numPr>
        <w:spacing w:line="600" w:lineRule="exact"/>
        <w:ind w:left="0" w:firstLine="567"/>
        <w:jc w:val="both"/>
        <w:rPr>
          <w:rFonts w:ascii="宋体" w:hAnsi="宋体"/>
          <w:b/>
          <w:sz w:val="28"/>
        </w:rPr>
      </w:pPr>
      <w:r>
        <w:rPr>
          <w:rFonts w:hint="eastAsia" w:ascii="宋体" w:hAnsi="宋体"/>
          <w:b/>
          <w:sz w:val="28"/>
          <w:szCs w:val="28"/>
        </w:rPr>
        <w:t>磋商</w:t>
      </w:r>
      <w:r>
        <w:rPr>
          <w:rFonts w:hint="eastAsia" w:ascii="宋体" w:hAnsi="宋体"/>
          <w:b/>
          <w:sz w:val="28"/>
        </w:rPr>
        <w:t>文件获取方式</w:t>
      </w:r>
    </w:p>
    <w:p>
      <w:pPr>
        <w:spacing w:line="360" w:lineRule="auto"/>
        <w:ind w:firstLine="560" w:firstLineChars="200"/>
        <w:rPr>
          <w:rFonts w:ascii="宋体" w:hAnsi="宋体"/>
          <w:sz w:val="28"/>
          <w:szCs w:val="28"/>
        </w:rPr>
      </w:pPr>
      <w:r>
        <w:rPr>
          <w:rFonts w:hint="eastAsia" w:ascii="宋体" w:hAnsi="宋体"/>
          <w:sz w:val="28"/>
          <w:szCs w:val="28"/>
        </w:rPr>
        <w:t>供应商要参加磋商，应在</w:t>
      </w:r>
      <w:r>
        <w:rPr>
          <w:rFonts w:hint="eastAsia" w:ascii="宋体" w:hAnsi="宋体"/>
          <w:color w:val="000000" w:themeColor="text1"/>
          <w:sz w:val="28"/>
          <w:szCs w:val="28"/>
          <w14:textFill>
            <w14:solidFill>
              <w14:schemeClr w14:val="tx1"/>
            </w14:solidFill>
          </w14:textFill>
        </w:rPr>
        <w:t>成都市公共资源交易服务中心</w:t>
      </w:r>
      <w:r>
        <w:rPr>
          <w:rFonts w:hint="eastAsia" w:ascii="宋体" w:hAnsi="宋体"/>
          <w:sz w:val="28"/>
          <w:szCs w:val="28"/>
        </w:rPr>
        <w:t>“政府采购云平台”获取采购文件。登录成都市公共资源交易服务中心门户网站（https://www.cdggzy.com/）—用户中心—政府采购云平台—项目采购—获取采购文件—申请获取采购文件。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磋商文件获取地点</w:t>
      </w:r>
      <w:r>
        <w:rPr>
          <w:rFonts w:hint="eastAsia" w:ascii="宋体" w:hAnsi="宋体"/>
          <w:sz w:val="28"/>
          <w:szCs w:val="28"/>
        </w:rPr>
        <w:t>：</w:t>
      </w:r>
      <w:r>
        <w:rPr>
          <w:rFonts w:hint="eastAsia" w:ascii="宋体" w:hAnsi="宋体"/>
          <w:sz w:val="28"/>
        </w:rPr>
        <w:t>登录</w:t>
      </w:r>
      <w:r>
        <w:rPr>
          <w:rFonts w:hint="eastAsia" w:ascii="宋体" w:hAnsi="宋体"/>
          <w:color w:val="000000" w:themeColor="text1"/>
          <w:sz w:val="28"/>
          <w:szCs w:val="28"/>
          <w14:textFill>
            <w14:solidFill>
              <w14:schemeClr w14:val="tx1"/>
            </w14:solidFill>
          </w14:textFill>
        </w:rPr>
        <w:t>成都市公共资源交易服务中心</w:t>
      </w:r>
      <w:r>
        <w:rPr>
          <w:rFonts w:hint="eastAsia" w:ascii="宋体" w:hAnsi="宋体"/>
          <w:sz w:val="28"/>
        </w:rPr>
        <w:t>门户网站（https://www.cdggzy.com/）—用户中心—政府采购云平台获取。</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 xml:space="preserve"> 响应文件递交截止时间及开启时间（北京时间）、地点、方式</w:t>
      </w:r>
    </w:p>
    <w:p>
      <w:pPr>
        <w:pStyle w:val="80"/>
        <w:numPr>
          <w:ilvl w:val="0"/>
          <w:numId w:val="5"/>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 xml:space="preserve"> 响应文件递交截止时间及开启时间：2021</w:t>
      </w:r>
      <w:r>
        <w:rPr>
          <w:rFonts w:ascii="宋体" w:hAnsi="宋体" w:eastAsia="宋体"/>
          <w:b/>
          <w:sz w:val="28"/>
          <w:szCs w:val="28"/>
        </w:rPr>
        <w:t>年</w:t>
      </w:r>
      <w:r>
        <w:rPr>
          <w:rFonts w:hint="eastAsia" w:ascii="宋体" w:hAnsi="宋体" w:eastAsia="宋体"/>
          <w:b/>
          <w:sz w:val="28"/>
          <w:szCs w:val="28"/>
        </w:rPr>
        <w:t>7</w:t>
      </w:r>
      <w:r>
        <w:rPr>
          <w:rFonts w:ascii="宋体" w:hAnsi="宋体" w:eastAsia="宋体"/>
          <w:b/>
          <w:sz w:val="28"/>
          <w:szCs w:val="28"/>
        </w:rPr>
        <w:t>月</w:t>
      </w:r>
      <w:r>
        <w:rPr>
          <w:rFonts w:hint="eastAsia" w:ascii="宋体" w:hAnsi="宋体" w:eastAsia="宋体"/>
          <w:b/>
          <w:sz w:val="28"/>
          <w:szCs w:val="28"/>
          <w:lang w:val="en-US" w:eastAsia="zh-CN"/>
        </w:rPr>
        <w:t>20</w:t>
      </w:r>
      <w:r>
        <w:rPr>
          <w:rFonts w:ascii="宋体" w:hAnsi="宋体" w:eastAsia="宋体"/>
          <w:b/>
          <w:sz w:val="28"/>
          <w:szCs w:val="28"/>
        </w:rPr>
        <w:t>日</w:t>
      </w:r>
      <w:r>
        <w:rPr>
          <w:rFonts w:hint="eastAsia" w:ascii="宋体" w:hAnsi="宋体" w:eastAsia="宋体"/>
          <w:b/>
          <w:sz w:val="28"/>
          <w:szCs w:val="28"/>
        </w:rPr>
        <w:t>上午10</w:t>
      </w:r>
      <w:r>
        <w:rPr>
          <w:rFonts w:ascii="宋体" w:hAnsi="宋体" w:eastAsia="宋体"/>
          <w:b/>
          <w:sz w:val="28"/>
          <w:szCs w:val="28"/>
        </w:rPr>
        <w:t>:</w:t>
      </w:r>
      <w:r>
        <w:rPr>
          <w:rFonts w:hint="eastAsia" w:ascii="宋体" w:hAnsi="宋体" w:eastAsia="宋体"/>
          <w:b/>
          <w:sz w:val="28"/>
          <w:szCs w:val="28"/>
          <w:lang w:val="en-US" w:eastAsia="zh-CN"/>
        </w:rPr>
        <w:t>0</w:t>
      </w:r>
      <w:r>
        <w:rPr>
          <w:rFonts w:hint="eastAsia" w:ascii="宋体" w:hAnsi="宋体" w:eastAsia="宋体"/>
          <w:b/>
          <w:sz w:val="28"/>
          <w:szCs w:val="28"/>
        </w:rPr>
        <w:t>0。</w:t>
      </w:r>
    </w:p>
    <w:p>
      <w:pPr>
        <w:pStyle w:val="80"/>
        <w:numPr>
          <w:ilvl w:val="0"/>
          <w:numId w:val="5"/>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供应商应于递交响应文件截止日期当日截止时间前将响应文件现场送达指定地点。不接受以电子邮件、传真及邮寄方式等其他方式递交的响应文件。逾期送达的响应文件将被拒绝。</w:t>
      </w:r>
      <w:bookmarkStart w:id="206" w:name="_GoBack"/>
      <w:bookmarkEnd w:id="206"/>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磋商地点</w:t>
      </w:r>
    </w:p>
    <w:p>
      <w:pPr>
        <w:spacing w:line="360" w:lineRule="auto"/>
        <w:ind w:firstLine="582" w:firstLineChars="200"/>
        <w:rPr>
          <w:b/>
          <w:sz w:val="29"/>
          <w:szCs w:val="29"/>
        </w:rPr>
      </w:pPr>
      <w:r>
        <w:rPr>
          <w:rFonts w:hint="eastAsia"/>
          <w:b/>
          <w:sz w:val="29"/>
          <w:szCs w:val="29"/>
        </w:rPr>
        <w:t>磋商地点：</w:t>
      </w:r>
      <w:r>
        <w:rPr>
          <w:rFonts w:hint="eastAsia"/>
          <w:b/>
          <w:sz w:val="29"/>
          <w:szCs w:val="29"/>
          <w:lang w:eastAsia="zh-CN"/>
        </w:rPr>
        <w:t>成都市公共资源交易服务中心第25评标室</w:t>
      </w:r>
      <w:r>
        <w:rPr>
          <w:rFonts w:hint="eastAsia"/>
          <w:b/>
          <w:sz w:val="29"/>
          <w:szCs w:val="29"/>
        </w:rPr>
        <w:t>。</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snapToGrid w:val="0"/>
        <w:spacing w:line="640" w:lineRule="exact"/>
        <w:ind w:firstLine="560" w:firstLineChars="20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联系人及联系电话</w:t>
      </w:r>
    </w:p>
    <w:p>
      <w:pPr>
        <w:spacing w:line="600" w:lineRule="exact"/>
        <w:ind w:firstLine="708" w:firstLineChars="252"/>
        <w:rPr>
          <w:rFonts w:ascii="宋体" w:hAnsi="宋体"/>
          <w:b/>
          <w:sz w:val="28"/>
          <w:szCs w:val="28"/>
        </w:rPr>
      </w:pPr>
      <w:r>
        <w:rPr>
          <w:rFonts w:hint="eastAsia" w:ascii="宋体" w:hAnsi="宋体"/>
          <w:b/>
          <w:sz w:val="28"/>
          <w:szCs w:val="28"/>
        </w:rPr>
        <w:t>采购人：成都东部新区福田街道办事处</w:t>
      </w:r>
    </w:p>
    <w:p>
      <w:pPr>
        <w:spacing w:line="600" w:lineRule="exact"/>
        <w:ind w:firstLine="705" w:firstLineChars="252"/>
        <w:rPr>
          <w:rFonts w:ascii="宋体" w:hAnsi="宋体"/>
          <w:sz w:val="28"/>
          <w:szCs w:val="28"/>
        </w:rPr>
      </w:pPr>
      <w:r>
        <w:rPr>
          <w:rFonts w:hint="eastAsia" w:ascii="宋体" w:hAnsi="宋体"/>
          <w:sz w:val="28"/>
          <w:szCs w:val="28"/>
        </w:rPr>
        <w:t>地  址：</w:t>
      </w:r>
      <w:r>
        <w:rPr>
          <w:rFonts w:hint="eastAsia" w:ascii="宋体" w:hAnsi="宋体"/>
          <w:b/>
          <w:sz w:val="28"/>
          <w:szCs w:val="28"/>
        </w:rPr>
        <w:t>成都东部新区福田街道龙游村17组1号</w:t>
      </w:r>
    </w:p>
    <w:p>
      <w:pPr>
        <w:spacing w:line="600" w:lineRule="exact"/>
        <w:ind w:firstLine="705" w:firstLineChars="252"/>
        <w:rPr>
          <w:rFonts w:ascii="宋体" w:hAnsi="宋体"/>
          <w:sz w:val="28"/>
          <w:szCs w:val="28"/>
        </w:rPr>
      </w:pPr>
      <w:r>
        <w:rPr>
          <w:rFonts w:hint="eastAsia" w:ascii="宋体" w:hAnsi="宋体"/>
          <w:sz w:val="28"/>
          <w:szCs w:val="28"/>
        </w:rPr>
        <w:t>邮编：</w:t>
      </w:r>
      <w:r>
        <w:rPr>
          <w:rFonts w:ascii="宋体" w:hAnsi="宋体"/>
          <w:sz w:val="28"/>
          <w:szCs w:val="28"/>
        </w:rPr>
        <w:t>641400</w:t>
      </w:r>
    </w:p>
    <w:p>
      <w:pPr>
        <w:spacing w:line="600" w:lineRule="exact"/>
        <w:ind w:firstLine="705" w:firstLineChars="252"/>
        <w:rPr>
          <w:rFonts w:ascii="宋体" w:hAnsi="宋体"/>
          <w:sz w:val="28"/>
          <w:szCs w:val="28"/>
        </w:rPr>
      </w:pPr>
      <w:r>
        <w:rPr>
          <w:rFonts w:hint="eastAsia" w:ascii="宋体" w:hAnsi="宋体"/>
          <w:sz w:val="28"/>
          <w:szCs w:val="28"/>
        </w:rPr>
        <w:t>联系人：余海涛</w:t>
      </w:r>
    </w:p>
    <w:p>
      <w:pPr>
        <w:spacing w:line="600" w:lineRule="exact"/>
        <w:ind w:firstLine="705" w:firstLineChars="252"/>
        <w:rPr>
          <w:rFonts w:ascii="宋体" w:hAnsi="宋体"/>
          <w:sz w:val="28"/>
          <w:szCs w:val="28"/>
        </w:rPr>
      </w:pPr>
      <w:r>
        <w:rPr>
          <w:rFonts w:hint="eastAsia" w:ascii="宋体" w:hAnsi="宋体"/>
          <w:sz w:val="28"/>
          <w:szCs w:val="28"/>
        </w:rPr>
        <w:t>联系电话：</w:t>
      </w:r>
      <w:r>
        <w:rPr>
          <w:rFonts w:hint="eastAsia" w:ascii="宋体" w:hAnsi="宋体"/>
          <w:b/>
          <w:sz w:val="28"/>
          <w:szCs w:val="28"/>
        </w:rPr>
        <w:t>18113133663</w:t>
      </w:r>
    </w:p>
    <w:p>
      <w:pPr>
        <w:pStyle w:val="193"/>
        <w:spacing w:line="580" w:lineRule="exact"/>
        <w:ind w:firstLine="562"/>
        <w:rPr>
          <w:rFonts w:ascii="宋体" w:hAnsi="宋体"/>
          <w:b/>
          <w:kern w:val="0"/>
          <w:sz w:val="28"/>
          <w:szCs w:val="22"/>
        </w:rPr>
      </w:pPr>
      <w:r>
        <w:rPr>
          <w:rFonts w:hint="eastAsia" w:ascii="宋体" w:hAnsi="宋体"/>
          <w:b/>
          <w:kern w:val="0"/>
          <w:sz w:val="28"/>
          <w:szCs w:val="22"/>
        </w:rPr>
        <w:t>集中采购机构：成都东部新区党工委管委会（成都市东部新城办）综合部</w:t>
      </w:r>
    </w:p>
    <w:p>
      <w:pPr>
        <w:spacing w:line="560" w:lineRule="exact"/>
        <w:ind w:left="7358" w:leftChars="266" w:hanging="6720" w:hangingChars="2400"/>
        <w:rPr>
          <w:rFonts w:ascii="宋体" w:hAnsi="宋体"/>
          <w:sz w:val="28"/>
        </w:rPr>
      </w:pPr>
      <w:r>
        <w:rPr>
          <w:rFonts w:hint="eastAsia" w:ascii="宋体" w:hAnsi="宋体"/>
          <w:sz w:val="28"/>
        </w:rPr>
        <w:t>地  址：成都东部新区三岔街道板桥村 2 组 166 号</w:t>
      </w:r>
    </w:p>
    <w:p>
      <w:pPr>
        <w:spacing w:line="560" w:lineRule="exact"/>
        <w:ind w:left="7358" w:leftChars="266" w:hanging="6720" w:hangingChars="2400"/>
        <w:rPr>
          <w:rFonts w:ascii="宋体" w:hAnsi="宋体"/>
          <w:sz w:val="28"/>
        </w:rPr>
      </w:pPr>
      <w:r>
        <w:rPr>
          <w:rFonts w:hint="eastAsia" w:ascii="宋体" w:hAnsi="宋体"/>
          <w:sz w:val="28"/>
        </w:rPr>
        <w:t>邮  编：641400</w:t>
      </w:r>
    </w:p>
    <w:p>
      <w:pPr>
        <w:spacing w:line="560" w:lineRule="exact"/>
        <w:ind w:left="7358" w:leftChars="266" w:hanging="6720" w:hangingChars="2400"/>
        <w:rPr>
          <w:rFonts w:ascii="宋体" w:hAnsi="宋体"/>
          <w:sz w:val="28"/>
        </w:rPr>
      </w:pPr>
      <w:r>
        <w:rPr>
          <w:rFonts w:hint="eastAsia" w:ascii="宋体" w:hAnsi="宋体"/>
          <w:sz w:val="28"/>
        </w:rPr>
        <w:t>联系人：周煜</w:t>
      </w:r>
    </w:p>
    <w:p>
      <w:pPr>
        <w:spacing w:line="560" w:lineRule="exact"/>
        <w:ind w:left="7358" w:leftChars="266" w:hanging="6720" w:hangingChars="2400"/>
        <w:rPr>
          <w:rFonts w:ascii="宋体" w:hAnsi="宋体"/>
          <w:sz w:val="28"/>
        </w:rPr>
      </w:pPr>
      <w:r>
        <w:rPr>
          <w:rFonts w:hint="eastAsia" w:ascii="宋体" w:hAnsi="宋体"/>
          <w:sz w:val="28"/>
        </w:rPr>
        <w:t>联系电话：028-86360238</w:t>
      </w:r>
    </w:p>
    <w:p>
      <w:pPr>
        <w:pStyle w:val="207"/>
        <w:tabs>
          <w:tab w:val="left" w:pos="900"/>
        </w:tabs>
        <w:spacing w:line="360" w:lineRule="auto"/>
        <w:ind w:firstLine="562"/>
        <w:jc w:val="left"/>
        <w:rPr>
          <w:rFonts w:ascii="宋体" w:hAnsi="宋体" w:eastAsia="宋体" w:cs="Times New Roman"/>
          <w:b/>
          <w:kern w:val="0"/>
          <w:sz w:val="28"/>
        </w:rPr>
      </w:pPr>
      <w:r>
        <w:rPr>
          <w:rFonts w:hint="eastAsia" w:ascii="宋体" w:hAnsi="宋体" w:eastAsia="宋体" w:cs="Times New Roman"/>
          <w:b/>
          <w:sz w:val="28"/>
        </w:rPr>
        <w:t>政府采购监督机构：成都东部新区党工委管委会(成都市东部新城办)财政金融局</w:t>
      </w:r>
    </w:p>
    <w:p>
      <w:pPr>
        <w:pStyle w:val="207"/>
        <w:tabs>
          <w:tab w:val="left" w:pos="900"/>
        </w:tabs>
        <w:spacing w:line="360" w:lineRule="auto"/>
        <w:ind w:firstLine="560"/>
        <w:jc w:val="left"/>
        <w:rPr>
          <w:rFonts w:ascii="宋体" w:hAnsi="宋体" w:eastAsia="宋体" w:cs="Times New Roman"/>
          <w:sz w:val="28"/>
        </w:rPr>
      </w:pPr>
      <w:r>
        <w:rPr>
          <w:rFonts w:hint="eastAsia" w:ascii="宋体" w:hAnsi="宋体" w:eastAsia="宋体" w:cs="Times New Roman"/>
          <w:sz w:val="28"/>
        </w:rPr>
        <w:t>地 址：成都东部新区三岔街道板桥村 2 组 166 号东部新区市民中心</w:t>
      </w:r>
    </w:p>
    <w:p>
      <w:pPr>
        <w:pStyle w:val="207"/>
        <w:tabs>
          <w:tab w:val="left" w:pos="900"/>
        </w:tabs>
        <w:spacing w:line="360" w:lineRule="auto"/>
        <w:ind w:firstLine="560"/>
        <w:jc w:val="left"/>
        <w:rPr>
          <w:rFonts w:ascii="宋体" w:hAnsi="宋体" w:eastAsia="宋体" w:cs="Times New Roman"/>
          <w:sz w:val="28"/>
        </w:rPr>
      </w:pPr>
      <w:r>
        <w:rPr>
          <w:rFonts w:hint="eastAsia" w:ascii="宋体" w:hAnsi="宋体" w:eastAsia="宋体" w:cs="Times New Roman"/>
          <w:sz w:val="28"/>
        </w:rPr>
        <w:t>联系人：温全</w:t>
      </w:r>
    </w:p>
    <w:p>
      <w:pPr>
        <w:pStyle w:val="207"/>
        <w:tabs>
          <w:tab w:val="left" w:pos="900"/>
        </w:tabs>
        <w:spacing w:line="360" w:lineRule="auto"/>
        <w:ind w:firstLine="560"/>
        <w:jc w:val="left"/>
        <w:rPr>
          <w:rFonts w:ascii="宋体" w:hAnsi="宋体"/>
          <w:sz w:val="28"/>
          <w:szCs w:val="28"/>
        </w:rPr>
        <w:sectPr>
          <w:pgSz w:w="11906" w:h="16838"/>
          <w:pgMar w:top="1134" w:right="1274" w:bottom="1440" w:left="1418" w:header="851" w:footer="992" w:gutter="0"/>
          <w:cols w:space="720" w:num="1"/>
          <w:docGrid w:type="lines" w:linePitch="326" w:charSpace="0"/>
        </w:sectPr>
      </w:pPr>
      <w:r>
        <w:rPr>
          <w:rFonts w:hint="eastAsia" w:ascii="宋体" w:hAnsi="宋体" w:eastAsia="宋体" w:cs="Times New Roman"/>
          <w:sz w:val="28"/>
        </w:rPr>
        <w:t>联系电话：028-86360129</w:t>
      </w:r>
    </w:p>
    <w:p>
      <w:pPr>
        <w:pStyle w:val="3"/>
        <w:numPr>
          <w:ilvl w:val="0"/>
          <w:numId w:val="1"/>
        </w:numPr>
        <w:spacing w:before="0" w:after="0"/>
        <w:ind w:left="0" w:firstLine="0"/>
      </w:pPr>
      <w:bookmarkStart w:id="1" w:name="_Toc391885334"/>
      <w:bookmarkStart w:id="2" w:name="_Toc18168"/>
      <w:bookmarkStart w:id="3" w:name="_Toc381263230"/>
      <w:bookmarkStart w:id="4" w:name="_Toc287623638"/>
      <w:r>
        <w:rPr>
          <w:rFonts w:hint="eastAsia"/>
        </w:rPr>
        <w:t>供应商须知</w:t>
      </w:r>
      <w:bookmarkEnd w:id="1"/>
      <w:bookmarkEnd w:id="2"/>
    </w:p>
    <w:p>
      <w:pPr>
        <w:pStyle w:val="4"/>
        <w:ind w:left="851" w:hanging="851"/>
      </w:pPr>
      <w:bookmarkStart w:id="5" w:name="_Toc21224"/>
      <w:r>
        <w:rPr>
          <w:rFonts w:hint="eastAsia"/>
        </w:rPr>
        <w:t>供应商须知前附表</w:t>
      </w:r>
      <w:bookmarkEnd w:id="5"/>
    </w:p>
    <w:tbl>
      <w:tblPr>
        <w:tblStyle w:val="45"/>
        <w:tblW w:w="1007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42" w:hRule="exact"/>
          <w:jc w:val="center"/>
        </w:trPr>
        <w:tc>
          <w:tcPr>
            <w:tcW w:w="884" w:type="dxa"/>
            <w:vAlign w:val="center"/>
          </w:tcPr>
          <w:p>
            <w:pPr>
              <w:pStyle w:val="148"/>
              <w:spacing w:line="360" w:lineRule="auto"/>
              <w:ind w:left="38" w:hanging="38"/>
              <w:jc w:val="center"/>
              <w:rPr>
                <w:b/>
              </w:rPr>
            </w:pPr>
            <w:r>
              <w:rPr>
                <w:rFonts w:hint="eastAsia"/>
                <w:b/>
                <w:lang w:val="zh-CN"/>
              </w:rPr>
              <w:t>序号</w:t>
            </w:r>
          </w:p>
        </w:tc>
        <w:tc>
          <w:tcPr>
            <w:tcW w:w="2806" w:type="dxa"/>
            <w:vAlign w:val="center"/>
          </w:tcPr>
          <w:p>
            <w:pPr>
              <w:pStyle w:val="148"/>
              <w:spacing w:line="360" w:lineRule="auto"/>
              <w:ind w:left="38" w:hanging="38"/>
              <w:jc w:val="center"/>
              <w:rPr>
                <w:b/>
                <w:lang w:val="zh-CN"/>
              </w:rPr>
            </w:pPr>
            <w:r>
              <w:rPr>
                <w:rFonts w:hint="eastAsia"/>
                <w:b/>
                <w:lang w:val="zh-CN"/>
              </w:rPr>
              <w:t>应知事项</w:t>
            </w:r>
          </w:p>
        </w:tc>
        <w:tc>
          <w:tcPr>
            <w:tcW w:w="6383" w:type="dxa"/>
            <w:vAlign w:val="center"/>
          </w:tcPr>
          <w:p>
            <w:pPr>
              <w:pStyle w:val="148"/>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ind w:right="-329" w:rightChars="-137"/>
              <w:rPr>
                <w:lang w:val="zh-CN"/>
              </w:rPr>
            </w:pPr>
            <w:r>
              <w:rPr>
                <w:rFonts w:hint="eastAsia"/>
                <w:lang w:val="zh-CN"/>
              </w:rPr>
              <w:t>采购预算</w:t>
            </w:r>
            <w:r>
              <w:rPr>
                <w:rFonts w:hint="eastAsia" w:ascii="仿宋" w:hAnsi="仿宋" w:eastAsia="仿宋"/>
                <w:sz w:val="21"/>
                <w:szCs w:val="21"/>
                <w:lang w:val="zh-CN"/>
              </w:rPr>
              <w:t>（实质性要求）</w:t>
            </w:r>
          </w:p>
          <w:p>
            <w:pPr>
              <w:pStyle w:val="148"/>
              <w:spacing w:line="360" w:lineRule="auto"/>
            </w:pPr>
          </w:p>
        </w:tc>
        <w:tc>
          <w:tcPr>
            <w:tcW w:w="6383" w:type="dxa"/>
            <w:vAlign w:val="center"/>
          </w:tcPr>
          <w:p>
            <w:pPr>
              <w:spacing w:line="360" w:lineRule="auto"/>
              <w:ind w:right="210" w:firstLine="12" w:firstLineChars="5"/>
              <w:rPr>
                <w:rFonts w:ascii="宋体" w:hAnsi="宋体" w:cs="宋体"/>
                <w:b/>
                <w:lang w:val="zh-CN"/>
              </w:rPr>
            </w:pPr>
            <w:r>
              <w:rPr>
                <w:rFonts w:hint="eastAsia" w:ascii="宋体" w:hAnsi="宋体"/>
                <w:b/>
              </w:rPr>
              <w:t>人民币383万元。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最高限价</w:t>
            </w:r>
            <w:r>
              <w:rPr>
                <w:rFonts w:hint="eastAsia" w:ascii="仿宋" w:hAnsi="仿宋" w:eastAsia="仿宋"/>
                <w:sz w:val="21"/>
                <w:szCs w:val="21"/>
                <w:lang w:val="zh-CN"/>
              </w:rPr>
              <w:t>（实质性要求）</w:t>
            </w:r>
          </w:p>
        </w:tc>
        <w:tc>
          <w:tcPr>
            <w:tcW w:w="6383" w:type="dxa"/>
            <w:vAlign w:val="center"/>
          </w:tcPr>
          <w:p>
            <w:pPr>
              <w:pStyle w:val="148"/>
              <w:spacing w:line="360" w:lineRule="auto"/>
              <w:ind w:left="38" w:hanging="24"/>
              <w:rPr>
                <w:b/>
                <w:lang w:val="zh-CN"/>
              </w:rPr>
            </w:pPr>
            <w:r>
              <w:rPr>
                <w:rFonts w:hint="eastAsia" w:cs="Times New Roman"/>
                <w:b/>
                <w:kern w:val="2"/>
              </w:rPr>
              <w:t>本项目最高限价为人民币</w:t>
            </w:r>
            <w:r>
              <w:rPr>
                <w:rFonts w:hint="eastAsia"/>
                <w:b/>
                <w:sz w:val="28"/>
                <w:szCs w:val="28"/>
              </w:rPr>
              <w:t>383</w:t>
            </w:r>
            <w:r>
              <w:rPr>
                <w:rFonts w:hint="eastAsia" w:cs="Times New Roman"/>
                <w:b/>
                <w:kern w:val="2"/>
              </w:rPr>
              <w:t>万元，供应商最后报价高于最高限价的则其响应文件将按无效响应文件处理。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lang w:val="zh-CN"/>
              </w:rPr>
              <w:t>采购方式</w:t>
            </w:r>
          </w:p>
        </w:tc>
        <w:tc>
          <w:tcPr>
            <w:tcW w:w="6383" w:type="dxa"/>
            <w:vAlign w:val="center"/>
          </w:tcPr>
          <w:p>
            <w:pPr>
              <w:pStyle w:val="148"/>
              <w:spacing w:line="360" w:lineRule="auto"/>
              <w:jc w:val="both"/>
              <w:rPr>
                <w:lang w:val="zh-CN"/>
              </w:rPr>
            </w:pPr>
            <w:r>
              <w:rPr>
                <w:rFonts w:hint="eastAsia"/>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ind w:left="38"/>
              <w:rPr>
                <w:rFonts w:cs="Times New Roman"/>
                <w:lang w:val="zh-CN"/>
              </w:rPr>
            </w:pPr>
            <w:r>
              <w:rPr>
                <w:rFonts w:hint="eastAsia" w:cs="仿宋"/>
                <w:lang w:val="zh-CN"/>
              </w:rPr>
              <w:t>本国服务</w:t>
            </w:r>
            <w:r>
              <w:rPr>
                <w:rFonts w:hint="eastAsia" w:ascii="仿宋" w:hAnsi="仿宋" w:eastAsia="仿宋"/>
                <w:sz w:val="21"/>
                <w:szCs w:val="21"/>
                <w:lang w:val="zh-CN"/>
              </w:rPr>
              <w:t>（实质性要求）</w:t>
            </w:r>
          </w:p>
        </w:tc>
        <w:tc>
          <w:tcPr>
            <w:tcW w:w="6383" w:type="dxa"/>
            <w:vAlign w:val="center"/>
          </w:tcPr>
          <w:p>
            <w:pPr>
              <w:pStyle w:val="148"/>
              <w:spacing w:line="360" w:lineRule="auto"/>
              <w:jc w:val="both"/>
              <w:rPr>
                <w:lang w:val="zh-CN"/>
              </w:rPr>
            </w:pPr>
            <w:bookmarkStart w:id="6" w:name="PO_默认文件内容_10"/>
            <w:r>
              <w:rPr>
                <w:rFonts w:hint="eastAsia" w:cs="仿宋"/>
              </w:rPr>
              <w:t>根据《中华人民共和国政府采购法》第十条的规定，本项目采购本国</w:t>
            </w:r>
            <w:bookmarkEnd w:id="6"/>
            <w:r>
              <w:rPr>
                <w:rFonts w:hint="eastAsia" w:cs="仿宋"/>
              </w:rPr>
              <w:t>服务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jc w:val="both"/>
            </w:pPr>
            <w:r>
              <w:rPr>
                <w:rFonts w:hint="eastAsia"/>
              </w:rPr>
              <w:t>定向采购</w:t>
            </w:r>
          </w:p>
        </w:tc>
        <w:tc>
          <w:tcPr>
            <w:tcW w:w="6383" w:type="dxa"/>
            <w:vAlign w:val="center"/>
          </w:tcPr>
          <w:p>
            <w:pPr>
              <w:adjustRightInd w:val="0"/>
              <w:spacing w:line="400" w:lineRule="exact"/>
              <w:ind w:right="36" w:rightChars="15"/>
              <w:rPr>
                <w:rFonts w:ascii="宋体" w:hAnsi="宋体" w:cs="仿宋"/>
                <w:b/>
                <w:bCs/>
              </w:rPr>
            </w:pPr>
            <w:r>
              <w:rPr>
                <w:rFonts w:hint="eastAsia" w:ascii="宋体" w:hAnsi="宋体" w:cs="仿宋"/>
                <w:b/>
                <w:bCs/>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低于成本价不正当竞争预防措施</w:t>
            </w:r>
            <w:r>
              <w:rPr>
                <w:rFonts w:hint="eastAsia" w:ascii="仿宋" w:hAnsi="仿宋" w:eastAsia="仿宋"/>
                <w:sz w:val="21"/>
                <w:szCs w:val="21"/>
                <w:lang w:val="zh-CN"/>
              </w:rPr>
              <w:t>（实质性要求）</w:t>
            </w:r>
          </w:p>
        </w:tc>
        <w:tc>
          <w:tcPr>
            <w:tcW w:w="6383" w:type="dxa"/>
            <w:vAlign w:val="center"/>
          </w:tcPr>
          <w:p>
            <w:pPr>
              <w:adjustRightInd w:val="0"/>
              <w:snapToGrid w:val="0"/>
              <w:spacing w:before="152" w:after="160" w:line="400" w:lineRule="exact"/>
              <w:ind w:firstLine="240" w:firstLineChars="100"/>
              <w:rPr>
                <w:rFonts w:ascii="宋体" w:hAnsi="宋体" w:cs="宋体"/>
              </w:rPr>
            </w:pPr>
            <w:r>
              <w:rPr>
                <w:rFonts w:ascii="宋体" w:hAnsi="宋体" w:cs="宋体"/>
              </w:rPr>
              <w:t>1．</w:t>
            </w:r>
            <w:r>
              <w:rPr>
                <w:rFonts w:hint="eastAsia" w:ascii="宋体" w:hAnsi="宋体" w:cs="宋体"/>
                <w:lang w:val="zh-CN"/>
              </w:rPr>
              <w:t>在评审过程中，磋商小组认为供应商报价明显低于其他通过符合性审查供应商的报价，有可能影响产品质量或者不能诚信履约的，</w:t>
            </w:r>
            <w:r>
              <w:rPr>
                <w:rFonts w:ascii="宋体" w:hAnsi="宋体" w:cs="宋体"/>
              </w:rPr>
              <w:t>应当要求其在评审现场合理的时间内提供书面说明，必要时提交相关证明材料；供应商不能证明其报价合理性的，</w:t>
            </w:r>
            <w:r>
              <w:rPr>
                <w:rFonts w:hint="eastAsia" w:ascii="宋体" w:hAnsi="宋体" w:cs="宋体"/>
              </w:rPr>
              <w:t>磋商</w:t>
            </w:r>
            <w:r>
              <w:rPr>
                <w:rFonts w:ascii="宋体" w:hAnsi="宋体" w:cs="宋体"/>
              </w:rPr>
              <w:t>小组应当将其 响应文件作为无效处理。供应商的书面说明材料应当按照国家财务会计制度的规定要求，逐项就供应商提供的</w:t>
            </w:r>
            <w:r>
              <w:rPr>
                <w:rFonts w:hint="eastAsia" w:ascii="宋体" w:hAnsi="宋体" w:cs="宋体"/>
              </w:rPr>
              <w:t>服务的主营业务成本、税金及附加、销售费用、管理费用、财务费用等成本构成事项详细陈述。</w:t>
            </w:r>
          </w:p>
          <w:p>
            <w:pPr>
              <w:adjustRightInd w:val="0"/>
              <w:snapToGrid w:val="0"/>
              <w:spacing w:before="152" w:after="160" w:line="400" w:lineRule="exact"/>
              <w:ind w:firstLine="240" w:firstLineChars="100"/>
              <w:rPr>
                <w:rFonts w:ascii="宋体" w:hAnsi="宋体" w:cs="宋体"/>
              </w:rPr>
            </w:pPr>
            <w:r>
              <w:rPr>
                <w:rFonts w:ascii="宋体" w:hAnsi="宋体" w:cs="宋体"/>
              </w:rPr>
              <w:t>2．供应商书面说明</w:t>
            </w:r>
            <w:r>
              <w:rPr>
                <w:rFonts w:hint="eastAsia" w:ascii="宋体" w:hAnsi="宋体" w:cs="宋体"/>
              </w:rPr>
              <w:t>每页均应加盖供应商（法定名称）电子签章</w:t>
            </w:r>
            <w:r>
              <w:rPr>
                <w:rFonts w:ascii="宋体" w:hAnsi="宋体" w:cs="宋体"/>
              </w:rPr>
              <w:t>，否则无效。</w:t>
            </w:r>
          </w:p>
          <w:p>
            <w:pPr>
              <w:adjustRightInd w:val="0"/>
              <w:snapToGrid w:val="0"/>
              <w:spacing w:line="400" w:lineRule="exact"/>
              <w:ind w:firstLine="153" w:firstLineChars="64"/>
              <w:rPr>
                <w:rFonts w:ascii="宋体" w:hAnsi="宋体"/>
                <w:b/>
              </w:rPr>
            </w:pPr>
            <w:r>
              <w:rPr>
                <w:rFonts w:ascii="宋体" w:hAnsi="宋体"/>
              </w:rPr>
              <w:t>3．供应商提供书面说明后，</w:t>
            </w:r>
            <w:r>
              <w:rPr>
                <w:rFonts w:hint="eastAsia" w:ascii="宋体" w:hAnsi="宋体" w:cs="宋体"/>
              </w:rPr>
              <w:t>磋商</w:t>
            </w:r>
            <w:r>
              <w:rPr>
                <w:rFonts w:ascii="宋体" w:hAnsi="宋体"/>
              </w:rPr>
              <w:t>小组应当结合采购项目采购需求、专业实际情况、供应商财务状况报告、与其</w:t>
            </w:r>
            <w:r>
              <w:rPr>
                <w:rFonts w:hint="eastAsia" w:ascii="宋体" w:hAnsi="宋体"/>
              </w:rPr>
              <w:t>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rPr>
              <w:t>磋商</w:t>
            </w:r>
            <w:r>
              <w:rPr>
                <w:rFonts w:hint="eastAsia" w:ascii="宋体" w:hAnsi="宋体"/>
              </w:rPr>
              <w:t>小组应当将其 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both"/>
              <w:rPr>
                <w:lang w:val="zh-CN"/>
              </w:rPr>
            </w:pPr>
            <w:r>
              <w:rPr>
                <w:rFonts w:hint="eastAsia"/>
                <w:lang w:val="zh-CN"/>
              </w:rPr>
              <w:t>磋商保证金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lang w:val="zh-CN"/>
              </w:rPr>
            </w:pPr>
            <w:r>
              <w:rPr>
                <w:rFonts w:hint="eastAsia" w:ascii="宋体" w:hAnsi="宋体" w:cs="宋体"/>
                <w:lang w:val="zh-CN"/>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 xml:space="preserve"> 响应文件的印制和签署、装订</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 xml:space="preserve"> 响应文件的递交</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 xml:space="preserve"> 响应文件的包装和密封、标注</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对磋商文件中供应商参加本次政府采购活动应当具备的条件、项目技术、服务、商务及其他要求，评分细则及标准的询问、质疑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对磋商文件中的其他内容、采购过程及成交结果的询问、质疑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向成都东部新区党工委管委会（成都市东部新城办）综合部提出，并由成都东部新区党工委管委会（成都市东部新城办）综合部按相关规定作出答复（详见供应商须知2.10）。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投诉受理单位：本项目同级财政部门，即成都东部新区党工委管委会(成都市东部新城办)财政金融局。</w:t>
            </w:r>
          </w:p>
          <w:p>
            <w:pPr>
              <w:tabs>
                <w:tab w:val="left" w:pos="7665"/>
              </w:tabs>
              <w:snapToGrid w:val="0"/>
              <w:spacing w:line="360" w:lineRule="auto"/>
              <w:rPr>
                <w:rFonts w:ascii="宋体" w:hAnsi="宋体"/>
              </w:rPr>
            </w:pPr>
            <w:r>
              <w:rPr>
                <w:rFonts w:hint="eastAsia" w:ascii="宋体" w:hAnsi="宋体"/>
              </w:rPr>
              <w:t>联系电话：028-86360129。</w:t>
            </w:r>
          </w:p>
          <w:p>
            <w:pPr>
              <w:tabs>
                <w:tab w:val="left" w:pos="7665"/>
              </w:tabs>
              <w:snapToGrid w:val="0"/>
              <w:spacing w:line="360" w:lineRule="auto"/>
              <w:rPr>
                <w:rFonts w:ascii="宋体" w:hAnsi="宋体"/>
              </w:rPr>
            </w:pPr>
            <w:r>
              <w:rPr>
                <w:rFonts w:hint="eastAsia" w:ascii="宋体" w:hAnsi="宋体"/>
              </w:rPr>
              <w:t>地址：成都东部新区三岔街道板桥村 2 组 166 号东部新区市民中心。</w:t>
            </w:r>
          </w:p>
          <w:p>
            <w:pPr>
              <w:tabs>
                <w:tab w:val="left" w:pos="7665"/>
              </w:tabs>
              <w:snapToGrid w:val="0"/>
              <w:spacing w:line="360" w:lineRule="auto"/>
              <w:rPr>
                <w:rFonts w:ascii="宋体" w:hAnsi="宋体"/>
              </w:rPr>
            </w:pPr>
            <w:r>
              <w:rPr>
                <w:rFonts w:hint="eastAsia" w:ascii="宋体" w:hAnsi="宋体"/>
              </w:rPr>
              <w:t>邮编：641400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 xml:space="preserve"> 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 响应文件的截止之日起</w:t>
            </w:r>
            <w:r>
              <w:rPr>
                <w:rFonts w:ascii="宋体" w:hAnsi="宋体"/>
                <w:u w:val="single"/>
              </w:rPr>
              <w:t xml:space="preserve"> 120</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 响应文件符合性检查情况、采用综合评分法时的总得分情况、评审结果等将在“成都东部新区党工委管委会（成都市东部新城办）综合部网”、“四川政府采购网”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及向本采购项目同级财政部门，即成都市财政局备案政府采购合同。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97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ascii="宋体" w:hAnsi="宋体"/>
              </w:rPr>
            </w:pPr>
            <w:r>
              <w:rPr>
                <w:rFonts w:hint="eastAsia" w:ascii="宋体" w:hAnsi="宋体"/>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pPr>
      <w:bookmarkStart w:id="7" w:name="_Toc494356973"/>
      <w:bookmarkEnd w:id="7"/>
      <w:bookmarkStart w:id="8" w:name="_Toc494095619"/>
      <w:bookmarkEnd w:id="8"/>
      <w:bookmarkStart w:id="9" w:name="_Toc24944"/>
      <w:r>
        <w:rPr>
          <w:rFonts w:hint="eastAsia"/>
        </w:rPr>
        <w:t>总则</w:t>
      </w:r>
      <w:bookmarkEnd w:id="9"/>
    </w:p>
    <w:p>
      <w:pPr>
        <w:pStyle w:val="5"/>
        <w:spacing w:line="600" w:lineRule="exact"/>
        <w:rPr>
          <w:color w:val="auto"/>
        </w:rPr>
      </w:pPr>
      <w:r>
        <w:rPr>
          <w:rFonts w:hint="eastAsia"/>
          <w:color w:val="auto"/>
        </w:rPr>
        <w:t>适用范围</w:t>
      </w:r>
      <w:bookmarkEnd w:id="3"/>
      <w:bookmarkEnd w:id="4"/>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本磋商文件仅适用于本竞争性磋商邀请中所叙述项目的采购。</w:t>
      </w:r>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的最终解释权由采购人或成都东部新区党工委管委会（成都市东部新城办）综合部享有。磋商文件中供应商参加本次政府采购活动应当具备的条件、技术、服务及其他要求、评分标准由采购人负责解释。除上述磋商文件内容，其他内容由成都东部新区党工委管委会（成都市东部新城办）综合部负责解释。</w:t>
      </w:r>
    </w:p>
    <w:p>
      <w:pPr>
        <w:pStyle w:val="5"/>
        <w:spacing w:line="600" w:lineRule="exact"/>
        <w:rPr>
          <w:color w:val="auto"/>
        </w:rPr>
      </w:pPr>
      <w:bookmarkStart w:id="10" w:name="_Toc287623639"/>
      <w:r>
        <w:rPr>
          <w:rFonts w:hint="eastAsia"/>
          <w:color w:val="auto"/>
        </w:rPr>
        <w:t>有关定义</w:t>
      </w:r>
      <w:bookmarkEnd w:id="10"/>
    </w:p>
    <w:p>
      <w:pPr>
        <w:widowControl w:val="0"/>
        <w:numPr>
          <w:ilvl w:val="0"/>
          <w:numId w:val="8"/>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“采购人”、“甲方”系指依法进行政府采购的成都市级机关、事业单位、团体组织。本次竞争性磋商项目的采购人是</w:t>
      </w:r>
      <w:r>
        <w:rPr>
          <w:rFonts w:hint="eastAsia" w:ascii="宋体" w:hAnsi="宋体"/>
          <w:b/>
          <w:sz w:val="28"/>
          <w:szCs w:val="28"/>
          <w:u w:val="single"/>
        </w:rPr>
        <w:t>成都东部新区福田街道办事处</w:t>
      </w:r>
      <w:r>
        <w:rPr>
          <w:rFonts w:hint="eastAsia" w:ascii="宋体" w:hAnsi="宋体"/>
          <w:sz w:val="28"/>
          <w:szCs w:val="28"/>
        </w:rPr>
        <w:t>。</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“供应商”系指拟参加竞争性磋商和向采购人提供工程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磋商</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磋商文件中所称的“以上”、“以下”、“内”、“以内”，包括本数；所称的“不足”，不包括本数。</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pStyle w:val="5"/>
        <w:spacing w:line="600" w:lineRule="exact"/>
        <w:rPr>
          <w:color w:val="auto"/>
        </w:rPr>
      </w:pPr>
      <w:r>
        <w:rPr>
          <w:rFonts w:hint="eastAsia"/>
          <w:color w:val="auto"/>
        </w:rPr>
        <w:t>合格的供应商</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pacing w:val="-4"/>
          <w:sz w:val="28"/>
          <w:szCs w:val="28"/>
        </w:rPr>
      </w:pPr>
      <w:r>
        <w:rPr>
          <w:rFonts w:hint="eastAsia" w:ascii="宋体" w:hAnsi="宋体"/>
          <w:sz w:val="28"/>
          <w:szCs w:val="28"/>
        </w:rPr>
        <w:t>合格的供应商应具备以下条件：邀请参加磋商</w:t>
      </w:r>
      <w:r>
        <w:rPr>
          <w:rFonts w:ascii="宋体" w:hAnsi="宋体"/>
          <w:sz w:val="28"/>
          <w:szCs w:val="28"/>
        </w:rPr>
        <w:t>的供应商</w:t>
      </w:r>
      <w:r>
        <w:rPr>
          <w:rFonts w:hint="eastAsia" w:ascii="宋体" w:hAnsi="宋体"/>
          <w:spacing w:val="-4"/>
          <w:sz w:val="28"/>
          <w:szCs w:val="28"/>
        </w:rPr>
        <w:t>。</w:t>
      </w:r>
    </w:p>
    <w:p>
      <w:pPr>
        <w:pStyle w:val="5"/>
        <w:spacing w:line="600" w:lineRule="exact"/>
        <w:rPr>
          <w:color w:val="auto"/>
        </w:rPr>
      </w:pPr>
      <w:bookmarkStart w:id="11" w:name="_Toc287623640"/>
      <w:bookmarkStart w:id="12" w:name="_Toc320698717"/>
      <w:r>
        <w:rPr>
          <w:rFonts w:hint="eastAsia"/>
          <w:color w:val="auto"/>
        </w:rPr>
        <w:t>参加竞争性磋商的费用</w:t>
      </w:r>
      <w:bookmarkEnd w:id="11"/>
      <w:r>
        <w:rPr>
          <w:rFonts w:hint="eastAsia" w:ascii="仿宋" w:hAnsi="仿宋" w:eastAsia="仿宋"/>
          <w:color w:val="auto"/>
          <w:szCs w:val="21"/>
          <w:lang w:val="zh-CN"/>
        </w:rPr>
        <w:t>（实质性要求）</w:t>
      </w:r>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供应商应自行承担参加竞争性磋商采购活动的全部费用。</w:t>
      </w:r>
    </w:p>
    <w:p>
      <w:pPr>
        <w:pStyle w:val="5"/>
        <w:spacing w:line="600" w:lineRule="exact"/>
        <w:rPr>
          <w:color w:val="auto"/>
        </w:rPr>
      </w:pPr>
      <w:r>
        <w:rPr>
          <w:rFonts w:hint="eastAsia"/>
          <w:color w:val="auto"/>
        </w:rPr>
        <w:t>充分、公平竞争保障措施</w:t>
      </w:r>
      <w:r>
        <w:rPr>
          <w:rFonts w:hint="eastAsia" w:ascii="仿宋" w:hAnsi="仿宋" w:eastAsia="仿宋"/>
          <w:color w:val="auto"/>
          <w:szCs w:val="21"/>
          <w:lang w:val="zh-CN"/>
        </w:rPr>
        <w:t>（实质性要求）</w:t>
      </w:r>
    </w:p>
    <w:p>
      <w:pPr>
        <w:widowControl w:val="0"/>
        <w:numPr>
          <w:ilvl w:val="1"/>
          <w:numId w:val="9"/>
        </w:numPr>
        <w:tabs>
          <w:tab w:val="left" w:pos="1134"/>
        </w:tabs>
        <w:snapToGrid w:val="0"/>
        <w:spacing w:line="640" w:lineRule="exact"/>
        <w:ind w:left="0" w:firstLine="567"/>
        <w:jc w:val="both"/>
        <w:rPr>
          <w:rFonts w:ascii="宋体" w:hAnsi="宋体"/>
          <w:sz w:val="28"/>
          <w:szCs w:val="28"/>
        </w:rPr>
      </w:pPr>
      <w:r>
        <w:rPr>
          <w:rFonts w:hint="eastAsia" w:ascii="宋体" w:hAnsi="宋体"/>
          <w:sz w:val="28"/>
          <w:szCs w:val="28"/>
        </w:rPr>
        <w:t>利害关系供应商处理。单位负责人为同一人或者存在直接控股、管理关系的不同供应商不得参加同一合同项下的政府采购活动。</w:t>
      </w:r>
    </w:p>
    <w:p>
      <w:pPr>
        <w:widowControl w:val="0"/>
        <w:numPr>
          <w:ilvl w:val="1"/>
          <w:numId w:val="9"/>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利害关系授权代表处理。两家以上的供应商不得在同一合同项下的采购项目中，委托同一个自然人、同一家庭的人员、同一单位的人员作为其授权代表，否则，其 响应文件作为无效处理。</w:t>
      </w:r>
    </w:p>
    <w:p>
      <w:pPr>
        <w:widowControl w:val="0"/>
        <w:numPr>
          <w:ilvl w:val="1"/>
          <w:numId w:val="9"/>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widowControl w:val="0"/>
        <w:numPr>
          <w:ilvl w:val="1"/>
          <w:numId w:val="9"/>
        </w:numPr>
        <w:tabs>
          <w:tab w:val="left" w:pos="1134"/>
        </w:tabs>
        <w:snapToGrid w:val="0"/>
        <w:spacing w:line="640" w:lineRule="exact"/>
        <w:ind w:left="0" w:firstLine="565" w:firstLineChars="202"/>
        <w:jc w:val="both"/>
        <w:rPr>
          <w:rFonts w:ascii="宋体" w:hAnsi="宋体"/>
          <w:sz w:val="28"/>
          <w:szCs w:val="28"/>
        </w:rPr>
      </w:pPr>
      <w:r>
        <w:rPr>
          <w:rFonts w:hint="eastAsia" w:ascii="宋体" w:hAnsi="宋体"/>
          <w:sz w:val="28"/>
          <w:szCs w:val="28"/>
        </w:rPr>
        <w:t>同一母公司的两家以上的子公司只能组成联合体参加本项目同一合同项下的采购活动，不得以不同供应商身份同时参加本项目同一合同项下的采购活动。</w:t>
      </w:r>
    </w:p>
    <w:p>
      <w:pPr>
        <w:pStyle w:val="4"/>
        <w:spacing w:line="600" w:lineRule="exact"/>
      </w:pPr>
      <w:bookmarkStart w:id="13" w:name="_Toc32451"/>
      <w:r>
        <w:rPr>
          <w:rFonts w:hint="eastAsia"/>
        </w:rPr>
        <w:t>磋商</w:t>
      </w:r>
      <w:r>
        <w:t>文件</w:t>
      </w:r>
      <w:bookmarkEnd w:id="13"/>
    </w:p>
    <w:p>
      <w:pPr>
        <w:pStyle w:val="5"/>
        <w:spacing w:line="600" w:lineRule="exact"/>
        <w:rPr>
          <w:color w:val="auto"/>
        </w:rPr>
      </w:pPr>
      <w:r>
        <w:rPr>
          <w:rFonts w:hint="eastAsia"/>
          <w:color w:val="auto"/>
        </w:rPr>
        <w:t>磋商文件的构成</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一、竞争性磋商文件是供应商准备 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（五）磋商办法；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二、供应商应认真阅读和充分理解竞争性磋商文件中所有的事项、格式条款和规范要求。按照磋商文件的要求提供 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2"/>
    </w:p>
    <w:p>
      <w:pPr>
        <w:pStyle w:val="5"/>
        <w:spacing w:line="600" w:lineRule="exact"/>
        <w:rPr>
          <w:color w:val="auto"/>
        </w:rPr>
      </w:pPr>
      <w:bookmarkStart w:id="14" w:name="_Toc183582211"/>
      <w:bookmarkStart w:id="15" w:name="_Toc183682348"/>
      <w:bookmarkStart w:id="16" w:name="_Toc217446040"/>
      <w:r>
        <w:rPr>
          <w:rFonts w:hint="eastAsia"/>
          <w:color w:val="auto"/>
        </w:rPr>
        <w:t>磋商文件的澄清</w:t>
      </w:r>
      <w:bookmarkEnd w:id="14"/>
      <w:bookmarkEnd w:id="15"/>
      <w:r>
        <w:rPr>
          <w:rFonts w:hint="eastAsia"/>
          <w:color w:val="auto"/>
        </w:rPr>
        <w:t>和修改</w:t>
      </w:r>
      <w:bookmarkEnd w:id="16"/>
    </w:p>
    <w:p>
      <w:pPr>
        <w:widowControl w:val="0"/>
        <w:numPr>
          <w:ilvl w:val="0"/>
          <w:numId w:val="10"/>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在递交响应文件截止时间前，采购人或者</w:t>
      </w:r>
      <w:r>
        <w:rPr>
          <w:rFonts w:hint="eastAsia" w:cs="Arial"/>
          <w:sz w:val="28"/>
          <w:szCs w:val="28"/>
        </w:rPr>
        <w:t>成都东部新区党工委管委会（成都市东部新城办）综合部</w:t>
      </w:r>
      <w:r>
        <w:rPr>
          <w:rFonts w:hint="eastAsia" w:ascii="宋体" w:hAnsi="宋体"/>
          <w:sz w:val="28"/>
          <w:szCs w:val="28"/>
        </w:rPr>
        <w:t>可以对已发出的磋商文件进行必要的澄清或者修改。</w:t>
      </w:r>
    </w:p>
    <w:p>
      <w:pPr>
        <w:widowControl w:val="0"/>
        <w:numPr>
          <w:ilvl w:val="0"/>
          <w:numId w:val="10"/>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澄清或者修改的内容，成都东部新区党工委管委会（成都市东部新城办）综合部将在“四川政府采购网</w:t>
      </w:r>
      <w:r>
        <w:rPr>
          <w:rFonts w:ascii="宋体" w:hAnsi="宋体"/>
          <w:sz w:val="28"/>
          <w:szCs w:val="28"/>
        </w:rPr>
        <w:t>”</w:t>
      </w:r>
      <w:r>
        <w:rPr>
          <w:rFonts w:hint="eastAsia" w:ascii="宋体" w:hAnsi="宋体"/>
          <w:sz w:val="28"/>
          <w:szCs w:val="28"/>
        </w:rPr>
        <w:t>和“成都东部新区党工委管委会（成都市东部新城办）综合部”网站上发布澄清公告，同时通过政府采购云平台将澄清或者修改的内容告知所有潜在供应商（供应商通过账号或C</w:t>
      </w:r>
      <w:r>
        <w:rPr>
          <w:rFonts w:ascii="宋体" w:hAnsi="宋体"/>
          <w:sz w:val="28"/>
          <w:szCs w:val="28"/>
        </w:rPr>
        <w:t>A</w:t>
      </w:r>
      <w:r>
        <w:rPr>
          <w:rFonts w:hint="eastAsia" w:ascii="宋体" w:hAnsi="宋体"/>
          <w:sz w:val="28"/>
          <w:szCs w:val="28"/>
        </w:rPr>
        <w:t>证书登录云平台查看），该澄清或者修改的内容为磋商文件的组成部分。</w:t>
      </w:r>
    </w:p>
    <w:p>
      <w:pPr>
        <w:widowControl w:val="0"/>
        <w:numPr>
          <w:ilvl w:val="0"/>
          <w:numId w:val="10"/>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 响应文件编制的，</w:t>
      </w:r>
      <w:r>
        <w:rPr>
          <w:rFonts w:hint="eastAsia" w:ascii="宋体" w:hAnsi="宋体"/>
          <w:sz w:val="28"/>
          <w:szCs w:val="28"/>
        </w:rPr>
        <w:t>成都东部新区党工委管委会（成都市东部新城办）综合部</w:t>
      </w:r>
      <w:r>
        <w:rPr>
          <w:rFonts w:ascii="宋体" w:hAnsi="宋体"/>
          <w:sz w:val="28"/>
          <w:szCs w:val="28"/>
        </w:rPr>
        <w:t>应当在提交首次 响应文件截止时间至少</w:t>
      </w:r>
      <w:r>
        <w:rPr>
          <w:rFonts w:hint="eastAsia" w:ascii="宋体" w:hAnsi="宋体"/>
          <w:sz w:val="28"/>
          <w:szCs w:val="28"/>
        </w:rPr>
        <w:t>3个工作日</w:t>
      </w:r>
      <w:r>
        <w:rPr>
          <w:rFonts w:ascii="宋体" w:hAnsi="宋体"/>
          <w:sz w:val="28"/>
          <w:szCs w:val="28"/>
        </w:rPr>
        <w:t>前，</w:t>
      </w:r>
      <w:r>
        <w:rPr>
          <w:rFonts w:hint="eastAsia" w:ascii="宋体" w:hAnsi="宋体"/>
          <w:sz w:val="28"/>
          <w:szCs w:val="28"/>
        </w:rPr>
        <w:t>通过政府采购云平台或</w:t>
      </w:r>
      <w:r>
        <w:rPr>
          <w:rFonts w:hint="eastAsia" w:ascii="宋体" w:hAnsi="宋体"/>
          <w:bCs/>
          <w:sz w:val="28"/>
          <w:szCs w:val="28"/>
        </w:rPr>
        <w:t>以电子邮件方式</w:t>
      </w:r>
      <w:r>
        <w:rPr>
          <w:rFonts w:hint="eastAsia" w:ascii="宋体" w:hAnsi="宋体"/>
          <w:sz w:val="28"/>
          <w:szCs w:val="28"/>
        </w:rPr>
        <w:t>通知所有获取采购文件的潜在供应商</w:t>
      </w:r>
      <w:r>
        <w:rPr>
          <w:rFonts w:ascii="宋体" w:hAnsi="宋体"/>
          <w:sz w:val="28"/>
          <w:szCs w:val="28"/>
        </w:rPr>
        <w:t>；不足</w:t>
      </w:r>
      <w:r>
        <w:rPr>
          <w:rFonts w:hint="eastAsia" w:ascii="宋体" w:hAnsi="宋体"/>
          <w:sz w:val="28"/>
          <w:szCs w:val="28"/>
        </w:rPr>
        <w:t>3个工作</w:t>
      </w:r>
      <w:r>
        <w:rPr>
          <w:rFonts w:ascii="宋体" w:hAnsi="宋体"/>
          <w:sz w:val="28"/>
          <w:szCs w:val="28"/>
        </w:rPr>
        <w:t>日的，</w:t>
      </w:r>
      <w:r>
        <w:rPr>
          <w:rFonts w:hint="eastAsia" w:ascii="宋体" w:hAnsi="宋体"/>
          <w:sz w:val="28"/>
          <w:szCs w:val="28"/>
        </w:rPr>
        <w:t>采购人或成都东部新区党工委管委会（成都市东部新城办）综合部</w:t>
      </w:r>
      <w:r>
        <w:rPr>
          <w:rFonts w:ascii="宋体" w:hAnsi="宋体"/>
          <w:sz w:val="28"/>
          <w:szCs w:val="28"/>
        </w:rPr>
        <w:t>应当顺延提交首次 响应文件截止</w:t>
      </w:r>
      <w:r>
        <w:rPr>
          <w:rFonts w:hint="eastAsia" w:ascii="宋体" w:hAnsi="宋体"/>
          <w:sz w:val="28"/>
          <w:szCs w:val="28"/>
        </w:rPr>
        <w:t>时间</w:t>
      </w:r>
      <w:r>
        <w:rPr>
          <w:rFonts w:ascii="宋体" w:hAnsi="宋体"/>
          <w:sz w:val="28"/>
          <w:szCs w:val="28"/>
        </w:rPr>
        <w:t>。</w:t>
      </w:r>
    </w:p>
    <w:p>
      <w:pPr>
        <w:pStyle w:val="4"/>
        <w:spacing w:line="600" w:lineRule="exact"/>
      </w:pPr>
      <w:bookmarkStart w:id="17" w:name="_Toc320698720"/>
      <w:r>
        <w:rPr>
          <w:rFonts w:hint="eastAsia"/>
        </w:rPr>
        <w:t xml:space="preserve"> </w:t>
      </w:r>
      <w:bookmarkStart w:id="18" w:name="_Toc27707"/>
      <w:r>
        <w:rPr>
          <w:rFonts w:hint="eastAsia"/>
        </w:rPr>
        <w:t>响应文件</w:t>
      </w:r>
      <w:bookmarkEnd w:id="17"/>
      <w:bookmarkEnd w:id="18"/>
    </w:p>
    <w:p>
      <w:pPr>
        <w:pStyle w:val="5"/>
        <w:spacing w:line="600" w:lineRule="exact"/>
        <w:rPr>
          <w:color w:val="auto"/>
        </w:rPr>
      </w:pPr>
      <w:bookmarkStart w:id="19" w:name="_Toc320698721"/>
      <w:r>
        <w:rPr>
          <w:rFonts w:hint="eastAsia"/>
          <w:color w:val="auto"/>
        </w:rPr>
        <w:t xml:space="preserve"> 响应文件的语言</w:t>
      </w:r>
      <w:bookmarkEnd w:id="19"/>
      <w:r>
        <w:rPr>
          <w:rFonts w:hint="eastAsia" w:ascii="仿宋" w:hAnsi="仿宋" w:eastAsia="仿宋"/>
          <w:color w:val="auto"/>
          <w:szCs w:val="21"/>
          <w:lang w:val="zh-CN"/>
        </w:rPr>
        <w:t>（实质性要求）</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 响应文件以及供应商与采购人或成都东部新区党工委管委会（成都市东部新城办）综合部就有关竞争性磋商采购活动的所有来往书面文件均须使用中文， 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 响应文件的解释发生异议的，以中文文本为准。若供应商 响应文件中提供的外文资料未翻译成中文，则磋商小组可将其视为无效材料。</w:t>
      </w:r>
    </w:p>
    <w:p>
      <w:pPr>
        <w:pStyle w:val="5"/>
        <w:spacing w:line="600" w:lineRule="exact"/>
        <w:rPr>
          <w:color w:val="auto"/>
        </w:rPr>
      </w:pPr>
      <w:r>
        <w:rPr>
          <w:rFonts w:hint="eastAsia"/>
          <w:color w:val="auto"/>
        </w:rPr>
        <w:t>计量单位</w:t>
      </w:r>
      <w:r>
        <w:rPr>
          <w:rFonts w:hint="eastAsia" w:ascii="仿宋" w:hAnsi="仿宋" w:eastAsia="仿宋"/>
          <w:color w:val="auto"/>
          <w:szCs w:val="21"/>
          <w:lang w:val="zh-CN"/>
        </w:rPr>
        <w:t>（实质性要求）</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除磋商文件中另有规定外，本次采购项目所有合同项下的响应均采用国家法定的计量单位。</w:t>
      </w:r>
    </w:p>
    <w:p>
      <w:pPr>
        <w:pStyle w:val="5"/>
        <w:spacing w:line="600" w:lineRule="exact"/>
        <w:rPr>
          <w:color w:val="auto"/>
        </w:rPr>
      </w:pPr>
      <w:bookmarkStart w:id="20" w:name="_Toc320698722"/>
      <w:r>
        <w:rPr>
          <w:rFonts w:hint="eastAsia"/>
          <w:color w:val="auto"/>
        </w:rPr>
        <w:t>报价货币及报价要求</w:t>
      </w:r>
      <w:bookmarkEnd w:id="20"/>
      <w:r>
        <w:rPr>
          <w:rFonts w:hint="eastAsia" w:ascii="仿宋" w:hAnsi="仿宋" w:eastAsia="仿宋"/>
          <w:color w:val="auto"/>
          <w:szCs w:val="21"/>
          <w:lang w:val="zh-CN"/>
        </w:rPr>
        <w:t>（实质性要求）</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2"/>
        </w:numPr>
        <w:tabs>
          <w:tab w:val="left" w:pos="1134"/>
        </w:tabs>
        <w:spacing w:line="600" w:lineRule="exact"/>
        <w:ind w:left="0" w:firstLine="560" w:firstLineChars="200"/>
        <w:jc w:val="both"/>
        <w:rPr>
          <w:rFonts w:ascii="宋体" w:hAnsi="宋体"/>
          <w:sz w:val="28"/>
          <w:szCs w:val="28"/>
        </w:rPr>
      </w:pPr>
      <w:bookmarkStart w:id="21" w:name="_Toc320698723"/>
      <w:r>
        <w:rPr>
          <w:rFonts w:hint="eastAsia" w:ascii="宋体" w:hAnsi="宋体"/>
          <w:sz w:val="28"/>
          <w:szCs w:val="28"/>
        </w:rPr>
        <w:t>供应商的报价是其响应本项目要求的全部工作内容的价格体现，包括供应商完成本项目所需的一切费用。</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本项目合同价格形式为固定单价合同。</w:t>
      </w:r>
    </w:p>
    <w:p>
      <w:pPr>
        <w:pStyle w:val="5"/>
        <w:spacing w:line="600" w:lineRule="exact"/>
        <w:rPr>
          <w:color w:val="auto"/>
        </w:rPr>
      </w:pPr>
      <w:r>
        <w:rPr>
          <w:rFonts w:hint="eastAsia"/>
          <w:color w:val="auto"/>
        </w:rPr>
        <w:t>联合体</w:t>
      </w:r>
      <w:bookmarkEnd w:id="21"/>
      <w:r>
        <w:rPr>
          <w:rFonts w:hint="eastAsia" w:ascii="仿宋" w:hAnsi="仿宋" w:eastAsia="仿宋"/>
          <w:color w:val="auto"/>
          <w:szCs w:val="21"/>
          <w:lang w:val="zh-CN"/>
        </w:rPr>
        <w:t>（实质性要求）</w:t>
      </w:r>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供应商以联合体的形式参加磋商。</w:t>
      </w:r>
    </w:p>
    <w:p>
      <w:pPr>
        <w:pStyle w:val="5"/>
        <w:spacing w:line="600" w:lineRule="exact"/>
        <w:ind w:left="0" w:firstLine="0"/>
        <w:rPr>
          <w:color w:val="auto"/>
        </w:rPr>
      </w:pPr>
      <w:bookmarkStart w:id="22" w:name="_Toc217446047"/>
      <w:r>
        <w:rPr>
          <w:rFonts w:hint="eastAsia"/>
          <w:color w:val="auto"/>
        </w:rPr>
        <w:t>知识产权</w:t>
      </w:r>
      <w:bookmarkEnd w:id="22"/>
      <w:r>
        <w:rPr>
          <w:rFonts w:hint="eastAsia" w:ascii="仿宋" w:hAnsi="仿宋" w:eastAsia="仿宋"/>
          <w:color w:val="auto"/>
          <w:szCs w:val="21"/>
          <w:lang w:val="zh-CN"/>
        </w:rPr>
        <w:t>（实质性要求）</w:t>
      </w:r>
    </w:p>
    <w:p>
      <w:pPr>
        <w:pStyle w:val="154"/>
        <w:widowControl w:val="0"/>
        <w:numPr>
          <w:ilvl w:val="0"/>
          <w:numId w:val="13"/>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4"/>
        <w:widowControl w:val="0"/>
        <w:numPr>
          <w:ilvl w:val="0"/>
          <w:numId w:val="13"/>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非磋商</w:t>
      </w:r>
      <w:r>
        <w:rPr>
          <w:rFonts w:ascii="宋体" w:hAnsi="宋体"/>
          <w:sz w:val="28"/>
          <w:szCs w:val="28"/>
        </w:rPr>
        <w:t>文件特别规定，</w:t>
      </w:r>
      <w:r>
        <w:rPr>
          <w:rFonts w:hint="eastAsia" w:ascii="宋体" w:hAnsi="宋体"/>
          <w:sz w:val="28"/>
          <w:szCs w:val="28"/>
        </w:rPr>
        <w:t>采购人享有本项目实施过程中产生的知识成果及知识产权。</w:t>
      </w:r>
    </w:p>
    <w:p>
      <w:pPr>
        <w:pStyle w:val="154"/>
        <w:widowControl w:val="0"/>
        <w:numPr>
          <w:ilvl w:val="0"/>
          <w:numId w:val="13"/>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 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4"/>
        <w:widowControl w:val="0"/>
        <w:numPr>
          <w:ilvl w:val="0"/>
          <w:numId w:val="13"/>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spacing w:line="600" w:lineRule="exact"/>
        <w:rPr>
          <w:color w:val="auto"/>
        </w:rPr>
      </w:pPr>
      <w:bookmarkStart w:id="23" w:name="_Toc320698724"/>
      <w:bookmarkStart w:id="24" w:name="_Toc320698725"/>
      <w:r>
        <w:rPr>
          <w:rFonts w:hint="eastAsia"/>
          <w:color w:val="auto"/>
        </w:rPr>
        <w:t xml:space="preserve"> 响应文件的</w:t>
      </w:r>
      <w:bookmarkEnd w:id="23"/>
      <w:r>
        <w:rPr>
          <w:rFonts w:hint="eastAsia"/>
          <w:color w:val="auto"/>
        </w:rPr>
        <w:t>组成</w:t>
      </w:r>
      <w:r>
        <w:rPr>
          <w:rFonts w:hint="eastAsia" w:ascii="仿宋" w:hAnsi="仿宋" w:eastAsia="仿宋"/>
          <w:color w:val="auto"/>
          <w:szCs w:val="21"/>
          <w:lang w:val="zh-CN"/>
        </w:rPr>
        <w:t>（实质性要求）</w:t>
      </w:r>
    </w:p>
    <w:p>
      <w:pPr>
        <w:pStyle w:val="154"/>
        <w:tabs>
          <w:tab w:val="left" w:pos="1200"/>
        </w:tabs>
        <w:spacing w:line="600" w:lineRule="exact"/>
        <w:ind w:firstLine="560"/>
      </w:pPr>
      <w:r>
        <w:rPr>
          <w:rFonts w:hint="eastAsia" w:ascii="宋体" w:hAnsi="宋体"/>
          <w:sz w:val="28"/>
          <w:szCs w:val="28"/>
        </w:rPr>
        <w:t>供应商应按照磋商文件的规定和要求编制响应文件。供应商编写的响应文件应包括下列部分：</w:t>
      </w:r>
    </w:p>
    <w:bookmarkEnd w:id="24"/>
    <w:p>
      <w:pPr>
        <w:spacing w:line="360" w:lineRule="auto"/>
        <w:ind w:firstLine="565" w:firstLineChars="202"/>
        <w:rPr>
          <w:rFonts w:ascii="宋体" w:hAnsi="宋体"/>
          <w:sz w:val="28"/>
          <w:szCs w:val="28"/>
        </w:rPr>
      </w:pPr>
      <w:bookmarkStart w:id="25" w:name="_Toc320698726"/>
      <w:r>
        <w:rPr>
          <w:rFonts w:hint="eastAsia" w:ascii="宋体" w:hAnsi="宋体"/>
          <w:sz w:val="28"/>
          <w:szCs w:val="28"/>
        </w:rPr>
        <w:t>一、资格性响应文件：用于磋商小组资格性审查；</w:t>
      </w:r>
    </w:p>
    <w:p>
      <w:pPr>
        <w:spacing w:line="360" w:lineRule="auto"/>
        <w:ind w:firstLine="565" w:firstLineChars="202"/>
        <w:rPr>
          <w:rFonts w:ascii="宋体" w:hAnsi="宋体"/>
          <w:sz w:val="28"/>
          <w:szCs w:val="28"/>
        </w:rPr>
      </w:pPr>
      <w:r>
        <w:rPr>
          <w:rFonts w:hint="eastAsia" w:ascii="宋体" w:hAnsi="宋体"/>
          <w:sz w:val="28"/>
          <w:szCs w:val="28"/>
        </w:rPr>
        <w:t>二、技术、服务性响应文件：用于供应商与磋商小组磋商；</w:t>
      </w:r>
    </w:p>
    <w:p>
      <w:pPr>
        <w:spacing w:line="360" w:lineRule="auto"/>
        <w:ind w:firstLine="565" w:firstLineChars="202"/>
        <w:rPr>
          <w:rFonts w:ascii="宋体" w:hAnsi="宋体"/>
          <w:sz w:val="28"/>
          <w:szCs w:val="28"/>
        </w:rPr>
      </w:pPr>
      <w:r>
        <w:rPr>
          <w:rFonts w:hint="eastAsia" w:ascii="宋体" w:hAnsi="宋体"/>
          <w:sz w:val="28"/>
          <w:szCs w:val="28"/>
        </w:rPr>
        <w:t>三、最后报价文件（最后报价格式由磋商小组提供）。</w:t>
      </w:r>
    </w:p>
    <w:p>
      <w:pPr>
        <w:pStyle w:val="5"/>
        <w:numPr>
          <w:ilvl w:val="3"/>
          <w:numId w:val="1"/>
        </w:numPr>
        <w:spacing w:line="600" w:lineRule="exact"/>
        <w:ind w:left="1843" w:hanging="1843"/>
        <w:rPr>
          <w:color w:val="auto"/>
        </w:rPr>
      </w:pPr>
      <w:r>
        <w:rPr>
          <w:rFonts w:hint="eastAsia"/>
          <w:color w:val="auto"/>
        </w:rPr>
        <w:t xml:space="preserve"> 响应文件</w:t>
      </w:r>
      <w:bookmarkEnd w:id="25"/>
    </w:p>
    <w:p>
      <w:pPr>
        <w:pStyle w:val="5"/>
        <w:numPr>
          <w:ilvl w:val="3"/>
          <w:numId w:val="14"/>
        </w:numPr>
        <w:spacing w:after="200"/>
        <w:ind w:left="1843" w:hanging="1843"/>
        <w:rPr>
          <w:color w:val="auto"/>
        </w:rPr>
      </w:pPr>
      <w:bookmarkStart w:id="26" w:name="_Toc320698727"/>
      <w:r>
        <w:rPr>
          <w:rFonts w:hint="eastAsia"/>
          <w:color w:val="auto"/>
        </w:rPr>
        <w:t>资格性响应文件</w:t>
      </w:r>
    </w:p>
    <w:p>
      <w:pPr>
        <w:ind w:firstLine="560" w:firstLineChars="200"/>
        <w:rPr>
          <w:rFonts w:ascii="宋体" w:hAnsi="宋体"/>
          <w:sz w:val="28"/>
          <w:szCs w:val="28"/>
        </w:rPr>
      </w:pPr>
      <w:r>
        <w:rPr>
          <w:rFonts w:hint="eastAsia" w:ascii="宋体" w:hAnsi="宋体"/>
          <w:sz w:val="28"/>
          <w:szCs w:val="28"/>
        </w:rPr>
        <w:t>资格性响应文件由以下部分组成：</w:t>
      </w:r>
    </w:p>
    <w:p>
      <w:pPr>
        <w:pStyle w:val="193"/>
        <w:numPr>
          <w:ilvl w:val="0"/>
          <w:numId w:val="15"/>
        </w:numPr>
        <w:tabs>
          <w:tab w:val="left" w:pos="1134"/>
        </w:tabs>
        <w:spacing w:after="200"/>
        <w:ind w:left="0" w:firstLine="560"/>
        <w:rPr>
          <w:rFonts w:ascii="宋体" w:hAnsi="宋体"/>
          <w:sz w:val="28"/>
          <w:szCs w:val="28"/>
        </w:rPr>
      </w:pPr>
      <w:r>
        <w:rPr>
          <w:rFonts w:hint="eastAsia" w:ascii="宋体" w:hAnsi="宋体"/>
          <w:sz w:val="28"/>
          <w:szCs w:val="28"/>
        </w:rPr>
        <w:t>供应商资格申明函；</w:t>
      </w:r>
    </w:p>
    <w:p>
      <w:pPr>
        <w:pStyle w:val="193"/>
        <w:numPr>
          <w:ilvl w:val="0"/>
          <w:numId w:val="15"/>
        </w:numPr>
        <w:tabs>
          <w:tab w:val="left" w:pos="1134"/>
        </w:tabs>
        <w:spacing w:after="200"/>
        <w:ind w:left="0" w:firstLine="560"/>
        <w:rPr>
          <w:rFonts w:ascii="宋体" w:hAnsi="宋体"/>
          <w:sz w:val="28"/>
          <w:szCs w:val="28"/>
        </w:rPr>
      </w:pPr>
      <w:r>
        <w:rPr>
          <w:rFonts w:hint="eastAsia" w:ascii="宋体" w:hAnsi="宋体"/>
          <w:sz w:val="28"/>
          <w:szCs w:val="28"/>
        </w:rPr>
        <w:t>声明；</w:t>
      </w:r>
    </w:p>
    <w:p>
      <w:pPr>
        <w:pStyle w:val="193"/>
        <w:numPr>
          <w:ilvl w:val="0"/>
          <w:numId w:val="15"/>
        </w:numPr>
        <w:tabs>
          <w:tab w:val="left" w:pos="1134"/>
        </w:tabs>
        <w:spacing w:after="200"/>
        <w:ind w:left="0" w:firstLine="560"/>
        <w:rPr>
          <w:rFonts w:ascii="宋体" w:hAnsi="宋体"/>
          <w:sz w:val="28"/>
          <w:szCs w:val="28"/>
        </w:rPr>
      </w:pPr>
      <w:r>
        <w:rPr>
          <w:rFonts w:hint="eastAsia" w:ascii="宋体" w:hAnsi="宋体"/>
          <w:sz w:val="28"/>
        </w:rPr>
        <w:t>法定代表人</w:t>
      </w:r>
      <w:r>
        <w:rPr>
          <w:rFonts w:hint="eastAsia" w:ascii="宋体" w:hAnsi="宋体"/>
          <w:sz w:val="28"/>
          <w:szCs w:val="28"/>
        </w:rPr>
        <w:t>身份证明书以及</w:t>
      </w:r>
      <w:r>
        <w:rPr>
          <w:rFonts w:hint="eastAsia" w:ascii="宋体" w:hAnsi="宋体"/>
          <w:sz w:val="28"/>
        </w:rPr>
        <w:t>法定代表人</w:t>
      </w:r>
      <w:r>
        <w:rPr>
          <w:rFonts w:hint="eastAsia" w:ascii="宋体" w:hAnsi="宋体"/>
          <w:sz w:val="28"/>
          <w:szCs w:val="28"/>
        </w:rPr>
        <w:t>身份证复印件（身份证两面均应复印）或护照复印件（说明：（1）供应商的</w:t>
      </w:r>
      <w:r>
        <w:rPr>
          <w:rFonts w:hint="eastAsia" w:ascii="宋体" w:hAnsi="宋体"/>
          <w:sz w:val="28"/>
        </w:rPr>
        <w:t>法定代表人</w:t>
      </w:r>
      <w:r>
        <w:rPr>
          <w:rFonts w:hint="eastAsia" w:ascii="宋体" w:hAnsi="宋体"/>
          <w:sz w:val="28"/>
          <w:szCs w:val="28"/>
        </w:rPr>
        <w:t>为外籍人士的，则提供护照复印件）；</w:t>
      </w:r>
    </w:p>
    <w:p>
      <w:pPr>
        <w:pStyle w:val="193"/>
        <w:numPr>
          <w:ilvl w:val="0"/>
          <w:numId w:val="15"/>
        </w:numPr>
        <w:tabs>
          <w:tab w:val="left" w:pos="1134"/>
        </w:tabs>
        <w:spacing w:after="200"/>
        <w:ind w:left="0" w:firstLine="560"/>
        <w:rPr>
          <w:rFonts w:ascii="宋体" w:hAnsi="宋体"/>
          <w:sz w:val="28"/>
          <w:szCs w:val="28"/>
        </w:rPr>
      </w:pPr>
      <w:r>
        <w:rPr>
          <w:rFonts w:hint="eastAsia" w:ascii="宋体" w:hAnsi="宋体"/>
          <w:sz w:val="28"/>
        </w:rPr>
        <w:t>法定代表人</w:t>
      </w:r>
      <w:r>
        <w:rPr>
          <w:rFonts w:hint="eastAsia" w:ascii="宋体" w:hAnsi="宋体"/>
          <w:sz w:val="28"/>
          <w:szCs w:val="28"/>
        </w:rPr>
        <w:t>授权委托书以及代理人身份证复印件（身份证两面均应复印）（说明：响应文件均由供应商法定代表人签字的可不提供）；</w:t>
      </w:r>
    </w:p>
    <w:p>
      <w:pPr>
        <w:pStyle w:val="193"/>
        <w:numPr>
          <w:ilvl w:val="0"/>
          <w:numId w:val="15"/>
        </w:numPr>
        <w:tabs>
          <w:tab w:val="left" w:pos="1134"/>
          <w:tab w:val="left" w:pos="1418"/>
        </w:tabs>
        <w:spacing w:after="200"/>
        <w:ind w:left="0" w:firstLine="560"/>
        <w:rPr>
          <w:rFonts w:ascii="宋体" w:hAnsi="宋体"/>
          <w:sz w:val="28"/>
          <w:szCs w:val="28"/>
        </w:rPr>
      </w:pPr>
      <w:r>
        <w:rPr>
          <w:rFonts w:hint="eastAsia" w:ascii="宋体" w:hAnsi="宋体"/>
          <w:sz w:val="28"/>
          <w:szCs w:val="28"/>
        </w:rPr>
        <w:t>供应商基本情况表；</w:t>
      </w:r>
    </w:p>
    <w:p>
      <w:pPr>
        <w:pStyle w:val="193"/>
        <w:numPr>
          <w:ilvl w:val="0"/>
          <w:numId w:val="15"/>
        </w:numPr>
        <w:tabs>
          <w:tab w:val="left" w:pos="1134"/>
          <w:tab w:val="left" w:pos="1418"/>
        </w:tabs>
        <w:spacing w:after="200"/>
        <w:ind w:left="0" w:firstLine="560"/>
        <w:rPr>
          <w:rFonts w:ascii="宋体" w:hAnsi="宋体"/>
          <w:sz w:val="28"/>
          <w:szCs w:val="28"/>
        </w:rPr>
      </w:pPr>
      <w:r>
        <w:rPr>
          <w:rFonts w:hint="eastAsia" w:ascii="宋体" w:hAnsi="宋体"/>
          <w:sz w:val="28"/>
          <w:szCs w:val="28"/>
        </w:rPr>
        <w:t>供应商应提交的相关资格证明材料：</w:t>
      </w:r>
    </w:p>
    <w:p>
      <w:pPr>
        <w:tabs>
          <w:tab w:val="left" w:pos="1134"/>
        </w:tabs>
        <w:spacing w:line="360" w:lineRule="auto"/>
        <w:ind w:firstLine="551" w:firstLineChars="196"/>
        <w:rPr>
          <w:rFonts w:ascii="宋体" w:hAnsi="宋体"/>
          <w:b/>
          <w:sz w:val="28"/>
          <w:szCs w:val="28"/>
        </w:rPr>
      </w:pPr>
      <w:r>
        <w:rPr>
          <w:rFonts w:hint="eastAsia" w:ascii="宋体" w:hAnsi="宋体"/>
          <w:b/>
          <w:sz w:val="28"/>
          <w:szCs w:val="28"/>
        </w:rPr>
        <w:t>（一）2019或2020会计年度资产负债表复印件（说明：供应商成立时间至递交响应文件截止时间止不足一年的，提供成立后任意时段的资产负债表复印件）；</w:t>
      </w:r>
    </w:p>
    <w:p>
      <w:pPr>
        <w:tabs>
          <w:tab w:val="left" w:pos="1134"/>
        </w:tabs>
        <w:spacing w:line="360" w:lineRule="auto"/>
        <w:ind w:firstLine="565" w:firstLineChars="201"/>
        <w:rPr>
          <w:rFonts w:ascii="宋体" w:hAnsi="宋体"/>
          <w:b/>
          <w:sz w:val="28"/>
          <w:szCs w:val="28"/>
        </w:rPr>
      </w:pPr>
      <w:r>
        <w:rPr>
          <w:rFonts w:hint="eastAsia" w:ascii="宋体" w:hAnsi="宋体"/>
          <w:b/>
          <w:sz w:val="28"/>
          <w:szCs w:val="28"/>
        </w:rPr>
        <w:t>（二）供应商缴纳2020或2021年任意时段的税收的银行电子回单或者行政部门出具的纳税证明或完税证明复印件；</w:t>
      </w:r>
    </w:p>
    <w:p>
      <w:pPr>
        <w:tabs>
          <w:tab w:val="left" w:pos="1134"/>
        </w:tabs>
        <w:spacing w:line="360" w:lineRule="auto"/>
        <w:ind w:firstLine="551" w:firstLineChars="196"/>
        <w:rPr>
          <w:rFonts w:ascii="宋体" w:hAnsi="宋体"/>
          <w:b/>
          <w:sz w:val="28"/>
          <w:szCs w:val="28"/>
        </w:rPr>
      </w:pPr>
      <w:r>
        <w:rPr>
          <w:rFonts w:hint="eastAsia" w:ascii="宋体" w:hAnsi="宋体"/>
          <w:b/>
          <w:sz w:val="28"/>
          <w:szCs w:val="28"/>
        </w:rPr>
        <w:t>（三）供应商缴纳2020或2021年任意时段的社保的银行电子回单或者行政部门出具的社保缴纳证明材料复印件；</w:t>
      </w:r>
    </w:p>
    <w:p>
      <w:pPr>
        <w:tabs>
          <w:tab w:val="left" w:pos="1134"/>
        </w:tabs>
        <w:spacing w:line="360" w:lineRule="auto"/>
        <w:ind w:firstLine="551" w:firstLineChars="196"/>
        <w:rPr>
          <w:rFonts w:ascii="宋体" w:hAnsi="宋体"/>
          <w:b/>
          <w:sz w:val="28"/>
          <w:szCs w:val="28"/>
        </w:rPr>
      </w:pPr>
      <w:r>
        <w:rPr>
          <w:rFonts w:hint="eastAsia" w:ascii="宋体" w:hAnsi="宋体"/>
          <w:b/>
          <w:sz w:val="28"/>
          <w:szCs w:val="28"/>
        </w:rPr>
        <w:t>（四）供应商应提供中小企业声明函（如未提供中小企业声明函或签字盖章不符合磋商文件要求的，则做无效响应处理）。</w:t>
      </w:r>
    </w:p>
    <w:p>
      <w:pPr>
        <w:pStyle w:val="5"/>
        <w:numPr>
          <w:ilvl w:val="3"/>
          <w:numId w:val="14"/>
        </w:numPr>
        <w:spacing w:after="200"/>
        <w:ind w:left="1843" w:hanging="1843"/>
        <w:rPr>
          <w:color w:val="auto"/>
        </w:rPr>
      </w:pPr>
      <w:r>
        <w:rPr>
          <w:rFonts w:hint="eastAsia"/>
          <w:color w:val="auto"/>
        </w:rPr>
        <w:t>技术、服务性响应文件</w:t>
      </w:r>
    </w:p>
    <w:p>
      <w:pPr>
        <w:pStyle w:val="2"/>
        <w:numPr>
          <w:ilvl w:val="0"/>
          <w:numId w:val="16"/>
        </w:numPr>
        <w:tabs>
          <w:tab w:val="left" w:pos="1134"/>
        </w:tabs>
        <w:spacing w:after="0" w:line="360" w:lineRule="auto"/>
        <w:ind w:left="0" w:firstLine="567"/>
        <w:rPr>
          <w:rFonts w:ascii="宋体" w:hAnsi="宋体"/>
          <w:sz w:val="28"/>
          <w:szCs w:val="28"/>
        </w:rPr>
      </w:pPr>
      <w:r>
        <w:rPr>
          <w:rFonts w:hint="eastAsia" w:ascii="宋体" w:hAnsi="宋体"/>
          <w:sz w:val="28"/>
          <w:szCs w:val="28"/>
        </w:rPr>
        <w:t>报价表；</w:t>
      </w:r>
    </w:p>
    <w:p>
      <w:pPr>
        <w:pStyle w:val="2"/>
        <w:numPr>
          <w:ilvl w:val="0"/>
          <w:numId w:val="16"/>
        </w:numPr>
        <w:tabs>
          <w:tab w:val="left" w:pos="1134"/>
        </w:tabs>
        <w:spacing w:after="0" w:line="360" w:lineRule="auto"/>
        <w:rPr>
          <w:rFonts w:ascii="宋体" w:hAnsi="宋体"/>
          <w:sz w:val="28"/>
          <w:szCs w:val="28"/>
        </w:rPr>
      </w:pPr>
      <w:r>
        <w:rPr>
          <w:rFonts w:hint="eastAsia" w:ascii="宋体" w:hAnsi="宋体"/>
          <w:sz w:val="28"/>
          <w:szCs w:val="28"/>
        </w:rPr>
        <w:t>服务方案及服务承诺；</w:t>
      </w:r>
    </w:p>
    <w:p>
      <w:pPr>
        <w:pStyle w:val="2"/>
        <w:numPr>
          <w:ilvl w:val="0"/>
          <w:numId w:val="16"/>
        </w:numPr>
        <w:tabs>
          <w:tab w:val="left" w:pos="1134"/>
        </w:tabs>
        <w:spacing w:after="0" w:line="360" w:lineRule="auto"/>
        <w:ind w:left="0" w:firstLine="567"/>
        <w:rPr>
          <w:rFonts w:ascii="宋体" w:hAnsi="宋体"/>
          <w:sz w:val="28"/>
          <w:szCs w:val="28"/>
        </w:rPr>
      </w:pPr>
      <w:r>
        <w:rPr>
          <w:rFonts w:hint="eastAsia" w:ascii="宋体" w:hAnsi="宋体"/>
          <w:sz w:val="28"/>
          <w:szCs w:val="28"/>
        </w:rPr>
        <w:t>承诺函。</w:t>
      </w:r>
    </w:p>
    <w:p>
      <w:pPr>
        <w:pStyle w:val="5"/>
        <w:numPr>
          <w:ilvl w:val="3"/>
          <w:numId w:val="1"/>
        </w:numPr>
        <w:spacing w:line="600" w:lineRule="exact"/>
        <w:ind w:left="1843" w:hanging="1843"/>
        <w:rPr>
          <w:color w:val="auto"/>
        </w:rPr>
      </w:pPr>
      <w:r>
        <w:rPr>
          <w:rFonts w:hint="eastAsia"/>
          <w:color w:val="auto"/>
        </w:rPr>
        <w:t>最后报价</w:t>
      </w:r>
    </w:p>
    <w:p>
      <w:pPr>
        <w:pStyle w:val="82"/>
        <w:ind w:firstLine="551"/>
        <w:rPr>
          <w:b/>
        </w:rPr>
      </w:pPr>
      <w:r>
        <w:rPr>
          <w:rFonts w:hint="eastAsia" w:ascii="宋体" w:hAnsi="宋体"/>
          <w:sz w:val="28"/>
        </w:rPr>
        <w:t>参加最后报价的供应商按磋商小组提供的《最后报价表》提供最后报价。</w:t>
      </w:r>
    </w:p>
    <w:p>
      <w:pPr>
        <w:pStyle w:val="5"/>
        <w:spacing w:line="600" w:lineRule="exact"/>
        <w:rPr>
          <w:color w:val="auto"/>
        </w:rPr>
      </w:pPr>
      <w:r>
        <w:rPr>
          <w:rFonts w:hint="eastAsia"/>
          <w:color w:val="auto"/>
        </w:rPr>
        <w:t xml:space="preserve"> 响应文件格式</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一、供应商应按照竞争性磋商文件第3章中提供的“ 响应文件格式”填写相关内容。</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 响应文件由供应商自行编写。</w:t>
      </w:r>
    </w:p>
    <w:p>
      <w:pPr>
        <w:pStyle w:val="5"/>
        <w:spacing w:line="600" w:lineRule="exact"/>
        <w:rPr>
          <w:color w:val="auto"/>
        </w:rPr>
      </w:pPr>
      <w:r>
        <w:rPr>
          <w:rFonts w:hint="eastAsia"/>
          <w:color w:val="auto"/>
        </w:rPr>
        <w:t>最后报价</w:t>
      </w:r>
    </w:p>
    <w:p>
      <w:pPr>
        <w:widowControl w:val="0"/>
        <w:numPr>
          <w:ilvl w:val="0"/>
          <w:numId w:val="17"/>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供应商的最后报价是供应商响应采购项目要求的价格体现，包括供应商完成本项目所需的一切费用。</w:t>
      </w:r>
    </w:p>
    <w:p>
      <w:pPr>
        <w:widowControl w:val="0"/>
        <w:numPr>
          <w:ilvl w:val="0"/>
          <w:numId w:val="17"/>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供应商的最后报价只允许有一个报价，任何有选择或可调整的报价将不予接受，并按无效响应处理。</w:t>
      </w:r>
    </w:p>
    <w:p>
      <w:pPr>
        <w:widowControl w:val="0"/>
        <w:numPr>
          <w:ilvl w:val="0"/>
          <w:numId w:val="17"/>
        </w:numPr>
        <w:tabs>
          <w:tab w:val="left" w:pos="1134"/>
        </w:tabs>
        <w:spacing w:line="600" w:lineRule="exact"/>
        <w:ind w:left="0" w:firstLine="560"/>
        <w:jc w:val="both"/>
        <w:rPr>
          <w:rFonts w:ascii="宋体" w:hAnsi="宋体"/>
          <w:sz w:val="28"/>
          <w:szCs w:val="28"/>
        </w:rPr>
      </w:pPr>
      <w:r>
        <w:rPr>
          <w:rFonts w:hint="eastAsia" w:ascii="宋体" w:hAnsi="宋体"/>
          <w:sz w:val="28"/>
          <w:szCs w:val="28"/>
        </w:rPr>
        <w:t>参加最后报价的供应商按磋商小组的要求提供最后报价。</w:t>
      </w:r>
    </w:p>
    <w:bookmarkEnd w:id="26"/>
    <w:p>
      <w:pPr>
        <w:pStyle w:val="5"/>
        <w:spacing w:line="600" w:lineRule="exact"/>
        <w:rPr>
          <w:color w:val="auto"/>
        </w:rPr>
      </w:pPr>
      <w:bookmarkStart w:id="27" w:name="_Toc320698728"/>
      <w:r>
        <w:rPr>
          <w:rFonts w:hint="eastAsia"/>
          <w:color w:val="auto"/>
        </w:rPr>
        <w:t>磋商保证金</w:t>
      </w:r>
    </w:p>
    <w:p>
      <w:pPr>
        <w:spacing w:line="600" w:lineRule="exact"/>
        <w:ind w:firstLine="560" w:firstLineChars="200"/>
        <w:rPr>
          <w:rFonts w:ascii="宋体" w:hAnsi="宋体"/>
          <w:sz w:val="28"/>
          <w:szCs w:val="28"/>
        </w:rPr>
      </w:pPr>
      <w:r>
        <w:rPr>
          <w:rFonts w:hint="eastAsia" w:ascii="宋体" w:hAnsi="宋体"/>
          <w:sz w:val="28"/>
          <w:szCs w:val="28"/>
        </w:rPr>
        <w:t>本项目不收取磋商保证金。</w:t>
      </w:r>
    </w:p>
    <w:p>
      <w:pPr>
        <w:pStyle w:val="5"/>
        <w:spacing w:line="600" w:lineRule="exact"/>
        <w:rPr>
          <w:color w:val="auto"/>
        </w:rPr>
      </w:pPr>
      <w:r>
        <w:rPr>
          <w:rFonts w:hint="eastAsia"/>
          <w:color w:val="auto"/>
        </w:rPr>
        <w:t xml:space="preserve"> 响应文件有效期</w:t>
      </w:r>
      <w:bookmarkEnd w:id="27"/>
    </w:p>
    <w:p>
      <w:pPr>
        <w:pStyle w:val="80"/>
        <w:numPr>
          <w:ilvl w:val="0"/>
          <w:numId w:val="18"/>
        </w:numPr>
        <w:tabs>
          <w:tab w:val="left" w:pos="1134"/>
        </w:tabs>
        <w:spacing w:line="600" w:lineRule="exact"/>
        <w:ind w:left="0" w:firstLine="566" w:firstLineChars="0"/>
        <w:rPr>
          <w:rFonts w:ascii="宋体" w:hAnsi="宋体" w:eastAsia="宋体"/>
          <w:sz w:val="28"/>
          <w:szCs w:val="28"/>
        </w:rPr>
      </w:pPr>
      <w:r>
        <w:rPr>
          <w:rFonts w:hint="eastAsia" w:ascii="仿宋" w:hAnsi="仿宋" w:eastAsia="仿宋"/>
          <w:szCs w:val="21"/>
          <w:lang w:val="zh-CN"/>
        </w:rPr>
        <w:t>（实质性要求）</w:t>
      </w:r>
      <w:r>
        <w:rPr>
          <w:rFonts w:hint="eastAsia" w:ascii="宋体" w:hAnsi="宋体" w:eastAsia="宋体"/>
          <w:sz w:val="28"/>
          <w:szCs w:val="28"/>
        </w:rPr>
        <w:t xml:space="preserve"> 响应文件有效期为递交 响应文件截止之日起</w:t>
      </w:r>
      <w:r>
        <w:rPr>
          <w:rFonts w:hint="eastAsia" w:ascii="宋体" w:hAnsi="宋体" w:eastAsia="宋体"/>
          <w:sz w:val="28"/>
          <w:szCs w:val="28"/>
          <w:u w:val="single"/>
        </w:rPr>
        <w:t>120</w:t>
      </w:r>
      <w:r>
        <w:rPr>
          <w:rFonts w:hint="eastAsia" w:ascii="宋体" w:hAnsi="宋体" w:eastAsia="宋体"/>
          <w:sz w:val="28"/>
          <w:szCs w:val="28"/>
        </w:rPr>
        <w:t>天。 响应文件有效期短于此规定期限的或不作响应的，其 响应文件将按无效 响应文件处理。</w:t>
      </w:r>
    </w:p>
    <w:p>
      <w:pPr>
        <w:pStyle w:val="80"/>
        <w:numPr>
          <w:ilvl w:val="0"/>
          <w:numId w:val="18"/>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 响应文件有效期满之前要求供应商同意延长有效期，要求与答复均应为书面形式。供应商可以拒绝上述要求，其磋商保证金不被没收。同意延长 响应文件有效期的供应商不能修改其 响应文件，关于磋商保证金的有关规定在延长的 响应文件有效期内继续有效。</w:t>
      </w:r>
    </w:p>
    <w:p>
      <w:pPr>
        <w:pStyle w:val="5"/>
        <w:numPr>
          <w:ilvl w:val="2"/>
          <w:numId w:val="14"/>
        </w:numPr>
        <w:spacing w:after="200"/>
        <w:ind w:left="0" w:firstLine="0"/>
        <w:rPr>
          <w:color w:val="auto"/>
        </w:rPr>
      </w:pPr>
      <w:bookmarkStart w:id="28" w:name="_Toc320698729"/>
      <w:bookmarkStart w:id="29" w:name="_Toc320698730"/>
      <w:bookmarkStart w:id="30" w:name="_Toc320698731"/>
      <w:r>
        <w:rPr>
          <w:rFonts w:hint="eastAsia"/>
          <w:color w:val="auto"/>
        </w:rPr>
        <w:t>响应文件的印制、签署和装订</w:t>
      </w:r>
    </w:p>
    <w:p>
      <w:pPr>
        <w:pStyle w:val="5"/>
        <w:numPr>
          <w:ilvl w:val="3"/>
          <w:numId w:val="14"/>
        </w:numPr>
        <w:spacing w:after="200"/>
        <w:ind w:left="992" w:hanging="992"/>
        <w:rPr>
          <w:color w:val="auto"/>
        </w:rPr>
      </w:pPr>
      <w:r>
        <w:rPr>
          <w:rFonts w:hint="eastAsia"/>
          <w:color w:val="auto"/>
        </w:rPr>
        <w:t>响应文件的印制和签署</w:t>
      </w:r>
      <w:bookmarkEnd w:id="28"/>
    </w:p>
    <w:p>
      <w:pPr>
        <w:numPr>
          <w:ilvl w:val="0"/>
          <w:numId w:val="19"/>
        </w:numPr>
        <w:tabs>
          <w:tab w:val="left" w:pos="1134"/>
        </w:tabs>
        <w:spacing w:after="200" w:line="360" w:lineRule="auto"/>
        <w:ind w:left="0" w:firstLine="562" w:firstLineChars="200"/>
        <w:rPr>
          <w:rFonts w:ascii="宋体" w:hAnsi="宋体"/>
          <w:b/>
          <w:sz w:val="28"/>
          <w:szCs w:val="28"/>
        </w:rPr>
      </w:pPr>
      <w:r>
        <w:rPr>
          <w:rFonts w:hint="eastAsia" w:ascii="宋体" w:hAnsi="宋体"/>
          <w:b/>
          <w:sz w:val="28"/>
          <w:szCs w:val="28"/>
        </w:rPr>
        <w:t>资格性响应文件正本一份副本一份，</w:t>
      </w:r>
      <w:r>
        <w:rPr>
          <w:rFonts w:hint="eastAsia" w:ascii="宋体" w:hAnsi="宋体"/>
          <w:sz w:val="28"/>
          <w:szCs w:val="28"/>
        </w:rPr>
        <w:t>并在其封面上清楚地标明</w:t>
      </w:r>
      <w:r>
        <w:rPr>
          <w:rFonts w:hint="eastAsia" w:ascii="宋体" w:hAnsi="宋体"/>
          <w:b/>
          <w:sz w:val="28"/>
          <w:szCs w:val="28"/>
        </w:rPr>
        <w:t>资格性响应文件、项目名称、项目编号、供应商名称以及“正本”或“副本”字样</w:t>
      </w:r>
      <w:r>
        <w:rPr>
          <w:rFonts w:hint="eastAsia" w:ascii="宋体" w:hAnsi="宋体"/>
          <w:sz w:val="28"/>
          <w:szCs w:val="28"/>
        </w:rPr>
        <w:t>。若正本和副本有不一致的内容，以正本书面响应文件为准。</w:t>
      </w:r>
    </w:p>
    <w:p>
      <w:pPr>
        <w:numPr>
          <w:ilvl w:val="0"/>
          <w:numId w:val="19"/>
        </w:numPr>
        <w:tabs>
          <w:tab w:val="left" w:pos="1134"/>
        </w:tabs>
        <w:spacing w:after="200" w:line="360" w:lineRule="auto"/>
        <w:ind w:left="0" w:firstLine="562" w:firstLineChars="200"/>
        <w:rPr>
          <w:rFonts w:ascii="宋体" w:hAnsi="宋体"/>
          <w:sz w:val="28"/>
          <w:szCs w:val="28"/>
        </w:rPr>
      </w:pPr>
      <w:r>
        <w:rPr>
          <w:rFonts w:hint="eastAsia" w:ascii="宋体" w:hAnsi="宋体"/>
          <w:b/>
          <w:sz w:val="28"/>
          <w:szCs w:val="28"/>
        </w:rPr>
        <w:t>技术、服务性响应文件正本一份副本一份，</w:t>
      </w:r>
      <w:r>
        <w:rPr>
          <w:rFonts w:hint="eastAsia" w:ascii="宋体" w:hAnsi="宋体"/>
          <w:sz w:val="28"/>
          <w:szCs w:val="28"/>
        </w:rPr>
        <w:t>并在其封面上清楚地标明</w:t>
      </w:r>
      <w:r>
        <w:rPr>
          <w:rFonts w:hint="eastAsia" w:ascii="宋体" w:hAnsi="宋体"/>
          <w:b/>
          <w:sz w:val="28"/>
          <w:szCs w:val="28"/>
        </w:rPr>
        <w:t>技术、服务性响应文件、项目名称、项目编号、供应商名称以及“正本”或“副本”字样</w:t>
      </w:r>
      <w:r>
        <w:rPr>
          <w:rFonts w:hint="eastAsia" w:ascii="宋体" w:hAnsi="宋体"/>
          <w:sz w:val="28"/>
          <w:szCs w:val="28"/>
        </w:rPr>
        <w:t>。若正本和副本有不一致的内容，以正本书面响应文件为准。</w:t>
      </w:r>
    </w:p>
    <w:p>
      <w:pPr>
        <w:numPr>
          <w:ilvl w:val="0"/>
          <w:numId w:val="19"/>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响应文件的正本和副本均需打印或用不褪色的墨水书写。响应文件应由供应商</w:t>
      </w:r>
      <w:r>
        <w:rPr>
          <w:rFonts w:hint="eastAsia" w:ascii="宋体" w:hAnsi="宋体"/>
          <w:sz w:val="28"/>
        </w:rPr>
        <w:t>法定代表人</w:t>
      </w:r>
      <w:r>
        <w:rPr>
          <w:rFonts w:hint="eastAsia" w:ascii="宋体" w:hAnsi="宋体"/>
          <w:sz w:val="28"/>
          <w:szCs w:val="28"/>
        </w:rPr>
        <w:t>或经</w:t>
      </w:r>
      <w:r>
        <w:rPr>
          <w:rFonts w:hint="eastAsia" w:ascii="宋体" w:hAnsi="宋体"/>
          <w:sz w:val="28"/>
        </w:rPr>
        <w:t>法定代表人</w:t>
      </w:r>
      <w:r>
        <w:rPr>
          <w:rFonts w:hint="eastAsia" w:ascii="宋体" w:hAnsi="宋体"/>
          <w:sz w:val="28"/>
          <w:szCs w:val="28"/>
        </w:rPr>
        <w:t>正式授权的代理人在磋商文件要求的地方签字或加盖公章。</w:t>
      </w:r>
      <w:r>
        <w:rPr>
          <w:rFonts w:hint="eastAsia" w:ascii="宋体" w:hAnsi="宋体"/>
          <w:b/>
          <w:sz w:val="28"/>
          <w:szCs w:val="28"/>
        </w:rPr>
        <w:t xml:space="preserve"> [注：所有要求盖公章的地方都应加盖供应商（法定名称）章（鲜章），不得使用专用章（如经济合同章、投标专用章等）或下属单位印章代替。]</w:t>
      </w:r>
    </w:p>
    <w:p>
      <w:pPr>
        <w:numPr>
          <w:ilvl w:val="0"/>
          <w:numId w:val="19"/>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响应文件副本可采用正本的复印件。</w:t>
      </w:r>
    </w:p>
    <w:p>
      <w:pPr>
        <w:numPr>
          <w:ilvl w:val="0"/>
          <w:numId w:val="19"/>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响应文件的打印和书写应清楚工整，任何行间插字、涂改或增删，必须由供应商的</w:t>
      </w:r>
      <w:r>
        <w:rPr>
          <w:rFonts w:hint="eastAsia" w:ascii="宋体" w:hAnsi="宋体"/>
          <w:sz w:val="28"/>
        </w:rPr>
        <w:t>法定代表人</w:t>
      </w:r>
      <w:r>
        <w:rPr>
          <w:rFonts w:hint="eastAsia" w:ascii="宋体" w:hAnsi="宋体"/>
          <w:sz w:val="28"/>
          <w:szCs w:val="28"/>
        </w:rPr>
        <w:t>或其授权代理人签字。</w:t>
      </w:r>
    </w:p>
    <w:p>
      <w:pPr>
        <w:numPr>
          <w:ilvl w:val="0"/>
          <w:numId w:val="19"/>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响应文件应根据磋商文件的要求制作、签署、盖章。（说明：1、磋商文件中要求提供复印件证明材料的，包含原件的影印件或复印件。2、磋商文件中要求提供复印件加盖公章的证明材料的，复印件所在页按要求加盖了公章或复印件为多页但至少有一页按要求加盖了公章的，视为满足复印件加盖公章的要求。3、要求提供复印件的证明材料须清晰可辨。）</w:t>
      </w:r>
    </w:p>
    <w:p>
      <w:pPr>
        <w:pStyle w:val="5"/>
        <w:numPr>
          <w:ilvl w:val="3"/>
          <w:numId w:val="14"/>
        </w:numPr>
        <w:spacing w:after="200"/>
        <w:ind w:left="992" w:hanging="992"/>
        <w:rPr>
          <w:color w:val="auto"/>
        </w:rPr>
      </w:pPr>
      <w:r>
        <w:rPr>
          <w:rFonts w:hint="eastAsia"/>
          <w:color w:val="auto"/>
        </w:rPr>
        <w:t>响应文件的装订</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一、响应文件统一用A4幅面纸（表、图及证件可以除外）。</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二、响应文件应正本、副本应装订成册（对响应文件的补充、修改或撤回的书面通知除外）。</w:t>
      </w:r>
    </w:p>
    <w:p>
      <w:pPr>
        <w:pStyle w:val="5"/>
        <w:numPr>
          <w:ilvl w:val="2"/>
          <w:numId w:val="14"/>
        </w:numPr>
        <w:spacing w:after="200"/>
        <w:ind w:left="0" w:firstLine="0"/>
        <w:rPr>
          <w:color w:val="auto"/>
        </w:rPr>
      </w:pPr>
      <w:r>
        <w:rPr>
          <w:rFonts w:hint="eastAsia"/>
          <w:color w:val="auto"/>
        </w:rPr>
        <w:t>响应文件的包装和密封、标注</w:t>
      </w:r>
      <w:bookmarkEnd w:id="29"/>
    </w:p>
    <w:p>
      <w:pPr>
        <w:numPr>
          <w:ilvl w:val="0"/>
          <w:numId w:val="20"/>
        </w:numPr>
        <w:tabs>
          <w:tab w:val="left" w:pos="1134"/>
        </w:tabs>
        <w:spacing w:after="200" w:line="360" w:lineRule="auto"/>
        <w:ind w:left="0" w:firstLine="562" w:firstLineChars="200"/>
        <w:rPr>
          <w:rFonts w:ascii="宋体" w:hAnsi="宋体"/>
          <w:sz w:val="28"/>
          <w:szCs w:val="28"/>
        </w:rPr>
      </w:pPr>
      <w:r>
        <w:rPr>
          <w:rFonts w:hint="eastAsia" w:ascii="宋体" w:hAnsi="宋体"/>
          <w:b/>
          <w:sz w:val="28"/>
          <w:szCs w:val="28"/>
        </w:rPr>
        <w:t>资格性响应文件、技术、服务性响应文件应分别单独密封包装。</w:t>
      </w:r>
    </w:p>
    <w:p>
      <w:pPr>
        <w:numPr>
          <w:ilvl w:val="0"/>
          <w:numId w:val="20"/>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每一个密封包装的最外层应清楚地标明</w:t>
      </w:r>
      <w:r>
        <w:rPr>
          <w:rFonts w:hint="eastAsia" w:ascii="宋体" w:hAnsi="宋体"/>
          <w:b/>
          <w:sz w:val="28"/>
          <w:szCs w:val="28"/>
        </w:rPr>
        <w:t>项目名称、项目编号、供应商名称以及资格性响应文件或技术、服务性响应文件</w:t>
      </w:r>
      <w:r>
        <w:rPr>
          <w:rFonts w:hint="eastAsia" w:ascii="宋体" w:hAnsi="宋体"/>
          <w:sz w:val="28"/>
          <w:szCs w:val="28"/>
        </w:rPr>
        <w:t>，</w:t>
      </w:r>
      <w:r>
        <w:rPr>
          <w:rFonts w:hint="eastAsia" w:ascii="宋体" w:hAnsi="宋体"/>
          <w:b/>
          <w:sz w:val="28"/>
          <w:szCs w:val="28"/>
        </w:rPr>
        <w:t>并加盖供应商公章。</w:t>
      </w:r>
    </w:p>
    <w:p>
      <w:pPr>
        <w:pStyle w:val="5"/>
        <w:spacing w:line="600" w:lineRule="exact"/>
        <w:rPr>
          <w:color w:val="auto"/>
        </w:rPr>
      </w:pPr>
      <w:r>
        <w:rPr>
          <w:rFonts w:hint="eastAsia"/>
          <w:color w:val="auto"/>
        </w:rPr>
        <w:t xml:space="preserve"> 响应文件的递交</w:t>
      </w:r>
      <w:bookmarkEnd w:id="30"/>
    </w:p>
    <w:p>
      <w:pPr>
        <w:numPr>
          <w:ilvl w:val="0"/>
          <w:numId w:val="21"/>
        </w:numPr>
        <w:tabs>
          <w:tab w:val="left" w:pos="1134"/>
        </w:tabs>
        <w:spacing w:after="200" w:line="360" w:lineRule="auto"/>
        <w:ind w:left="0" w:firstLine="567"/>
        <w:rPr>
          <w:rFonts w:ascii="宋体" w:hAnsi="宋体"/>
          <w:bCs/>
          <w:sz w:val="28"/>
          <w:szCs w:val="28"/>
        </w:rPr>
      </w:pPr>
      <w:bookmarkStart w:id="31" w:name="_Toc446487098"/>
      <w:r>
        <w:rPr>
          <w:rFonts w:hint="eastAsia" w:ascii="宋体" w:hAnsi="宋体"/>
          <w:bCs/>
          <w:sz w:val="28"/>
          <w:szCs w:val="28"/>
        </w:rPr>
        <w:t>响应文件递交的地点、磋商地点、磋商时间及递交响应文件的截止时间详见“第1章竞争性磋商邀请”，供应商应在递交响应文件截止时间之前将响应文件送达响应文件递交地点。</w:t>
      </w:r>
    </w:p>
    <w:p>
      <w:pPr>
        <w:numPr>
          <w:ilvl w:val="0"/>
          <w:numId w:val="21"/>
        </w:numPr>
        <w:tabs>
          <w:tab w:val="left" w:pos="1134"/>
        </w:tabs>
        <w:spacing w:after="200" w:line="360" w:lineRule="auto"/>
        <w:ind w:left="0" w:firstLine="567"/>
        <w:rPr>
          <w:rFonts w:ascii="宋体" w:hAnsi="宋体"/>
          <w:bCs/>
          <w:sz w:val="28"/>
          <w:szCs w:val="28"/>
        </w:rPr>
      </w:pPr>
      <w:r>
        <w:rPr>
          <w:rFonts w:hint="eastAsia" w:ascii="宋体" w:hAnsi="宋体"/>
          <w:bCs/>
          <w:sz w:val="28"/>
          <w:szCs w:val="28"/>
        </w:rPr>
        <w:t>因磋商文件的修改推迟递交响应文件截止日期的，供应商按成都东部新区党工委管委会（成都市东部新城办）综合部在“四川政府采购网”和“成都市公共资源交易服务中心”网站上发布的澄清公告中修改的时间递交，同时成都东部新区党工委管委会（成都市东部新城办）综合部</w:t>
      </w:r>
      <w:r>
        <w:rPr>
          <w:rFonts w:hint="eastAsia" w:ascii="宋体" w:hAnsi="宋体"/>
          <w:sz w:val="28"/>
          <w:szCs w:val="28"/>
        </w:rPr>
        <w:t>通过云平台将澄清或者修改的内容告知所有在系统中成功提交《采购文件获取登记表》的潜在供应商（供应商通过账号或</w:t>
      </w:r>
      <w:r>
        <w:rPr>
          <w:rFonts w:ascii="宋体" w:hAnsi="宋体"/>
          <w:sz w:val="28"/>
          <w:szCs w:val="28"/>
        </w:rPr>
        <w:t>CA证书登录云平台查看</w:t>
      </w:r>
      <w:r>
        <w:rPr>
          <w:rFonts w:hint="eastAsia" w:ascii="宋体" w:hAnsi="宋体"/>
          <w:sz w:val="28"/>
          <w:szCs w:val="28"/>
        </w:rPr>
        <w:t>）</w:t>
      </w:r>
      <w:r>
        <w:rPr>
          <w:rFonts w:hint="eastAsia" w:ascii="宋体" w:hAnsi="宋体"/>
          <w:bCs/>
          <w:sz w:val="28"/>
          <w:szCs w:val="28"/>
        </w:rPr>
        <w:t>。</w:t>
      </w:r>
      <w:r>
        <w:rPr>
          <w:rFonts w:hint="eastAsia" w:cs="Arial"/>
          <w:sz w:val="28"/>
          <w:szCs w:val="28"/>
        </w:rPr>
        <w:t>采购人或者成都东部新区党工委管委会（成都市东部新城办）综合部收到响应文件后，应当如实记载响应文件的送达时间和密封情况，签收保存，并向供应商出具签收回执。任何单位和个人不得在磋商前开启磋商文件。</w:t>
      </w:r>
    </w:p>
    <w:p>
      <w:pPr>
        <w:numPr>
          <w:ilvl w:val="0"/>
          <w:numId w:val="21"/>
        </w:numPr>
        <w:tabs>
          <w:tab w:val="left" w:pos="1134"/>
        </w:tabs>
        <w:spacing w:after="200" w:line="360" w:lineRule="auto"/>
        <w:ind w:left="0" w:firstLine="567"/>
        <w:rPr>
          <w:rFonts w:ascii="宋体" w:hAnsi="宋体"/>
          <w:b/>
          <w:bCs/>
          <w:sz w:val="28"/>
          <w:szCs w:val="28"/>
        </w:rPr>
      </w:pPr>
      <w:r>
        <w:rPr>
          <w:rFonts w:hint="eastAsia" w:cs="Arial"/>
          <w:b/>
          <w:sz w:val="28"/>
          <w:szCs w:val="28"/>
        </w:rPr>
        <w:t>出现下列情形的，供应商的响应文件将被拒绝接收：</w:t>
      </w:r>
    </w:p>
    <w:p>
      <w:pPr>
        <w:tabs>
          <w:tab w:val="left" w:pos="0"/>
        </w:tabs>
        <w:spacing w:line="360" w:lineRule="auto"/>
        <w:ind w:firstLine="560" w:firstLineChars="200"/>
        <w:rPr>
          <w:rFonts w:ascii="宋体" w:hAnsi="宋体"/>
          <w:bCs/>
          <w:sz w:val="28"/>
          <w:szCs w:val="28"/>
        </w:rPr>
      </w:pPr>
      <w:r>
        <w:rPr>
          <w:rFonts w:hint="eastAsia" w:ascii="宋体" w:hAnsi="宋体"/>
          <w:bCs/>
          <w:sz w:val="28"/>
          <w:szCs w:val="28"/>
        </w:rPr>
        <w:t>（一）递交响应文件截止时间后送达的响应文件；</w:t>
      </w:r>
    </w:p>
    <w:p>
      <w:pPr>
        <w:tabs>
          <w:tab w:val="left" w:pos="0"/>
        </w:tabs>
        <w:spacing w:line="360" w:lineRule="auto"/>
        <w:ind w:firstLine="560" w:firstLineChars="200"/>
        <w:rPr>
          <w:rFonts w:ascii="宋体" w:hAnsi="宋体"/>
          <w:bCs/>
          <w:sz w:val="28"/>
          <w:szCs w:val="28"/>
        </w:rPr>
      </w:pPr>
      <w:r>
        <w:rPr>
          <w:rFonts w:hint="eastAsia" w:ascii="宋体" w:hAnsi="宋体"/>
          <w:sz w:val="28"/>
          <w:szCs w:val="28"/>
        </w:rPr>
        <w:t>（二）未在</w:t>
      </w:r>
      <w:r>
        <w:rPr>
          <w:rFonts w:hint="eastAsia" w:ascii="宋体" w:hAnsi="宋体" w:cs="宋体"/>
          <w:sz w:val="28"/>
          <w:szCs w:val="28"/>
        </w:rPr>
        <w:t>《成都市采购项目供应商参与及保证金交纳情况表》</w:t>
      </w:r>
      <w:r>
        <w:rPr>
          <w:rFonts w:hint="eastAsia" w:ascii="宋体" w:hAnsi="宋体"/>
          <w:sz w:val="28"/>
          <w:szCs w:val="28"/>
        </w:rPr>
        <w:t>中的供应商的响应文件</w:t>
      </w:r>
      <w:r>
        <w:rPr>
          <w:rFonts w:hint="eastAsia" w:ascii="宋体" w:hAnsi="宋体"/>
          <w:bCs/>
          <w:sz w:val="28"/>
          <w:szCs w:val="28"/>
        </w:rPr>
        <w:t>；</w:t>
      </w:r>
    </w:p>
    <w:p>
      <w:pPr>
        <w:tabs>
          <w:tab w:val="left" w:pos="0"/>
        </w:tabs>
        <w:spacing w:line="360" w:lineRule="auto"/>
        <w:ind w:firstLine="560" w:firstLineChars="200"/>
        <w:rPr>
          <w:rFonts w:ascii="宋体" w:hAnsi="宋体"/>
          <w:sz w:val="28"/>
          <w:szCs w:val="28"/>
        </w:rPr>
      </w:pPr>
      <w:r>
        <w:rPr>
          <w:rFonts w:hint="eastAsia" w:ascii="宋体" w:hAnsi="宋体"/>
          <w:sz w:val="28"/>
          <w:szCs w:val="28"/>
        </w:rPr>
        <w:t>（三）未按2.4.12进行包装、密封、标注的响应文件。</w:t>
      </w:r>
    </w:p>
    <w:p>
      <w:pPr>
        <w:numPr>
          <w:ilvl w:val="0"/>
          <w:numId w:val="21"/>
        </w:numPr>
        <w:tabs>
          <w:tab w:val="left" w:pos="1134"/>
        </w:tabs>
        <w:spacing w:after="200" w:line="360" w:lineRule="auto"/>
        <w:ind w:left="0" w:firstLine="567"/>
        <w:rPr>
          <w:rFonts w:ascii="宋体" w:hAnsi="宋体"/>
          <w:sz w:val="28"/>
          <w:szCs w:val="28"/>
        </w:rPr>
      </w:pPr>
      <w:r>
        <w:rPr>
          <w:rFonts w:hint="eastAsia" w:ascii="宋体" w:hAnsi="宋体"/>
          <w:sz w:val="28"/>
          <w:szCs w:val="28"/>
        </w:rPr>
        <w:t>项目技术、服务要求及其他要求磋商结束后，供应商按磋商小组提供的《最后报价表》提交最后报价。</w:t>
      </w:r>
    </w:p>
    <w:p>
      <w:pPr>
        <w:pStyle w:val="5"/>
        <w:spacing w:line="600" w:lineRule="exact"/>
        <w:rPr>
          <w:color w:val="auto"/>
        </w:rPr>
      </w:pPr>
      <w:r>
        <w:rPr>
          <w:rFonts w:hint="eastAsia"/>
          <w:color w:val="auto"/>
        </w:rPr>
        <w:t xml:space="preserve"> 响应文件的补充、修改和撤回</w:t>
      </w:r>
      <w:bookmarkEnd w:id="31"/>
      <w:r>
        <w:rPr>
          <w:rFonts w:hint="eastAsia" w:ascii="仿宋" w:hAnsi="仿宋" w:eastAsia="仿宋"/>
          <w:color w:val="auto"/>
          <w:szCs w:val="21"/>
          <w:lang w:val="zh-CN"/>
        </w:rPr>
        <w:t>（实质性要求）</w:t>
      </w:r>
    </w:p>
    <w:p>
      <w:pPr>
        <w:numPr>
          <w:ilvl w:val="0"/>
          <w:numId w:val="22"/>
        </w:numPr>
        <w:tabs>
          <w:tab w:val="left" w:pos="1134"/>
        </w:tabs>
        <w:spacing w:after="200" w:line="360" w:lineRule="auto"/>
        <w:ind w:left="0" w:firstLine="567"/>
        <w:rPr>
          <w:rFonts w:ascii="宋体" w:hAnsi="宋体"/>
          <w:sz w:val="28"/>
          <w:szCs w:val="28"/>
        </w:rPr>
      </w:pPr>
      <w:bookmarkStart w:id="32" w:name="_Toc494095623"/>
      <w:bookmarkEnd w:id="32"/>
      <w:bookmarkStart w:id="33" w:name="_Toc494356977"/>
      <w:bookmarkEnd w:id="33"/>
      <w:r>
        <w:rPr>
          <w:rFonts w:hint="eastAsia" w:ascii="宋体" w:hAnsi="宋体"/>
          <w:sz w:val="28"/>
          <w:szCs w:val="28"/>
        </w:rPr>
        <w:t>供应商在提交响应文件后可对其响应文件进行补充、修改或者撤回，但该补充、修改或撤回的书面通知须在递交响应文件截止时间之前送达指定地点。补充、修改的内容为响应文件的组成部分，补充、修改的内容与响应文件不一致的，以补充、修改的内容为准。</w:t>
      </w:r>
    </w:p>
    <w:p>
      <w:pPr>
        <w:numPr>
          <w:ilvl w:val="0"/>
          <w:numId w:val="22"/>
        </w:numPr>
        <w:tabs>
          <w:tab w:val="left" w:pos="1134"/>
        </w:tabs>
        <w:spacing w:after="200" w:line="360" w:lineRule="auto"/>
        <w:ind w:left="0" w:firstLine="567"/>
        <w:rPr>
          <w:rFonts w:ascii="宋体" w:hAnsi="宋体"/>
          <w:sz w:val="28"/>
          <w:szCs w:val="28"/>
        </w:rPr>
      </w:pPr>
      <w:r>
        <w:rPr>
          <w:rFonts w:hint="eastAsia" w:ascii="宋体" w:hAnsi="宋体"/>
          <w:sz w:val="28"/>
          <w:szCs w:val="28"/>
        </w:rPr>
        <w:t>补充、修改或撤回的书面通知，应由其</w:t>
      </w:r>
      <w:r>
        <w:rPr>
          <w:rFonts w:hint="eastAsia" w:ascii="宋体" w:hAnsi="宋体"/>
          <w:sz w:val="28"/>
        </w:rPr>
        <w:t>法定代表人</w:t>
      </w:r>
      <w:r>
        <w:rPr>
          <w:rFonts w:hint="eastAsia" w:ascii="宋体" w:hAnsi="宋体"/>
          <w:sz w:val="28"/>
          <w:szCs w:val="28"/>
        </w:rPr>
        <w:t>或授权代理人签署并盖供应商公章。补充、修改的书面通知应按第2.4.11条、第2.4.12条的要求进行签署、密封、标注，并在密封包装的最外层标明“补充、修改响应文件”。补充、修改的内容为响应文件的组成部分。补充、修改的内容与响应文件不一致的，以补充、修改的内容为准。</w:t>
      </w:r>
    </w:p>
    <w:p>
      <w:pPr>
        <w:pStyle w:val="4"/>
        <w:spacing w:line="600" w:lineRule="exact"/>
      </w:pPr>
      <w:bookmarkStart w:id="34" w:name="_Toc13040"/>
      <w:r>
        <w:t>成交通知书</w:t>
      </w:r>
      <w:bookmarkEnd w:id="34"/>
    </w:p>
    <w:p>
      <w:pPr>
        <w:pStyle w:val="80"/>
        <w:widowControl w:val="0"/>
        <w:numPr>
          <w:ilvl w:val="0"/>
          <w:numId w:val="23"/>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0"/>
        <w:widowControl w:val="0"/>
        <w:numPr>
          <w:ilvl w:val="0"/>
          <w:numId w:val="23"/>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0"/>
        <w:widowControl w:val="0"/>
        <w:numPr>
          <w:ilvl w:val="0"/>
          <w:numId w:val="23"/>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spacing w:line="600" w:lineRule="exact"/>
      </w:pPr>
      <w:bookmarkStart w:id="35" w:name="_Toc21291"/>
      <w:bookmarkStart w:id="36" w:name="_Toc287623650"/>
      <w:r>
        <w:rPr>
          <w:rFonts w:hint="eastAsia"/>
        </w:rPr>
        <w:t>签订及履行合同和验收</w:t>
      </w:r>
      <w:bookmarkEnd w:id="35"/>
    </w:p>
    <w:p>
      <w:pPr>
        <w:pStyle w:val="5"/>
        <w:spacing w:line="600" w:lineRule="exact"/>
        <w:rPr>
          <w:color w:val="auto"/>
        </w:rPr>
      </w:pPr>
      <w:r>
        <w:rPr>
          <w:rFonts w:hint="eastAsia"/>
          <w:color w:val="auto"/>
        </w:rPr>
        <w:t>签订合同</w:t>
      </w:r>
      <w:bookmarkEnd w:id="36"/>
    </w:p>
    <w:p>
      <w:pPr>
        <w:widowControl w:val="0"/>
        <w:numPr>
          <w:ilvl w:val="0"/>
          <w:numId w:val="24"/>
        </w:numPr>
        <w:tabs>
          <w:tab w:val="left" w:pos="1134"/>
        </w:tabs>
        <w:spacing w:line="360" w:lineRule="auto"/>
        <w:ind w:left="0" w:firstLine="565" w:firstLineChars="202"/>
        <w:jc w:val="both"/>
        <w:rPr>
          <w:rFonts w:ascii="宋体" w:hAnsi="宋体"/>
          <w:sz w:val="28"/>
          <w:szCs w:val="28"/>
        </w:rPr>
      </w:pPr>
      <w:bookmarkStart w:id="37"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4"/>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供应商私下订立背离合同实质性内容的任何协议，所签订的合同不得对磋商文件和</w:t>
      </w:r>
      <w:r>
        <w:rPr>
          <w:rFonts w:ascii="宋体" w:hAnsi="宋体"/>
          <w:sz w:val="28"/>
          <w:szCs w:val="28"/>
        </w:rPr>
        <w:t>成交</w:t>
      </w:r>
      <w:r>
        <w:rPr>
          <w:rFonts w:hint="eastAsia" w:ascii="宋体" w:hAnsi="宋体"/>
          <w:sz w:val="28"/>
          <w:szCs w:val="28"/>
        </w:rPr>
        <w:t>供应商 响应文件作实质性修改。</w:t>
      </w:r>
    </w:p>
    <w:p>
      <w:pPr>
        <w:widowControl w:val="0"/>
        <w:numPr>
          <w:ilvl w:val="0"/>
          <w:numId w:val="24"/>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磋商文件</w:t>
      </w:r>
      <w:r>
        <w:rPr>
          <w:rFonts w:ascii="宋体" w:hAnsi="宋体"/>
          <w:sz w:val="28"/>
          <w:szCs w:val="28"/>
        </w:rPr>
        <w:t>、</w:t>
      </w:r>
      <w:r>
        <w:rPr>
          <w:rFonts w:hint="eastAsia" w:ascii="宋体" w:hAnsi="宋体"/>
          <w:sz w:val="28"/>
          <w:szCs w:val="28"/>
        </w:rPr>
        <w:t xml:space="preserve"> 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4"/>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rPr>
          <w:color w:val="auto"/>
        </w:rPr>
      </w:pPr>
      <w:bookmarkStart w:id="38" w:name="_Toc217446066"/>
      <w:r>
        <w:rPr>
          <w:rFonts w:hint="eastAsia"/>
          <w:color w:val="auto"/>
        </w:rPr>
        <w:t>合同分包</w:t>
      </w:r>
      <w:bookmarkEnd w:id="38"/>
      <w:r>
        <w:rPr>
          <w:rFonts w:hint="eastAsia"/>
          <w:color w:val="auto"/>
        </w:rPr>
        <w:t>和转包</w:t>
      </w:r>
      <w:r>
        <w:rPr>
          <w:rFonts w:hint="eastAsia" w:ascii="仿宋" w:hAnsi="仿宋" w:eastAsia="仿宋"/>
          <w:b w:val="0"/>
          <w:bCs w:val="0"/>
          <w:color w:val="auto"/>
          <w:sz w:val="21"/>
          <w:szCs w:val="21"/>
          <w:lang w:val="zh-CN"/>
        </w:rPr>
        <w:t>（实质性要求）</w:t>
      </w:r>
    </w:p>
    <w:p>
      <w:pPr>
        <w:widowControl w:val="0"/>
        <w:numPr>
          <w:ilvl w:val="0"/>
          <w:numId w:val="25"/>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5"/>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0"/>
        <w:widowControl w:val="0"/>
        <w:numPr>
          <w:ilvl w:val="0"/>
          <w:numId w:val="26"/>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0"/>
        <w:widowControl w:val="0"/>
        <w:numPr>
          <w:ilvl w:val="0"/>
          <w:numId w:val="26"/>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spacing w:line="600" w:lineRule="exact"/>
        <w:rPr>
          <w:color w:val="auto"/>
        </w:rPr>
      </w:pPr>
      <w:bookmarkStart w:id="39" w:name="_Toc217446067"/>
      <w:r>
        <w:rPr>
          <w:rFonts w:hint="eastAsia"/>
          <w:color w:val="auto"/>
        </w:rPr>
        <w:t>采购人增加合同标的的权</w:t>
      </w:r>
      <w:bookmarkEnd w:id="39"/>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rPr>
      </w:pPr>
      <w:bookmarkStart w:id="40" w:name="_Toc217446068"/>
      <w:r>
        <w:rPr>
          <w:rFonts w:hint="eastAsia"/>
          <w:color w:val="auto"/>
        </w:rPr>
        <w:t>履约保证金</w:t>
      </w:r>
      <w:bookmarkEnd w:id="40"/>
      <w:r>
        <w:rPr>
          <w:rFonts w:hint="eastAsia" w:ascii="仿宋" w:hAnsi="仿宋" w:eastAsia="仿宋" w:cstheme="minorBidi"/>
          <w:b w:val="0"/>
          <w:bCs w:val="0"/>
          <w:color w:val="auto"/>
          <w:sz w:val="21"/>
          <w:szCs w:val="21"/>
          <w:lang w:val="zh-CN"/>
        </w:rPr>
        <w:t>（实质性要求）</w:t>
      </w:r>
    </w:p>
    <w:p>
      <w:pPr>
        <w:widowControl w:val="0"/>
        <w:tabs>
          <w:tab w:val="left" w:pos="1134"/>
        </w:tabs>
        <w:spacing w:after="200" w:line="600" w:lineRule="exact"/>
        <w:ind w:firstLine="560" w:firstLineChars="200"/>
        <w:jc w:val="both"/>
        <w:rPr>
          <w:rFonts w:ascii="宋体" w:hAnsi="宋体"/>
          <w:sz w:val="28"/>
          <w:szCs w:val="28"/>
        </w:rPr>
      </w:pPr>
      <w:r>
        <w:rPr>
          <w:rFonts w:hint="eastAsia" w:ascii="宋体" w:hAnsi="宋体"/>
          <w:sz w:val="28"/>
          <w:szCs w:val="28"/>
        </w:rPr>
        <w:t>本项目不收取履约保证金。</w:t>
      </w:r>
    </w:p>
    <w:p>
      <w:pPr>
        <w:pStyle w:val="5"/>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及按成都市财政局的要求完成合同备案工作。</w:t>
      </w:r>
    </w:p>
    <w:bookmarkEnd w:id="37"/>
    <w:p>
      <w:pPr>
        <w:pStyle w:val="5"/>
        <w:spacing w:line="600" w:lineRule="exact"/>
        <w:rPr>
          <w:color w:val="auto"/>
        </w:rPr>
      </w:pPr>
      <w:bookmarkStart w:id="41" w:name="_Toc217446070"/>
      <w:r>
        <w:rPr>
          <w:rFonts w:hint="eastAsia" w:cs="宋体"/>
          <w:color w:val="auto"/>
        </w:rPr>
        <w:t>履行</w:t>
      </w:r>
      <w:r>
        <w:rPr>
          <w:rFonts w:hint="eastAsia"/>
          <w:color w:val="auto"/>
        </w:rPr>
        <w:t>合同</w:t>
      </w:r>
    </w:p>
    <w:p>
      <w:pPr>
        <w:widowControl w:val="0"/>
        <w:numPr>
          <w:ilvl w:val="0"/>
          <w:numId w:val="27"/>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27"/>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rPr>
          <w:color w:val="auto"/>
        </w:rPr>
      </w:pPr>
      <w:r>
        <w:rPr>
          <w:rFonts w:hint="eastAsia"/>
          <w:color w:val="auto"/>
        </w:rPr>
        <w:t>验收</w:t>
      </w:r>
      <w:bookmarkEnd w:id="41"/>
    </w:p>
    <w:p>
      <w:pPr>
        <w:pStyle w:val="13"/>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spacing w:line="600" w:lineRule="exact"/>
        <w:rPr>
          <w:color w:val="auto"/>
        </w:rPr>
      </w:pPr>
      <w:r>
        <w:rPr>
          <w:rFonts w:hint="eastAsia"/>
          <w:color w:val="auto"/>
        </w:rPr>
        <w:t>资金支付</w:t>
      </w:r>
    </w:p>
    <w:p>
      <w:pPr>
        <w:pStyle w:val="27"/>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spacing w:line="600" w:lineRule="exact"/>
      </w:pPr>
      <w:bookmarkStart w:id="42" w:name="_Toc28763"/>
      <w:r>
        <w:rPr>
          <w:rFonts w:hint="eastAsia"/>
        </w:rPr>
        <w:t>竞争性磋商工作纪律及要求</w:t>
      </w:r>
      <w:bookmarkEnd w:id="42"/>
    </w:p>
    <w:p>
      <w:pPr>
        <w:pStyle w:val="5"/>
        <w:spacing w:line="600" w:lineRule="exact"/>
        <w:ind w:left="0" w:firstLine="0"/>
        <w:rPr>
          <w:color w:val="auto"/>
        </w:rPr>
      </w:pPr>
      <w:bookmarkStart w:id="43" w:name="_Toc217446075"/>
      <w:r>
        <w:rPr>
          <w:rFonts w:hint="eastAsia"/>
          <w:color w:val="auto"/>
        </w:rPr>
        <w:t>供应商不得具有的情形</w:t>
      </w:r>
      <w:bookmarkEnd w:id="43"/>
    </w:p>
    <w:p>
      <w:pPr>
        <w:pStyle w:val="13"/>
        <w:spacing w:line="600" w:lineRule="exact"/>
        <w:ind w:firstLine="560"/>
        <w:rPr>
          <w:rFonts w:ascii="宋体" w:hAnsi="宋体" w:eastAsia="宋体"/>
          <w:sz w:val="28"/>
          <w:szCs w:val="28"/>
        </w:rPr>
      </w:pPr>
      <w:r>
        <w:rPr>
          <w:rFonts w:hint="eastAsia" w:ascii="宋体" w:hAnsi="宋体" w:eastAsia="宋体"/>
          <w:sz w:val="28"/>
          <w:szCs w:val="28"/>
        </w:rPr>
        <w:t>供应商参加磋商不得有下列情形：</w:t>
      </w:r>
    </w:p>
    <w:p>
      <w:pPr>
        <w:widowControl w:val="0"/>
        <w:numPr>
          <w:ilvl w:val="1"/>
          <w:numId w:val="28"/>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有下列情形之一的，视为供应商串通参加本次竞争性磋商采购活动：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（二）不同供应商委托同一单位或者个人办理磋商事宜；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 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 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 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（六）不同供应商的磋商保证金从同一单位或者个人的账户转出；</w:t>
      </w:r>
      <w:r>
        <w:rPr>
          <w:rFonts w:ascii="宋体" w:hAnsi="宋体"/>
          <w:sz w:val="28"/>
          <w:szCs w:val="28"/>
        </w:rPr>
        <w:t xml:space="preserve"> </w:t>
      </w:r>
    </w:p>
    <w:p>
      <w:pPr>
        <w:widowControl w:val="0"/>
        <w:numPr>
          <w:ilvl w:val="1"/>
          <w:numId w:val="28"/>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28"/>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28"/>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与采购人或成都东部新区党工委管委会（成都市东部新城办）综合部、其他供应商恶意串通；</w:t>
      </w:r>
    </w:p>
    <w:p>
      <w:pPr>
        <w:widowControl w:val="0"/>
        <w:numPr>
          <w:ilvl w:val="1"/>
          <w:numId w:val="28"/>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向采购人或成都东部新区党工委管委会（成都市东部新城办）综合部、磋商小组成员行贿或者提供其他不正当利益；</w:t>
      </w:r>
    </w:p>
    <w:p>
      <w:pPr>
        <w:widowControl w:val="0"/>
        <w:numPr>
          <w:ilvl w:val="1"/>
          <w:numId w:val="28"/>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28"/>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28"/>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28"/>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28"/>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28"/>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28"/>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28"/>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28"/>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28"/>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3"/>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 响应文件无效或不确定其为成交供应商，或者取消成交资格或认定成交无效。</w:t>
      </w:r>
    </w:p>
    <w:p>
      <w:pPr>
        <w:pStyle w:val="5"/>
        <w:spacing w:line="600" w:lineRule="exact"/>
        <w:ind w:left="0" w:firstLine="0"/>
        <w:rPr>
          <w:color w:val="auto"/>
        </w:rPr>
      </w:pPr>
      <w:bookmarkStart w:id="44" w:name="_Toc314574786"/>
      <w:r>
        <w:rPr>
          <w:rFonts w:hint="eastAsia"/>
          <w:color w:val="auto"/>
        </w:rPr>
        <w:t>保密</w:t>
      </w:r>
      <w:bookmarkEnd w:id="44"/>
    </w:p>
    <w:p>
      <w:pPr>
        <w:pStyle w:val="13"/>
        <w:numPr>
          <w:ilvl w:val="0"/>
          <w:numId w:val="29"/>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3"/>
        <w:numPr>
          <w:ilvl w:val="0"/>
          <w:numId w:val="29"/>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 响应文件的审查、澄清、评估和比较以及合同授予意向等情况都不得对外透露。</w:t>
      </w:r>
    </w:p>
    <w:p>
      <w:pPr>
        <w:pStyle w:val="5"/>
        <w:spacing w:line="600" w:lineRule="exact"/>
        <w:ind w:left="0" w:firstLine="0"/>
        <w:rPr>
          <w:color w:val="auto"/>
        </w:rPr>
      </w:pPr>
      <w:r>
        <w:rPr>
          <w:rFonts w:hint="eastAsia"/>
          <w:color w:val="auto"/>
        </w:rPr>
        <w:t>回避</w:t>
      </w:r>
    </w:p>
    <w:p>
      <w:pPr>
        <w:pStyle w:val="41"/>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rFonts w:hint="eastAsia"/>
          <w:sz w:val="28"/>
          <w:szCs w:val="28"/>
        </w:rPr>
        <w:t>如</w:t>
      </w:r>
      <w:r>
        <w:rPr>
          <w:sz w:val="28"/>
          <w:szCs w:val="28"/>
        </w:rPr>
        <w:t>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1"/>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numPr>
          <w:ilvl w:val="1"/>
          <w:numId w:val="14"/>
        </w:numPr>
        <w:spacing w:after="200"/>
        <w:ind w:left="1985" w:hanging="1985"/>
      </w:pPr>
      <w:bookmarkStart w:id="45" w:name="_Toc405886181"/>
      <w:bookmarkStart w:id="46" w:name="_Toc20051"/>
      <w:bookmarkStart w:id="47" w:name="_Toc58943332"/>
      <w:r>
        <w:rPr>
          <w:rFonts w:hint="eastAsia"/>
        </w:rPr>
        <w:t>询问、质疑</w:t>
      </w:r>
      <w:bookmarkEnd w:id="45"/>
      <w:r>
        <w:rPr>
          <w:rFonts w:hint="eastAsia"/>
        </w:rPr>
        <w:t>和投诉</w:t>
      </w:r>
      <w:bookmarkEnd w:id="46"/>
      <w:bookmarkEnd w:id="47"/>
    </w:p>
    <w:p>
      <w:pPr>
        <w:pStyle w:val="27"/>
        <w:numPr>
          <w:ilvl w:val="0"/>
          <w:numId w:val="30"/>
        </w:numPr>
        <w:tabs>
          <w:tab w:val="left" w:pos="1134"/>
        </w:tabs>
        <w:spacing w:after="200" w:line="360" w:lineRule="auto"/>
        <w:ind w:left="0" w:firstLine="720"/>
        <w:rPr>
          <w:rFonts w:ascii="宋体" w:hAnsi="宋体" w:cs="宋体"/>
          <w:sz w:val="28"/>
          <w:szCs w:val="28"/>
        </w:rPr>
      </w:pPr>
      <w:r>
        <w:rPr>
          <w:rFonts w:hint="eastAsia" w:ascii="宋体" w:hAnsi="宋体" w:cs="宋体"/>
          <w:sz w:val="28"/>
          <w:szCs w:val="28"/>
        </w:rPr>
        <w:t>供应商认为磋商文件、磋商过程和成交结果使自己的合法权益受到损害的，可以依法进行质疑。</w:t>
      </w:r>
    </w:p>
    <w:p>
      <w:pPr>
        <w:pStyle w:val="27"/>
        <w:numPr>
          <w:ilvl w:val="0"/>
          <w:numId w:val="30"/>
        </w:numPr>
        <w:tabs>
          <w:tab w:val="left" w:pos="1134"/>
        </w:tabs>
        <w:spacing w:after="200" w:line="360" w:lineRule="auto"/>
        <w:ind w:left="0" w:firstLine="720"/>
        <w:rPr>
          <w:rFonts w:ascii="宋体" w:hAnsi="宋体"/>
          <w:sz w:val="28"/>
          <w:szCs w:val="28"/>
        </w:rPr>
      </w:pPr>
      <w:r>
        <w:rPr>
          <w:rFonts w:hint="eastAsia" w:ascii="宋体" w:hAnsi="宋体"/>
          <w:sz w:val="28"/>
          <w:szCs w:val="28"/>
        </w:rPr>
        <w:t>询问、质疑、投诉的接收和处理严格按照《中华人民共和国政府采购法》、《中华人民共和国政府采购法实施条例》和《政府采购质疑和投诉办法》（财政部94号令）的规定办理。</w:t>
      </w:r>
    </w:p>
    <w:p>
      <w:pPr>
        <w:pStyle w:val="27"/>
        <w:numPr>
          <w:ilvl w:val="0"/>
          <w:numId w:val="30"/>
        </w:numPr>
        <w:tabs>
          <w:tab w:val="left" w:pos="1134"/>
        </w:tabs>
        <w:spacing w:after="200" w:line="360" w:lineRule="auto"/>
        <w:ind w:left="0" w:firstLine="720"/>
        <w:rPr>
          <w:rFonts w:ascii="宋体" w:hAnsi="宋体"/>
          <w:sz w:val="28"/>
          <w:szCs w:val="28"/>
        </w:rPr>
      </w:pPr>
      <w:r>
        <w:rPr>
          <w:rFonts w:hint="eastAsia" w:ascii="宋体" w:hAnsi="宋体"/>
          <w:kern w:val="0"/>
          <w:sz w:val="28"/>
          <w:szCs w:val="28"/>
          <w:lang w:val="zh-CN"/>
        </w:rPr>
        <w:t>供应商询问、质疑的对象：</w:t>
      </w:r>
    </w:p>
    <w:p>
      <w:pPr>
        <w:pStyle w:val="27"/>
        <w:tabs>
          <w:tab w:val="left" w:pos="1134"/>
        </w:tabs>
        <w:spacing w:line="360" w:lineRule="auto"/>
        <w:ind w:firstLine="560" w:firstLineChars="200"/>
        <w:rPr>
          <w:rFonts w:ascii="宋体" w:hAnsi="宋体"/>
          <w:sz w:val="28"/>
          <w:szCs w:val="28"/>
        </w:rPr>
      </w:pPr>
      <w:r>
        <w:rPr>
          <w:rFonts w:hint="eastAsia" w:ascii="宋体" w:hAnsi="宋体"/>
          <w:sz w:val="28"/>
          <w:szCs w:val="28"/>
        </w:rPr>
        <w:t>（一）供应商对磋商文件中供应商参加本次政府采购活动应当具备的条件，采购项目技术、服务、商务及其他要求，评审细则及标准提出询问或质疑的，应通过云平台向采购人提出；</w:t>
      </w:r>
    </w:p>
    <w:p>
      <w:pPr>
        <w:pStyle w:val="27"/>
        <w:tabs>
          <w:tab w:val="left" w:pos="1134"/>
        </w:tabs>
        <w:spacing w:line="360" w:lineRule="auto"/>
        <w:ind w:firstLine="560" w:firstLineChars="200"/>
        <w:rPr>
          <w:rFonts w:ascii="宋体" w:hAnsi="宋体"/>
          <w:sz w:val="28"/>
          <w:szCs w:val="28"/>
        </w:rPr>
      </w:pPr>
      <w:r>
        <w:rPr>
          <w:rFonts w:hint="eastAsia" w:ascii="宋体" w:hAnsi="宋体"/>
          <w:sz w:val="28"/>
          <w:szCs w:val="28"/>
        </w:rPr>
        <w:t>（二）供应商对除上述磋商文件中的其他内容，采购过程及成交结果提出询问或质疑的，应通过云平台向成都东部新区党工委管委会（成都市东部新城办）综合部提出。</w:t>
      </w:r>
    </w:p>
    <w:p>
      <w:pPr>
        <w:pStyle w:val="27"/>
        <w:numPr>
          <w:ilvl w:val="0"/>
          <w:numId w:val="30"/>
        </w:numPr>
        <w:tabs>
          <w:tab w:val="left" w:pos="1134"/>
        </w:tabs>
        <w:spacing w:after="200" w:line="360" w:lineRule="auto"/>
        <w:ind w:left="0" w:firstLine="72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7"/>
        <w:numPr>
          <w:ilvl w:val="0"/>
          <w:numId w:val="30"/>
        </w:numPr>
        <w:tabs>
          <w:tab w:val="left" w:pos="1134"/>
        </w:tabs>
        <w:spacing w:after="200" w:line="360" w:lineRule="auto"/>
        <w:ind w:left="0" w:firstLine="720"/>
        <w:rPr>
          <w:rFonts w:ascii="宋体" w:hAnsi="宋体"/>
          <w:sz w:val="28"/>
          <w:szCs w:val="28"/>
        </w:rPr>
      </w:pPr>
      <w:r>
        <w:rPr>
          <w:rFonts w:hint="eastAsia" w:ascii="宋体" w:hAnsi="宋体"/>
          <w:sz w:val="28"/>
          <w:szCs w:val="28"/>
        </w:rPr>
        <w:t>供应商提出质疑时应当准备的资料</w:t>
      </w:r>
    </w:p>
    <w:p>
      <w:pPr>
        <w:spacing w:line="360" w:lineRule="auto"/>
        <w:ind w:firstLine="420" w:firstLineChars="150"/>
        <w:rPr>
          <w:rFonts w:ascii="宋体" w:hAnsi="宋体"/>
          <w:sz w:val="28"/>
          <w:szCs w:val="28"/>
        </w:rPr>
      </w:pPr>
      <w:r>
        <w:rPr>
          <w:rFonts w:hint="eastAsia" w:ascii="宋体" w:hAnsi="宋体"/>
          <w:sz w:val="28"/>
          <w:szCs w:val="28"/>
        </w:rPr>
        <w:t>（一）质疑书正本1份，</w:t>
      </w:r>
      <w:r>
        <w:rPr>
          <w:rFonts w:ascii="宋体" w:hAnsi="宋体"/>
          <w:sz w:val="28"/>
          <w:szCs w:val="28"/>
        </w:rPr>
        <w:t>副本</w:t>
      </w:r>
      <w:r>
        <w:rPr>
          <w:rFonts w:hint="eastAsia" w:ascii="宋体" w:hAnsi="宋体"/>
          <w:sz w:val="28"/>
          <w:szCs w:val="28"/>
        </w:rPr>
        <w:t>1</w:t>
      </w:r>
      <w:r>
        <w:rPr>
          <w:rFonts w:ascii="宋体" w:hAnsi="宋体"/>
          <w:sz w:val="28"/>
          <w:szCs w:val="28"/>
        </w:rPr>
        <w:t>份</w:t>
      </w:r>
      <w:r>
        <w:rPr>
          <w:rFonts w:hint="eastAsia" w:ascii="宋体" w:hAnsi="宋体"/>
          <w:sz w:val="28"/>
          <w:szCs w:val="28"/>
        </w:rPr>
        <w:t>（如果涉及更多的供应商须提供相应数量的副本）；</w:t>
      </w:r>
    </w:p>
    <w:p>
      <w:pPr>
        <w:spacing w:line="360" w:lineRule="auto"/>
        <w:ind w:firstLine="420" w:firstLineChars="150"/>
        <w:rPr>
          <w:rFonts w:ascii="宋体" w:hAnsi="宋体"/>
          <w:sz w:val="28"/>
          <w:szCs w:val="28"/>
        </w:rPr>
      </w:pPr>
      <w:r>
        <w:rPr>
          <w:rFonts w:hint="eastAsia" w:ascii="宋体" w:hAnsi="宋体"/>
          <w:sz w:val="28"/>
          <w:szCs w:val="28"/>
        </w:rPr>
        <w:t>（二）法定代表人授权委托书1份（委托代理人办理质疑事宜的需提供）；</w:t>
      </w:r>
    </w:p>
    <w:p>
      <w:pPr>
        <w:spacing w:line="360" w:lineRule="auto"/>
        <w:ind w:firstLine="420" w:firstLineChars="150"/>
        <w:rPr>
          <w:rFonts w:ascii="宋体" w:hAnsi="宋体"/>
          <w:sz w:val="28"/>
          <w:szCs w:val="28"/>
        </w:rPr>
      </w:pPr>
      <w:r>
        <w:rPr>
          <w:rFonts w:hint="eastAsia" w:ascii="宋体" w:hAnsi="宋体"/>
          <w:sz w:val="28"/>
          <w:szCs w:val="28"/>
        </w:rPr>
        <w:t>（三）营业执照复印件1份（加盖公章）；</w:t>
      </w:r>
    </w:p>
    <w:p>
      <w:pPr>
        <w:spacing w:line="360" w:lineRule="auto"/>
        <w:ind w:firstLine="420" w:firstLineChars="150"/>
        <w:rPr>
          <w:rFonts w:ascii="宋体" w:hAnsi="宋体"/>
          <w:sz w:val="28"/>
          <w:szCs w:val="28"/>
        </w:rPr>
      </w:pPr>
      <w:r>
        <w:rPr>
          <w:rFonts w:hint="eastAsia" w:ascii="宋体" w:hAnsi="宋体"/>
          <w:sz w:val="28"/>
          <w:szCs w:val="28"/>
        </w:rPr>
        <w:t>（四）法定代表人身份证复印件1份；</w:t>
      </w:r>
    </w:p>
    <w:p>
      <w:pPr>
        <w:spacing w:line="360" w:lineRule="auto"/>
        <w:ind w:firstLine="420" w:firstLineChars="150"/>
        <w:rPr>
          <w:rFonts w:ascii="宋体" w:hAnsi="宋体"/>
          <w:sz w:val="28"/>
          <w:szCs w:val="28"/>
        </w:rPr>
      </w:pPr>
      <w:r>
        <w:rPr>
          <w:rFonts w:hint="eastAsia" w:ascii="宋体" w:hAnsi="宋体"/>
          <w:sz w:val="28"/>
          <w:szCs w:val="28"/>
        </w:rPr>
        <w:t>（五）委托代理人身份证复印件1份（委托代理人办理质疑事宜的需提供）；</w:t>
      </w:r>
    </w:p>
    <w:p>
      <w:pPr>
        <w:spacing w:line="360" w:lineRule="auto"/>
        <w:ind w:firstLine="420" w:firstLineChars="150"/>
        <w:rPr>
          <w:rFonts w:ascii="宋体" w:hAnsi="宋体"/>
          <w:sz w:val="28"/>
          <w:szCs w:val="28"/>
        </w:rPr>
      </w:pPr>
      <w:r>
        <w:rPr>
          <w:rFonts w:hint="eastAsia" w:ascii="宋体" w:hAnsi="宋体"/>
          <w:sz w:val="28"/>
          <w:szCs w:val="28"/>
        </w:rPr>
        <w:t>（六）针对质疑事项必要的证明材料。</w:t>
      </w:r>
    </w:p>
    <w:p>
      <w:pPr>
        <w:pStyle w:val="27"/>
        <w:numPr>
          <w:ilvl w:val="0"/>
          <w:numId w:val="30"/>
        </w:numPr>
        <w:tabs>
          <w:tab w:val="left" w:pos="1134"/>
        </w:tabs>
        <w:spacing w:after="200" w:line="360" w:lineRule="auto"/>
        <w:ind w:left="0" w:firstLine="72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numPr>
          <w:ilvl w:val="1"/>
          <w:numId w:val="14"/>
        </w:numPr>
        <w:spacing w:after="200"/>
        <w:ind w:left="1985" w:hanging="1985"/>
      </w:pPr>
      <w:bookmarkStart w:id="48" w:name="_Toc376425021"/>
      <w:bookmarkEnd w:id="48"/>
      <w:bookmarkStart w:id="49" w:name="_Toc23017"/>
      <w:bookmarkStart w:id="50" w:name="_Toc58943333"/>
      <w:bookmarkStart w:id="51" w:name="_Toc17983"/>
      <w:r>
        <w:rPr>
          <w:rFonts w:hint="eastAsia"/>
        </w:rPr>
        <w:t>中小企业信用担保融资</w:t>
      </w:r>
      <w:bookmarkEnd w:id="49"/>
      <w:bookmarkEnd w:id="50"/>
      <w:bookmarkEnd w:id="51"/>
    </w:p>
    <w:p>
      <w:pPr>
        <w:numPr>
          <w:ilvl w:val="2"/>
          <w:numId w:val="31"/>
        </w:numPr>
        <w:tabs>
          <w:tab w:val="left" w:pos="1134"/>
        </w:tabs>
        <w:spacing w:after="200" w:line="360" w:lineRule="auto"/>
        <w:ind w:left="0" w:firstLine="567"/>
        <w:rPr>
          <w:rFonts w:ascii="宋体" w:hAnsi="宋体"/>
          <w:sz w:val="28"/>
          <w:szCs w:val="28"/>
        </w:rPr>
      </w:pPr>
      <w:r>
        <w:rPr>
          <w:rFonts w:hint="eastAsia" w:ascii="宋体" w:hAnsi="宋体"/>
          <w:sz w:val="28"/>
          <w:szCs w:val="28"/>
        </w:rPr>
        <w:t>参与本次磋商活动成交的中小企业供应商无需提供财产抵押或第三方担保，凭借政府采购合同可向融资机构申请融资。</w:t>
      </w:r>
    </w:p>
    <w:p>
      <w:pPr>
        <w:numPr>
          <w:ilvl w:val="2"/>
          <w:numId w:val="31"/>
        </w:numPr>
        <w:tabs>
          <w:tab w:val="left" w:pos="1134"/>
        </w:tabs>
        <w:spacing w:after="200" w:line="360" w:lineRule="auto"/>
        <w:ind w:left="0" w:firstLine="567"/>
        <w:rPr>
          <w:rFonts w:ascii="宋体" w:hAnsi="宋体"/>
          <w:sz w:val="28"/>
          <w:szCs w:val="28"/>
        </w:rPr>
      </w:pPr>
      <w:r>
        <w:rPr>
          <w:rFonts w:hint="eastAsia" w:ascii="宋体" w:hAnsi="宋体"/>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pPr>
        <w:pStyle w:val="4"/>
        <w:numPr>
          <w:ilvl w:val="1"/>
          <w:numId w:val="14"/>
        </w:numPr>
        <w:spacing w:after="200"/>
        <w:ind w:left="1985" w:hanging="1985"/>
      </w:pPr>
      <w:bookmarkStart w:id="52" w:name="_Toc58943334"/>
      <w:bookmarkStart w:id="53" w:name="_Toc20916"/>
      <w:r>
        <w:rPr>
          <w:rFonts w:hint="eastAsia"/>
        </w:rPr>
        <w:t>其他</w:t>
      </w:r>
      <w:bookmarkEnd w:id="52"/>
      <w:bookmarkEnd w:id="53"/>
    </w:p>
    <w:p>
      <w:pPr>
        <w:tabs>
          <w:tab w:val="left" w:pos="1134"/>
        </w:tabs>
        <w:spacing w:line="360" w:lineRule="auto"/>
        <w:ind w:firstLine="565" w:firstLineChars="202"/>
        <w:rPr>
          <w:rFonts w:ascii="宋体" w:hAnsi="宋体"/>
          <w:sz w:val="28"/>
          <w:szCs w:val="28"/>
        </w:rPr>
      </w:pPr>
      <w:r>
        <w:rPr>
          <w:rFonts w:hint="eastAsia" w:ascii="宋体" w:hAnsi="宋体"/>
          <w:sz w:val="28"/>
          <w:szCs w:val="28"/>
        </w:rPr>
        <w:t>采购人可以要求参加政府采购的供应商提供有关资质证明文件和业绩情况，并根据《中华人民共和国政府采购法》规定的供应商条件和采购项目对供应商的特定要求，对供应商的资格进行审查。</w:t>
      </w:r>
    </w:p>
    <w:p>
      <w:pPr>
        <w:sectPr>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pPr>
      <w:r>
        <w:rPr>
          <w:rFonts w:hint="eastAsia"/>
        </w:rPr>
        <w:t xml:space="preserve"> </w:t>
      </w:r>
      <w:bookmarkStart w:id="54" w:name="_Toc7065"/>
      <w:r>
        <w:rPr>
          <w:rFonts w:hint="eastAsia"/>
        </w:rPr>
        <w:t>响应文件格式</w:t>
      </w:r>
      <w:bookmarkEnd w:id="54"/>
    </w:p>
    <w:p>
      <w:pPr>
        <w:pStyle w:val="4"/>
        <w:numPr>
          <w:ilvl w:val="1"/>
          <w:numId w:val="14"/>
        </w:numPr>
        <w:spacing w:after="200"/>
        <w:ind w:left="1985" w:hanging="1985"/>
      </w:pPr>
      <w:bookmarkStart w:id="55" w:name="_Toc26443"/>
      <w:bookmarkStart w:id="56" w:name="_Toc58943336"/>
      <w:bookmarkStart w:id="57" w:name="_Toc320698765"/>
      <w:bookmarkStart w:id="58" w:name="_Toc448403805"/>
      <w:r>
        <w:rPr>
          <w:rFonts w:hint="eastAsia"/>
        </w:rPr>
        <w:t>资格性响应文件格式</w:t>
      </w:r>
      <w:bookmarkEnd w:id="55"/>
      <w:bookmarkEnd w:id="56"/>
    </w:p>
    <w:p>
      <w:pPr>
        <w:pStyle w:val="5"/>
        <w:numPr>
          <w:ilvl w:val="2"/>
          <w:numId w:val="14"/>
        </w:numPr>
        <w:tabs>
          <w:tab w:val="left" w:pos="709"/>
        </w:tabs>
        <w:spacing w:after="200"/>
        <w:ind w:left="709" w:hanging="709"/>
        <w:rPr>
          <w:color w:val="auto"/>
        </w:rPr>
      </w:pPr>
      <w:bookmarkStart w:id="59" w:name="_Toc320698761"/>
      <w:r>
        <w:rPr>
          <w:rFonts w:hint="eastAsia"/>
          <w:color w:val="auto"/>
        </w:rPr>
        <w:t>资格性响应文件密封包装最外层格式</w:t>
      </w:r>
      <w:bookmarkEnd w:id="59"/>
    </w:p>
    <w:tbl>
      <w:tblPr>
        <w:tblStyle w:val="45"/>
        <w:tblW w:w="94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6" w:hRule="atLeast"/>
        </w:trPr>
        <w:tc>
          <w:tcPr>
            <w:tcW w:w="946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b/>
                <w:sz w:val="28"/>
                <w:szCs w:val="28"/>
              </w:rPr>
            </w:pPr>
            <w:r>
              <w:rPr>
                <w:rFonts w:hint="eastAsia" w:ascii="宋体" w:hAnsi="宋体"/>
                <w:b/>
                <w:sz w:val="28"/>
                <w:szCs w:val="28"/>
              </w:rPr>
              <w:t>项目名称：成都东部新区福田街道办事处安置小区物业管理采购项目</w:t>
            </w:r>
          </w:p>
          <w:p>
            <w:pPr>
              <w:spacing w:line="360" w:lineRule="auto"/>
              <w:rPr>
                <w:rFonts w:ascii="宋体" w:hAnsi="宋体"/>
                <w:b/>
                <w:sz w:val="28"/>
                <w:szCs w:val="28"/>
              </w:rPr>
            </w:pPr>
            <w:r>
              <w:rPr>
                <w:rFonts w:hint="eastAsia" w:ascii="宋体" w:hAnsi="宋体"/>
                <w:b/>
                <w:sz w:val="28"/>
              </w:rPr>
              <w:t>项目编号</w:t>
            </w:r>
            <w:r>
              <w:rPr>
                <w:rFonts w:hint="eastAsia" w:ascii="宋体" w:hAnsi="宋体"/>
                <w:b/>
                <w:sz w:val="28"/>
                <w:szCs w:val="28"/>
              </w:rPr>
              <w:t>：东部新政采（2021）A0005号</w:t>
            </w:r>
          </w:p>
          <w:p>
            <w:pPr>
              <w:spacing w:line="360" w:lineRule="auto"/>
              <w:jc w:val="center"/>
              <w:rPr>
                <w:rFonts w:ascii="宋体" w:hAnsi="宋体"/>
                <w:sz w:val="32"/>
                <w:szCs w:val="32"/>
              </w:rPr>
            </w:pPr>
            <w:r>
              <w:rPr>
                <w:rFonts w:hint="eastAsia" w:ascii="宋体" w:hAnsi="宋体"/>
                <w:sz w:val="32"/>
                <w:szCs w:val="32"/>
              </w:rPr>
              <w:t xml:space="preserve">资格性响应文件 </w:t>
            </w:r>
          </w:p>
          <w:p>
            <w:pPr>
              <w:spacing w:line="360" w:lineRule="auto"/>
              <w:jc w:val="center"/>
              <w:rPr>
                <w:rFonts w:ascii="宋体" w:hAnsi="宋体"/>
                <w:sz w:val="28"/>
                <w:szCs w:val="28"/>
              </w:rPr>
            </w:pPr>
          </w:p>
          <w:p>
            <w:pPr>
              <w:spacing w:line="360" w:lineRule="auto"/>
              <w:rPr>
                <w:rFonts w:ascii="宋体" w:hAnsi="宋体"/>
                <w:b/>
                <w:sz w:val="28"/>
                <w:szCs w:val="28"/>
              </w:rPr>
            </w:pPr>
            <w:r>
              <w:rPr>
                <w:rFonts w:hint="eastAsia" w:ascii="宋体" w:hAnsi="宋体"/>
                <w:sz w:val="28"/>
                <w:szCs w:val="28"/>
              </w:rPr>
              <w:t>供应商名称：</w:t>
            </w:r>
            <w:r>
              <w:rPr>
                <w:rFonts w:hint="eastAsia" w:ascii="宋体" w:hAnsi="宋体"/>
                <w:sz w:val="28"/>
                <w:szCs w:val="28"/>
                <w:u w:val="single"/>
              </w:rPr>
              <w:t>XXXX</w:t>
            </w:r>
            <w:r>
              <w:rPr>
                <w:rFonts w:hint="eastAsia" w:ascii="宋体" w:hAnsi="宋体"/>
                <w:sz w:val="28"/>
                <w:szCs w:val="28"/>
              </w:rPr>
              <w:t>（加盖公章）</w:t>
            </w:r>
          </w:p>
        </w:tc>
      </w:tr>
    </w:tbl>
    <w:p>
      <w:pPr>
        <w:pStyle w:val="5"/>
        <w:numPr>
          <w:ilvl w:val="2"/>
          <w:numId w:val="14"/>
        </w:numPr>
        <w:tabs>
          <w:tab w:val="left" w:pos="709"/>
        </w:tabs>
        <w:spacing w:after="200"/>
        <w:ind w:left="709" w:hanging="709"/>
        <w:rPr>
          <w:color w:val="auto"/>
        </w:rPr>
      </w:pPr>
      <w:bookmarkStart w:id="60" w:name="_Toc320698762"/>
      <w:r>
        <w:rPr>
          <w:rFonts w:hint="eastAsia"/>
          <w:color w:val="auto"/>
        </w:rPr>
        <w:t>资格性响应文件封面格式</w:t>
      </w:r>
      <w:bookmarkEnd w:id="60"/>
    </w:p>
    <w:tbl>
      <w:tblPr>
        <w:tblStyle w:val="45"/>
        <w:tblW w:w="9394"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b/>
                <w:sz w:val="28"/>
                <w:szCs w:val="28"/>
              </w:rPr>
            </w:pPr>
            <w:r>
              <w:rPr>
                <w:rFonts w:hint="eastAsia" w:ascii="宋体" w:hAnsi="宋体"/>
                <w:b/>
                <w:sz w:val="28"/>
                <w:szCs w:val="28"/>
              </w:rPr>
              <w:t>项目名称：成都东部新区福田街道办事处安置小区物业管理采购项目</w:t>
            </w:r>
          </w:p>
          <w:p>
            <w:pPr>
              <w:spacing w:line="360" w:lineRule="auto"/>
              <w:rPr>
                <w:rFonts w:ascii="宋体" w:hAnsi="宋体"/>
                <w:b/>
                <w:sz w:val="28"/>
                <w:szCs w:val="28"/>
              </w:rPr>
            </w:pPr>
            <w:r>
              <w:rPr>
                <w:rFonts w:hint="eastAsia" w:ascii="宋体" w:hAnsi="宋体"/>
                <w:b/>
                <w:sz w:val="28"/>
              </w:rPr>
              <w:t>项目编号</w:t>
            </w:r>
            <w:r>
              <w:rPr>
                <w:rFonts w:hint="eastAsia" w:ascii="宋体" w:hAnsi="宋体"/>
                <w:b/>
                <w:sz w:val="28"/>
                <w:szCs w:val="28"/>
              </w:rPr>
              <w:t>：东部新政采（2021）A0005号</w:t>
            </w:r>
          </w:p>
          <w:p>
            <w:pPr>
              <w:spacing w:line="360" w:lineRule="auto"/>
              <w:jc w:val="center"/>
              <w:rPr>
                <w:rFonts w:ascii="宋体" w:hAnsi="宋体"/>
                <w:sz w:val="32"/>
                <w:szCs w:val="32"/>
              </w:rPr>
            </w:pPr>
            <w:r>
              <w:rPr>
                <w:rFonts w:hint="eastAsia" w:ascii="宋体" w:hAnsi="宋体"/>
                <w:sz w:val="32"/>
                <w:szCs w:val="32"/>
              </w:rPr>
              <w:t>资格性响应文件</w:t>
            </w:r>
          </w:p>
          <w:p>
            <w:pPr>
              <w:spacing w:line="360" w:lineRule="auto"/>
              <w:jc w:val="center"/>
              <w:rPr>
                <w:rFonts w:ascii="宋体" w:hAnsi="宋体"/>
                <w:sz w:val="32"/>
                <w:szCs w:val="32"/>
              </w:rPr>
            </w:pPr>
            <w:r>
              <w:rPr>
                <w:rFonts w:hint="eastAsia" w:ascii="宋体" w:hAnsi="宋体"/>
                <w:sz w:val="32"/>
                <w:szCs w:val="32"/>
              </w:rPr>
              <w:t>（正本或副本）</w:t>
            </w:r>
          </w:p>
          <w:p>
            <w:pPr>
              <w:spacing w:line="360" w:lineRule="auto"/>
              <w:ind w:left="2154" w:leftChars="382" w:hanging="1237" w:hangingChars="442"/>
              <w:rPr>
                <w:rFonts w:ascii="宋体" w:hAnsi="宋体"/>
                <w:sz w:val="28"/>
                <w:szCs w:val="28"/>
              </w:rPr>
            </w:pPr>
            <w:r>
              <w:rPr>
                <w:rFonts w:hint="eastAsia" w:ascii="宋体" w:hAnsi="宋体"/>
                <w:sz w:val="28"/>
                <w:szCs w:val="28"/>
              </w:rPr>
              <w:t>供应商名称：</w:t>
            </w:r>
            <w:r>
              <w:rPr>
                <w:rFonts w:hint="eastAsia" w:ascii="宋体" w:hAnsi="宋体"/>
                <w:sz w:val="28"/>
                <w:szCs w:val="28"/>
                <w:u w:val="single"/>
              </w:rPr>
              <w:t>XXXX</w:t>
            </w:r>
          </w:p>
          <w:p>
            <w:pPr>
              <w:spacing w:line="360" w:lineRule="auto"/>
              <w:ind w:firstLine="980" w:firstLineChars="350"/>
              <w:rPr>
                <w:rFonts w:ascii="宋体" w:hAnsi="宋体"/>
                <w:sz w:val="28"/>
                <w:szCs w:val="28"/>
              </w:rPr>
            </w:pPr>
            <w:r>
              <w:rPr>
                <w:rFonts w:hint="eastAsia" w:ascii="宋体" w:hAnsi="宋体"/>
                <w:sz w:val="28"/>
                <w:szCs w:val="28"/>
              </w:rPr>
              <w:t>日期：</w:t>
            </w:r>
            <w:r>
              <w:rPr>
                <w:rFonts w:hint="eastAsia" w:ascii="宋体" w:hAnsi="宋体"/>
                <w:sz w:val="28"/>
                <w:szCs w:val="28"/>
                <w:u w:val="single"/>
              </w:rPr>
              <w:t>XX</w:t>
            </w:r>
            <w:r>
              <w:rPr>
                <w:rFonts w:hint="eastAsia" w:ascii="宋体" w:hAnsi="宋体"/>
                <w:sz w:val="28"/>
                <w:szCs w:val="28"/>
              </w:rPr>
              <w:t>年</w:t>
            </w:r>
            <w:r>
              <w:rPr>
                <w:rFonts w:hint="eastAsia" w:ascii="宋体" w:hAnsi="宋体"/>
                <w:sz w:val="28"/>
                <w:szCs w:val="28"/>
                <w:u w:val="single"/>
              </w:rPr>
              <w:t>XX</w:t>
            </w:r>
            <w:r>
              <w:rPr>
                <w:rFonts w:hint="eastAsia" w:ascii="宋体" w:hAnsi="宋体"/>
                <w:sz w:val="28"/>
                <w:szCs w:val="28"/>
              </w:rPr>
              <w:t>月</w:t>
            </w:r>
            <w:r>
              <w:rPr>
                <w:rFonts w:hint="eastAsia" w:ascii="宋体" w:hAnsi="宋体"/>
                <w:sz w:val="28"/>
                <w:szCs w:val="28"/>
                <w:u w:val="single"/>
              </w:rPr>
              <w:t>XX</w:t>
            </w:r>
            <w:r>
              <w:rPr>
                <w:rFonts w:hint="eastAsia" w:ascii="宋体" w:hAnsi="宋体"/>
                <w:sz w:val="28"/>
                <w:szCs w:val="28"/>
              </w:rPr>
              <w:t>日</w:t>
            </w:r>
          </w:p>
        </w:tc>
      </w:tr>
    </w:tbl>
    <w:p>
      <w:pPr>
        <w:spacing w:line="360" w:lineRule="auto"/>
        <w:rPr>
          <w:rFonts w:ascii="宋体" w:hAnsi="宋体"/>
          <w:b/>
          <w:sz w:val="28"/>
          <w:szCs w:val="28"/>
        </w:rPr>
      </w:pPr>
      <w:r>
        <w:rPr>
          <w:rFonts w:hint="eastAsia" w:ascii="宋体" w:hAnsi="宋体"/>
          <w:b/>
          <w:sz w:val="28"/>
          <w:szCs w:val="28"/>
        </w:rPr>
        <w:t>温馨提示：</w:t>
      </w:r>
    </w:p>
    <w:p>
      <w:pPr>
        <w:spacing w:line="360" w:lineRule="auto"/>
        <w:ind w:firstLine="551" w:firstLineChars="196"/>
        <w:rPr>
          <w:rFonts w:ascii="宋体" w:hAnsi="宋体"/>
          <w:b/>
          <w:sz w:val="28"/>
          <w:szCs w:val="28"/>
        </w:rPr>
      </w:pPr>
      <w:r>
        <w:rPr>
          <w:rFonts w:hint="eastAsia" w:ascii="宋体" w:hAnsi="宋体"/>
          <w:b/>
          <w:sz w:val="28"/>
          <w:szCs w:val="28"/>
        </w:rPr>
        <w:t>一、资格性响应文件正本一份、副本一份；</w:t>
      </w:r>
    </w:p>
    <w:p>
      <w:pPr>
        <w:spacing w:line="360" w:lineRule="auto"/>
        <w:ind w:firstLine="551" w:firstLineChars="196"/>
        <w:rPr>
          <w:rFonts w:ascii="宋体" w:hAnsi="宋体"/>
          <w:b/>
          <w:sz w:val="28"/>
          <w:szCs w:val="28"/>
        </w:rPr>
      </w:pPr>
      <w:r>
        <w:rPr>
          <w:rFonts w:hint="eastAsia" w:ascii="宋体" w:hAnsi="宋体"/>
          <w:b/>
          <w:sz w:val="28"/>
          <w:szCs w:val="28"/>
        </w:rPr>
        <w:t>二、资格性响应文件应单独密封包装，并于递交响应文件截止时间前送达指定地点；</w:t>
      </w:r>
    </w:p>
    <w:p>
      <w:pPr>
        <w:tabs>
          <w:tab w:val="left" w:pos="993"/>
        </w:tabs>
        <w:spacing w:line="360" w:lineRule="auto"/>
        <w:ind w:firstLine="551" w:firstLineChars="196"/>
        <w:rPr>
          <w:rFonts w:ascii="宋体" w:hAnsi="宋体"/>
          <w:b/>
          <w:sz w:val="28"/>
          <w:szCs w:val="28"/>
        </w:rPr>
      </w:pPr>
      <w:r>
        <w:rPr>
          <w:rFonts w:hint="eastAsia" w:ascii="宋体" w:hAnsi="宋体"/>
          <w:b/>
          <w:sz w:val="28"/>
          <w:szCs w:val="28"/>
        </w:rPr>
        <w:t>三、供应商提供的资格证明材料如发证机关有年检要求的则应通过年检且年检章要清楚，如有有效期的则应提供在有效期内的证明材料。</w:t>
      </w:r>
    </w:p>
    <w:p>
      <w:pPr>
        <w:pStyle w:val="5"/>
        <w:numPr>
          <w:ilvl w:val="2"/>
          <w:numId w:val="14"/>
        </w:numPr>
        <w:tabs>
          <w:tab w:val="left" w:pos="709"/>
        </w:tabs>
        <w:spacing w:after="200"/>
        <w:ind w:left="709" w:hanging="709"/>
        <w:rPr>
          <w:color w:val="auto"/>
        </w:rPr>
      </w:pPr>
      <w:r>
        <w:rPr>
          <w:rFonts w:hint="eastAsia"/>
          <w:color w:val="auto"/>
        </w:rPr>
        <w:t>供应商资格申明函</w:t>
      </w:r>
    </w:p>
    <w:p>
      <w:pPr>
        <w:spacing w:line="360" w:lineRule="auto"/>
        <w:rPr>
          <w:rFonts w:ascii="宋体" w:hAnsi="宋体"/>
          <w:sz w:val="28"/>
          <w:szCs w:val="28"/>
        </w:rPr>
      </w:pPr>
      <w:bookmarkStart w:id="61" w:name="_Toc119295087"/>
      <w:bookmarkStart w:id="62" w:name="_Toc119203988"/>
      <w:bookmarkStart w:id="63" w:name="_Toc146903609"/>
      <w:bookmarkStart w:id="64" w:name="_Toc52184753"/>
      <w:bookmarkStart w:id="65" w:name="_Toc119296788"/>
      <w:r>
        <w:rPr>
          <w:rFonts w:hint="eastAsia" w:ascii="宋体" w:hAnsi="宋体"/>
          <w:sz w:val="28"/>
          <w:szCs w:val="28"/>
        </w:rPr>
        <w:t>成都东部新区党工委管委会（成都市东部新城办）综合部：</w:t>
      </w:r>
    </w:p>
    <w:p>
      <w:pPr>
        <w:pStyle w:val="27"/>
        <w:spacing w:line="360" w:lineRule="auto"/>
        <w:ind w:firstLine="565" w:firstLineChars="202"/>
        <w:rPr>
          <w:rFonts w:ascii="宋体" w:hAnsi="宋体"/>
          <w:bCs/>
          <w:sz w:val="28"/>
          <w:szCs w:val="28"/>
        </w:rPr>
      </w:pPr>
      <w:r>
        <w:rPr>
          <w:rFonts w:hint="eastAsia" w:ascii="宋体" w:hAnsi="宋体"/>
          <w:bCs/>
          <w:sz w:val="28"/>
          <w:szCs w:val="28"/>
        </w:rPr>
        <w:t>我方全面研究了“</w:t>
      </w:r>
      <w:r>
        <w:rPr>
          <w:rFonts w:hint="eastAsia" w:ascii="宋体" w:hAnsi="宋体"/>
          <w:b/>
          <w:sz w:val="28"/>
          <w:szCs w:val="28"/>
          <w:u w:val="single"/>
        </w:rPr>
        <w:t>成都东部新区福田街道办事处安置小区物业管理采购项目</w:t>
      </w:r>
      <w:r>
        <w:rPr>
          <w:rFonts w:hint="eastAsia" w:ascii="宋体" w:hAnsi="宋体"/>
          <w:b/>
          <w:bCs/>
          <w:sz w:val="28"/>
          <w:szCs w:val="28"/>
        </w:rPr>
        <w:t>”</w:t>
      </w:r>
      <w:r>
        <w:rPr>
          <w:rFonts w:hint="eastAsia" w:ascii="宋体" w:hAnsi="宋体"/>
          <w:b/>
          <w:bCs/>
          <w:sz w:val="28"/>
          <w:szCs w:val="28"/>
          <w:u w:val="single"/>
        </w:rPr>
        <w:t>（项目编号：东部新政采（2021）A0005号</w:t>
      </w:r>
      <w:r>
        <w:rPr>
          <w:rFonts w:hint="eastAsia" w:ascii="宋体" w:hAnsi="宋体"/>
          <w:b/>
          <w:bCs/>
          <w:sz w:val="28"/>
          <w:szCs w:val="28"/>
        </w:rPr>
        <w:t>）</w:t>
      </w:r>
      <w:r>
        <w:rPr>
          <w:rFonts w:hint="eastAsia" w:ascii="宋体" w:hAnsi="宋体"/>
          <w:bCs/>
          <w:sz w:val="28"/>
          <w:szCs w:val="28"/>
        </w:rPr>
        <w:t>的磋商文件，决定参加贵单位组织的本项目的磋商。我方授权</w:t>
      </w:r>
      <w:r>
        <w:rPr>
          <w:rFonts w:hint="eastAsia" w:ascii="宋体" w:hAnsi="宋体"/>
          <w:bCs/>
          <w:sz w:val="28"/>
          <w:szCs w:val="28"/>
          <w:u w:val="single"/>
        </w:rPr>
        <w:t>XXX（姓名、职务）</w:t>
      </w:r>
      <w:r>
        <w:rPr>
          <w:rFonts w:hint="eastAsia" w:ascii="宋体" w:hAnsi="宋体"/>
          <w:bCs/>
          <w:sz w:val="28"/>
          <w:szCs w:val="28"/>
        </w:rPr>
        <w:t>代表我方</w:t>
      </w:r>
      <w:r>
        <w:rPr>
          <w:rFonts w:hint="eastAsia" w:ascii="宋体" w:hAnsi="宋体"/>
          <w:bCs/>
          <w:sz w:val="28"/>
          <w:szCs w:val="28"/>
          <w:u w:val="single"/>
        </w:rPr>
        <w:t>XXXXXXX（供应商名称）</w:t>
      </w:r>
      <w:r>
        <w:rPr>
          <w:rFonts w:hint="eastAsia" w:ascii="宋体" w:hAnsi="宋体"/>
          <w:bCs/>
          <w:sz w:val="28"/>
          <w:szCs w:val="28"/>
        </w:rPr>
        <w:t>全权处理本项目磋商的有关事宜。我方郑重承诺：</w:t>
      </w:r>
    </w:p>
    <w:p>
      <w:pPr>
        <w:numPr>
          <w:ilvl w:val="1"/>
          <w:numId w:val="32"/>
        </w:numPr>
        <w:tabs>
          <w:tab w:val="left" w:pos="1134"/>
        </w:tabs>
        <w:spacing w:after="200" w:line="360" w:lineRule="auto"/>
        <w:ind w:left="0" w:firstLine="567"/>
        <w:rPr>
          <w:rFonts w:ascii="宋体" w:hAnsi="宋体"/>
          <w:sz w:val="28"/>
          <w:szCs w:val="28"/>
        </w:rPr>
      </w:pPr>
      <w:r>
        <w:rPr>
          <w:rFonts w:hint="eastAsia" w:ascii="宋体" w:hAnsi="宋体"/>
          <w:sz w:val="28"/>
          <w:szCs w:val="28"/>
        </w:rPr>
        <w:t>我方自愿按照磋商文件规定的各项要求向采购人提供所需货物及服务，</w:t>
      </w:r>
      <w:r>
        <w:rPr>
          <w:rFonts w:hint="eastAsia" w:ascii="宋体" w:hAnsi="宋体"/>
          <w:b/>
          <w:sz w:val="28"/>
          <w:szCs w:val="28"/>
        </w:rPr>
        <w:t>最后报价以《最后报价表》为准</w:t>
      </w:r>
      <w:r>
        <w:rPr>
          <w:rFonts w:hint="eastAsia" w:ascii="宋体" w:hAnsi="宋体"/>
          <w:sz w:val="28"/>
          <w:szCs w:val="28"/>
        </w:rPr>
        <w:t>。</w:t>
      </w:r>
    </w:p>
    <w:p>
      <w:pPr>
        <w:numPr>
          <w:ilvl w:val="1"/>
          <w:numId w:val="32"/>
        </w:numPr>
        <w:tabs>
          <w:tab w:val="left" w:pos="1134"/>
        </w:tabs>
        <w:spacing w:after="200" w:line="360" w:lineRule="auto"/>
        <w:ind w:left="0" w:firstLine="567"/>
        <w:rPr>
          <w:rFonts w:ascii="宋体" w:hAnsi="宋体"/>
          <w:sz w:val="28"/>
          <w:szCs w:val="28"/>
        </w:rPr>
      </w:pPr>
      <w:r>
        <w:rPr>
          <w:rFonts w:hint="eastAsia" w:ascii="宋体" w:hAnsi="宋体"/>
          <w:sz w:val="28"/>
          <w:szCs w:val="28"/>
        </w:rPr>
        <w:t>如果我方成为本项目的成交供应商，我方将严格履行合同规定的责任和义务，否则将承担由此产生的一切责任。</w:t>
      </w:r>
    </w:p>
    <w:p>
      <w:pPr>
        <w:numPr>
          <w:ilvl w:val="1"/>
          <w:numId w:val="32"/>
        </w:numPr>
        <w:tabs>
          <w:tab w:val="left" w:pos="1134"/>
        </w:tabs>
        <w:spacing w:after="200" w:line="360" w:lineRule="auto"/>
        <w:ind w:left="0" w:firstLine="567"/>
        <w:rPr>
          <w:rFonts w:ascii="宋体" w:hAnsi="宋体"/>
          <w:sz w:val="28"/>
          <w:szCs w:val="28"/>
        </w:rPr>
      </w:pPr>
      <w:r>
        <w:rPr>
          <w:rFonts w:hint="eastAsia" w:ascii="宋体" w:hAnsi="宋体"/>
          <w:sz w:val="28"/>
          <w:szCs w:val="28"/>
        </w:rPr>
        <w:t>我方已知晓全部磋商文件的内容，包括修改文件（如有）以及全部相关资料和有关附件，并对上述文件均无异议。</w:t>
      </w:r>
    </w:p>
    <w:p>
      <w:pPr>
        <w:numPr>
          <w:ilvl w:val="1"/>
          <w:numId w:val="32"/>
        </w:numPr>
        <w:tabs>
          <w:tab w:val="left" w:pos="1134"/>
        </w:tabs>
        <w:spacing w:after="200" w:line="360" w:lineRule="auto"/>
        <w:ind w:left="0" w:firstLine="567"/>
        <w:rPr>
          <w:rFonts w:ascii="宋体" w:hAnsi="宋体"/>
          <w:sz w:val="28"/>
          <w:szCs w:val="28"/>
        </w:rPr>
      </w:pPr>
      <w:r>
        <w:rPr>
          <w:rFonts w:hint="eastAsia" w:ascii="宋体" w:hAnsi="宋体"/>
          <w:sz w:val="28"/>
          <w:szCs w:val="28"/>
        </w:rPr>
        <w:t>响应文件有效期为从递交响应文件截止之日起120天。</w:t>
      </w:r>
    </w:p>
    <w:p>
      <w:pPr>
        <w:numPr>
          <w:ilvl w:val="1"/>
          <w:numId w:val="32"/>
        </w:numPr>
        <w:tabs>
          <w:tab w:val="left" w:pos="1134"/>
        </w:tabs>
        <w:spacing w:after="200" w:line="360" w:lineRule="auto"/>
        <w:ind w:left="0" w:firstLine="567"/>
        <w:rPr>
          <w:rFonts w:ascii="宋体" w:hAnsi="宋体"/>
          <w:sz w:val="28"/>
          <w:szCs w:val="28"/>
        </w:rPr>
      </w:pPr>
      <w:r>
        <w:rPr>
          <w:rFonts w:hint="eastAsia" w:ascii="宋体" w:hAnsi="宋体"/>
          <w:sz w:val="28"/>
          <w:szCs w:val="28"/>
        </w:rPr>
        <w:t>我方愿意提供贵单位可能另外要求的，与本项目有关的文件资料，并保证我方已提供和将要提供的文件资料是真实、准确的，并对此承担一切法律后果。</w:t>
      </w:r>
    </w:p>
    <w:p>
      <w:pPr>
        <w:numPr>
          <w:ilvl w:val="1"/>
          <w:numId w:val="32"/>
        </w:numPr>
        <w:tabs>
          <w:tab w:val="left" w:pos="1134"/>
        </w:tabs>
        <w:spacing w:after="200" w:line="360" w:lineRule="auto"/>
        <w:ind w:left="0" w:firstLine="567"/>
        <w:rPr>
          <w:rFonts w:ascii="宋体" w:hAnsi="宋体"/>
          <w:sz w:val="28"/>
          <w:szCs w:val="28"/>
        </w:rPr>
      </w:pPr>
      <w:r>
        <w:rPr>
          <w:rFonts w:hint="eastAsia" w:ascii="宋体" w:hAnsi="宋体"/>
          <w:sz w:val="28"/>
          <w:szCs w:val="28"/>
        </w:rPr>
        <w:t>我单位联系方式：</w:t>
      </w:r>
    </w:p>
    <w:p>
      <w:pPr>
        <w:pStyle w:val="27"/>
        <w:spacing w:line="360" w:lineRule="auto"/>
        <w:ind w:firstLine="565" w:firstLineChars="202"/>
        <w:rPr>
          <w:rFonts w:ascii="宋体" w:hAnsi="宋体"/>
          <w:sz w:val="28"/>
          <w:szCs w:val="28"/>
          <w:u w:val="single"/>
        </w:rPr>
      </w:pPr>
      <w:r>
        <w:rPr>
          <w:rFonts w:hint="eastAsia" w:ascii="宋体" w:hAnsi="宋体"/>
          <w:sz w:val="28"/>
          <w:szCs w:val="28"/>
        </w:rPr>
        <w:t>地    址：</w:t>
      </w:r>
      <w:r>
        <w:rPr>
          <w:rFonts w:hint="eastAsia" w:ascii="宋体" w:hAnsi="宋体"/>
          <w:sz w:val="28"/>
          <w:szCs w:val="28"/>
          <w:u w:val="single"/>
        </w:rPr>
        <w:t>XXXX</w:t>
      </w:r>
    </w:p>
    <w:p>
      <w:pPr>
        <w:pStyle w:val="27"/>
        <w:spacing w:line="360" w:lineRule="auto"/>
        <w:ind w:firstLine="565" w:firstLineChars="202"/>
        <w:rPr>
          <w:rFonts w:ascii="宋体" w:hAnsi="宋体"/>
          <w:sz w:val="28"/>
          <w:szCs w:val="28"/>
          <w:u w:val="single"/>
        </w:rPr>
      </w:pPr>
      <w:r>
        <w:rPr>
          <w:rFonts w:hint="eastAsia" w:ascii="宋体" w:hAnsi="宋体"/>
          <w:sz w:val="28"/>
          <w:szCs w:val="28"/>
        </w:rPr>
        <w:t>传    真：</w:t>
      </w:r>
      <w:r>
        <w:rPr>
          <w:rFonts w:hint="eastAsia" w:ascii="宋体" w:hAnsi="宋体"/>
          <w:sz w:val="28"/>
          <w:szCs w:val="28"/>
          <w:u w:val="single"/>
        </w:rPr>
        <w:t>XXXX</w:t>
      </w:r>
    </w:p>
    <w:p>
      <w:pPr>
        <w:pStyle w:val="27"/>
        <w:spacing w:line="360" w:lineRule="auto"/>
        <w:ind w:firstLine="565" w:firstLineChars="202"/>
        <w:rPr>
          <w:rFonts w:ascii="宋体" w:hAnsi="宋体"/>
          <w:sz w:val="28"/>
          <w:szCs w:val="28"/>
          <w:u w:val="single"/>
        </w:rPr>
      </w:pPr>
      <w:r>
        <w:rPr>
          <w:rFonts w:hint="eastAsia" w:ascii="宋体" w:hAnsi="宋体"/>
          <w:sz w:val="28"/>
          <w:szCs w:val="28"/>
        </w:rPr>
        <w:t>邮政编码：</w:t>
      </w:r>
      <w:r>
        <w:rPr>
          <w:rFonts w:hint="eastAsia" w:ascii="宋体" w:hAnsi="宋体"/>
          <w:sz w:val="28"/>
          <w:szCs w:val="28"/>
          <w:u w:val="single"/>
        </w:rPr>
        <w:t>XXXX</w:t>
      </w:r>
    </w:p>
    <w:p>
      <w:pPr>
        <w:pStyle w:val="27"/>
        <w:spacing w:line="360" w:lineRule="auto"/>
        <w:ind w:firstLine="560" w:firstLineChars="200"/>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XXXXXXXXXX</w:t>
      </w:r>
      <w:r>
        <w:rPr>
          <w:rFonts w:hint="eastAsia" w:ascii="宋体" w:hAnsi="宋体"/>
          <w:bCs/>
          <w:sz w:val="28"/>
          <w:szCs w:val="28"/>
        </w:rPr>
        <w:t>（加盖公章）</w:t>
      </w:r>
    </w:p>
    <w:p>
      <w:pPr>
        <w:pStyle w:val="27"/>
        <w:spacing w:line="360" w:lineRule="auto"/>
        <w:ind w:firstLine="560" w:firstLineChars="200"/>
        <w:rPr>
          <w:rFonts w:ascii="宋体" w:hAnsi="宋体"/>
          <w:bCs/>
          <w:sz w:val="28"/>
          <w:szCs w:val="28"/>
        </w:rPr>
      </w:pPr>
      <w:r>
        <w:rPr>
          <w:rFonts w:hint="eastAsia" w:ascii="宋体" w:hAnsi="宋体"/>
          <w:sz w:val="28"/>
        </w:rPr>
        <w:t>法定代表人</w:t>
      </w:r>
      <w:r>
        <w:rPr>
          <w:rFonts w:hint="eastAsia" w:ascii="宋体" w:hAnsi="宋体"/>
          <w:bCs/>
          <w:sz w:val="28"/>
          <w:szCs w:val="28"/>
        </w:rPr>
        <w:t>或代理人：</w:t>
      </w:r>
      <w:r>
        <w:rPr>
          <w:rFonts w:hint="eastAsia" w:ascii="宋体" w:hAnsi="宋体"/>
          <w:bCs/>
          <w:sz w:val="28"/>
          <w:szCs w:val="28"/>
          <w:u w:val="single"/>
        </w:rPr>
        <w:t>XXXXX</w:t>
      </w:r>
      <w:r>
        <w:rPr>
          <w:rFonts w:hint="eastAsia" w:ascii="宋体" w:hAnsi="宋体"/>
          <w:bCs/>
          <w:sz w:val="28"/>
          <w:szCs w:val="28"/>
        </w:rPr>
        <w:t>（签字）</w:t>
      </w:r>
    </w:p>
    <w:bookmarkEnd w:id="61"/>
    <w:bookmarkEnd w:id="62"/>
    <w:bookmarkEnd w:id="63"/>
    <w:bookmarkEnd w:id="64"/>
    <w:bookmarkEnd w:id="65"/>
    <w:p>
      <w:pPr>
        <w:pStyle w:val="27"/>
        <w:spacing w:line="360" w:lineRule="auto"/>
        <w:ind w:firstLine="560" w:firstLineChars="200"/>
        <w:rPr>
          <w:rFonts w:ascii="宋体" w:hAnsi="宋体"/>
          <w:bCs/>
          <w:sz w:val="28"/>
          <w:szCs w:val="28"/>
        </w:rPr>
      </w:pPr>
      <w:r>
        <w:rPr>
          <w:rFonts w:hint="eastAsia" w:ascii="宋体" w:hAnsi="宋体"/>
          <w:bCs/>
          <w:sz w:val="28"/>
          <w:szCs w:val="28"/>
        </w:rPr>
        <w:t>日      期：</w:t>
      </w:r>
      <w:r>
        <w:rPr>
          <w:rFonts w:hint="eastAsia" w:ascii="宋体" w:hAnsi="宋体"/>
          <w:bCs/>
          <w:sz w:val="28"/>
          <w:szCs w:val="28"/>
          <w:u w:val="single"/>
        </w:rPr>
        <w:t>XX</w:t>
      </w:r>
      <w:r>
        <w:rPr>
          <w:rFonts w:hint="eastAsia" w:ascii="宋体" w:hAnsi="宋体"/>
          <w:bCs/>
          <w:sz w:val="28"/>
          <w:szCs w:val="28"/>
        </w:rPr>
        <w:t>年</w:t>
      </w:r>
      <w:r>
        <w:rPr>
          <w:rFonts w:hint="eastAsia" w:ascii="宋体" w:hAnsi="宋体"/>
          <w:bCs/>
          <w:sz w:val="28"/>
          <w:szCs w:val="28"/>
          <w:u w:val="single"/>
        </w:rPr>
        <w:t>XX</w:t>
      </w:r>
      <w:r>
        <w:rPr>
          <w:rFonts w:hint="eastAsia" w:ascii="宋体" w:hAnsi="宋体"/>
          <w:bCs/>
          <w:sz w:val="28"/>
          <w:szCs w:val="28"/>
        </w:rPr>
        <w:t>月</w:t>
      </w:r>
      <w:r>
        <w:rPr>
          <w:rFonts w:hint="eastAsia" w:ascii="宋体" w:hAnsi="宋体"/>
          <w:bCs/>
          <w:sz w:val="28"/>
          <w:szCs w:val="28"/>
          <w:u w:val="single"/>
        </w:rPr>
        <w:t>XX</w:t>
      </w:r>
      <w:r>
        <w:rPr>
          <w:rFonts w:hint="eastAsia" w:ascii="宋体" w:hAnsi="宋体"/>
          <w:bCs/>
          <w:sz w:val="28"/>
          <w:szCs w:val="28"/>
        </w:rPr>
        <w:t>日</w:t>
      </w:r>
    </w:p>
    <w:p>
      <w:pPr>
        <w:spacing w:line="360" w:lineRule="auto"/>
        <w:rPr>
          <w:rFonts w:ascii="宋体" w:hAnsi="宋体"/>
          <w:bCs/>
          <w:sz w:val="28"/>
          <w:szCs w:val="28"/>
        </w:rPr>
        <w:sectPr>
          <w:pgSz w:w="11906" w:h="16838"/>
          <w:pgMar w:top="1134" w:right="1274" w:bottom="1440" w:left="1418" w:header="851" w:footer="992" w:gutter="0"/>
          <w:cols w:space="720" w:num="1"/>
          <w:docGrid w:type="lines" w:linePitch="312" w:charSpace="0"/>
        </w:sectPr>
      </w:pPr>
    </w:p>
    <w:p>
      <w:pPr>
        <w:pStyle w:val="5"/>
        <w:numPr>
          <w:ilvl w:val="2"/>
          <w:numId w:val="14"/>
        </w:numPr>
        <w:tabs>
          <w:tab w:val="left" w:pos="709"/>
        </w:tabs>
        <w:spacing w:after="200"/>
        <w:ind w:left="709" w:hanging="709"/>
        <w:rPr>
          <w:color w:val="auto"/>
        </w:rPr>
      </w:pPr>
      <w:r>
        <w:rPr>
          <w:rFonts w:hint="eastAsia"/>
          <w:color w:val="auto"/>
        </w:rPr>
        <w:t>声明</w:t>
      </w:r>
    </w:p>
    <w:p>
      <w:pPr>
        <w:snapToGrid w:val="0"/>
        <w:spacing w:line="360" w:lineRule="auto"/>
        <w:ind w:right="-713" w:rightChars="-297"/>
        <w:rPr>
          <w:rFonts w:ascii="宋体" w:hAnsi="宋体"/>
          <w:b/>
          <w:sz w:val="28"/>
          <w:szCs w:val="28"/>
          <w:u w:val="single"/>
        </w:rPr>
      </w:pPr>
      <w:r>
        <w:rPr>
          <w:rFonts w:hint="eastAsia" w:ascii="宋体" w:hAnsi="宋体"/>
          <w:b/>
          <w:sz w:val="28"/>
        </w:rPr>
        <w:t>项目名称：</w:t>
      </w:r>
      <w:r>
        <w:rPr>
          <w:rFonts w:hint="eastAsia" w:ascii="宋体" w:hAnsi="宋体"/>
          <w:b/>
          <w:sz w:val="28"/>
          <w:szCs w:val="28"/>
          <w:u w:val="single"/>
        </w:rPr>
        <w:t>成都东部新区福田街道办事处安置小区物业管理采购项目</w:t>
      </w:r>
    </w:p>
    <w:p>
      <w:pPr>
        <w:snapToGrid w:val="0"/>
        <w:spacing w:line="360" w:lineRule="auto"/>
        <w:ind w:right="-713" w:rightChars="-297"/>
        <w:rPr>
          <w:rFonts w:ascii="宋体" w:hAnsi="宋体"/>
          <w:b/>
          <w:sz w:val="28"/>
          <w:szCs w:val="28"/>
          <w:u w:val="single"/>
        </w:rPr>
      </w:pPr>
      <w:r>
        <w:rPr>
          <w:rFonts w:hint="eastAsia" w:ascii="宋体" w:hAnsi="宋体"/>
          <w:b/>
          <w:sz w:val="28"/>
        </w:rPr>
        <w:t>项目编号：</w:t>
      </w:r>
      <w:r>
        <w:rPr>
          <w:rFonts w:hint="eastAsia" w:ascii="宋体" w:hAnsi="宋体"/>
          <w:b/>
          <w:sz w:val="28"/>
          <w:szCs w:val="28"/>
          <w:u w:val="single"/>
        </w:rPr>
        <w:t>东部新政采（2021）A0005号</w:t>
      </w:r>
    </w:p>
    <w:p>
      <w:pPr>
        <w:spacing w:line="360" w:lineRule="auto"/>
        <w:rPr>
          <w:rFonts w:ascii="宋体" w:hAnsi="宋体"/>
          <w:b/>
          <w:sz w:val="28"/>
          <w:szCs w:val="28"/>
        </w:rPr>
      </w:pPr>
      <w:r>
        <w:rPr>
          <w:rFonts w:hint="eastAsia" w:ascii="宋体" w:hAnsi="宋体"/>
          <w:b/>
          <w:sz w:val="28"/>
          <w:szCs w:val="28"/>
        </w:rPr>
        <w:t>致：成都东部新区党工委管委会（成都市东部新城办）综合部</w:t>
      </w:r>
    </w:p>
    <w:p>
      <w:pPr>
        <w:spacing w:line="600" w:lineRule="exact"/>
        <w:ind w:firstLine="560" w:firstLineChars="200"/>
      </w:pPr>
      <w:r>
        <w:rPr>
          <w:rFonts w:hint="eastAsia" w:ascii="宋体" w:hAnsi="宋体"/>
          <w:sz w:val="28"/>
        </w:rPr>
        <w:t>我单位作为</w:t>
      </w:r>
      <w:r>
        <w:rPr>
          <w:rFonts w:hint="eastAsia" w:ascii="宋体" w:hAnsi="宋体"/>
          <w:b/>
          <w:sz w:val="28"/>
          <w:szCs w:val="28"/>
          <w:u w:val="single"/>
        </w:rPr>
        <w:t>成都东部新区福田街道办事处安置小区物业管理采购项目</w:t>
      </w:r>
      <w:r>
        <w:rPr>
          <w:rFonts w:hint="eastAsia" w:ascii="宋体" w:hAnsi="宋体"/>
          <w:sz w:val="28"/>
        </w:rPr>
        <w:t>的竞争性磋商的供应商，在此郑重声明：</w:t>
      </w:r>
    </w:p>
    <w:p>
      <w:pPr>
        <w:spacing w:line="360" w:lineRule="auto"/>
        <w:ind w:firstLine="560" w:firstLineChars="200"/>
        <w:rPr>
          <w:rFonts w:ascii="宋体" w:hAnsi="宋体"/>
          <w:sz w:val="28"/>
          <w:szCs w:val="28"/>
        </w:rPr>
      </w:pPr>
      <w:r>
        <w:rPr>
          <w:rFonts w:hint="eastAsia" w:ascii="宋体" w:hAnsi="宋体"/>
          <w:sz w:val="28"/>
          <w:szCs w:val="28"/>
        </w:rPr>
        <w:t>一、我</w:t>
      </w:r>
      <w:r>
        <w:rPr>
          <w:rFonts w:hint="eastAsia" w:ascii="宋体" w:hAnsi="宋体"/>
          <w:sz w:val="28"/>
        </w:rPr>
        <w:t>单位</w:t>
      </w:r>
      <w:r>
        <w:rPr>
          <w:rFonts w:hint="eastAsia" w:ascii="宋体" w:hAnsi="宋体"/>
          <w:sz w:val="28"/>
          <w:szCs w:val="28"/>
        </w:rPr>
        <w:t>参加政府采购活动前三年内，在经营活动中</w:t>
      </w:r>
      <w:r>
        <w:rPr>
          <w:rFonts w:hint="eastAsia" w:ascii="宋体" w:hAnsi="宋体"/>
          <w:b/>
          <w:sz w:val="28"/>
          <w:szCs w:val="28"/>
          <w:u w:val="single"/>
        </w:rPr>
        <w:t>（说明：填写“无”或“有”</w:t>
      </w:r>
      <w:r>
        <w:rPr>
          <w:rFonts w:hint="eastAsia" w:ascii="宋体" w:hAnsi="宋体"/>
          <w:sz w:val="28"/>
          <w:szCs w:val="28"/>
          <w:u w:val="single"/>
        </w:rPr>
        <w:t>）</w:t>
      </w:r>
      <w:r>
        <w:rPr>
          <w:rFonts w:hint="eastAsia" w:ascii="宋体" w:hAnsi="宋体"/>
          <w:sz w:val="28"/>
          <w:szCs w:val="28"/>
        </w:rPr>
        <w:t>重大违法记录。</w:t>
      </w:r>
    </w:p>
    <w:p>
      <w:pPr>
        <w:spacing w:line="360" w:lineRule="auto"/>
        <w:ind w:firstLine="560" w:firstLineChars="200"/>
        <w:rPr>
          <w:rFonts w:ascii="宋体" w:hAnsi="宋体"/>
          <w:sz w:val="28"/>
          <w:szCs w:val="28"/>
        </w:rPr>
      </w:pPr>
      <w:r>
        <w:rPr>
          <w:rFonts w:hint="eastAsia" w:ascii="宋体" w:hAnsi="宋体"/>
          <w:sz w:val="28"/>
          <w:szCs w:val="28"/>
        </w:rPr>
        <w:t>二、我</w:t>
      </w:r>
      <w:r>
        <w:rPr>
          <w:rFonts w:hint="eastAsia" w:ascii="宋体" w:hAnsi="宋体"/>
          <w:sz w:val="28"/>
        </w:rPr>
        <w:t>单位</w:t>
      </w:r>
      <w:r>
        <w:rPr>
          <w:rFonts w:hint="eastAsia" w:ascii="宋体" w:hAnsi="宋体"/>
          <w:b/>
          <w:sz w:val="28"/>
          <w:szCs w:val="28"/>
          <w:u w:val="single"/>
        </w:rPr>
        <w:t>（说明：填写“具有”或“不具有”</w:t>
      </w:r>
      <w:r>
        <w:rPr>
          <w:rFonts w:hint="eastAsia" w:ascii="宋体" w:hAnsi="宋体"/>
          <w:sz w:val="28"/>
          <w:szCs w:val="28"/>
          <w:u w:val="single"/>
        </w:rPr>
        <w:t>）</w:t>
      </w:r>
      <w:r>
        <w:rPr>
          <w:rFonts w:hint="eastAsia" w:ascii="宋体" w:hAnsi="宋体"/>
          <w:sz w:val="28"/>
          <w:szCs w:val="28"/>
        </w:rPr>
        <w:t>良好的商业信誉。</w:t>
      </w:r>
    </w:p>
    <w:p>
      <w:pPr>
        <w:spacing w:line="360" w:lineRule="auto"/>
        <w:ind w:firstLine="560" w:firstLineChars="200"/>
        <w:rPr>
          <w:rFonts w:ascii="宋体" w:hAnsi="宋体"/>
          <w:b/>
          <w:sz w:val="28"/>
          <w:szCs w:val="28"/>
        </w:rPr>
      </w:pPr>
      <w:r>
        <w:rPr>
          <w:rFonts w:hint="eastAsia" w:ascii="宋体" w:hAnsi="宋体"/>
          <w:sz w:val="28"/>
          <w:szCs w:val="28"/>
        </w:rPr>
        <w:t>三、与我</w:t>
      </w:r>
      <w:r>
        <w:rPr>
          <w:rFonts w:hint="eastAsia" w:ascii="宋体" w:hAnsi="宋体"/>
          <w:sz w:val="28"/>
        </w:rPr>
        <w:t>单位</w:t>
      </w:r>
      <w:r>
        <w:rPr>
          <w:rFonts w:hint="eastAsia" w:ascii="宋体" w:hAnsi="宋体"/>
          <w:sz w:val="28"/>
          <w:szCs w:val="28"/>
        </w:rPr>
        <w:t>存在</w:t>
      </w:r>
      <w:r>
        <w:rPr>
          <w:rFonts w:hint="eastAsia" w:hAnsi="宋体"/>
          <w:sz w:val="28"/>
          <w:szCs w:val="28"/>
        </w:rPr>
        <w:t>单位</w:t>
      </w:r>
      <w:r>
        <w:rPr>
          <w:rFonts w:hint="eastAsia" w:ascii="宋体" w:hAnsi="宋体"/>
          <w:sz w:val="28"/>
        </w:rPr>
        <w:t>负责人</w:t>
      </w:r>
      <w:r>
        <w:rPr>
          <w:rFonts w:hint="eastAsia" w:hAnsi="宋体"/>
          <w:sz w:val="28"/>
          <w:szCs w:val="28"/>
        </w:rPr>
        <w:t>为同一人、</w:t>
      </w:r>
      <w:r>
        <w:rPr>
          <w:rFonts w:hint="eastAsia" w:ascii="宋体" w:hAnsi="宋体"/>
          <w:sz w:val="28"/>
          <w:szCs w:val="28"/>
        </w:rPr>
        <w:t>直接控股、管理关系的相关供应商：</w:t>
      </w:r>
      <w:r>
        <w:rPr>
          <w:rFonts w:hint="eastAsia" w:ascii="宋体" w:hAnsi="宋体"/>
          <w:b/>
          <w:sz w:val="28"/>
          <w:szCs w:val="28"/>
          <w:u w:val="single"/>
        </w:rPr>
        <w:t>（说明：填写“无”或“（一）供应商名称１；（二）供应商名称２ ；（三）……”）</w:t>
      </w:r>
      <w:r>
        <w:rPr>
          <w:rFonts w:hint="eastAsia" w:ascii="宋体" w:hAnsi="宋体"/>
          <w:b/>
          <w:sz w:val="28"/>
          <w:szCs w:val="28"/>
        </w:rPr>
        <w:t>。</w:t>
      </w:r>
    </w:p>
    <w:p>
      <w:pPr>
        <w:spacing w:line="360" w:lineRule="auto"/>
        <w:ind w:firstLine="560" w:firstLineChars="200"/>
        <w:rPr>
          <w:rFonts w:ascii="宋体" w:hAnsi="宋体"/>
          <w:sz w:val="28"/>
          <w:szCs w:val="28"/>
        </w:rPr>
      </w:pPr>
      <w:r>
        <w:rPr>
          <w:rFonts w:hint="eastAsia" w:ascii="宋体" w:hAnsi="宋体"/>
          <w:sz w:val="28"/>
          <w:szCs w:val="28"/>
        </w:rPr>
        <w:t>四、在行贿犯罪信息查询期限内，我单位及我单位现任</w:t>
      </w:r>
      <w:r>
        <w:rPr>
          <w:rFonts w:hint="eastAsia" w:ascii="宋体" w:hAnsi="宋体"/>
          <w:sz w:val="28"/>
        </w:rPr>
        <w:t>法定代表人、主要负责人</w:t>
      </w:r>
      <w:r>
        <w:rPr>
          <w:rFonts w:hint="eastAsia" w:ascii="宋体" w:hAnsi="宋体"/>
          <w:b/>
          <w:sz w:val="28"/>
          <w:szCs w:val="28"/>
          <w:u w:val="single"/>
        </w:rPr>
        <w:t>（说明：填写“没有”或“有”）</w:t>
      </w:r>
      <w:r>
        <w:rPr>
          <w:rFonts w:hint="eastAsia" w:ascii="宋体" w:hAnsi="宋体"/>
          <w:sz w:val="28"/>
          <w:szCs w:val="28"/>
        </w:rPr>
        <w:t>行贿犯罪记录。</w:t>
      </w:r>
    </w:p>
    <w:p>
      <w:pPr>
        <w:spacing w:line="360" w:lineRule="auto"/>
        <w:ind w:firstLine="560" w:firstLineChars="200"/>
        <w:rPr>
          <w:rFonts w:ascii="宋体" w:hAnsi="宋体"/>
          <w:sz w:val="28"/>
          <w:szCs w:val="28"/>
        </w:rPr>
      </w:pPr>
      <w:r>
        <w:rPr>
          <w:rFonts w:hint="eastAsia" w:ascii="宋体" w:hAnsi="宋体"/>
          <w:sz w:val="28"/>
          <w:szCs w:val="28"/>
        </w:rPr>
        <w:t>五、我单位</w:t>
      </w:r>
      <w:r>
        <w:rPr>
          <w:rFonts w:hint="eastAsia" w:ascii="宋体" w:hAnsi="宋体"/>
          <w:b/>
          <w:sz w:val="28"/>
          <w:szCs w:val="28"/>
          <w:u w:val="single"/>
        </w:rPr>
        <w:t>（说明：填写“未列入”或“被列入”</w:t>
      </w:r>
      <w:r>
        <w:rPr>
          <w:rFonts w:hint="eastAsia" w:ascii="宋体" w:hAnsi="宋体"/>
          <w:sz w:val="28"/>
          <w:szCs w:val="28"/>
          <w:u w:val="single"/>
        </w:rPr>
        <w:t>）</w:t>
      </w:r>
      <w:r>
        <w:rPr>
          <w:rFonts w:hint="eastAsia" w:ascii="宋体" w:hAnsi="宋体"/>
          <w:sz w:val="28"/>
          <w:szCs w:val="28"/>
        </w:rPr>
        <w:t>失信被执行人、重大税收违法案件当事人名单。</w:t>
      </w:r>
    </w:p>
    <w:p>
      <w:pPr>
        <w:spacing w:line="360" w:lineRule="auto"/>
        <w:ind w:firstLine="560" w:firstLineChars="200"/>
        <w:rPr>
          <w:rFonts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（说明：填写“未列入”或“被列入”</w:t>
      </w:r>
      <w:r>
        <w:rPr>
          <w:rFonts w:hint="eastAsia" w:ascii="宋体" w:hAnsi="宋体"/>
          <w:sz w:val="28"/>
          <w:szCs w:val="28"/>
          <w:u w:val="single"/>
        </w:rPr>
        <w:t>）</w:t>
      </w:r>
      <w:r>
        <w:rPr>
          <w:rFonts w:hint="eastAsia" w:ascii="宋体" w:hAnsi="宋体"/>
          <w:sz w:val="28"/>
          <w:szCs w:val="28"/>
        </w:rPr>
        <w:t>政府采购严重违法失信行为记录名单。</w:t>
      </w:r>
    </w:p>
    <w:p>
      <w:pPr>
        <w:spacing w:line="360" w:lineRule="auto"/>
        <w:ind w:firstLine="560" w:firstLineChars="200"/>
        <w:rPr>
          <w:rFonts w:ascii="宋体" w:hAnsi="宋体"/>
          <w:sz w:val="28"/>
          <w:szCs w:val="28"/>
        </w:rPr>
      </w:pPr>
      <w:r>
        <w:rPr>
          <w:rFonts w:hint="eastAsia" w:ascii="宋体" w:hAnsi="宋体"/>
          <w:sz w:val="28"/>
          <w:szCs w:val="28"/>
        </w:rPr>
        <w:t>六、我单位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r>
        <w:rPr>
          <w:rFonts w:hint="eastAsia" w:ascii="宋体" w:hAnsi="宋体"/>
          <w:sz w:val="28"/>
          <w:szCs w:val="28"/>
        </w:rPr>
        <w:t>。</w:t>
      </w:r>
    </w:p>
    <w:p>
      <w:pPr>
        <w:spacing w:line="600" w:lineRule="exact"/>
        <w:ind w:firstLine="537" w:firstLineChars="192"/>
        <w:rPr>
          <w:rFonts w:ascii="宋体" w:hAnsi="宋体"/>
          <w:sz w:val="28"/>
          <w:szCs w:val="28"/>
        </w:rPr>
      </w:pPr>
      <w:r>
        <w:rPr>
          <w:rFonts w:hint="eastAsia" w:ascii="宋体" w:hAnsi="宋体"/>
          <w:sz w:val="28"/>
          <w:szCs w:val="28"/>
        </w:rPr>
        <w:t>特此声明。</w:t>
      </w:r>
    </w:p>
    <w:p>
      <w:pPr>
        <w:spacing w:line="560" w:lineRule="exact"/>
        <w:ind w:firstLine="537" w:firstLineChars="192"/>
        <w:rPr>
          <w:rFonts w:ascii="宋体" w:hAnsi="宋体"/>
          <w:sz w:val="28"/>
          <w:szCs w:val="28"/>
        </w:rPr>
      </w:pPr>
      <w:r>
        <w:rPr>
          <w:rFonts w:hint="eastAsia" w:ascii="宋体" w:hAnsi="宋体"/>
          <w:sz w:val="28"/>
          <w:szCs w:val="28"/>
        </w:rPr>
        <w:t>供应商名称：</w:t>
      </w:r>
      <w:r>
        <w:rPr>
          <w:rFonts w:hint="eastAsia" w:ascii="宋体" w:hAnsi="宋体"/>
          <w:sz w:val="28"/>
          <w:szCs w:val="28"/>
          <w:u w:val="single"/>
        </w:rPr>
        <w:t>XXXX</w:t>
      </w:r>
      <w:r>
        <w:rPr>
          <w:rFonts w:hint="eastAsia" w:ascii="宋体" w:hAnsi="宋体"/>
          <w:sz w:val="28"/>
          <w:szCs w:val="28"/>
        </w:rPr>
        <w:t>(加盖公章)</w:t>
      </w:r>
    </w:p>
    <w:p>
      <w:pPr>
        <w:spacing w:line="560" w:lineRule="exact"/>
        <w:ind w:firstLine="525"/>
        <w:rPr>
          <w:rFonts w:ascii="宋体" w:hAnsi="宋体"/>
          <w:bCs/>
          <w:sz w:val="28"/>
          <w:szCs w:val="28"/>
          <w:u w:val="single"/>
        </w:rPr>
      </w:pPr>
      <w:r>
        <w:rPr>
          <w:rFonts w:hint="eastAsia" w:ascii="宋体" w:hAnsi="宋体"/>
          <w:bCs/>
          <w:sz w:val="28"/>
          <w:szCs w:val="28"/>
        </w:rPr>
        <w:t>日      期：XX年XX月XX日</w:t>
      </w:r>
    </w:p>
    <w:p>
      <w:pPr>
        <w:spacing w:line="560" w:lineRule="exact"/>
        <w:ind w:firstLine="525"/>
        <w:rPr>
          <w:rFonts w:ascii="宋体" w:hAnsi="宋体"/>
          <w:sz w:val="28"/>
          <w:szCs w:val="28"/>
        </w:rPr>
      </w:pPr>
      <w:r>
        <w:rPr>
          <w:rFonts w:hint="eastAsia" w:ascii="宋体" w:hAnsi="宋体"/>
          <w:bCs/>
          <w:sz w:val="28"/>
          <w:szCs w:val="28"/>
        </w:rPr>
        <w:t>说明：</w:t>
      </w:r>
    </w:p>
    <w:p>
      <w:pPr>
        <w:spacing w:line="360" w:lineRule="auto"/>
        <w:ind w:left="324" w:leftChars="135" w:firstLine="470" w:firstLineChars="196"/>
        <w:rPr>
          <w:rFonts w:ascii="宋体" w:hAnsi="宋体"/>
        </w:rPr>
      </w:pPr>
      <w:r>
        <w:rPr>
          <w:rFonts w:hint="eastAsia" w:ascii="宋体" w:hAnsi="宋体"/>
        </w:rPr>
        <w:t>1、对声明中第一条的说明：如供应商在参加政府采购活动前三年内，在经营活动中有重大违法记录的，应填写“有”，供应商</w:t>
      </w:r>
      <w:r>
        <w:rPr>
          <w:rFonts w:hint="eastAsia"/>
        </w:rPr>
        <w:t>将被认定为磋商无效或被取消成交资格；</w:t>
      </w:r>
    </w:p>
    <w:p>
      <w:pPr>
        <w:shd w:val="clear" w:color="auto" w:fill="FFFFFF"/>
        <w:spacing w:line="440" w:lineRule="exact"/>
        <w:ind w:left="324" w:leftChars="135" w:firstLine="360" w:firstLineChars="150"/>
        <w:rPr>
          <w:rFonts w:ascii="宋体" w:hAnsi="宋体" w:cs="宋体"/>
        </w:rPr>
      </w:pPr>
      <w:r>
        <w:rPr>
          <w:rFonts w:hint="eastAsia" w:ascii="宋体" w:hAnsi="宋体"/>
        </w:rPr>
        <w:t>2、对声明中第二条的说明：供应商在参加政府采购活动前，被纳入法院、工商行政管理部门、税务部门、银行认定的失信名单且在有效期内，或者在前三年政府采购合同履约过程中及其他经营活动履约过程中未依法履约被有关部门处罚的，不能认定为具有良好的商业信誉，应填写“不具有”，供应商</w:t>
      </w:r>
      <w:r>
        <w:rPr>
          <w:rFonts w:hint="eastAsia"/>
        </w:rPr>
        <w:t>将被认定为磋商无效或被取消成交资格</w:t>
      </w:r>
      <w:r>
        <w:rPr>
          <w:rFonts w:hint="eastAsia" w:ascii="宋体" w:hAnsi="宋体"/>
        </w:rPr>
        <w:t>；</w:t>
      </w:r>
    </w:p>
    <w:p>
      <w:pPr>
        <w:spacing w:line="360" w:lineRule="auto"/>
        <w:ind w:left="324" w:leftChars="135" w:firstLine="470" w:firstLineChars="196"/>
        <w:rPr>
          <w:rFonts w:hAnsi="宋体"/>
        </w:rPr>
      </w:pPr>
      <w:r>
        <w:rPr>
          <w:rFonts w:hint="eastAsia" w:ascii="宋体" w:hAnsi="宋体"/>
        </w:rPr>
        <w:t>3、对声明中第三条的说明：单位负责人为同一人或者存在直接控股、管理关系的不同供应商，不得参加同一合同项下的政府采购活动</w:t>
      </w:r>
      <w:r>
        <w:rPr>
          <w:rFonts w:hint="eastAsia" w:hAnsi="宋体"/>
        </w:rPr>
        <w:t>；</w:t>
      </w:r>
    </w:p>
    <w:p>
      <w:pPr>
        <w:spacing w:line="360" w:lineRule="auto"/>
        <w:ind w:left="324" w:leftChars="135" w:firstLine="470" w:firstLineChars="196"/>
      </w:pPr>
      <w:r>
        <w:rPr>
          <w:rFonts w:hint="eastAsia" w:ascii="宋体" w:hAnsi="宋体"/>
        </w:rPr>
        <w:t>4、对声明中第四条的说明：在行贿犯罪信息查询期限内，供应商根据中国裁判文书网（https://wenshu.court.gov.cn）查询结果，如果供应商</w:t>
      </w:r>
      <w:r>
        <w:rPr>
          <w:rFonts w:hint="eastAsia"/>
        </w:rPr>
        <w:t>及其现任法定代表人、主要负责人有行贿犯罪记录的，</w:t>
      </w:r>
      <w:r>
        <w:rPr>
          <w:rFonts w:hint="eastAsia" w:ascii="宋体" w:hAnsi="宋体"/>
        </w:rPr>
        <w:t>供应商</w:t>
      </w:r>
      <w:r>
        <w:rPr>
          <w:rFonts w:hint="eastAsia"/>
        </w:rPr>
        <w:t>应填写“有”，</w:t>
      </w:r>
      <w:r>
        <w:rPr>
          <w:rFonts w:hint="eastAsia" w:ascii="宋体" w:hAnsi="宋体"/>
        </w:rPr>
        <w:t>供应商</w:t>
      </w:r>
      <w:r>
        <w:rPr>
          <w:rFonts w:hint="eastAsia"/>
        </w:rPr>
        <w:t>将被认定为磋商无效或被取消成交资格。</w:t>
      </w:r>
    </w:p>
    <w:p>
      <w:pPr>
        <w:spacing w:line="360" w:lineRule="auto"/>
        <w:ind w:left="324" w:leftChars="135" w:firstLine="470" w:firstLineChars="196"/>
        <w:rPr>
          <w:rFonts w:ascii="宋体" w:hAnsi="宋体"/>
        </w:rPr>
      </w:pPr>
      <w:r>
        <w:rPr>
          <w:rFonts w:hint="eastAsia" w:ascii="宋体" w:hAnsi="宋体"/>
        </w:rPr>
        <w:t>5、对声明中第五条的说明：供应商</w:t>
      </w:r>
      <w:r>
        <w:rPr>
          <w:rFonts w:ascii="宋体" w:hAnsi="宋体"/>
        </w:rPr>
        <w:t>如被列入失信被执行人、重大税收违法案件当事人名单，应填写“被列入”，</w:t>
      </w:r>
      <w:r>
        <w:rPr>
          <w:rFonts w:hint="eastAsia" w:ascii="宋体" w:hAnsi="宋体"/>
        </w:rPr>
        <w:t xml:space="preserve"> 供应商</w:t>
      </w:r>
      <w:r>
        <w:rPr>
          <w:rFonts w:ascii="宋体" w:hAnsi="宋体"/>
        </w:rPr>
        <w:t>将被认定</w:t>
      </w:r>
      <w:r>
        <w:rPr>
          <w:rFonts w:hint="eastAsia" w:ascii="宋体" w:hAnsi="宋体"/>
        </w:rPr>
        <w:t>磋商</w:t>
      </w:r>
      <w:r>
        <w:rPr>
          <w:rFonts w:ascii="宋体" w:hAnsi="宋体"/>
        </w:rPr>
        <w:t>无效或被取消</w:t>
      </w:r>
      <w:r>
        <w:rPr>
          <w:rFonts w:hint="eastAsia" w:ascii="宋体" w:hAnsi="宋体"/>
        </w:rPr>
        <w:t>成交</w:t>
      </w:r>
      <w:r>
        <w:rPr>
          <w:rFonts w:ascii="宋体" w:hAnsi="宋体"/>
        </w:rPr>
        <w:t>资格；</w:t>
      </w:r>
      <w:r>
        <w:rPr>
          <w:rFonts w:hint="eastAsia" w:ascii="宋体" w:hAnsi="宋体"/>
        </w:rPr>
        <w:t>供应商</w:t>
      </w:r>
      <w:r>
        <w:rPr>
          <w:rFonts w:ascii="宋体" w:hAnsi="宋体"/>
        </w:rPr>
        <w:t>如被列入政府采购严重违法失信行为记录名单，应填写“被列入”，</w:t>
      </w:r>
      <w:r>
        <w:rPr>
          <w:rFonts w:hint="eastAsia" w:ascii="宋体" w:hAnsi="宋体"/>
        </w:rPr>
        <w:t xml:space="preserve"> 供应商</w:t>
      </w:r>
      <w:r>
        <w:rPr>
          <w:rFonts w:ascii="宋体" w:hAnsi="宋体"/>
        </w:rPr>
        <w:t>将被认定</w:t>
      </w:r>
      <w:r>
        <w:rPr>
          <w:rFonts w:hint="eastAsia" w:ascii="宋体" w:hAnsi="宋体"/>
        </w:rPr>
        <w:t>磋商</w:t>
      </w:r>
      <w:r>
        <w:rPr>
          <w:rFonts w:ascii="宋体" w:hAnsi="宋体"/>
        </w:rPr>
        <w:t>无效或被取消</w:t>
      </w:r>
      <w:r>
        <w:rPr>
          <w:rFonts w:hint="eastAsia" w:ascii="宋体" w:hAnsi="宋体"/>
        </w:rPr>
        <w:t>成交</w:t>
      </w:r>
      <w:r>
        <w:rPr>
          <w:rFonts w:ascii="宋体" w:hAnsi="宋体"/>
        </w:rPr>
        <w:t>资格</w:t>
      </w:r>
      <w:r>
        <w:rPr>
          <w:rFonts w:hint="eastAsia" w:ascii="宋体" w:hAnsi="宋体"/>
        </w:rPr>
        <w:t>。</w:t>
      </w:r>
    </w:p>
    <w:p>
      <w:pPr>
        <w:spacing w:line="360" w:lineRule="auto"/>
        <w:ind w:left="324" w:leftChars="135" w:firstLine="470" w:firstLineChars="196"/>
        <w:rPr>
          <w:rFonts w:ascii="宋体" w:hAnsi="宋体"/>
        </w:rPr>
      </w:pPr>
      <w:r>
        <w:rPr>
          <w:rFonts w:hint="eastAsia" w:ascii="宋体" w:hAnsi="宋体"/>
        </w:rPr>
        <w:t>6、对声明中第六条的说明：如供应商处于被行政部门禁止参加政府采购活动期限内的，该声明填“处于”，供应商将被认定磋商无效或被取消成交资格。</w:t>
      </w:r>
    </w:p>
    <w:p>
      <w:pPr>
        <w:spacing w:line="360" w:lineRule="auto"/>
        <w:ind w:left="324" w:leftChars="135" w:firstLine="470" w:firstLineChars="196"/>
        <w:rPr>
          <w:rFonts w:ascii="宋体" w:hAnsi="宋体"/>
        </w:rPr>
      </w:pPr>
    </w:p>
    <w:p>
      <w:pPr>
        <w:spacing w:line="360" w:lineRule="auto"/>
        <w:ind w:left="324" w:leftChars="135" w:firstLine="470" w:firstLineChars="196"/>
        <w:rPr>
          <w:rFonts w:ascii="宋体" w:hAnsi="宋体"/>
        </w:rPr>
      </w:pPr>
    </w:p>
    <w:p>
      <w:pPr>
        <w:spacing w:line="360" w:lineRule="auto"/>
        <w:ind w:left="324" w:leftChars="135" w:firstLine="470" w:firstLineChars="196"/>
        <w:rPr>
          <w:rFonts w:ascii="宋体" w:hAnsi="宋体"/>
        </w:rPr>
      </w:pPr>
    </w:p>
    <w:p>
      <w:pPr>
        <w:pStyle w:val="2"/>
      </w:pPr>
    </w:p>
    <w:p>
      <w:pPr>
        <w:pStyle w:val="5"/>
        <w:numPr>
          <w:ilvl w:val="2"/>
          <w:numId w:val="14"/>
        </w:numPr>
        <w:tabs>
          <w:tab w:val="left" w:pos="709"/>
        </w:tabs>
        <w:spacing w:after="200"/>
        <w:ind w:left="709" w:hanging="709"/>
        <w:rPr>
          <w:color w:val="auto"/>
        </w:rPr>
      </w:pPr>
      <w:r>
        <w:rPr>
          <w:rFonts w:hint="eastAsia"/>
          <w:color w:val="auto"/>
        </w:rPr>
        <w:t>法定代表人身份证明书</w:t>
      </w:r>
    </w:p>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w:t>
      </w:r>
      <w:r>
        <w:rPr>
          <w:rFonts w:hint="eastAsia" w:ascii="宋体" w:hAnsi="宋体"/>
          <w:sz w:val="28"/>
          <w:szCs w:val="28"/>
          <w:u w:val="single"/>
        </w:rPr>
        <w:t>法定代表人</w:t>
      </w:r>
      <w:r>
        <w:rPr>
          <w:rFonts w:hint="eastAsia" w:ascii="宋体" w:hAnsi="宋体"/>
          <w:sz w:val="28"/>
          <w:szCs w:val="28"/>
          <w:u w:val="single"/>
          <w:lang w:val="zh-CN"/>
        </w:rPr>
        <w:t xml:space="preserve">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w:t>
      </w:r>
      <w:r>
        <w:rPr>
          <w:rFonts w:hint="eastAsia" w:ascii="宋体" w:hAnsi="宋体"/>
          <w:sz w:val="28"/>
          <w:szCs w:val="28"/>
        </w:rPr>
        <w:t>法定代表人</w:t>
      </w:r>
      <w:r>
        <w:rPr>
          <w:rFonts w:hint="eastAsia" w:ascii="宋体" w:hAnsi="宋体"/>
          <w:sz w:val="28"/>
          <w:szCs w:val="28"/>
          <w:lang w:val="zh-CN"/>
        </w:rPr>
        <w:t>。</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r>
        <w:rPr>
          <w:rFonts w:hint="eastAsia" w:ascii="宋体" w:hAnsi="宋体"/>
          <w:sz w:val="28"/>
          <w:szCs w:val="28"/>
          <w:lang w:val="zh-CN"/>
        </w:rPr>
        <w:t>（加盖公章）</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ind w:firstLine="568" w:firstLineChars="202"/>
        <w:rPr>
          <w:rFonts w:ascii="宋体" w:hAnsi="宋体"/>
          <w:b/>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说明：上述证明文件在资格性响应文件中附有法定代表人身份证复印件（身份证两面均应复印）或护照复印件（供应商的法定代表人为外籍人士的，则提供护照复印件）时才能生效。</w:t>
      </w:r>
    </w:p>
    <w:p>
      <w:pPr>
        <w:spacing w:line="360" w:lineRule="auto"/>
        <w:ind w:firstLine="568" w:firstLineChars="202"/>
        <w:rPr>
          <w:rFonts w:ascii="宋体" w:hAnsi="宋体"/>
          <w:b/>
          <w:sz w:val="28"/>
          <w:szCs w:val="28"/>
          <w:lang w:val="zh-CN"/>
        </w:rPr>
      </w:pPr>
    </w:p>
    <w:p>
      <w:pPr>
        <w:spacing w:line="360" w:lineRule="auto"/>
        <w:ind w:firstLine="568" w:firstLineChars="202"/>
        <w:rPr>
          <w:rFonts w:ascii="宋体" w:hAnsi="宋体"/>
          <w:b/>
          <w:sz w:val="28"/>
          <w:szCs w:val="28"/>
          <w:lang w:val="zh-CN"/>
        </w:rPr>
      </w:pPr>
    </w:p>
    <w:p>
      <w:pPr>
        <w:spacing w:line="360" w:lineRule="auto"/>
        <w:ind w:firstLine="568" w:firstLineChars="202"/>
        <w:rPr>
          <w:rFonts w:ascii="宋体" w:hAnsi="宋体"/>
          <w:b/>
          <w:sz w:val="28"/>
          <w:szCs w:val="28"/>
          <w:lang w:val="zh-CN"/>
        </w:rPr>
      </w:pPr>
    </w:p>
    <w:p>
      <w:pPr>
        <w:spacing w:line="360" w:lineRule="auto"/>
        <w:ind w:firstLine="568" w:firstLineChars="202"/>
        <w:rPr>
          <w:rFonts w:ascii="宋体" w:hAnsi="宋体"/>
          <w:b/>
          <w:sz w:val="28"/>
          <w:szCs w:val="28"/>
          <w:lang w:val="zh-CN"/>
        </w:rPr>
      </w:pPr>
    </w:p>
    <w:p>
      <w:pPr>
        <w:spacing w:line="360" w:lineRule="auto"/>
        <w:ind w:firstLine="568" w:firstLineChars="202"/>
        <w:rPr>
          <w:rFonts w:ascii="宋体" w:hAnsi="宋体"/>
          <w:b/>
          <w:sz w:val="28"/>
          <w:szCs w:val="28"/>
          <w:lang w:val="zh-CN"/>
        </w:rPr>
      </w:pPr>
    </w:p>
    <w:p>
      <w:pPr>
        <w:spacing w:line="360" w:lineRule="auto"/>
        <w:ind w:firstLine="568" w:firstLineChars="202"/>
        <w:rPr>
          <w:rFonts w:ascii="宋体" w:hAnsi="宋体"/>
          <w:b/>
          <w:sz w:val="28"/>
          <w:szCs w:val="28"/>
          <w:lang w:val="zh-CN"/>
        </w:rPr>
      </w:pPr>
    </w:p>
    <w:p>
      <w:pPr>
        <w:pStyle w:val="5"/>
        <w:numPr>
          <w:ilvl w:val="2"/>
          <w:numId w:val="14"/>
        </w:numPr>
        <w:tabs>
          <w:tab w:val="left" w:pos="709"/>
        </w:tabs>
        <w:spacing w:after="200"/>
        <w:ind w:left="709" w:hanging="709"/>
        <w:rPr>
          <w:color w:val="auto"/>
        </w:rPr>
      </w:pPr>
      <w:r>
        <w:rPr>
          <w:rFonts w:hint="eastAsia"/>
          <w:color w:val="auto"/>
        </w:rPr>
        <w:t>法定代表人授权委托书</w:t>
      </w:r>
    </w:p>
    <w:p>
      <w:pPr>
        <w:spacing w:line="360" w:lineRule="auto"/>
        <w:rPr>
          <w:rFonts w:ascii="宋体" w:hAnsi="宋体"/>
          <w:sz w:val="28"/>
          <w:szCs w:val="28"/>
        </w:rPr>
      </w:pPr>
      <w:r>
        <w:rPr>
          <w:rFonts w:hint="eastAsia" w:ascii="宋体" w:hAnsi="宋体"/>
          <w:sz w:val="28"/>
          <w:szCs w:val="28"/>
        </w:rPr>
        <w:t>成都东部新区党工委管委会（成都市东部新城办）综合部：</w:t>
      </w:r>
    </w:p>
    <w:p>
      <w:pPr>
        <w:spacing w:line="560" w:lineRule="exact"/>
        <w:ind w:left="1" w:firstLine="565" w:firstLineChars="202"/>
        <w:rPr>
          <w:rFonts w:ascii="宋体" w:hAnsi="宋体"/>
          <w:sz w:val="28"/>
          <w:szCs w:val="28"/>
        </w:rPr>
      </w:pPr>
      <w:r>
        <w:rPr>
          <w:rFonts w:hint="eastAsia" w:ascii="宋体" w:hAnsi="宋体"/>
          <w:sz w:val="28"/>
          <w:szCs w:val="28"/>
          <w:u w:val="single"/>
        </w:rPr>
        <w:t xml:space="preserve">（供应商名称）  </w:t>
      </w:r>
      <w:r>
        <w:rPr>
          <w:rFonts w:hint="eastAsia" w:ascii="宋体" w:hAnsi="宋体"/>
          <w:sz w:val="28"/>
        </w:rPr>
        <w:t>法定代表人</w:t>
      </w:r>
      <w:r>
        <w:rPr>
          <w:rFonts w:hint="eastAsia" w:ascii="宋体" w:hAnsi="宋体"/>
          <w:sz w:val="28"/>
          <w:szCs w:val="28"/>
          <w:u w:val="single"/>
        </w:rPr>
        <w:t>（法定代表人姓名）</w:t>
      </w:r>
      <w:r>
        <w:rPr>
          <w:rFonts w:hint="eastAsia" w:ascii="宋体" w:hAnsi="宋体"/>
          <w:sz w:val="28"/>
          <w:szCs w:val="28"/>
        </w:rPr>
        <w:t xml:space="preserve">授权委托 </w:t>
      </w:r>
      <w:r>
        <w:rPr>
          <w:rFonts w:hint="eastAsia" w:ascii="宋体" w:hAnsi="宋体"/>
          <w:sz w:val="28"/>
          <w:szCs w:val="28"/>
          <w:u w:val="single"/>
        </w:rPr>
        <w:t>（代理人姓名）</w:t>
      </w:r>
      <w:r>
        <w:rPr>
          <w:rFonts w:hint="eastAsia" w:ascii="宋体" w:hAnsi="宋体"/>
          <w:sz w:val="28"/>
          <w:szCs w:val="28"/>
        </w:rPr>
        <w:t>为我的代理人，参加贵单位组织的</w:t>
      </w:r>
      <w:r>
        <w:rPr>
          <w:rFonts w:hint="eastAsia" w:ascii="宋体" w:hAnsi="宋体"/>
          <w:b/>
          <w:sz w:val="28"/>
          <w:szCs w:val="28"/>
          <w:u w:val="single"/>
        </w:rPr>
        <w:t>成都东部新区福田街道办事处安置小区物业管理采购项目</w:t>
      </w:r>
      <w:r>
        <w:rPr>
          <w:rFonts w:hint="eastAsia" w:ascii="宋体" w:hAnsi="宋体" w:cs="宋体"/>
          <w:b/>
          <w:sz w:val="28"/>
          <w:szCs w:val="28"/>
        </w:rPr>
        <w:t>（</w:t>
      </w:r>
      <w:r>
        <w:rPr>
          <w:rFonts w:hint="eastAsia" w:ascii="宋体" w:hAnsi="宋体" w:cs="宋体"/>
          <w:b/>
          <w:sz w:val="28"/>
          <w:szCs w:val="28"/>
          <w:u w:val="single"/>
        </w:rPr>
        <w:t>项目编号：</w:t>
      </w:r>
      <w:r>
        <w:rPr>
          <w:rFonts w:hint="eastAsia" w:ascii="宋体" w:hAnsi="宋体"/>
          <w:b/>
          <w:sz w:val="28"/>
          <w:szCs w:val="28"/>
          <w:u w:val="single"/>
        </w:rPr>
        <w:t>东部新政采（2021）A0005号</w:t>
      </w:r>
      <w:r>
        <w:rPr>
          <w:rFonts w:hint="eastAsia" w:ascii="宋体" w:hAnsi="宋体"/>
          <w:b/>
          <w:sz w:val="28"/>
          <w:szCs w:val="28"/>
        </w:rPr>
        <w:t>）</w:t>
      </w:r>
      <w:r>
        <w:rPr>
          <w:rFonts w:hint="eastAsia" w:ascii="宋体" w:hAnsi="宋体"/>
          <w:sz w:val="28"/>
          <w:szCs w:val="28"/>
        </w:rPr>
        <w:t>的竞争性磋商。代理人在本次竞争性磋商中所签署的一切文件和处理的一切有关事宜，我单位均予承认，所产生的法律后果均由我单位承担。</w:t>
      </w:r>
    </w:p>
    <w:p>
      <w:pPr>
        <w:spacing w:line="560" w:lineRule="exact"/>
        <w:ind w:firstLine="570"/>
        <w:rPr>
          <w:rFonts w:ascii="宋体" w:hAnsi="宋体"/>
          <w:b/>
          <w:sz w:val="28"/>
          <w:szCs w:val="28"/>
        </w:rPr>
      </w:pPr>
      <w:r>
        <w:rPr>
          <w:rFonts w:hint="eastAsia" w:ascii="宋体" w:hAnsi="宋体"/>
          <w:sz w:val="28"/>
          <w:szCs w:val="28"/>
        </w:rPr>
        <w:t>代理人无转委托权，本授权书</w:t>
      </w:r>
      <w:r>
        <w:rPr>
          <w:rFonts w:hint="eastAsia" w:ascii="宋体" w:hAnsi="宋体"/>
          <w:b/>
          <w:sz w:val="28"/>
          <w:szCs w:val="28"/>
        </w:rPr>
        <w:t>自XX年XX月XX日</w:t>
      </w:r>
      <w:r>
        <w:rPr>
          <w:rFonts w:hint="eastAsia" w:ascii="宋体" w:hAnsi="宋体"/>
          <w:sz w:val="28"/>
          <w:szCs w:val="28"/>
        </w:rPr>
        <w:t>签字生效，特此声明。</w:t>
      </w:r>
    </w:p>
    <w:p>
      <w:pPr>
        <w:spacing w:line="560" w:lineRule="exact"/>
        <w:ind w:firstLine="570"/>
        <w:rPr>
          <w:rFonts w:ascii="宋体" w:hAnsi="宋体"/>
          <w:sz w:val="28"/>
        </w:rPr>
      </w:pPr>
    </w:p>
    <w:p>
      <w:pPr>
        <w:spacing w:line="560" w:lineRule="exact"/>
        <w:ind w:firstLine="570"/>
        <w:rPr>
          <w:rFonts w:ascii="宋体" w:hAnsi="宋体"/>
          <w:sz w:val="28"/>
          <w:szCs w:val="28"/>
        </w:rPr>
      </w:pPr>
      <w:r>
        <w:rPr>
          <w:rFonts w:hint="eastAsia" w:ascii="宋体" w:hAnsi="宋体"/>
          <w:sz w:val="28"/>
        </w:rPr>
        <w:t>法定代表人</w:t>
      </w:r>
      <w:r>
        <w:rPr>
          <w:rFonts w:hint="eastAsia" w:ascii="宋体" w:hAnsi="宋体"/>
          <w:sz w:val="28"/>
          <w:szCs w:val="28"/>
        </w:rPr>
        <w:t>：</w:t>
      </w:r>
      <w:r>
        <w:rPr>
          <w:rFonts w:hint="eastAsia" w:ascii="宋体" w:hAnsi="宋体"/>
          <w:sz w:val="28"/>
          <w:szCs w:val="28"/>
          <w:u w:val="single"/>
        </w:rPr>
        <w:t xml:space="preserve"> XXXX   </w:t>
      </w:r>
      <w:r>
        <w:rPr>
          <w:rFonts w:hint="eastAsia" w:ascii="宋体" w:hAnsi="宋体"/>
          <w:sz w:val="28"/>
          <w:szCs w:val="28"/>
        </w:rPr>
        <w:t xml:space="preserve"> （签字或盖法定代表人印章）</w:t>
      </w:r>
    </w:p>
    <w:p>
      <w:pPr>
        <w:spacing w:line="560" w:lineRule="exact"/>
        <w:ind w:firstLine="570"/>
        <w:rPr>
          <w:rFonts w:ascii="宋体" w:hAnsi="宋体"/>
          <w:sz w:val="28"/>
          <w:szCs w:val="28"/>
        </w:rPr>
      </w:pPr>
      <w:r>
        <w:rPr>
          <w:rFonts w:hint="eastAsia" w:ascii="宋体" w:hAnsi="宋体"/>
          <w:sz w:val="28"/>
          <w:szCs w:val="28"/>
        </w:rPr>
        <w:t>代理人：</w:t>
      </w:r>
      <w:r>
        <w:rPr>
          <w:rFonts w:hint="eastAsia" w:ascii="宋体" w:hAnsi="宋体"/>
          <w:sz w:val="28"/>
          <w:szCs w:val="28"/>
          <w:u w:val="single"/>
        </w:rPr>
        <w:t>XXXX</w:t>
      </w:r>
      <w:r>
        <w:rPr>
          <w:rFonts w:hint="eastAsia" w:ascii="宋体" w:hAnsi="宋体"/>
          <w:sz w:val="28"/>
          <w:szCs w:val="28"/>
        </w:rPr>
        <w:t>（签字）</w:t>
      </w:r>
    </w:p>
    <w:p>
      <w:pPr>
        <w:spacing w:line="560" w:lineRule="exact"/>
        <w:ind w:firstLine="560" w:firstLineChars="200"/>
        <w:rPr>
          <w:rFonts w:ascii="宋体" w:hAnsi="宋体"/>
          <w:sz w:val="28"/>
          <w:szCs w:val="28"/>
        </w:rPr>
      </w:pPr>
      <w:r>
        <w:rPr>
          <w:rFonts w:hint="eastAsia" w:ascii="宋体" w:hAnsi="宋体"/>
          <w:sz w:val="28"/>
          <w:szCs w:val="28"/>
        </w:rPr>
        <w:t>供应商名称：</w:t>
      </w:r>
      <w:r>
        <w:rPr>
          <w:rFonts w:hint="eastAsia" w:ascii="宋体" w:hAnsi="宋体"/>
          <w:sz w:val="28"/>
          <w:szCs w:val="28"/>
          <w:u w:val="single"/>
        </w:rPr>
        <w:t>XXXX</w:t>
      </w:r>
      <w:r>
        <w:rPr>
          <w:rFonts w:hint="eastAsia" w:ascii="宋体" w:hAnsi="宋体"/>
          <w:sz w:val="28"/>
          <w:szCs w:val="28"/>
        </w:rPr>
        <w:t>（加盖公章）</w:t>
      </w:r>
    </w:p>
    <w:p>
      <w:pPr>
        <w:spacing w:line="560" w:lineRule="exact"/>
        <w:ind w:firstLine="424" w:firstLineChars="151"/>
        <w:rPr>
          <w:rFonts w:ascii="宋体" w:hAnsi="宋体"/>
          <w:b/>
          <w:sz w:val="28"/>
          <w:szCs w:val="28"/>
        </w:rPr>
      </w:pPr>
      <w:r>
        <w:rPr>
          <w:rFonts w:hint="eastAsia" w:ascii="宋体" w:hAnsi="宋体"/>
          <w:b/>
          <w:sz w:val="28"/>
          <w:szCs w:val="28"/>
        </w:rPr>
        <w:t>说明：</w:t>
      </w:r>
    </w:p>
    <w:p>
      <w:pPr>
        <w:numPr>
          <w:ilvl w:val="0"/>
          <w:numId w:val="33"/>
        </w:numPr>
        <w:tabs>
          <w:tab w:val="left" w:pos="1134"/>
        </w:tabs>
        <w:spacing w:after="200" w:line="560" w:lineRule="exact"/>
        <w:ind w:left="0" w:firstLine="567"/>
        <w:rPr>
          <w:rFonts w:ascii="宋体" w:hAnsi="宋体"/>
          <w:b/>
          <w:sz w:val="28"/>
          <w:szCs w:val="28"/>
        </w:rPr>
      </w:pPr>
      <w:r>
        <w:rPr>
          <w:rFonts w:hint="eastAsia" w:ascii="宋体" w:hAnsi="宋体"/>
          <w:b/>
          <w:sz w:val="28"/>
          <w:szCs w:val="28"/>
          <w:lang w:val="zh-CN"/>
        </w:rPr>
        <w:t>上述证明文件在资格性响应文件中附有</w:t>
      </w:r>
      <w:r>
        <w:rPr>
          <w:rFonts w:hint="eastAsia" w:ascii="宋体" w:hAnsi="宋体"/>
          <w:b/>
          <w:sz w:val="28"/>
          <w:szCs w:val="28"/>
        </w:rPr>
        <w:t>代理人身份证复印件</w:t>
      </w:r>
      <w:r>
        <w:rPr>
          <w:rFonts w:hint="eastAsia" w:ascii="宋体" w:hAnsi="宋体"/>
          <w:b/>
          <w:sz w:val="28"/>
          <w:lang w:val="zh-CN"/>
        </w:rPr>
        <w:t>（身份证两面均应复印）</w:t>
      </w:r>
      <w:r>
        <w:rPr>
          <w:rFonts w:hint="eastAsia" w:ascii="宋体" w:hAnsi="宋体"/>
          <w:b/>
          <w:sz w:val="28"/>
          <w:szCs w:val="28"/>
        </w:rPr>
        <w:t>时才能生效；</w:t>
      </w:r>
    </w:p>
    <w:p>
      <w:pPr>
        <w:numPr>
          <w:ilvl w:val="0"/>
          <w:numId w:val="33"/>
        </w:numPr>
        <w:spacing w:after="200" w:line="560" w:lineRule="exact"/>
        <w:ind w:left="0" w:firstLine="567"/>
        <w:rPr>
          <w:rFonts w:ascii="宋体" w:hAnsi="宋体"/>
          <w:b/>
          <w:sz w:val="28"/>
          <w:szCs w:val="28"/>
          <w:lang w:val="zh-CN"/>
        </w:rPr>
      </w:pPr>
      <w:r>
        <w:rPr>
          <w:rFonts w:hint="eastAsia" w:ascii="宋体" w:hAnsi="宋体"/>
          <w:b/>
          <w:sz w:val="28"/>
          <w:szCs w:val="28"/>
          <w:lang w:val="zh-CN"/>
        </w:rPr>
        <w:t>供应商法定代表人或其代理人应参加磋商，必须带身份证；</w:t>
      </w:r>
    </w:p>
    <w:p>
      <w:pPr>
        <w:numPr>
          <w:ilvl w:val="0"/>
          <w:numId w:val="33"/>
        </w:numPr>
        <w:spacing w:after="200" w:line="560" w:lineRule="exact"/>
        <w:ind w:left="0" w:firstLine="567"/>
        <w:rPr>
          <w:rFonts w:ascii="宋体" w:hAnsi="宋体"/>
          <w:b/>
          <w:sz w:val="28"/>
          <w:szCs w:val="28"/>
          <w:lang w:val="zh-CN"/>
        </w:rPr>
      </w:pPr>
      <w:r>
        <w:rPr>
          <w:rFonts w:hint="eastAsia" w:ascii="宋体" w:hAnsi="宋体"/>
          <w:b/>
          <w:sz w:val="28"/>
          <w:szCs w:val="28"/>
          <w:lang w:val="zh-CN"/>
        </w:rPr>
        <w:t>供应商的响应文件均由供应商法定代表人签字的，可不提供该附件的内容。</w:t>
      </w:r>
    </w:p>
    <w:p>
      <w:pPr>
        <w:pStyle w:val="2"/>
        <w:rPr>
          <w:rFonts w:ascii="宋体" w:hAnsi="宋体"/>
          <w:b/>
          <w:sz w:val="28"/>
          <w:szCs w:val="28"/>
          <w:lang w:val="zh-CN"/>
        </w:rPr>
      </w:pPr>
    </w:p>
    <w:p>
      <w:pPr>
        <w:rPr>
          <w:lang w:val="zh-CN"/>
        </w:rPr>
      </w:pPr>
    </w:p>
    <w:p>
      <w:pPr>
        <w:pStyle w:val="2"/>
        <w:rPr>
          <w:lang w:val="zh-CN"/>
        </w:rPr>
      </w:pPr>
    </w:p>
    <w:p>
      <w:pPr>
        <w:pStyle w:val="5"/>
        <w:numPr>
          <w:ilvl w:val="2"/>
          <w:numId w:val="14"/>
        </w:numPr>
        <w:tabs>
          <w:tab w:val="left" w:pos="709"/>
        </w:tabs>
        <w:spacing w:after="200"/>
        <w:ind w:left="709" w:hanging="709"/>
        <w:rPr>
          <w:color w:val="auto"/>
        </w:rPr>
      </w:pPr>
      <w:r>
        <w:rPr>
          <w:rFonts w:hint="eastAsia"/>
          <w:color w:val="auto"/>
        </w:rPr>
        <w:t>供应商基本情况表</w:t>
      </w:r>
    </w:p>
    <w:tbl>
      <w:tblPr>
        <w:tblStyle w:val="45"/>
        <w:tblW w:w="852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0"/>
        <w:gridCol w:w="992"/>
        <w:gridCol w:w="935"/>
        <w:gridCol w:w="1248"/>
        <w:gridCol w:w="8"/>
        <w:gridCol w:w="1318"/>
        <w:gridCol w:w="489"/>
        <w:gridCol w:w="683"/>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780"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供应商名称</w:t>
            </w:r>
          </w:p>
        </w:tc>
        <w:tc>
          <w:tcPr>
            <w:tcW w:w="6740"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7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注册地址</w:t>
            </w:r>
          </w:p>
        </w:tc>
        <w:tc>
          <w:tcPr>
            <w:tcW w:w="3183"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780"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联系方式</w:t>
            </w:r>
          </w:p>
        </w:tc>
        <w:tc>
          <w:tcPr>
            <w:tcW w:w="99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联系人</w:t>
            </w:r>
          </w:p>
        </w:tc>
        <w:tc>
          <w:tcPr>
            <w:tcW w:w="218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780" w:type="dxa"/>
            <w:vMerge w:val="continue"/>
            <w:tcBorders>
              <w:top w:val="single" w:color="auto" w:sz="6" w:space="0"/>
              <w:left w:val="double" w:color="auto" w:sz="4" w:space="0"/>
              <w:bottom w:val="single" w:color="auto" w:sz="6" w:space="0"/>
              <w:right w:val="single" w:color="auto" w:sz="6" w:space="0"/>
            </w:tcBorders>
            <w:vAlign w:val="center"/>
          </w:tcPr>
          <w:p>
            <w:pPr>
              <w:rPr>
                <w:rFonts w:ascii="宋体" w:hAnsi="宋体"/>
                <w:szCs w:val="21"/>
              </w:rPr>
            </w:pPr>
          </w:p>
        </w:tc>
        <w:tc>
          <w:tcPr>
            <w:tcW w:w="99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传真</w:t>
            </w:r>
          </w:p>
        </w:tc>
        <w:tc>
          <w:tcPr>
            <w:tcW w:w="218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7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单位性质</w:t>
            </w:r>
          </w:p>
        </w:tc>
        <w:tc>
          <w:tcPr>
            <w:tcW w:w="6740"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7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rPr>
              <w:t>法定代表人</w:t>
            </w:r>
          </w:p>
        </w:tc>
        <w:tc>
          <w:tcPr>
            <w:tcW w:w="99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93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 w:hRule="atLeast"/>
          <w:jc w:val="center"/>
        </w:trPr>
        <w:tc>
          <w:tcPr>
            <w:tcW w:w="1780"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技术负责人</w:t>
            </w:r>
          </w:p>
        </w:tc>
        <w:tc>
          <w:tcPr>
            <w:tcW w:w="992"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93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780"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财务负责人</w:t>
            </w:r>
          </w:p>
        </w:tc>
        <w:tc>
          <w:tcPr>
            <w:tcW w:w="992"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93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7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成立时间</w:t>
            </w:r>
          </w:p>
        </w:tc>
        <w:tc>
          <w:tcPr>
            <w:tcW w:w="1927"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szCs w:val="21"/>
              </w:rPr>
            </w:pPr>
            <w:r>
              <w:rPr>
                <w:rFonts w:hint="eastAsia" w:ascii="宋体" w:hAnsi="宋体"/>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7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企业资质等级</w:t>
            </w:r>
          </w:p>
        </w:tc>
        <w:tc>
          <w:tcPr>
            <w:tcW w:w="1927"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其中</w:t>
            </w:r>
          </w:p>
        </w:tc>
        <w:tc>
          <w:tcPr>
            <w:tcW w:w="1815"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项目经理</w:t>
            </w:r>
          </w:p>
        </w:tc>
        <w:tc>
          <w:tcPr>
            <w:tcW w:w="1750"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7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营业执照号</w:t>
            </w:r>
          </w:p>
        </w:tc>
        <w:tc>
          <w:tcPr>
            <w:tcW w:w="1927"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815"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高级职称人员</w:t>
            </w:r>
          </w:p>
        </w:tc>
        <w:tc>
          <w:tcPr>
            <w:tcW w:w="1750"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7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注册资金</w:t>
            </w:r>
          </w:p>
        </w:tc>
        <w:tc>
          <w:tcPr>
            <w:tcW w:w="1927"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815"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中级职称人员</w:t>
            </w:r>
          </w:p>
        </w:tc>
        <w:tc>
          <w:tcPr>
            <w:tcW w:w="1750"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7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开户银行</w:t>
            </w:r>
          </w:p>
        </w:tc>
        <w:tc>
          <w:tcPr>
            <w:tcW w:w="1927"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815"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初级职称人员</w:t>
            </w:r>
          </w:p>
        </w:tc>
        <w:tc>
          <w:tcPr>
            <w:tcW w:w="1750"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7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账号</w:t>
            </w:r>
          </w:p>
        </w:tc>
        <w:tc>
          <w:tcPr>
            <w:tcW w:w="1927"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815"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技工</w:t>
            </w:r>
          </w:p>
        </w:tc>
        <w:tc>
          <w:tcPr>
            <w:tcW w:w="1750"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486" w:hRule="atLeast"/>
          <w:jc w:val="center"/>
        </w:trPr>
        <w:tc>
          <w:tcPr>
            <w:tcW w:w="17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经营范围</w:t>
            </w:r>
          </w:p>
        </w:tc>
        <w:tc>
          <w:tcPr>
            <w:tcW w:w="6740"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1780"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szCs w:val="21"/>
              </w:rPr>
            </w:pPr>
            <w:r>
              <w:rPr>
                <w:rFonts w:hint="eastAsia" w:ascii="宋体" w:hAnsi="宋体"/>
                <w:szCs w:val="21"/>
              </w:rPr>
              <w:t>备注</w:t>
            </w:r>
          </w:p>
        </w:tc>
        <w:tc>
          <w:tcPr>
            <w:tcW w:w="6740"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szCs w:val="21"/>
              </w:rPr>
            </w:pPr>
          </w:p>
        </w:tc>
      </w:tr>
    </w:tbl>
    <w:p>
      <w:pPr>
        <w:pStyle w:val="27"/>
        <w:spacing w:line="360" w:lineRule="auto"/>
        <w:ind w:firstLine="288" w:firstLineChars="103"/>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 xml:space="preserve"> XXXXXX</w:t>
      </w:r>
      <w:r>
        <w:rPr>
          <w:rFonts w:hint="eastAsia" w:ascii="宋体" w:hAnsi="宋体"/>
          <w:bCs/>
          <w:sz w:val="28"/>
          <w:szCs w:val="28"/>
        </w:rPr>
        <w:t>（加盖公章）</w:t>
      </w:r>
    </w:p>
    <w:p>
      <w:pPr>
        <w:pStyle w:val="27"/>
        <w:spacing w:line="360" w:lineRule="auto"/>
        <w:ind w:firstLine="288" w:firstLineChars="103"/>
        <w:rPr>
          <w:rFonts w:ascii="宋体" w:hAnsi="宋体"/>
          <w:bCs/>
          <w:sz w:val="28"/>
          <w:szCs w:val="28"/>
        </w:rPr>
      </w:pPr>
      <w:r>
        <w:rPr>
          <w:rFonts w:hint="eastAsia" w:ascii="宋体" w:hAnsi="宋体"/>
          <w:sz w:val="28"/>
        </w:rPr>
        <w:t>日期：</w:t>
      </w:r>
      <w:r>
        <w:rPr>
          <w:rFonts w:hint="eastAsia" w:ascii="宋体" w:hAnsi="宋体"/>
          <w:bCs/>
          <w:sz w:val="28"/>
          <w:u w:val="single"/>
        </w:rPr>
        <w:t>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pacing w:line="360" w:lineRule="auto"/>
        <w:ind w:left="324" w:leftChars="135" w:firstLine="470" w:firstLineChars="196"/>
      </w:pPr>
    </w:p>
    <w:p>
      <w:pPr>
        <w:spacing w:line="360" w:lineRule="auto"/>
        <w:ind w:left="324" w:leftChars="135" w:firstLine="470" w:firstLineChars="196"/>
      </w:pPr>
    </w:p>
    <w:p>
      <w:pPr>
        <w:spacing w:line="360" w:lineRule="auto"/>
        <w:ind w:left="324" w:leftChars="135" w:firstLine="470" w:firstLineChars="196"/>
      </w:pPr>
    </w:p>
    <w:p>
      <w:pPr>
        <w:spacing w:line="360" w:lineRule="auto"/>
        <w:ind w:left="324" w:leftChars="135" w:firstLine="470" w:firstLineChars="196"/>
      </w:pPr>
    </w:p>
    <w:p>
      <w:pPr>
        <w:pStyle w:val="5"/>
        <w:numPr>
          <w:ilvl w:val="2"/>
          <w:numId w:val="14"/>
        </w:numPr>
        <w:tabs>
          <w:tab w:val="left" w:pos="709"/>
        </w:tabs>
        <w:spacing w:after="200"/>
        <w:ind w:left="1135" w:hanging="1135"/>
        <w:rPr>
          <w:color w:val="auto"/>
        </w:rPr>
      </w:pPr>
      <w:r>
        <w:rPr>
          <w:rFonts w:hint="eastAsia"/>
          <w:color w:val="auto"/>
        </w:rPr>
        <w:t>中小企业声明函</w:t>
      </w:r>
    </w:p>
    <w:p>
      <w:pPr>
        <w:shd w:val="clear" w:color="auto" w:fill="FFFFFF"/>
        <w:jc w:val="center"/>
        <w:rPr>
          <w:rFonts w:cs="Calibri"/>
          <w:szCs w:val="21"/>
        </w:rPr>
      </w:pPr>
      <w:r>
        <w:rPr>
          <w:rFonts w:hint="eastAsia" w:cs="Calibri"/>
          <w:b/>
          <w:bCs/>
          <w:sz w:val="28"/>
        </w:rPr>
        <w:t>中小企业声明函</w:t>
      </w:r>
    </w:p>
    <w:p>
      <w:pPr>
        <w:pStyle w:val="82"/>
        <w:ind w:firstLine="560" w:firstLineChars="200"/>
        <w:rPr>
          <w:sz w:val="28"/>
        </w:rPr>
      </w:pPr>
      <w:r>
        <w:rPr>
          <w:rFonts w:hint="eastAsia"/>
          <w:sz w:val="28"/>
        </w:rPr>
        <w:t>本公司郑重声明，根据《政府采购促进中小企业发展管理办法》（财库〔2020〕46号）的规定，本公司参加</w:t>
      </w:r>
      <w:r>
        <w:rPr>
          <w:rFonts w:hint="eastAsia"/>
          <w:sz w:val="28"/>
          <w:u w:val="single"/>
        </w:rPr>
        <w:t>成都东部新区福田街道办事处安置小区物业管理采购项目（项目编号：东部新政采（2021）A0005号）</w:t>
      </w:r>
      <w:r>
        <w:rPr>
          <w:rFonts w:hint="eastAsia"/>
          <w:sz w:val="28"/>
        </w:rPr>
        <w:t>采购活动，服务全部由符合政策要求的中小企业承接。相关企业的具体情况如下。</w:t>
      </w:r>
    </w:p>
    <w:p>
      <w:pPr>
        <w:pStyle w:val="82"/>
        <w:ind w:firstLine="560" w:firstLineChars="200"/>
        <w:rPr>
          <w:sz w:val="28"/>
        </w:rPr>
      </w:pPr>
      <w:r>
        <w:rPr>
          <w:rFonts w:hint="eastAsia"/>
          <w:sz w:val="28"/>
          <w:u w:val="single"/>
        </w:rPr>
        <w:t xml:space="preserve">   物业管理  </w:t>
      </w:r>
      <w:r>
        <w:rPr>
          <w:rFonts w:hint="eastAsia"/>
          <w:sz w:val="28"/>
        </w:rPr>
        <w:t>（标的名称），属于</w:t>
      </w:r>
      <w:r>
        <w:rPr>
          <w:rFonts w:hint="eastAsia"/>
          <w:sz w:val="28"/>
          <w:u w:val="single"/>
          <w:lang w:eastAsia="zh-CN"/>
        </w:rPr>
        <w:t>物业管理</w:t>
      </w:r>
      <w:r>
        <w:rPr>
          <w:rFonts w:hint="eastAsia"/>
          <w:sz w:val="28"/>
        </w:rPr>
        <w:t>（采购文件中明确的所属行业）；承接企业为</w:t>
      </w:r>
      <w:r>
        <w:rPr>
          <w:rFonts w:hint="eastAsia"/>
          <w:sz w:val="28"/>
          <w:u w:val="single"/>
        </w:rPr>
        <w:t>XXX</w:t>
      </w:r>
      <w:r>
        <w:rPr>
          <w:rFonts w:hint="eastAsia"/>
          <w:sz w:val="28"/>
        </w:rPr>
        <w:t>（企业名称），从业人员</w:t>
      </w:r>
      <w:r>
        <w:rPr>
          <w:rFonts w:hint="eastAsia"/>
          <w:sz w:val="28"/>
          <w:u w:val="single"/>
        </w:rPr>
        <w:t xml:space="preserve"> XX </w:t>
      </w:r>
      <w:r>
        <w:rPr>
          <w:rFonts w:hint="eastAsia"/>
          <w:sz w:val="28"/>
        </w:rPr>
        <w:t>人，营业收入为</w:t>
      </w:r>
      <w:r>
        <w:rPr>
          <w:rFonts w:hint="eastAsia"/>
          <w:sz w:val="28"/>
          <w:u w:val="single"/>
        </w:rPr>
        <w:t xml:space="preserve"> XX </w:t>
      </w:r>
      <w:r>
        <w:rPr>
          <w:rFonts w:hint="eastAsia"/>
          <w:sz w:val="28"/>
        </w:rPr>
        <w:t>万元，资产总额为</w:t>
      </w:r>
      <w:r>
        <w:rPr>
          <w:rFonts w:hint="eastAsia"/>
          <w:sz w:val="28"/>
          <w:u w:val="single"/>
        </w:rPr>
        <w:t xml:space="preserve"> XX </w:t>
      </w:r>
      <w:r>
        <w:rPr>
          <w:rFonts w:hint="eastAsia"/>
          <w:sz w:val="28"/>
        </w:rPr>
        <w:t>万元，属于</w:t>
      </w:r>
      <w:r>
        <w:rPr>
          <w:rFonts w:hint="eastAsia"/>
          <w:sz w:val="28"/>
          <w:u w:val="single"/>
        </w:rPr>
        <w:t>XXXX</w:t>
      </w:r>
      <w:r>
        <w:rPr>
          <w:rFonts w:hint="eastAsia"/>
          <w:sz w:val="28"/>
        </w:rPr>
        <w:t>（中型企业、小型企业、微型企业）。</w:t>
      </w:r>
    </w:p>
    <w:p>
      <w:pPr>
        <w:pStyle w:val="82"/>
        <w:ind w:firstLine="560" w:firstLineChars="200"/>
        <w:rPr>
          <w:sz w:val="28"/>
        </w:rPr>
      </w:pPr>
      <w:r>
        <w:rPr>
          <w:rFonts w:hint="eastAsia"/>
          <w:sz w:val="28"/>
        </w:rPr>
        <w:t>以上企业，不属于大企业的分支机构，不存在控股股东为大企业的情形，也不存在与大企业的负责人为同一人的情形。</w:t>
      </w:r>
    </w:p>
    <w:p>
      <w:pPr>
        <w:pStyle w:val="82"/>
        <w:ind w:firstLine="560" w:firstLineChars="200"/>
        <w:rPr>
          <w:sz w:val="28"/>
        </w:rPr>
      </w:pPr>
      <w:r>
        <w:rPr>
          <w:rFonts w:hint="eastAsia"/>
          <w:sz w:val="28"/>
        </w:rPr>
        <w:t>本企业对上述声明内容的真实性负责。如有虚假，将依法承担相应责任。</w:t>
      </w:r>
    </w:p>
    <w:p>
      <w:pPr>
        <w:pStyle w:val="82"/>
        <w:ind w:firstLine="560" w:firstLineChars="200"/>
        <w:rPr>
          <w:sz w:val="28"/>
        </w:rPr>
      </w:pPr>
      <w:r>
        <w:rPr>
          <w:rFonts w:hint="eastAsia"/>
          <w:sz w:val="28"/>
        </w:rPr>
        <w:t>供应商名称：</w:t>
      </w:r>
      <w:r>
        <w:rPr>
          <w:rFonts w:hint="eastAsia"/>
          <w:sz w:val="28"/>
          <w:u w:val="single"/>
        </w:rPr>
        <w:t>XXXX</w:t>
      </w:r>
      <w:r>
        <w:rPr>
          <w:rFonts w:hint="eastAsia" w:ascii="宋体" w:hAnsi="宋体"/>
          <w:sz w:val="28"/>
        </w:rPr>
        <w:t xml:space="preserve"> (加盖公章)</w:t>
      </w:r>
    </w:p>
    <w:p>
      <w:pPr>
        <w:pStyle w:val="82"/>
        <w:ind w:firstLine="560" w:firstLineChars="200"/>
        <w:rPr>
          <w:sz w:val="28"/>
        </w:rPr>
      </w:pPr>
      <w:r>
        <w:rPr>
          <w:rFonts w:hint="eastAsia"/>
          <w:sz w:val="28"/>
        </w:rPr>
        <w:t>日  期：20XX年XX月XX日</w:t>
      </w:r>
    </w:p>
    <w:p>
      <w:pPr>
        <w:pStyle w:val="82"/>
        <w:ind w:firstLine="0"/>
        <w:rPr>
          <w:b/>
          <w:sz w:val="28"/>
        </w:rPr>
      </w:pPr>
      <w:r>
        <w:rPr>
          <w:rFonts w:hint="eastAsia"/>
          <w:b/>
          <w:sz w:val="28"/>
        </w:rPr>
        <w:t>说明： 1、供应商为残疾人福利性单位、监狱企业的不需提供。</w:t>
      </w:r>
    </w:p>
    <w:p>
      <w:pPr>
        <w:pStyle w:val="82"/>
        <w:ind w:firstLine="992" w:firstLineChars="353"/>
        <w:rPr>
          <w:b/>
          <w:sz w:val="28"/>
        </w:rPr>
      </w:pPr>
      <w:r>
        <w:rPr>
          <w:rFonts w:hint="eastAsia"/>
          <w:b/>
          <w:sz w:val="28"/>
        </w:rPr>
        <w:t>2、从业人员、营业收入、资产总额填报上一年度数据，无上一年度数据的新成立企业可不填报。</w:t>
      </w:r>
    </w:p>
    <w:p>
      <w:pPr>
        <w:pStyle w:val="5"/>
        <w:numPr>
          <w:ilvl w:val="2"/>
          <w:numId w:val="14"/>
        </w:numPr>
        <w:tabs>
          <w:tab w:val="left" w:pos="709"/>
        </w:tabs>
        <w:spacing w:after="200"/>
        <w:ind w:left="1135" w:hanging="1135"/>
        <w:rPr>
          <w:color w:val="auto"/>
        </w:rPr>
      </w:pPr>
      <w:r>
        <w:rPr>
          <w:rFonts w:hint="eastAsia"/>
          <w:color w:val="auto"/>
        </w:rPr>
        <w:t>残疾人福利性单位声明函</w:t>
      </w:r>
    </w:p>
    <w:p>
      <w:pPr>
        <w:spacing w:line="588" w:lineRule="exact"/>
        <w:jc w:val="center"/>
        <w:rPr>
          <w:rFonts w:ascii="宋体" w:hAnsi="宋体"/>
          <w:b/>
          <w:spacing w:val="6"/>
          <w:sz w:val="28"/>
          <w:szCs w:val="28"/>
        </w:rPr>
      </w:pPr>
      <w:r>
        <w:rPr>
          <w:rFonts w:hint="eastAsia" w:ascii="宋体" w:hAnsi="宋体"/>
          <w:b/>
          <w:spacing w:val="6"/>
          <w:sz w:val="28"/>
          <w:szCs w:val="28"/>
        </w:rPr>
        <w:t>残疾人福利性单位声明函</w:t>
      </w:r>
    </w:p>
    <w:p>
      <w:pPr>
        <w:shd w:val="clear" w:color="auto" w:fill="FFFFFF"/>
        <w:rPr>
          <w:rFonts w:cs="Calibri"/>
          <w:szCs w:val="21"/>
        </w:rPr>
      </w:pPr>
      <w:r>
        <w:rPr>
          <w:rFonts w:hint="eastAsia" w:cs="Calibri"/>
          <w:sz w:val="28"/>
        </w:rPr>
        <w:t>本单位郑重声明：</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中国残疾人联合会关于促进残疾人就业政府采购政策的通知》（财库〔2017〕141号）的规定，本单为符合条件的残疾人福利性单位，且本单位参加</w:t>
      </w:r>
      <w:r>
        <w:rPr>
          <w:rFonts w:hint="eastAsia" w:ascii="宋体" w:hAnsi="宋体"/>
          <w:spacing w:val="6"/>
          <w:sz w:val="28"/>
          <w:szCs w:val="28"/>
          <w:u w:val="single"/>
        </w:rPr>
        <w:t>_XXXX__</w:t>
      </w:r>
      <w:r>
        <w:rPr>
          <w:rFonts w:hint="eastAsia" w:ascii="宋体" w:hAnsi="宋体"/>
          <w:spacing w:val="6"/>
          <w:sz w:val="28"/>
          <w:szCs w:val="28"/>
        </w:rPr>
        <w:t>单位的</w:t>
      </w:r>
      <w:r>
        <w:rPr>
          <w:rFonts w:hint="eastAsia" w:ascii="宋体" w:hAnsi="宋体"/>
          <w:spacing w:val="6"/>
          <w:sz w:val="28"/>
          <w:szCs w:val="28"/>
          <w:u w:val="single"/>
        </w:rPr>
        <w:t>__XXXXX_</w:t>
      </w:r>
      <w:r>
        <w:rPr>
          <w:rFonts w:hint="eastAsia" w:ascii="宋体" w:hAnsi="宋体"/>
          <w:spacing w:val="6"/>
          <w:sz w:val="28"/>
          <w:szCs w:val="28"/>
        </w:rPr>
        <w:t>项目采购活动由本单位提供服务。</w:t>
      </w:r>
    </w:p>
    <w:p>
      <w:pPr>
        <w:shd w:val="clear" w:color="auto" w:fill="FFFFFF"/>
        <w:ind w:firstLine="420"/>
        <w:rPr>
          <w:rFonts w:cs="Calibri"/>
          <w:szCs w:val="21"/>
        </w:rPr>
      </w:pPr>
      <w:r>
        <w:rPr>
          <w:rFonts w:hint="eastAsia" w:cs="Calibri"/>
          <w:sz w:val="28"/>
        </w:rPr>
        <w:t>本单位对上述声明的真实性负责。如有虚假，将依法承担相应责任。</w:t>
      </w:r>
    </w:p>
    <w:p>
      <w:pPr>
        <w:shd w:val="clear" w:color="auto" w:fill="FFFFFF"/>
        <w:ind w:right="-58"/>
        <w:rPr>
          <w:rFonts w:cs="Calibri"/>
          <w:sz w:val="28"/>
        </w:rPr>
      </w:pPr>
    </w:p>
    <w:p>
      <w:pPr>
        <w:shd w:val="clear" w:color="auto" w:fill="FFFFFF"/>
        <w:ind w:right="-58"/>
        <w:rPr>
          <w:rFonts w:cs="Calibri"/>
          <w:sz w:val="28"/>
        </w:rPr>
      </w:pPr>
    </w:p>
    <w:p>
      <w:pPr>
        <w:shd w:val="clear" w:color="auto" w:fill="FFFFFF"/>
        <w:ind w:right="-58"/>
        <w:rPr>
          <w:rFonts w:cs="Calibri"/>
          <w:szCs w:val="21"/>
        </w:rPr>
      </w:pPr>
      <w:r>
        <w:rPr>
          <w:rFonts w:hint="eastAsia" w:cs="Calibri"/>
          <w:sz w:val="28"/>
        </w:rPr>
        <w:t>供应商名称：</w:t>
      </w:r>
      <w:r>
        <w:rPr>
          <w:rFonts w:cs="Calibri"/>
          <w:sz w:val="28"/>
          <w:u w:val="single"/>
        </w:rPr>
        <w:t xml:space="preserve"> XXXX </w:t>
      </w:r>
      <w:r>
        <w:rPr>
          <w:rFonts w:hint="eastAsia" w:cs="Calibri"/>
          <w:sz w:val="28"/>
        </w:rPr>
        <w:t>（加盖公章）</w:t>
      </w:r>
    </w:p>
    <w:p>
      <w:pPr>
        <w:shd w:val="clear" w:color="auto" w:fill="FFFFFF"/>
        <w:ind w:right="-58"/>
        <w:rPr>
          <w:rFonts w:cs="Calibri"/>
          <w:szCs w:val="21"/>
        </w:rPr>
      </w:pPr>
      <w:r>
        <w:rPr>
          <w:rFonts w:hint="eastAsia" w:cs="Calibri"/>
          <w:sz w:val="28"/>
        </w:rPr>
        <w:t>日</w:t>
      </w:r>
      <w:r>
        <w:rPr>
          <w:rFonts w:cs="Calibri"/>
          <w:sz w:val="28"/>
        </w:rPr>
        <w:t xml:space="preserve"> </w:t>
      </w:r>
      <w:r>
        <w:rPr>
          <w:rFonts w:hint="eastAsia" w:cs="Calibri"/>
          <w:sz w:val="28"/>
        </w:rPr>
        <w:t>期：</w:t>
      </w:r>
      <w:r>
        <w:rPr>
          <w:rFonts w:cs="Calibri"/>
          <w:sz w:val="28"/>
        </w:rPr>
        <w:t>20X</w:t>
      </w:r>
      <w:r>
        <w:rPr>
          <w:rFonts w:cs="Calibri"/>
          <w:sz w:val="28"/>
          <w:u w:val="single"/>
        </w:rPr>
        <w:t>X</w:t>
      </w:r>
      <w:r>
        <w:rPr>
          <w:rFonts w:hint="eastAsia" w:cs="Calibri"/>
          <w:sz w:val="28"/>
        </w:rPr>
        <w:t>年</w:t>
      </w:r>
      <w:r>
        <w:rPr>
          <w:rFonts w:cs="Calibri"/>
          <w:sz w:val="28"/>
          <w:u w:val="single"/>
        </w:rPr>
        <w:t>XX</w:t>
      </w:r>
      <w:r>
        <w:rPr>
          <w:rFonts w:hint="eastAsia" w:cs="Calibri"/>
          <w:sz w:val="28"/>
        </w:rPr>
        <w:t>月</w:t>
      </w:r>
      <w:r>
        <w:rPr>
          <w:rFonts w:cs="Calibri"/>
          <w:sz w:val="28"/>
          <w:u w:val="single"/>
        </w:rPr>
        <w:t>XX</w:t>
      </w:r>
      <w:r>
        <w:rPr>
          <w:rFonts w:hint="eastAsia" w:cs="Calibri"/>
          <w:sz w:val="28"/>
        </w:rPr>
        <w:t>日</w:t>
      </w:r>
    </w:p>
    <w:p>
      <w:pPr>
        <w:shd w:val="clear" w:color="auto" w:fill="FFFFFF"/>
        <w:ind w:firstLine="563"/>
        <w:rPr>
          <w:rFonts w:cs="Calibri"/>
          <w:b/>
          <w:bCs/>
          <w:sz w:val="28"/>
        </w:rPr>
      </w:pPr>
    </w:p>
    <w:p>
      <w:pPr>
        <w:spacing w:line="360" w:lineRule="auto"/>
        <w:ind w:left="324" w:leftChars="135" w:firstLine="470" w:firstLineChars="196"/>
      </w:pPr>
    </w:p>
    <w:p>
      <w:pPr>
        <w:pStyle w:val="2"/>
      </w:pPr>
    </w:p>
    <w:p/>
    <w:p>
      <w:pPr>
        <w:pStyle w:val="2"/>
      </w:pPr>
    </w:p>
    <w:p/>
    <w:p>
      <w:pPr>
        <w:pStyle w:val="2"/>
      </w:pPr>
    </w:p>
    <w:p/>
    <w:p>
      <w:pPr>
        <w:pStyle w:val="2"/>
      </w:pPr>
    </w:p>
    <w:p>
      <w:pPr>
        <w:pStyle w:val="5"/>
        <w:numPr>
          <w:ilvl w:val="2"/>
          <w:numId w:val="14"/>
        </w:numPr>
        <w:tabs>
          <w:tab w:val="left" w:pos="709"/>
        </w:tabs>
        <w:spacing w:after="200"/>
        <w:ind w:left="709" w:hanging="709"/>
        <w:rPr>
          <w:color w:val="auto"/>
        </w:rPr>
      </w:pPr>
      <w:r>
        <w:rPr>
          <w:rFonts w:hint="eastAsia"/>
          <w:color w:val="auto"/>
        </w:rPr>
        <w:t>供应商应提交的相关资格证明材料：</w:t>
      </w:r>
    </w:p>
    <w:p>
      <w:pPr>
        <w:tabs>
          <w:tab w:val="left" w:pos="1134"/>
        </w:tabs>
        <w:spacing w:line="360" w:lineRule="auto"/>
        <w:ind w:firstLine="551" w:firstLineChars="196"/>
        <w:rPr>
          <w:rFonts w:ascii="宋体" w:hAnsi="宋体"/>
          <w:b/>
          <w:sz w:val="28"/>
          <w:szCs w:val="28"/>
        </w:rPr>
      </w:pPr>
      <w:r>
        <w:rPr>
          <w:rFonts w:hint="eastAsia" w:ascii="宋体" w:hAnsi="宋体"/>
          <w:b/>
          <w:sz w:val="28"/>
          <w:szCs w:val="28"/>
        </w:rPr>
        <w:t>（一）2019或2020会计年度资产负债表复印件（说明：供应商成立时间至递交响应文件截止时间止不足一年的，提供成立后任意时段的资产负债表复印件）；</w:t>
      </w:r>
    </w:p>
    <w:p>
      <w:pPr>
        <w:tabs>
          <w:tab w:val="left" w:pos="1134"/>
        </w:tabs>
        <w:spacing w:line="360" w:lineRule="auto"/>
        <w:ind w:firstLine="562" w:firstLineChars="200"/>
        <w:rPr>
          <w:rFonts w:ascii="宋体" w:hAnsi="宋体"/>
          <w:b/>
          <w:sz w:val="28"/>
          <w:szCs w:val="28"/>
        </w:rPr>
      </w:pPr>
      <w:r>
        <w:rPr>
          <w:rFonts w:hint="eastAsia" w:ascii="宋体" w:hAnsi="宋体"/>
          <w:b/>
          <w:sz w:val="28"/>
          <w:szCs w:val="28"/>
        </w:rPr>
        <w:t>（二）供应商缴纳2020年或2021年任意时段的税收的银行电子回单或者行政部门出具的纳税证明或完税证明复印件；</w:t>
      </w:r>
    </w:p>
    <w:p>
      <w:pPr>
        <w:tabs>
          <w:tab w:val="left" w:pos="1134"/>
        </w:tabs>
        <w:spacing w:line="360" w:lineRule="auto"/>
        <w:ind w:firstLine="551" w:firstLineChars="196"/>
        <w:rPr>
          <w:rFonts w:ascii="宋体" w:hAnsi="宋体"/>
          <w:b/>
          <w:sz w:val="28"/>
          <w:szCs w:val="28"/>
        </w:rPr>
      </w:pPr>
      <w:r>
        <w:rPr>
          <w:rFonts w:hint="eastAsia" w:ascii="宋体" w:hAnsi="宋体"/>
          <w:b/>
          <w:sz w:val="28"/>
          <w:szCs w:val="28"/>
        </w:rPr>
        <w:t>（三）供应商缴纳2020年或2021年任意时段的社保的银行电子回单或者行政部门出具的社保缴纳证明材料复印件。</w:t>
      </w:r>
    </w:p>
    <w:p>
      <w:pPr>
        <w:rPr>
          <w:rFonts w:ascii="宋体" w:hAnsi="宋体"/>
          <w:b/>
          <w:sz w:val="28"/>
          <w:szCs w:val="28"/>
        </w:rPr>
      </w:pPr>
    </w:p>
    <w:p>
      <w:pPr>
        <w:pStyle w:val="2"/>
        <w:rPr>
          <w:rFonts w:ascii="宋体" w:hAnsi="宋体"/>
          <w:b/>
          <w:sz w:val="28"/>
          <w:szCs w:val="28"/>
        </w:rPr>
      </w:pPr>
    </w:p>
    <w:p>
      <w:pPr>
        <w:rPr>
          <w:rFonts w:ascii="宋体" w:hAnsi="宋体"/>
          <w:b/>
          <w:sz w:val="28"/>
          <w:szCs w:val="28"/>
        </w:rPr>
      </w:pPr>
    </w:p>
    <w:p>
      <w:pPr>
        <w:pStyle w:val="2"/>
        <w:rPr>
          <w:rFonts w:ascii="宋体" w:hAnsi="宋体"/>
          <w:b/>
          <w:sz w:val="28"/>
          <w:szCs w:val="28"/>
        </w:rPr>
      </w:pPr>
    </w:p>
    <w:p>
      <w:pPr>
        <w:rPr>
          <w:rFonts w:ascii="宋体" w:hAnsi="宋体"/>
          <w:b/>
          <w:sz w:val="28"/>
          <w:szCs w:val="28"/>
        </w:rPr>
      </w:pPr>
    </w:p>
    <w:p>
      <w:pPr>
        <w:pStyle w:val="2"/>
        <w:rPr>
          <w:rFonts w:ascii="宋体" w:hAnsi="宋体"/>
          <w:b/>
          <w:sz w:val="28"/>
          <w:szCs w:val="28"/>
        </w:rPr>
      </w:pPr>
    </w:p>
    <w:p>
      <w:pPr>
        <w:rPr>
          <w:rFonts w:ascii="宋体" w:hAnsi="宋体"/>
          <w:b/>
          <w:sz w:val="28"/>
          <w:szCs w:val="28"/>
        </w:rPr>
      </w:pPr>
    </w:p>
    <w:p>
      <w:pPr>
        <w:pStyle w:val="2"/>
        <w:rPr>
          <w:rFonts w:ascii="宋体" w:hAnsi="宋体"/>
          <w:b/>
          <w:sz w:val="28"/>
          <w:szCs w:val="28"/>
        </w:rPr>
      </w:pPr>
    </w:p>
    <w:p>
      <w:pPr>
        <w:rPr>
          <w:rFonts w:ascii="宋体" w:hAnsi="宋体"/>
          <w:b/>
          <w:sz w:val="28"/>
          <w:szCs w:val="28"/>
        </w:rPr>
      </w:pPr>
    </w:p>
    <w:p>
      <w:pPr>
        <w:pStyle w:val="2"/>
      </w:pPr>
    </w:p>
    <w:p/>
    <w:bookmarkEnd w:id="57"/>
    <w:bookmarkEnd w:id="58"/>
    <w:p>
      <w:pPr>
        <w:pStyle w:val="4"/>
        <w:numPr>
          <w:ilvl w:val="1"/>
          <w:numId w:val="14"/>
        </w:numPr>
        <w:spacing w:after="200"/>
        <w:ind w:left="1985" w:hanging="1985"/>
      </w:pPr>
      <w:bookmarkStart w:id="66" w:name="_Toc58943337"/>
      <w:bookmarkStart w:id="67" w:name="_Toc32137"/>
      <w:r>
        <w:rPr>
          <w:rFonts w:hint="eastAsia"/>
        </w:rPr>
        <w:t>技术、服务性响应文件格式</w:t>
      </w:r>
      <w:bookmarkEnd w:id="66"/>
      <w:bookmarkEnd w:id="67"/>
    </w:p>
    <w:p>
      <w:pPr>
        <w:pStyle w:val="5"/>
        <w:numPr>
          <w:ilvl w:val="2"/>
          <w:numId w:val="14"/>
        </w:numPr>
        <w:tabs>
          <w:tab w:val="left" w:pos="709"/>
        </w:tabs>
        <w:spacing w:after="200"/>
        <w:ind w:left="1135" w:hanging="1135"/>
        <w:jc w:val="left"/>
        <w:rPr>
          <w:color w:val="auto"/>
        </w:rPr>
      </w:pPr>
      <w:r>
        <w:rPr>
          <w:rFonts w:hint="eastAsia"/>
          <w:color w:val="auto"/>
        </w:rPr>
        <w:t>技术、服务性响应文件密封包装最外层格式</w:t>
      </w:r>
    </w:p>
    <w:tbl>
      <w:tblPr>
        <w:tblStyle w:val="45"/>
        <w:tblW w:w="9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6" w:hRule="atLeast"/>
        </w:trPr>
        <w:tc>
          <w:tcPr>
            <w:tcW w:w="960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b/>
                <w:sz w:val="28"/>
                <w:szCs w:val="28"/>
              </w:rPr>
            </w:pPr>
            <w:r>
              <w:rPr>
                <w:rFonts w:hint="eastAsia" w:ascii="宋体" w:hAnsi="宋体"/>
                <w:b/>
                <w:sz w:val="28"/>
                <w:szCs w:val="28"/>
              </w:rPr>
              <w:t>项目名称：成都东部新区福田街道办事处安置小区物业管理采购项目</w:t>
            </w:r>
          </w:p>
          <w:p>
            <w:pPr>
              <w:spacing w:line="360" w:lineRule="auto"/>
              <w:rPr>
                <w:rFonts w:ascii="宋体" w:hAnsi="宋体"/>
                <w:b/>
                <w:sz w:val="28"/>
                <w:szCs w:val="28"/>
              </w:rPr>
            </w:pPr>
            <w:r>
              <w:rPr>
                <w:rFonts w:hint="eastAsia" w:ascii="宋体" w:hAnsi="宋体"/>
                <w:b/>
                <w:sz w:val="28"/>
              </w:rPr>
              <w:t>项目编号</w:t>
            </w:r>
            <w:r>
              <w:rPr>
                <w:rFonts w:hint="eastAsia" w:ascii="宋体" w:hAnsi="宋体"/>
                <w:b/>
                <w:sz w:val="28"/>
                <w:szCs w:val="28"/>
              </w:rPr>
              <w:t>：东部新政采（2021）A0005号</w:t>
            </w:r>
          </w:p>
          <w:p>
            <w:pPr>
              <w:spacing w:line="360" w:lineRule="auto"/>
              <w:jc w:val="center"/>
              <w:rPr>
                <w:rFonts w:ascii="宋体" w:hAnsi="宋体"/>
                <w:sz w:val="32"/>
                <w:szCs w:val="32"/>
              </w:rPr>
            </w:pPr>
            <w:r>
              <w:rPr>
                <w:rFonts w:hint="eastAsia" w:ascii="宋体" w:hAnsi="宋体"/>
                <w:sz w:val="32"/>
                <w:szCs w:val="32"/>
              </w:rPr>
              <w:t>技术、服务性响应文件</w:t>
            </w:r>
          </w:p>
          <w:p>
            <w:pPr>
              <w:spacing w:line="360" w:lineRule="auto"/>
              <w:jc w:val="center"/>
              <w:rPr>
                <w:rFonts w:ascii="宋体" w:hAnsi="宋体"/>
                <w:sz w:val="32"/>
                <w:szCs w:val="32"/>
              </w:rPr>
            </w:pPr>
          </w:p>
          <w:p>
            <w:pPr>
              <w:spacing w:line="360" w:lineRule="auto"/>
              <w:rPr>
                <w:rFonts w:ascii="宋体" w:hAnsi="宋体"/>
                <w:b/>
                <w:sz w:val="28"/>
                <w:szCs w:val="28"/>
              </w:rPr>
            </w:pPr>
            <w:r>
              <w:rPr>
                <w:rFonts w:hint="eastAsia" w:ascii="宋体" w:hAnsi="宋体"/>
                <w:sz w:val="28"/>
                <w:szCs w:val="28"/>
              </w:rPr>
              <w:t>供应商名称：</w:t>
            </w:r>
            <w:r>
              <w:rPr>
                <w:rFonts w:hint="eastAsia" w:ascii="宋体" w:hAnsi="宋体"/>
                <w:sz w:val="28"/>
                <w:szCs w:val="28"/>
                <w:u w:val="single"/>
              </w:rPr>
              <w:t>XXXX</w:t>
            </w:r>
            <w:r>
              <w:rPr>
                <w:rFonts w:hint="eastAsia" w:ascii="宋体" w:hAnsi="宋体"/>
                <w:sz w:val="28"/>
                <w:szCs w:val="28"/>
              </w:rPr>
              <w:t>（加盖公章）</w:t>
            </w:r>
          </w:p>
        </w:tc>
      </w:tr>
    </w:tbl>
    <w:p>
      <w:pPr>
        <w:pStyle w:val="5"/>
        <w:numPr>
          <w:ilvl w:val="2"/>
          <w:numId w:val="14"/>
        </w:numPr>
        <w:tabs>
          <w:tab w:val="left" w:pos="709"/>
        </w:tabs>
        <w:spacing w:after="200"/>
        <w:ind w:left="1135" w:hanging="1135"/>
        <w:jc w:val="left"/>
        <w:rPr>
          <w:color w:val="auto"/>
        </w:rPr>
      </w:pPr>
      <w:r>
        <w:rPr>
          <w:rFonts w:hint="eastAsia"/>
          <w:color w:val="auto"/>
        </w:rPr>
        <w:t>技术、服务性响应文件封面格式</w:t>
      </w:r>
    </w:p>
    <w:tbl>
      <w:tblPr>
        <w:tblStyle w:val="45"/>
        <w:tblW w:w="9394"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b/>
                <w:sz w:val="28"/>
                <w:szCs w:val="28"/>
              </w:rPr>
            </w:pPr>
            <w:r>
              <w:rPr>
                <w:rFonts w:hint="eastAsia" w:ascii="宋体" w:hAnsi="宋体"/>
                <w:b/>
                <w:sz w:val="28"/>
                <w:szCs w:val="28"/>
              </w:rPr>
              <w:t>项目名称：成都东部新区福田街道办事处安置小区物业管理采购项目</w:t>
            </w:r>
          </w:p>
          <w:p>
            <w:pPr>
              <w:spacing w:line="360" w:lineRule="auto"/>
              <w:rPr>
                <w:rFonts w:ascii="宋体" w:hAnsi="宋体"/>
                <w:b/>
                <w:sz w:val="28"/>
                <w:szCs w:val="28"/>
              </w:rPr>
            </w:pPr>
            <w:r>
              <w:rPr>
                <w:rFonts w:hint="eastAsia" w:ascii="宋体" w:hAnsi="宋体"/>
                <w:b/>
                <w:sz w:val="28"/>
              </w:rPr>
              <w:t>项目编号</w:t>
            </w:r>
            <w:r>
              <w:rPr>
                <w:rFonts w:hint="eastAsia" w:ascii="宋体" w:hAnsi="宋体"/>
                <w:b/>
                <w:sz w:val="28"/>
                <w:szCs w:val="28"/>
              </w:rPr>
              <w:t>：东部新政采（2021）A0005号</w:t>
            </w:r>
          </w:p>
          <w:p>
            <w:pPr>
              <w:spacing w:line="360" w:lineRule="auto"/>
              <w:jc w:val="center"/>
              <w:rPr>
                <w:rFonts w:ascii="宋体" w:hAnsi="宋体"/>
                <w:sz w:val="32"/>
                <w:szCs w:val="32"/>
              </w:rPr>
            </w:pPr>
            <w:r>
              <w:rPr>
                <w:rFonts w:hint="eastAsia" w:ascii="宋体" w:hAnsi="宋体"/>
                <w:sz w:val="32"/>
                <w:szCs w:val="32"/>
              </w:rPr>
              <w:t>技术、服务性响应文件</w:t>
            </w:r>
          </w:p>
          <w:p>
            <w:pPr>
              <w:spacing w:line="360" w:lineRule="auto"/>
              <w:jc w:val="center"/>
              <w:rPr>
                <w:rFonts w:ascii="宋体" w:hAnsi="宋体"/>
                <w:sz w:val="32"/>
                <w:szCs w:val="32"/>
              </w:rPr>
            </w:pPr>
            <w:r>
              <w:rPr>
                <w:rFonts w:hint="eastAsia" w:ascii="宋体" w:hAnsi="宋体"/>
                <w:sz w:val="32"/>
                <w:szCs w:val="32"/>
              </w:rPr>
              <w:t>（正本或副本）</w:t>
            </w:r>
          </w:p>
          <w:p>
            <w:pPr>
              <w:spacing w:line="360" w:lineRule="auto"/>
              <w:ind w:left="2157" w:leftChars="150" w:hanging="1797" w:hangingChars="642"/>
              <w:rPr>
                <w:rFonts w:ascii="宋体" w:hAnsi="宋体"/>
                <w:sz w:val="28"/>
                <w:szCs w:val="28"/>
              </w:rPr>
            </w:pPr>
            <w:r>
              <w:rPr>
                <w:rFonts w:hint="eastAsia" w:ascii="宋体" w:hAnsi="宋体"/>
                <w:sz w:val="28"/>
                <w:szCs w:val="28"/>
              </w:rPr>
              <w:t>供应商名称：</w:t>
            </w:r>
            <w:r>
              <w:rPr>
                <w:rFonts w:hint="eastAsia" w:ascii="宋体" w:hAnsi="宋体"/>
                <w:sz w:val="28"/>
                <w:szCs w:val="28"/>
                <w:u w:val="single"/>
              </w:rPr>
              <w:t>XXXX</w:t>
            </w:r>
          </w:p>
          <w:p>
            <w:pPr>
              <w:spacing w:line="360" w:lineRule="auto"/>
              <w:ind w:firstLine="280" w:firstLineChars="100"/>
              <w:rPr>
                <w:rFonts w:ascii="宋体" w:hAnsi="宋体"/>
                <w:sz w:val="28"/>
                <w:szCs w:val="28"/>
              </w:rPr>
            </w:pPr>
            <w:r>
              <w:rPr>
                <w:rFonts w:hint="eastAsia" w:ascii="宋体" w:hAnsi="宋体"/>
                <w:sz w:val="28"/>
                <w:szCs w:val="28"/>
              </w:rPr>
              <w:t>日期：</w:t>
            </w:r>
            <w:r>
              <w:rPr>
                <w:rFonts w:hint="eastAsia" w:ascii="宋体" w:hAnsi="宋体"/>
                <w:sz w:val="28"/>
                <w:szCs w:val="28"/>
                <w:u w:val="single"/>
              </w:rPr>
              <w:t>XX</w:t>
            </w:r>
            <w:r>
              <w:rPr>
                <w:rFonts w:hint="eastAsia" w:ascii="宋体" w:hAnsi="宋体"/>
                <w:sz w:val="28"/>
                <w:szCs w:val="28"/>
              </w:rPr>
              <w:t>年</w:t>
            </w:r>
            <w:r>
              <w:rPr>
                <w:rFonts w:hint="eastAsia" w:ascii="宋体" w:hAnsi="宋体"/>
                <w:sz w:val="28"/>
                <w:szCs w:val="28"/>
                <w:u w:val="single"/>
              </w:rPr>
              <w:t>XX</w:t>
            </w:r>
            <w:r>
              <w:rPr>
                <w:rFonts w:hint="eastAsia" w:ascii="宋体" w:hAnsi="宋体"/>
                <w:sz w:val="28"/>
                <w:szCs w:val="28"/>
              </w:rPr>
              <w:t>月</w:t>
            </w:r>
            <w:r>
              <w:rPr>
                <w:rFonts w:hint="eastAsia" w:ascii="宋体" w:hAnsi="宋体"/>
                <w:sz w:val="28"/>
                <w:szCs w:val="28"/>
                <w:u w:val="single"/>
              </w:rPr>
              <w:t>XX</w:t>
            </w:r>
            <w:r>
              <w:rPr>
                <w:rFonts w:hint="eastAsia" w:ascii="宋体" w:hAnsi="宋体"/>
                <w:sz w:val="28"/>
                <w:szCs w:val="28"/>
              </w:rPr>
              <w:t>日</w:t>
            </w:r>
          </w:p>
        </w:tc>
      </w:tr>
    </w:tbl>
    <w:p>
      <w:pPr>
        <w:spacing w:line="360" w:lineRule="auto"/>
        <w:rPr>
          <w:rFonts w:ascii="宋体" w:hAnsi="宋体"/>
          <w:b/>
          <w:sz w:val="28"/>
          <w:szCs w:val="28"/>
        </w:rPr>
      </w:pPr>
      <w:r>
        <w:rPr>
          <w:rFonts w:hint="eastAsia" w:ascii="宋体" w:hAnsi="宋体"/>
          <w:b/>
          <w:sz w:val="28"/>
          <w:szCs w:val="28"/>
        </w:rPr>
        <w:t>温馨提示：</w:t>
      </w:r>
    </w:p>
    <w:p>
      <w:pPr>
        <w:spacing w:line="360" w:lineRule="auto"/>
        <w:rPr>
          <w:rFonts w:ascii="宋体" w:hAnsi="宋体"/>
          <w:b/>
          <w:sz w:val="28"/>
          <w:szCs w:val="28"/>
        </w:rPr>
      </w:pPr>
      <w:r>
        <w:rPr>
          <w:rFonts w:hint="eastAsia" w:ascii="宋体" w:hAnsi="宋体"/>
          <w:b/>
          <w:sz w:val="28"/>
          <w:szCs w:val="28"/>
        </w:rPr>
        <w:t>一、技术、服务性响应文件正本一份、副本一份；</w:t>
      </w:r>
    </w:p>
    <w:p>
      <w:pPr>
        <w:spacing w:line="360" w:lineRule="auto"/>
        <w:rPr>
          <w:rFonts w:ascii="宋体" w:hAnsi="宋体"/>
          <w:b/>
          <w:sz w:val="28"/>
          <w:szCs w:val="28"/>
        </w:rPr>
      </w:pPr>
      <w:r>
        <w:rPr>
          <w:rFonts w:hint="eastAsia" w:ascii="宋体" w:hAnsi="宋体"/>
          <w:b/>
          <w:sz w:val="28"/>
          <w:szCs w:val="28"/>
        </w:rPr>
        <w:t>二、技术、服务性响应文件应单独密封包装，并于递交响应文件截止时间前送指定地点；</w:t>
      </w:r>
    </w:p>
    <w:p>
      <w:pPr>
        <w:spacing w:line="360" w:lineRule="auto"/>
        <w:rPr>
          <w:rFonts w:ascii="宋体" w:hAnsi="宋体"/>
          <w:b/>
          <w:sz w:val="28"/>
          <w:szCs w:val="28"/>
        </w:rPr>
      </w:pPr>
      <w:r>
        <w:rPr>
          <w:rFonts w:hint="eastAsia" w:ascii="宋体" w:hAnsi="宋体"/>
          <w:b/>
          <w:sz w:val="28"/>
          <w:szCs w:val="28"/>
        </w:rPr>
        <w:t>三、签字、盖章应符合磋商文件要求。</w:t>
      </w:r>
    </w:p>
    <w:p>
      <w:pPr>
        <w:pStyle w:val="5"/>
        <w:numPr>
          <w:ilvl w:val="2"/>
          <w:numId w:val="14"/>
        </w:numPr>
        <w:tabs>
          <w:tab w:val="left" w:pos="709"/>
        </w:tabs>
        <w:spacing w:after="200"/>
        <w:ind w:left="709" w:hanging="709"/>
        <w:rPr>
          <w:bCs w:val="0"/>
          <w:color w:val="auto"/>
        </w:rPr>
      </w:pPr>
      <w:bookmarkStart w:id="68" w:name="_Toc386099146"/>
      <w:bookmarkStart w:id="69" w:name="_Toc320698766"/>
      <w:r>
        <w:rPr>
          <w:rFonts w:hint="eastAsia"/>
          <w:bCs w:val="0"/>
          <w:color w:val="auto"/>
        </w:rPr>
        <w:t>报价表</w:t>
      </w:r>
    </w:p>
    <w:p>
      <w:pPr>
        <w:spacing w:line="360" w:lineRule="auto"/>
        <w:rPr>
          <w:rFonts w:ascii="宋体" w:hAnsi="宋体"/>
          <w:b/>
          <w:sz w:val="28"/>
          <w:szCs w:val="28"/>
        </w:rPr>
      </w:pPr>
      <w:r>
        <w:rPr>
          <w:rFonts w:hint="eastAsia" w:ascii="宋体" w:hAnsi="宋体"/>
          <w:b/>
          <w:sz w:val="28"/>
          <w:szCs w:val="28"/>
        </w:rPr>
        <w:t>项目名称：</w:t>
      </w:r>
      <w:r>
        <w:rPr>
          <w:rFonts w:hint="eastAsia" w:ascii="宋体" w:hAnsi="宋体"/>
          <w:b/>
          <w:spacing w:val="-20"/>
          <w:sz w:val="28"/>
          <w:szCs w:val="28"/>
          <w:u w:val="single"/>
        </w:rPr>
        <w:t>成都东部新区福田街道办事处安置小区物业管理采购项目</w:t>
      </w:r>
    </w:p>
    <w:p>
      <w:pPr>
        <w:spacing w:line="360" w:lineRule="auto"/>
        <w:rPr>
          <w:rFonts w:ascii="宋体" w:hAnsi="宋体"/>
          <w:b/>
          <w:sz w:val="28"/>
          <w:szCs w:val="28"/>
          <w:u w:val="single"/>
        </w:rPr>
      </w:pPr>
      <w:r>
        <w:rPr>
          <w:rFonts w:hint="eastAsia" w:ascii="宋体" w:hAnsi="宋体"/>
          <w:b/>
          <w:sz w:val="28"/>
          <w:szCs w:val="28"/>
        </w:rPr>
        <w:t>项目编号：</w:t>
      </w:r>
      <w:r>
        <w:rPr>
          <w:rFonts w:hint="eastAsia" w:ascii="宋体" w:hAnsi="宋体"/>
          <w:b/>
          <w:sz w:val="28"/>
          <w:szCs w:val="28"/>
          <w:u w:val="single"/>
        </w:rPr>
        <w:t>东部新政采（2021）A0005号</w:t>
      </w:r>
    </w:p>
    <w:tbl>
      <w:tblPr>
        <w:tblStyle w:val="45"/>
        <w:tblpPr w:leftFromText="180" w:rightFromText="180" w:vertAnchor="text" w:tblpXSpec="center" w:tblpY="128"/>
        <w:tblW w:w="93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4872"/>
        <w:gridCol w:w="1365"/>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8"/>
                <w:szCs w:val="28"/>
              </w:rPr>
            </w:pPr>
            <w:r>
              <w:rPr>
                <w:rFonts w:hint="eastAsia" w:ascii="宋体" w:hAnsi="宋体"/>
                <w:b/>
                <w:bCs/>
                <w:sz w:val="28"/>
                <w:szCs w:val="28"/>
              </w:rPr>
              <w:t>序号</w:t>
            </w:r>
          </w:p>
        </w:tc>
        <w:tc>
          <w:tcPr>
            <w:tcW w:w="48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8"/>
                <w:szCs w:val="28"/>
              </w:rPr>
            </w:pPr>
            <w:r>
              <w:rPr>
                <w:rFonts w:hint="eastAsia" w:ascii="宋体" w:hAnsi="宋体"/>
                <w:b/>
                <w:bCs/>
                <w:sz w:val="28"/>
                <w:szCs w:val="28"/>
              </w:rPr>
              <w:t>服务内容</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8"/>
                <w:szCs w:val="28"/>
              </w:rPr>
            </w:pPr>
            <w:r>
              <w:rPr>
                <w:rFonts w:hint="eastAsia" w:ascii="宋体" w:hAnsi="宋体"/>
                <w:b/>
                <w:bCs/>
                <w:sz w:val="28"/>
                <w:szCs w:val="28"/>
              </w:rPr>
              <w:t>服务时间</w:t>
            </w:r>
          </w:p>
        </w:tc>
        <w:tc>
          <w:tcPr>
            <w:tcW w:w="19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8"/>
                <w:szCs w:val="28"/>
              </w:rPr>
            </w:pPr>
            <w:r>
              <w:rPr>
                <w:rFonts w:hint="eastAsia" w:ascii="宋体" w:hAnsi="宋体"/>
                <w:b/>
                <w:bCs/>
                <w:sz w:val="28"/>
                <w:szCs w:val="28"/>
              </w:rPr>
              <w:t>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6" w:hRule="atLeast"/>
        </w:trPr>
        <w:tc>
          <w:tcPr>
            <w:tcW w:w="1101" w:type="dxa"/>
            <w:tcBorders>
              <w:top w:val="single" w:color="auto" w:sz="4" w:space="0"/>
              <w:left w:val="single" w:color="auto" w:sz="4" w:space="0"/>
              <w:bottom w:val="single" w:color="auto" w:sz="4" w:space="0"/>
              <w:right w:val="single" w:color="auto" w:sz="4" w:space="0"/>
            </w:tcBorders>
            <w:vAlign w:val="center"/>
          </w:tcPr>
          <w:p>
            <w:pPr>
              <w:jc w:val="center"/>
              <w:rPr>
                <w:sz w:val="28"/>
                <w:szCs w:val="28"/>
              </w:rPr>
            </w:pPr>
            <w:r>
              <w:rPr>
                <w:sz w:val="28"/>
                <w:szCs w:val="28"/>
              </w:rPr>
              <w:t>1</w:t>
            </w:r>
          </w:p>
        </w:tc>
        <w:tc>
          <w:tcPr>
            <w:tcW w:w="4872" w:type="dxa"/>
            <w:tcBorders>
              <w:top w:val="single" w:color="auto" w:sz="4" w:space="0"/>
              <w:left w:val="single" w:color="auto" w:sz="4" w:space="0"/>
              <w:bottom w:val="single" w:color="auto" w:sz="4" w:space="0"/>
              <w:right w:val="single" w:color="auto" w:sz="4" w:space="0"/>
            </w:tcBorders>
            <w:vAlign w:val="center"/>
          </w:tcPr>
          <w:p>
            <w:r>
              <w:rPr>
                <w:rFonts w:hint="eastAsia" w:ascii="宋体" w:hAnsi="宋体"/>
                <w:bCs/>
                <w:sz w:val="28"/>
                <w:szCs w:val="28"/>
              </w:rPr>
              <w:t>成都东部新区福田街道办事处安置小区物业管理服务</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ascii="宋体" w:hAnsi="宋体"/>
                <w:bCs/>
                <w:sz w:val="28"/>
                <w:szCs w:val="28"/>
                <w:lang w:val="en-US" w:eastAsia="zh-CN"/>
              </w:rPr>
              <w:t>3</w:t>
            </w:r>
            <w:r>
              <w:rPr>
                <w:rFonts w:hint="eastAsia" w:ascii="宋体" w:hAnsi="宋体"/>
                <w:bCs/>
                <w:sz w:val="28"/>
                <w:szCs w:val="28"/>
              </w:rPr>
              <w:t>年</w:t>
            </w:r>
          </w:p>
        </w:tc>
        <w:tc>
          <w:tcPr>
            <w:tcW w:w="1977" w:type="dxa"/>
            <w:tcBorders>
              <w:top w:val="single" w:color="auto" w:sz="4" w:space="0"/>
              <w:left w:val="single" w:color="auto" w:sz="4" w:space="0"/>
              <w:bottom w:val="single" w:color="auto" w:sz="4" w:space="0"/>
              <w:right w:val="single" w:color="auto" w:sz="4" w:space="0"/>
            </w:tcBorders>
            <w:vAlign w:val="center"/>
          </w:tcPr>
          <w:p>
            <w:pPr>
              <w:ind w:firstLine="33" w:firstLineChars="12"/>
              <w:jc w:val="center"/>
              <w:rPr>
                <w:rFonts w:hint="eastAsia" w:ascii="宋体" w:hAnsi="宋体" w:eastAsia="宋体"/>
                <w:bCs/>
                <w:sz w:val="28"/>
                <w:szCs w:val="28"/>
                <w:lang w:val="en-US" w:eastAsia="zh-CN"/>
              </w:rPr>
            </w:pPr>
            <w:r>
              <w:rPr>
                <w:sz w:val="28"/>
                <w:u w:val="single"/>
              </w:rPr>
              <w:t>XXXX</w:t>
            </w:r>
            <w:r>
              <w:rPr>
                <w:rFonts w:hint="eastAsia" w:ascii="宋体" w:hAnsi="宋体"/>
                <w:bCs/>
                <w:sz w:val="28"/>
                <w:szCs w:val="28"/>
              </w:rPr>
              <w:t>元</w:t>
            </w:r>
            <w:r>
              <w:rPr>
                <w:rFonts w:hint="eastAsia" w:ascii="宋体" w:hAnsi="宋体"/>
                <w:bCs/>
                <w:sz w:val="28"/>
                <w:szCs w:val="28"/>
                <w:lang w:val="en-US" w:eastAsia="zh-CN"/>
              </w:rPr>
              <w:t>/年</w:t>
            </w:r>
          </w:p>
        </w:tc>
      </w:tr>
    </w:tbl>
    <w:p>
      <w:pPr>
        <w:pStyle w:val="82"/>
        <w:ind w:firstLineChars="176"/>
        <w:rPr>
          <w:sz w:val="28"/>
        </w:rPr>
      </w:pPr>
    </w:p>
    <w:p>
      <w:pPr>
        <w:pStyle w:val="82"/>
        <w:ind w:firstLine="495" w:firstLineChars="176"/>
        <w:rPr>
          <w:rFonts w:hint="default" w:eastAsiaTheme="minorEastAsia"/>
          <w:sz w:val="28"/>
          <w:lang w:val="en-US" w:eastAsia="zh-CN"/>
        </w:rPr>
      </w:pPr>
      <w:r>
        <w:rPr>
          <w:rFonts w:hint="eastAsia"/>
          <w:b/>
          <w:sz w:val="28"/>
        </w:rPr>
        <w:t>报价（大写人民币）：</w:t>
      </w:r>
      <w:r>
        <w:rPr>
          <w:sz w:val="28"/>
          <w:u w:val="single"/>
        </w:rPr>
        <w:t>XXXX</w:t>
      </w:r>
      <w:r>
        <w:rPr>
          <w:rFonts w:hint="eastAsia"/>
          <w:sz w:val="28"/>
          <w:u w:val="single"/>
          <w:lang w:eastAsia="zh-CN"/>
        </w:rPr>
        <w:t>元</w:t>
      </w:r>
      <w:r>
        <w:rPr>
          <w:rFonts w:hint="eastAsia"/>
          <w:sz w:val="28"/>
          <w:u w:val="single"/>
          <w:lang w:val="en-US" w:eastAsia="zh-CN"/>
        </w:rPr>
        <w:t>/年</w:t>
      </w:r>
    </w:p>
    <w:p>
      <w:pPr>
        <w:pStyle w:val="82"/>
        <w:rPr>
          <w:sz w:val="28"/>
        </w:rPr>
      </w:pPr>
    </w:p>
    <w:p>
      <w:pPr>
        <w:pStyle w:val="82"/>
        <w:ind w:firstLine="560" w:firstLineChars="200"/>
        <w:rPr>
          <w:sz w:val="28"/>
        </w:rPr>
      </w:pPr>
      <w:r>
        <w:rPr>
          <w:rFonts w:hint="eastAsia"/>
          <w:sz w:val="28"/>
        </w:rPr>
        <w:t>供应商名称：</w:t>
      </w:r>
      <w:r>
        <w:rPr>
          <w:sz w:val="28"/>
          <w:u w:val="single"/>
        </w:rPr>
        <w:t>XXXX</w:t>
      </w:r>
      <w:r>
        <w:rPr>
          <w:rFonts w:hint="eastAsia" w:ascii="宋体" w:hAnsi="宋体"/>
          <w:spacing w:val="6"/>
          <w:sz w:val="28"/>
        </w:rPr>
        <w:t>(加盖公章)</w:t>
      </w:r>
    </w:p>
    <w:p>
      <w:pPr>
        <w:pStyle w:val="82"/>
        <w:ind w:firstLine="560" w:firstLineChars="200"/>
        <w:rPr>
          <w:rFonts w:ascii="宋体" w:hAnsi="宋体"/>
          <w:sz w:val="28"/>
        </w:rPr>
      </w:pPr>
      <w:r>
        <w:rPr>
          <w:rFonts w:hint="eastAsia"/>
          <w:sz w:val="28"/>
        </w:rPr>
        <w:t>法定代表人或代理人：</w:t>
      </w:r>
      <w:r>
        <w:rPr>
          <w:sz w:val="28"/>
          <w:u w:val="single"/>
        </w:rPr>
        <w:t>XXXX</w:t>
      </w:r>
      <w:r>
        <w:rPr>
          <w:rFonts w:hint="eastAsia" w:ascii="宋体" w:hAnsi="宋体"/>
          <w:sz w:val="28"/>
        </w:rPr>
        <w:t>（签字）</w:t>
      </w:r>
    </w:p>
    <w:p>
      <w:pPr>
        <w:ind w:firstLine="560" w:firstLineChars="200"/>
        <w:rPr>
          <w:rFonts w:ascii="宋体" w:hAnsi="宋体"/>
          <w:sz w:val="28"/>
        </w:rPr>
      </w:pPr>
      <w:r>
        <w:rPr>
          <w:rFonts w:hint="eastAsia"/>
          <w:sz w:val="28"/>
        </w:rPr>
        <w:t>日期：</w:t>
      </w:r>
      <w:r>
        <w:rPr>
          <w:rFonts w:hint="eastAsia" w:ascii="宋体" w:hAnsi="宋体"/>
          <w:sz w:val="28"/>
          <w:u w:val="single"/>
        </w:rPr>
        <w:t>XX</w:t>
      </w:r>
      <w:r>
        <w:rPr>
          <w:rFonts w:hint="eastAsia" w:ascii="宋体" w:hAnsi="宋体"/>
          <w:sz w:val="28"/>
        </w:rPr>
        <w:t>年</w:t>
      </w:r>
      <w:r>
        <w:rPr>
          <w:rFonts w:hint="eastAsia" w:ascii="宋体" w:hAnsi="宋体"/>
          <w:sz w:val="28"/>
          <w:u w:val="single"/>
        </w:rPr>
        <w:tab/>
      </w:r>
      <w:r>
        <w:rPr>
          <w:rFonts w:hint="eastAsia" w:ascii="宋体" w:hAnsi="宋体"/>
          <w:sz w:val="28"/>
          <w:u w:val="single"/>
        </w:rPr>
        <w:t>XX</w:t>
      </w:r>
      <w:r>
        <w:rPr>
          <w:rFonts w:hint="eastAsia" w:ascii="宋体" w:hAnsi="宋体"/>
          <w:sz w:val="28"/>
        </w:rPr>
        <w:t>月XX日</w:t>
      </w:r>
    </w:p>
    <w:p>
      <w:pPr>
        <w:ind w:firstLine="480" w:firstLineChars="200"/>
        <w:rPr>
          <w:rFonts w:ascii="宋体" w:hAnsi="宋体" w:cs="宋体"/>
        </w:rPr>
      </w:pPr>
    </w:p>
    <w:p>
      <w:pPr>
        <w:pStyle w:val="82"/>
        <w:ind w:firstLine="562" w:firstLineChars="200"/>
        <w:rPr>
          <w:b/>
          <w:sz w:val="28"/>
        </w:rPr>
      </w:pPr>
      <w:r>
        <w:rPr>
          <w:rFonts w:hint="eastAsia"/>
          <w:b/>
          <w:sz w:val="28"/>
        </w:rPr>
        <w:t>说明：报价应是包括磋商文件规定的全部响应内容的报价。</w:t>
      </w:r>
    </w:p>
    <w:p>
      <w:pPr>
        <w:pStyle w:val="82"/>
        <w:ind w:firstLine="562" w:firstLineChars="200"/>
        <w:rPr>
          <w:b/>
          <w:sz w:val="28"/>
        </w:rPr>
      </w:pPr>
    </w:p>
    <w:p>
      <w:pPr>
        <w:pStyle w:val="82"/>
        <w:ind w:firstLine="562" w:firstLineChars="200"/>
        <w:rPr>
          <w:b/>
          <w:sz w:val="28"/>
        </w:rPr>
      </w:pPr>
    </w:p>
    <w:p>
      <w:pPr>
        <w:pStyle w:val="82"/>
        <w:ind w:firstLine="562" w:firstLineChars="200"/>
        <w:rPr>
          <w:b/>
          <w:sz w:val="28"/>
        </w:rPr>
      </w:pPr>
    </w:p>
    <w:p>
      <w:pPr>
        <w:pStyle w:val="5"/>
        <w:tabs>
          <w:tab w:val="left" w:pos="709"/>
        </w:tabs>
        <w:ind w:left="709" w:hanging="709"/>
        <w:rPr>
          <w:color w:val="auto"/>
        </w:rPr>
      </w:pPr>
      <w:r>
        <w:rPr>
          <w:rFonts w:hint="eastAsia"/>
          <w:color w:val="auto"/>
        </w:rPr>
        <w:t>服务方案及服务承诺</w:t>
      </w:r>
    </w:p>
    <w:p>
      <w:pPr>
        <w:spacing w:line="360" w:lineRule="auto"/>
        <w:rPr>
          <w:rFonts w:ascii="宋体" w:hAnsi="宋体"/>
          <w:b/>
          <w:sz w:val="28"/>
          <w:szCs w:val="28"/>
        </w:rPr>
      </w:pPr>
      <w:r>
        <w:rPr>
          <w:rFonts w:hint="eastAsia" w:ascii="宋体" w:hAnsi="宋体"/>
          <w:b/>
          <w:sz w:val="28"/>
          <w:szCs w:val="28"/>
        </w:rPr>
        <w:t>项目名称：</w:t>
      </w:r>
      <w:r>
        <w:rPr>
          <w:rFonts w:hint="eastAsia" w:ascii="宋体" w:hAnsi="宋体"/>
          <w:b/>
          <w:spacing w:val="-20"/>
          <w:sz w:val="28"/>
          <w:szCs w:val="28"/>
          <w:u w:val="single"/>
        </w:rPr>
        <w:t>成都东部新区福田街道办事处安置小区物业管理采购项目</w:t>
      </w:r>
    </w:p>
    <w:p>
      <w:pPr>
        <w:spacing w:line="360" w:lineRule="auto"/>
        <w:rPr>
          <w:rFonts w:ascii="宋体" w:hAnsi="宋体"/>
          <w:b/>
          <w:sz w:val="28"/>
          <w:szCs w:val="28"/>
          <w:u w:val="single"/>
        </w:rPr>
      </w:pPr>
      <w:r>
        <w:rPr>
          <w:rFonts w:hint="eastAsia" w:ascii="宋体" w:hAnsi="宋体"/>
          <w:b/>
          <w:sz w:val="28"/>
          <w:szCs w:val="28"/>
        </w:rPr>
        <w:t>项目编号：</w:t>
      </w:r>
      <w:r>
        <w:rPr>
          <w:rFonts w:hint="eastAsia" w:ascii="宋体" w:hAnsi="宋体"/>
          <w:b/>
          <w:sz w:val="28"/>
          <w:szCs w:val="28"/>
          <w:u w:val="single"/>
        </w:rPr>
        <w:t>东部新政采（2021）A0005号</w:t>
      </w:r>
    </w:p>
    <w:p>
      <w:pPr>
        <w:pStyle w:val="82"/>
        <w:ind w:firstLineChars="176"/>
        <w:rPr>
          <w:sz w:val="28"/>
        </w:rPr>
      </w:pPr>
    </w:p>
    <w:p>
      <w:pPr>
        <w:pStyle w:val="82"/>
        <w:ind w:firstLineChars="176"/>
        <w:rPr>
          <w:sz w:val="28"/>
        </w:rPr>
      </w:pPr>
      <w:r>
        <w:rPr>
          <w:sz w:val="28"/>
        </w:rPr>
        <w:t xml:space="preserve">    </w:t>
      </w:r>
    </w:p>
    <w:p>
      <w:pPr>
        <w:pStyle w:val="82"/>
        <w:ind w:firstLineChars="176"/>
        <w:rPr>
          <w:sz w:val="28"/>
        </w:rPr>
      </w:pPr>
    </w:p>
    <w:p>
      <w:pPr>
        <w:pStyle w:val="82"/>
        <w:ind w:firstLineChars="176"/>
        <w:rPr>
          <w:sz w:val="28"/>
        </w:rPr>
      </w:pPr>
    </w:p>
    <w:p>
      <w:pPr>
        <w:pStyle w:val="82"/>
        <w:ind w:firstLineChars="176"/>
        <w:rPr>
          <w:sz w:val="28"/>
        </w:rPr>
      </w:pPr>
    </w:p>
    <w:p>
      <w:pPr>
        <w:pStyle w:val="82"/>
        <w:ind w:firstLineChars="176"/>
        <w:rPr>
          <w:sz w:val="28"/>
        </w:rPr>
      </w:pPr>
    </w:p>
    <w:p>
      <w:pPr>
        <w:pStyle w:val="82"/>
        <w:ind w:firstLineChars="176"/>
        <w:rPr>
          <w:sz w:val="28"/>
        </w:rPr>
      </w:pPr>
    </w:p>
    <w:p>
      <w:pPr>
        <w:pStyle w:val="82"/>
        <w:ind w:firstLineChars="176"/>
        <w:rPr>
          <w:sz w:val="28"/>
        </w:rPr>
      </w:pPr>
    </w:p>
    <w:p>
      <w:pPr>
        <w:pStyle w:val="82"/>
        <w:ind w:firstLineChars="176"/>
        <w:rPr>
          <w:sz w:val="28"/>
        </w:rPr>
      </w:pPr>
    </w:p>
    <w:p>
      <w:pPr>
        <w:pStyle w:val="82"/>
        <w:ind w:firstLineChars="176"/>
        <w:rPr>
          <w:sz w:val="28"/>
        </w:rPr>
      </w:pPr>
    </w:p>
    <w:p>
      <w:pPr>
        <w:pStyle w:val="82"/>
        <w:ind w:firstLineChars="176"/>
        <w:rPr>
          <w:sz w:val="28"/>
        </w:rPr>
      </w:pPr>
    </w:p>
    <w:p>
      <w:pPr>
        <w:pStyle w:val="82"/>
        <w:ind w:firstLineChars="176"/>
        <w:rPr>
          <w:sz w:val="28"/>
        </w:rPr>
      </w:pPr>
    </w:p>
    <w:p>
      <w:pPr>
        <w:pStyle w:val="82"/>
        <w:rPr>
          <w:sz w:val="28"/>
        </w:rPr>
      </w:pPr>
    </w:p>
    <w:p>
      <w:pPr>
        <w:spacing w:line="360" w:lineRule="auto"/>
        <w:ind w:firstLine="425" w:firstLineChars="152"/>
        <w:rPr>
          <w:rFonts w:ascii="宋体" w:hAnsi="宋体"/>
          <w:sz w:val="28"/>
          <w:szCs w:val="28"/>
        </w:rPr>
      </w:pPr>
      <w:r>
        <w:rPr>
          <w:rFonts w:hint="eastAsia" w:ascii="宋体" w:hAnsi="宋体"/>
          <w:sz w:val="28"/>
          <w:szCs w:val="28"/>
        </w:rPr>
        <w:t>供应商名称：</w:t>
      </w:r>
      <w:r>
        <w:rPr>
          <w:rFonts w:hint="eastAsia" w:ascii="宋体" w:hAnsi="宋体"/>
          <w:sz w:val="28"/>
          <w:szCs w:val="28"/>
          <w:u w:val="single"/>
        </w:rPr>
        <w:t>XXXX</w:t>
      </w:r>
      <w:r>
        <w:rPr>
          <w:rFonts w:hint="eastAsia" w:ascii="宋体" w:hAnsi="宋体"/>
          <w:sz w:val="28"/>
          <w:szCs w:val="28"/>
        </w:rPr>
        <w:t>(加盖公章)</w:t>
      </w:r>
    </w:p>
    <w:p>
      <w:pPr>
        <w:spacing w:line="360" w:lineRule="auto"/>
        <w:ind w:firstLine="425" w:firstLineChars="152"/>
        <w:rPr>
          <w:rFonts w:ascii="宋体" w:hAnsi="宋体"/>
          <w:sz w:val="28"/>
        </w:rPr>
      </w:pPr>
      <w:r>
        <w:rPr>
          <w:rFonts w:hint="eastAsia" w:ascii="宋体" w:hAnsi="宋体"/>
          <w:sz w:val="28"/>
          <w:szCs w:val="28"/>
        </w:rPr>
        <w:t>日期：</w:t>
      </w:r>
      <w:r>
        <w:rPr>
          <w:rFonts w:hint="eastAsia" w:ascii="宋体" w:hAnsi="宋体"/>
          <w:sz w:val="28"/>
          <w:szCs w:val="28"/>
          <w:u w:val="single"/>
        </w:rPr>
        <w:t>XX</w:t>
      </w:r>
      <w:r>
        <w:rPr>
          <w:rFonts w:hint="eastAsia" w:ascii="宋体" w:hAnsi="宋体"/>
          <w:sz w:val="28"/>
          <w:szCs w:val="28"/>
        </w:rPr>
        <w:t>年</w:t>
      </w:r>
      <w:r>
        <w:rPr>
          <w:rFonts w:hint="eastAsia" w:ascii="宋体" w:hAnsi="宋体"/>
          <w:sz w:val="28"/>
          <w:szCs w:val="28"/>
          <w:u w:val="single"/>
        </w:rPr>
        <w:t>XX</w:t>
      </w:r>
      <w:r>
        <w:rPr>
          <w:rFonts w:hint="eastAsia" w:ascii="宋体" w:hAnsi="宋体"/>
          <w:sz w:val="28"/>
          <w:szCs w:val="28"/>
        </w:rPr>
        <w:t>月</w:t>
      </w:r>
      <w:r>
        <w:rPr>
          <w:rFonts w:hint="eastAsia" w:ascii="宋体" w:hAnsi="宋体"/>
          <w:sz w:val="28"/>
          <w:szCs w:val="28"/>
          <w:u w:val="single"/>
        </w:rPr>
        <w:t>XX</w:t>
      </w:r>
      <w:r>
        <w:rPr>
          <w:rFonts w:hint="eastAsia" w:ascii="宋体" w:hAnsi="宋体"/>
          <w:sz w:val="28"/>
          <w:szCs w:val="28"/>
        </w:rPr>
        <w:t>日</w:t>
      </w:r>
    </w:p>
    <w:p>
      <w:pPr>
        <w:pStyle w:val="82"/>
        <w:ind w:firstLine="560" w:firstLineChars="200"/>
        <w:rPr>
          <w:rFonts w:ascii="宋体" w:hAnsi="宋体"/>
          <w:sz w:val="28"/>
        </w:rPr>
      </w:pPr>
    </w:p>
    <w:p>
      <w:pPr>
        <w:pStyle w:val="82"/>
        <w:ind w:firstLine="560" w:firstLineChars="200"/>
        <w:rPr>
          <w:rFonts w:ascii="宋体" w:hAnsi="宋体"/>
          <w:sz w:val="28"/>
        </w:rPr>
      </w:pPr>
    </w:p>
    <w:bookmarkEnd w:id="68"/>
    <w:bookmarkEnd w:id="69"/>
    <w:p>
      <w:pPr>
        <w:spacing w:line="588" w:lineRule="exact"/>
        <w:rPr>
          <w:rFonts w:ascii="宋体" w:hAnsi="宋体"/>
          <w:sz w:val="28"/>
          <w:szCs w:val="28"/>
        </w:rPr>
      </w:pPr>
    </w:p>
    <w:p>
      <w:pPr>
        <w:pStyle w:val="5"/>
        <w:tabs>
          <w:tab w:val="left" w:pos="709"/>
        </w:tabs>
        <w:ind w:left="709" w:hanging="709"/>
        <w:rPr>
          <w:bCs w:val="0"/>
          <w:color w:val="auto"/>
        </w:rPr>
      </w:pPr>
      <w:r>
        <w:rPr>
          <w:rFonts w:hint="eastAsia"/>
          <w:bCs w:val="0"/>
          <w:color w:val="auto"/>
        </w:rPr>
        <w:t>承诺函</w:t>
      </w:r>
    </w:p>
    <w:p>
      <w:pPr>
        <w:spacing w:line="360" w:lineRule="auto"/>
        <w:rPr>
          <w:rFonts w:ascii="宋体" w:hAnsi="宋体"/>
          <w:b/>
          <w:sz w:val="28"/>
          <w:szCs w:val="28"/>
        </w:rPr>
      </w:pPr>
      <w:r>
        <w:rPr>
          <w:rFonts w:hint="eastAsia" w:ascii="宋体" w:hAnsi="宋体"/>
          <w:b/>
          <w:sz w:val="28"/>
          <w:szCs w:val="28"/>
        </w:rPr>
        <w:t>项目名称：</w:t>
      </w:r>
      <w:r>
        <w:rPr>
          <w:rFonts w:hint="eastAsia" w:ascii="宋体" w:hAnsi="宋体"/>
          <w:b/>
          <w:spacing w:val="-20"/>
          <w:sz w:val="28"/>
          <w:szCs w:val="28"/>
          <w:u w:val="single"/>
        </w:rPr>
        <w:t>成都东部新区福田街道办事处安置小区物业管理采购项目</w:t>
      </w:r>
    </w:p>
    <w:p>
      <w:pPr>
        <w:spacing w:line="360" w:lineRule="auto"/>
        <w:rPr>
          <w:rFonts w:ascii="宋体" w:hAnsi="宋体"/>
          <w:b/>
          <w:sz w:val="28"/>
          <w:szCs w:val="28"/>
          <w:u w:val="single"/>
        </w:rPr>
      </w:pPr>
      <w:r>
        <w:rPr>
          <w:rFonts w:hint="eastAsia" w:ascii="宋体" w:hAnsi="宋体"/>
          <w:b/>
          <w:sz w:val="28"/>
          <w:szCs w:val="28"/>
        </w:rPr>
        <w:t>项目编号：</w:t>
      </w:r>
      <w:r>
        <w:rPr>
          <w:rFonts w:hint="eastAsia" w:ascii="宋体" w:hAnsi="宋体"/>
          <w:b/>
          <w:sz w:val="28"/>
          <w:szCs w:val="28"/>
          <w:u w:val="single"/>
        </w:rPr>
        <w:t>东部新政采（2021）A0005号</w:t>
      </w:r>
    </w:p>
    <w:p>
      <w:pPr>
        <w:snapToGrid w:val="0"/>
        <w:spacing w:line="360" w:lineRule="auto"/>
        <w:ind w:firstLine="560" w:firstLineChars="200"/>
        <w:rPr>
          <w:rFonts w:ascii="宋体" w:hAnsi="宋体"/>
        </w:rPr>
      </w:pPr>
      <w:r>
        <w:rPr>
          <w:rFonts w:hint="eastAsia" w:ascii="宋体" w:hAnsi="宋体"/>
          <w:sz w:val="28"/>
        </w:rPr>
        <w:t>我公司作为参加</w:t>
      </w:r>
      <w:r>
        <w:rPr>
          <w:rFonts w:hint="eastAsia" w:ascii="宋体" w:hAnsi="宋体"/>
          <w:b/>
          <w:sz w:val="28"/>
          <w:szCs w:val="28"/>
          <w:u w:val="single"/>
        </w:rPr>
        <w:t>成都东部新区福田街道办事处安置小区物业管理采购项目</w:t>
      </w:r>
      <w:r>
        <w:rPr>
          <w:rFonts w:hint="eastAsia" w:ascii="宋体" w:hAnsi="宋体"/>
          <w:sz w:val="28"/>
        </w:rPr>
        <w:t>的竞争性磋商的供应商，在此郑重承诺：</w:t>
      </w:r>
    </w:p>
    <w:p>
      <w:pPr>
        <w:pStyle w:val="80"/>
        <w:numPr>
          <w:ilvl w:val="0"/>
          <w:numId w:val="34"/>
        </w:numPr>
        <w:tabs>
          <w:tab w:val="left" w:pos="1134"/>
        </w:tabs>
        <w:adjustRightInd w:val="0"/>
        <w:snapToGrid w:val="0"/>
        <w:spacing w:line="570" w:lineRule="exact"/>
        <w:ind w:left="0" w:firstLine="560" w:firstLineChars="0"/>
        <w:rPr>
          <w:rFonts w:ascii="宋体" w:hAnsi="宋体"/>
          <w:sz w:val="28"/>
          <w:szCs w:val="28"/>
        </w:rPr>
      </w:pPr>
      <w:r>
        <w:rPr>
          <w:rFonts w:hint="eastAsia" w:ascii="宋体" w:hAnsi="宋体" w:cs="宋体"/>
          <w:sz w:val="28"/>
          <w:szCs w:val="28"/>
        </w:rPr>
        <w:t>我单位承诺为本项目提供的所有服务符合现行的强制性国家相关标准、行业标准。</w:t>
      </w:r>
    </w:p>
    <w:p>
      <w:pPr>
        <w:spacing w:line="588" w:lineRule="exact"/>
        <w:ind w:firstLine="563"/>
        <w:rPr>
          <w:rFonts w:ascii="宋体" w:hAnsi="宋体"/>
          <w:sz w:val="28"/>
          <w:szCs w:val="28"/>
        </w:rPr>
      </w:pPr>
    </w:p>
    <w:p>
      <w:pPr>
        <w:spacing w:line="588" w:lineRule="exact"/>
        <w:ind w:firstLine="563"/>
        <w:rPr>
          <w:rFonts w:ascii="宋体" w:hAnsi="宋体"/>
          <w:sz w:val="28"/>
          <w:szCs w:val="28"/>
        </w:rPr>
      </w:pPr>
    </w:p>
    <w:p>
      <w:pPr>
        <w:spacing w:line="588" w:lineRule="exact"/>
        <w:ind w:firstLine="563"/>
        <w:rPr>
          <w:rFonts w:ascii="宋体" w:hAnsi="宋体"/>
          <w:sz w:val="28"/>
          <w:szCs w:val="28"/>
        </w:rPr>
      </w:pPr>
    </w:p>
    <w:p>
      <w:pPr>
        <w:spacing w:line="588" w:lineRule="exact"/>
        <w:ind w:firstLine="563"/>
        <w:rPr>
          <w:rFonts w:ascii="宋体" w:hAnsi="宋体"/>
          <w:sz w:val="28"/>
          <w:szCs w:val="28"/>
        </w:rPr>
      </w:pPr>
    </w:p>
    <w:p>
      <w:pPr>
        <w:spacing w:line="588" w:lineRule="exact"/>
        <w:ind w:firstLine="563"/>
        <w:rPr>
          <w:rFonts w:ascii="宋体" w:hAnsi="宋体"/>
          <w:sz w:val="28"/>
          <w:szCs w:val="28"/>
        </w:rPr>
      </w:pPr>
    </w:p>
    <w:p>
      <w:pPr>
        <w:shd w:val="clear" w:color="auto" w:fill="FFFFFF"/>
        <w:ind w:right="-58"/>
        <w:rPr>
          <w:rFonts w:cs="Calibri"/>
          <w:sz w:val="28"/>
        </w:rPr>
      </w:pPr>
      <w:r>
        <w:rPr>
          <w:rFonts w:hint="eastAsia" w:cs="Calibri"/>
          <w:sz w:val="28"/>
        </w:rPr>
        <w:t>供应商名称：</w:t>
      </w:r>
      <w:r>
        <w:rPr>
          <w:rFonts w:cs="Calibri"/>
          <w:sz w:val="28"/>
          <w:u w:val="single"/>
        </w:rPr>
        <w:t xml:space="preserve"> XXXX </w:t>
      </w:r>
      <w:r>
        <w:rPr>
          <w:rFonts w:hint="eastAsia" w:cs="Calibri"/>
          <w:sz w:val="28"/>
        </w:rPr>
        <w:t>（加盖公章）</w:t>
      </w:r>
    </w:p>
    <w:p>
      <w:pPr>
        <w:shd w:val="clear" w:color="auto" w:fill="FFFFFF"/>
        <w:ind w:right="-58"/>
        <w:rPr>
          <w:rFonts w:ascii="宋体" w:hAnsi="宋体"/>
          <w:sz w:val="28"/>
          <w:szCs w:val="28"/>
        </w:rPr>
      </w:pPr>
      <w:r>
        <w:rPr>
          <w:rFonts w:hint="eastAsia" w:cs="Calibri"/>
          <w:sz w:val="28"/>
        </w:rPr>
        <w:t>日</w:t>
      </w:r>
      <w:r>
        <w:rPr>
          <w:rFonts w:cs="Calibri"/>
          <w:sz w:val="28"/>
        </w:rPr>
        <w:t xml:space="preserve"> </w:t>
      </w:r>
      <w:r>
        <w:rPr>
          <w:rFonts w:hint="eastAsia" w:cs="Calibri"/>
          <w:sz w:val="28"/>
        </w:rPr>
        <w:t>期：</w:t>
      </w:r>
      <w:r>
        <w:rPr>
          <w:rFonts w:cs="Calibri"/>
          <w:sz w:val="28"/>
        </w:rPr>
        <w:t>20X</w:t>
      </w:r>
      <w:r>
        <w:rPr>
          <w:rFonts w:cs="Calibri"/>
          <w:sz w:val="28"/>
          <w:u w:val="single"/>
        </w:rPr>
        <w:t>X</w:t>
      </w:r>
      <w:r>
        <w:rPr>
          <w:rFonts w:hint="eastAsia" w:cs="Calibri"/>
          <w:sz w:val="28"/>
        </w:rPr>
        <w:t>年</w:t>
      </w:r>
      <w:r>
        <w:rPr>
          <w:rFonts w:cs="Calibri"/>
          <w:sz w:val="28"/>
          <w:u w:val="single"/>
        </w:rPr>
        <w:t>XX</w:t>
      </w:r>
      <w:r>
        <w:rPr>
          <w:rFonts w:hint="eastAsia" w:cs="Calibri"/>
          <w:sz w:val="28"/>
        </w:rPr>
        <w:t>月</w:t>
      </w:r>
      <w:r>
        <w:rPr>
          <w:rFonts w:cs="Calibri"/>
          <w:sz w:val="28"/>
          <w:u w:val="single"/>
        </w:rPr>
        <w:t>XX</w:t>
      </w:r>
      <w:r>
        <w:rPr>
          <w:rFonts w:hint="eastAsia" w:cs="Calibri"/>
          <w:sz w:val="28"/>
        </w:rPr>
        <w:t>日</w:t>
      </w:r>
    </w:p>
    <w:p>
      <w:pPr>
        <w:spacing w:line="588" w:lineRule="exact"/>
        <w:ind w:firstLine="563"/>
        <w:rPr>
          <w:rFonts w:ascii="宋体" w:hAnsi="宋体"/>
          <w:sz w:val="28"/>
          <w:szCs w:val="28"/>
        </w:rPr>
      </w:pPr>
    </w:p>
    <w:p>
      <w:pPr>
        <w:spacing w:line="588" w:lineRule="exact"/>
        <w:ind w:firstLine="563"/>
        <w:rPr>
          <w:rFonts w:ascii="宋体" w:hAnsi="宋体"/>
          <w:sz w:val="28"/>
          <w:szCs w:val="28"/>
        </w:rPr>
      </w:pPr>
    </w:p>
    <w:p>
      <w:pPr>
        <w:spacing w:line="588" w:lineRule="exact"/>
        <w:ind w:firstLine="563"/>
        <w:rPr>
          <w:rFonts w:ascii="宋体" w:hAnsi="宋体"/>
          <w:sz w:val="28"/>
          <w:szCs w:val="28"/>
        </w:rPr>
      </w:pPr>
    </w:p>
    <w:p>
      <w:pPr>
        <w:spacing w:line="588" w:lineRule="exact"/>
        <w:ind w:firstLine="563"/>
        <w:rPr>
          <w:rFonts w:ascii="宋体" w:hAnsi="宋体"/>
          <w:sz w:val="28"/>
          <w:szCs w:val="28"/>
        </w:rPr>
      </w:pPr>
    </w:p>
    <w:p>
      <w:pPr>
        <w:spacing w:line="588" w:lineRule="exact"/>
        <w:ind w:firstLine="563"/>
        <w:rPr>
          <w:rFonts w:ascii="宋体" w:hAnsi="宋体"/>
          <w:sz w:val="28"/>
          <w:szCs w:val="28"/>
        </w:rPr>
      </w:pPr>
    </w:p>
    <w:p>
      <w:pPr>
        <w:spacing w:line="588" w:lineRule="exact"/>
        <w:ind w:firstLine="563"/>
        <w:rPr>
          <w:rFonts w:ascii="宋体" w:hAnsi="宋体"/>
          <w:sz w:val="28"/>
          <w:szCs w:val="28"/>
        </w:rPr>
      </w:pPr>
    </w:p>
    <w:p>
      <w:pPr>
        <w:spacing w:line="588" w:lineRule="exact"/>
        <w:ind w:firstLine="563"/>
        <w:rPr>
          <w:rFonts w:ascii="宋体" w:hAnsi="宋体"/>
          <w:sz w:val="28"/>
          <w:szCs w:val="28"/>
        </w:rPr>
      </w:pPr>
    </w:p>
    <w:p>
      <w:pPr>
        <w:spacing w:line="588" w:lineRule="exact"/>
        <w:ind w:firstLine="563"/>
        <w:rPr>
          <w:rFonts w:ascii="宋体" w:hAnsi="宋体"/>
          <w:sz w:val="28"/>
          <w:szCs w:val="28"/>
        </w:rPr>
      </w:pPr>
    </w:p>
    <w:p>
      <w:pPr>
        <w:pStyle w:val="4"/>
        <w:numPr>
          <w:ilvl w:val="1"/>
          <w:numId w:val="14"/>
        </w:numPr>
        <w:spacing w:after="200"/>
        <w:ind w:left="1985" w:hanging="1985"/>
      </w:pPr>
      <w:bookmarkStart w:id="70" w:name="_Toc451340457"/>
      <w:bookmarkStart w:id="71" w:name="_Toc58943338"/>
      <w:bookmarkStart w:id="72" w:name="_Toc11906"/>
      <w:r>
        <w:rPr>
          <w:rFonts w:hint="eastAsia"/>
        </w:rPr>
        <w:t>最后报价</w:t>
      </w:r>
      <w:bookmarkEnd w:id="70"/>
      <w:r>
        <w:rPr>
          <w:rFonts w:hint="eastAsia"/>
        </w:rPr>
        <w:t>表</w:t>
      </w:r>
      <w:bookmarkEnd w:id="71"/>
      <w:bookmarkEnd w:id="72"/>
    </w:p>
    <w:p>
      <w:pPr>
        <w:snapToGrid w:val="0"/>
        <w:spacing w:line="360" w:lineRule="auto"/>
        <w:ind w:right="-713" w:rightChars="-297"/>
        <w:rPr>
          <w:rFonts w:ascii="宋体" w:hAnsi="宋体"/>
          <w:b/>
          <w:sz w:val="28"/>
          <w:szCs w:val="28"/>
          <w:u w:val="single"/>
        </w:rPr>
      </w:pPr>
      <w:r>
        <w:rPr>
          <w:rFonts w:hint="eastAsia" w:ascii="宋体" w:hAnsi="宋体"/>
          <w:b/>
          <w:sz w:val="28"/>
        </w:rPr>
        <w:t>项目名称：</w:t>
      </w:r>
      <w:r>
        <w:rPr>
          <w:rFonts w:hint="eastAsia" w:ascii="宋体" w:hAnsi="宋体"/>
          <w:b/>
          <w:spacing w:val="-20"/>
          <w:sz w:val="28"/>
          <w:szCs w:val="28"/>
          <w:u w:val="single"/>
        </w:rPr>
        <w:t>成都东部新区福田街道办事处安置小区物业管理采购项目</w:t>
      </w:r>
    </w:p>
    <w:p>
      <w:pPr>
        <w:snapToGrid w:val="0"/>
        <w:spacing w:line="360" w:lineRule="auto"/>
        <w:ind w:right="-713" w:rightChars="-297"/>
        <w:rPr>
          <w:rFonts w:ascii="宋体" w:hAnsi="宋体"/>
          <w:b/>
          <w:sz w:val="28"/>
          <w:szCs w:val="28"/>
          <w:u w:val="single"/>
        </w:rPr>
      </w:pPr>
      <w:r>
        <w:rPr>
          <w:rFonts w:hint="eastAsia" w:ascii="宋体" w:hAnsi="宋体"/>
          <w:b/>
          <w:sz w:val="28"/>
        </w:rPr>
        <w:t>项目编号：</w:t>
      </w:r>
      <w:r>
        <w:rPr>
          <w:rFonts w:hint="eastAsia" w:ascii="宋体" w:hAnsi="宋体"/>
          <w:b/>
          <w:sz w:val="28"/>
          <w:szCs w:val="28"/>
          <w:u w:val="single"/>
        </w:rPr>
        <w:t>东部新政采（2021）A0005号</w:t>
      </w:r>
    </w:p>
    <w:tbl>
      <w:tblPr>
        <w:tblStyle w:val="45"/>
        <w:tblpPr w:leftFromText="180" w:rightFromText="180" w:vertAnchor="text" w:horzAnchor="page" w:tblpX="1652" w:tblpY="14"/>
        <w:tblW w:w="93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4833"/>
        <w:gridCol w:w="837"/>
        <w:gridCol w:w="2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38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8"/>
                <w:szCs w:val="28"/>
              </w:rPr>
            </w:pPr>
            <w:r>
              <w:rPr>
                <w:rFonts w:hint="eastAsia" w:ascii="宋体" w:hAnsi="宋体"/>
                <w:b/>
                <w:bCs/>
                <w:sz w:val="28"/>
                <w:szCs w:val="28"/>
              </w:rPr>
              <w:t>序号</w:t>
            </w:r>
          </w:p>
        </w:tc>
        <w:tc>
          <w:tcPr>
            <w:tcW w:w="48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8"/>
                <w:szCs w:val="28"/>
              </w:rPr>
            </w:pPr>
            <w:r>
              <w:rPr>
                <w:rFonts w:hint="eastAsia" w:ascii="宋体" w:hAnsi="宋体"/>
                <w:b/>
                <w:bCs/>
                <w:sz w:val="28"/>
                <w:szCs w:val="28"/>
              </w:rPr>
              <w:t>服务内容</w:t>
            </w:r>
          </w:p>
        </w:tc>
        <w:tc>
          <w:tcPr>
            <w:tcW w:w="8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8"/>
                <w:szCs w:val="28"/>
              </w:rPr>
            </w:pPr>
            <w:r>
              <w:rPr>
                <w:rFonts w:hint="eastAsia" w:ascii="宋体" w:hAnsi="宋体"/>
                <w:b/>
                <w:bCs/>
                <w:sz w:val="28"/>
                <w:szCs w:val="28"/>
              </w:rPr>
              <w:t>服务时间</w:t>
            </w:r>
          </w:p>
        </w:tc>
        <w:tc>
          <w:tcPr>
            <w:tcW w:w="226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8"/>
                <w:szCs w:val="28"/>
              </w:rPr>
            </w:pPr>
            <w:r>
              <w:rPr>
                <w:rFonts w:hint="eastAsia" w:ascii="宋体" w:hAnsi="宋体"/>
                <w:b/>
                <w:bCs/>
                <w:sz w:val="28"/>
                <w:szCs w:val="28"/>
              </w:rPr>
              <w:t>最后报价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trPr>
        <w:tc>
          <w:tcPr>
            <w:tcW w:w="1384" w:type="dxa"/>
            <w:tcBorders>
              <w:top w:val="single" w:color="auto" w:sz="4" w:space="0"/>
              <w:left w:val="single" w:color="auto" w:sz="4" w:space="0"/>
              <w:bottom w:val="single" w:color="auto" w:sz="4" w:space="0"/>
              <w:right w:val="single" w:color="auto" w:sz="4" w:space="0"/>
            </w:tcBorders>
            <w:vAlign w:val="center"/>
          </w:tcPr>
          <w:p>
            <w:pPr>
              <w:jc w:val="center"/>
              <w:rPr>
                <w:sz w:val="28"/>
                <w:szCs w:val="28"/>
              </w:rPr>
            </w:pPr>
            <w:r>
              <w:rPr>
                <w:sz w:val="28"/>
                <w:szCs w:val="28"/>
              </w:rPr>
              <w:t>1</w:t>
            </w:r>
          </w:p>
        </w:tc>
        <w:tc>
          <w:tcPr>
            <w:tcW w:w="4833" w:type="dxa"/>
            <w:tcBorders>
              <w:top w:val="single" w:color="auto" w:sz="4" w:space="0"/>
              <w:left w:val="single" w:color="auto" w:sz="4" w:space="0"/>
              <w:bottom w:val="single" w:color="auto" w:sz="4" w:space="0"/>
              <w:right w:val="single" w:color="auto" w:sz="4" w:space="0"/>
            </w:tcBorders>
            <w:vAlign w:val="center"/>
          </w:tcPr>
          <w:p>
            <w:pPr>
              <w:rPr>
                <w:sz w:val="28"/>
                <w:szCs w:val="28"/>
              </w:rPr>
            </w:pPr>
            <w:r>
              <w:rPr>
                <w:rFonts w:hint="eastAsia" w:ascii="宋体" w:hAnsi="宋体"/>
                <w:bCs/>
                <w:sz w:val="28"/>
                <w:szCs w:val="28"/>
              </w:rPr>
              <w:t>成都东部新区福田街道办事处安置小区物业管理服务</w:t>
            </w:r>
          </w:p>
        </w:tc>
        <w:tc>
          <w:tcPr>
            <w:tcW w:w="8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8"/>
                <w:szCs w:val="28"/>
              </w:rPr>
            </w:pPr>
            <w:r>
              <w:rPr>
                <w:rFonts w:hint="eastAsia"/>
                <w:sz w:val="28"/>
                <w:szCs w:val="28"/>
                <w:lang w:val="en-US" w:eastAsia="zh-CN"/>
              </w:rPr>
              <w:t>3</w:t>
            </w:r>
            <w:r>
              <w:rPr>
                <w:rFonts w:hint="eastAsia"/>
                <w:sz w:val="28"/>
                <w:szCs w:val="28"/>
              </w:rPr>
              <w:t>年</w:t>
            </w:r>
          </w:p>
        </w:tc>
        <w:tc>
          <w:tcPr>
            <w:tcW w:w="2261" w:type="dxa"/>
            <w:tcBorders>
              <w:top w:val="single" w:color="auto" w:sz="4" w:space="0"/>
              <w:left w:val="single" w:color="auto" w:sz="4" w:space="0"/>
              <w:bottom w:val="single" w:color="auto" w:sz="4" w:space="0"/>
              <w:right w:val="single" w:color="auto" w:sz="4" w:space="0"/>
            </w:tcBorders>
            <w:vAlign w:val="center"/>
          </w:tcPr>
          <w:p>
            <w:pPr>
              <w:ind w:firstLine="873" w:firstLineChars="312"/>
              <w:rPr>
                <w:rFonts w:hint="eastAsia" w:ascii="宋体" w:hAnsi="宋体" w:eastAsia="宋体"/>
                <w:bCs/>
                <w:sz w:val="28"/>
                <w:szCs w:val="28"/>
                <w:lang w:val="en-US" w:eastAsia="zh-CN"/>
              </w:rPr>
            </w:pPr>
            <w:r>
              <w:rPr>
                <w:rFonts w:hint="eastAsia" w:ascii="宋体" w:hAnsi="宋体"/>
                <w:bCs/>
                <w:sz w:val="28"/>
                <w:szCs w:val="28"/>
                <w:u w:val="single"/>
              </w:rPr>
              <w:t>XX</w:t>
            </w:r>
            <w:r>
              <w:rPr>
                <w:rFonts w:hint="eastAsia" w:ascii="宋体" w:hAnsi="宋体"/>
                <w:bCs/>
                <w:sz w:val="28"/>
                <w:szCs w:val="28"/>
              </w:rPr>
              <w:t>元</w:t>
            </w:r>
            <w:r>
              <w:rPr>
                <w:rFonts w:hint="eastAsia" w:ascii="宋体" w:hAnsi="宋体"/>
                <w:bCs/>
                <w:sz w:val="28"/>
                <w:szCs w:val="28"/>
                <w:lang w:val="en-US" w:eastAsia="zh-CN"/>
              </w:rPr>
              <w:t>/年</w:t>
            </w:r>
          </w:p>
        </w:tc>
      </w:tr>
    </w:tbl>
    <w:p>
      <w:pPr>
        <w:pStyle w:val="82"/>
        <w:ind w:firstLine="703"/>
        <w:rPr>
          <w:rFonts w:hint="default" w:eastAsiaTheme="minorEastAsia"/>
          <w:sz w:val="28"/>
          <w:lang w:val="en-US" w:eastAsia="zh-CN"/>
        </w:rPr>
      </w:pPr>
      <w:r>
        <w:rPr>
          <w:rFonts w:hint="eastAsia"/>
          <w:b/>
          <w:sz w:val="28"/>
        </w:rPr>
        <w:t>最后报价（大写人民币）：</w:t>
      </w:r>
      <w:r>
        <w:rPr>
          <w:sz w:val="28"/>
          <w:u w:val="single"/>
        </w:rPr>
        <w:t>XXXX</w:t>
      </w:r>
      <w:r>
        <w:rPr>
          <w:rFonts w:hint="eastAsia"/>
          <w:sz w:val="28"/>
          <w:u w:val="single"/>
          <w:lang w:eastAsia="zh-CN"/>
        </w:rPr>
        <w:t>元</w:t>
      </w:r>
      <w:r>
        <w:rPr>
          <w:rFonts w:hint="eastAsia"/>
          <w:sz w:val="28"/>
          <w:u w:val="single"/>
          <w:lang w:val="en-US" w:eastAsia="zh-CN"/>
        </w:rPr>
        <w:t>/年</w:t>
      </w:r>
    </w:p>
    <w:p>
      <w:pPr>
        <w:pStyle w:val="82"/>
        <w:ind w:firstLine="560" w:firstLineChars="200"/>
        <w:rPr>
          <w:sz w:val="28"/>
        </w:rPr>
      </w:pPr>
      <w:r>
        <w:rPr>
          <w:rFonts w:hint="eastAsia"/>
          <w:sz w:val="28"/>
        </w:rPr>
        <w:t>供应商名称：</w:t>
      </w:r>
      <w:r>
        <w:rPr>
          <w:sz w:val="28"/>
          <w:u w:val="single"/>
        </w:rPr>
        <w:t>XXXX</w:t>
      </w:r>
    </w:p>
    <w:p>
      <w:pPr>
        <w:pStyle w:val="82"/>
        <w:ind w:firstLine="560" w:firstLineChars="200"/>
        <w:rPr>
          <w:rFonts w:ascii="宋体" w:hAnsi="宋体"/>
          <w:sz w:val="28"/>
        </w:rPr>
      </w:pPr>
      <w:r>
        <w:rPr>
          <w:rFonts w:hint="eastAsia" w:ascii="宋体" w:hAnsi="宋体"/>
          <w:sz w:val="28"/>
        </w:rPr>
        <w:t>法定代表人</w:t>
      </w:r>
      <w:r>
        <w:rPr>
          <w:rFonts w:hint="eastAsia"/>
          <w:sz w:val="28"/>
        </w:rPr>
        <w:t>或代理人：</w:t>
      </w:r>
      <w:r>
        <w:rPr>
          <w:sz w:val="28"/>
          <w:u w:val="single"/>
        </w:rPr>
        <w:t>XXXX</w:t>
      </w:r>
      <w:r>
        <w:rPr>
          <w:rFonts w:hint="eastAsia" w:ascii="宋体" w:hAnsi="宋体"/>
          <w:sz w:val="28"/>
        </w:rPr>
        <w:t>（签字）</w:t>
      </w:r>
    </w:p>
    <w:p>
      <w:pPr>
        <w:pStyle w:val="82"/>
        <w:ind w:firstLine="560" w:firstLineChars="200"/>
        <w:rPr>
          <w:sz w:val="28"/>
          <w:u w:val="single"/>
        </w:rPr>
      </w:pPr>
      <w:r>
        <w:rPr>
          <w:rFonts w:hint="eastAsia"/>
          <w:sz w:val="28"/>
        </w:rPr>
        <w:t>日期：</w:t>
      </w:r>
      <w:r>
        <w:rPr>
          <w:sz w:val="28"/>
          <w:u w:val="single"/>
        </w:rPr>
        <w:t>XX</w:t>
      </w:r>
      <w:r>
        <w:rPr>
          <w:rFonts w:hint="eastAsia" w:ascii="宋体" w:hAnsi="宋体"/>
          <w:sz w:val="28"/>
        </w:rPr>
        <w:t>年</w:t>
      </w:r>
      <w:r>
        <w:rPr>
          <w:rFonts w:hint="eastAsia" w:ascii="宋体" w:hAnsi="宋体"/>
          <w:sz w:val="28"/>
          <w:u w:val="single"/>
        </w:rPr>
        <w:t>XX</w:t>
      </w:r>
      <w:r>
        <w:rPr>
          <w:rFonts w:hint="eastAsia" w:ascii="宋体" w:hAnsi="宋体"/>
          <w:sz w:val="28"/>
        </w:rPr>
        <w:t>月</w:t>
      </w:r>
      <w:r>
        <w:rPr>
          <w:rFonts w:hint="eastAsia" w:ascii="宋体" w:hAnsi="宋体"/>
          <w:sz w:val="28"/>
          <w:u w:val="single"/>
        </w:rPr>
        <w:t>XX</w:t>
      </w:r>
      <w:r>
        <w:rPr>
          <w:rFonts w:hint="eastAsia" w:ascii="宋体" w:hAnsi="宋体"/>
          <w:sz w:val="28"/>
        </w:rPr>
        <w:t>日</w:t>
      </w:r>
    </w:p>
    <w:p>
      <w:pPr>
        <w:pStyle w:val="82"/>
        <w:ind w:firstLine="703"/>
        <w:rPr>
          <w:rFonts w:ascii="宋体" w:hAnsi="宋体"/>
          <w:b/>
          <w:sz w:val="28"/>
        </w:rPr>
      </w:pPr>
      <w:r>
        <w:rPr>
          <w:rFonts w:hint="eastAsia" w:ascii="宋体" w:hAnsi="宋体"/>
          <w:b/>
          <w:sz w:val="28"/>
        </w:rPr>
        <w:t>说明：一、供应商可不在响应文件中填写并提供此表。此表为磋商结束后，由供应商填写“最后报价”（表格由磋商小组提供），经供应商法定代表人或代理人签字后密封递交给成都东部新区党工委管委会（成都市东部新城办）综合部工作人员，由其收集齐后集中递交磋商小组。供应商在响应文件中提交此表的，不影响其响应文件的有效性，其最后报价以磋商结束后提交的“最后报价”为准。</w:t>
      </w:r>
    </w:p>
    <w:p>
      <w:pPr>
        <w:pStyle w:val="82"/>
        <w:ind w:firstLine="703"/>
        <w:rPr>
          <w:rFonts w:ascii="宋体" w:hAnsi="宋体"/>
          <w:b/>
          <w:sz w:val="28"/>
        </w:rPr>
      </w:pPr>
      <w:r>
        <w:rPr>
          <w:rFonts w:hint="eastAsia" w:ascii="宋体" w:hAnsi="宋体"/>
          <w:b/>
          <w:sz w:val="28"/>
        </w:rPr>
        <w:t>二、报价应是包括磋商文件规定的全部相应内容的报价。</w:t>
      </w:r>
    </w:p>
    <w:p>
      <w:pPr>
        <w:pStyle w:val="82"/>
        <w:ind w:firstLine="703"/>
        <w:rPr>
          <w:rFonts w:ascii="宋体" w:hAnsi="宋体"/>
          <w:b/>
          <w:sz w:val="28"/>
        </w:rPr>
      </w:pPr>
    </w:p>
    <w:p>
      <w:pPr>
        <w:pStyle w:val="3"/>
        <w:numPr>
          <w:ilvl w:val="0"/>
          <w:numId w:val="1"/>
        </w:numPr>
        <w:spacing w:before="0" w:after="0"/>
        <w:ind w:left="0" w:firstLine="0"/>
      </w:pPr>
      <w:bookmarkStart w:id="73" w:name="_Toc24939"/>
      <w:r>
        <w:rPr>
          <w:rFonts w:hint="eastAsia"/>
        </w:rPr>
        <w:t>技术、服务、商务及其他要求</w:t>
      </w:r>
      <w:bookmarkEnd w:id="73"/>
    </w:p>
    <w:p>
      <w:pPr>
        <w:ind w:firstLine="562" w:firstLineChars="200"/>
        <w:rPr>
          <w:rFonts w:ascii="宋体" w:hAnsi="宋体"/>
          <w:b/>
          <w:sz w:val="28"/>
          <w:szCs w:val="28"/>
        </w:rPr>
      </w:pPr>
      <w:r>
        <w:rPr>
          <w:rFonts w:ascii="宋体" w:hAnsi="宋体"/>
          <w:b/>
          <w:sz w:val="28"/>
          <w:szCs w:val="28"/>
        </w:rPr>
        <w:t>本章采购需求中标注“</w:t>
      </w:r>
      <w:r>
        <w:rPr>
          <w:rFonts w:hint="eastAsia" w:ascii="宋体" w:hAnsi="宋体"/>
          <w:b/>
          <w:sz w:val="28"/>
          <w:szCs w:val="28"/>
        </w:rPr>
        <w:t>★</w:t>
      </w:r>
      <w:r>
        <w:rPr>
          <w:rFonts w:ascii="宋体" w:hAnsi="宋体"/>
          <w:b/>
          <w:sz w:val="28"/>
          <w:szCs w:val="28"/>
        </w:rPr>
        <w:t>”号的条款为本次采购项目的实质性要求，供应商</w:t>
      </w:r>
      <w:r>
        <w:rPr>
          <w:rFonts w:hint="eastAsia" w:ascii="宋体" w:hAnsi="宋体"/>
          <w:b/>
          <w:sz w:val="28"/>
          <w:szCs w:val="28"/>
        </w:rPr>
        <w:t>在磋商</w:t>
      </w:r>
      <w:r>
        <w:rPr>
          <w:rFonts w:ascii="宋体" w:hAnsi="宋体"/>
          <w:b/>
          <w:sz w:val="28"/>
          <w:szCs w:val="28"/>
        </w:rPr>
        <w:t>结束后应全部满足</w:t>
      </w:r>
      <w:r>
        <w:rPr>
          <w:rFonts w:hint="eastAsia" w:ascii="宋体" w:hAnsi="宋体"/>
          <w:b/>
          <w:sz w:val="28"/>
          <w:szCs w:val="28"/>
        </w:rPr>
        <w:t>。</w:t>
      </w:r>
    </w:p>
    <w:p>
      <w:pPr>
        <w:pStyle w:val="4"/>
      </w:pPr>
      <w:bookmarkStart w:id="74" w:name="_Toc21599"/>
      <w:r>
        <w:rPr>
          <w:rFonts w:hint="eastAsia"/>
        </w:rPr>
        <w:t>服务内容及要求</w:t>
      </w:r>
      <w:bookmarkEnd w:id="74"/>
    </w:p>
    <w:p>
      <w:pPr>
        <w:pStyle w:val="5"/>
      </w:pPr>
      <w:bookmarkStart w:id="75" w:name="_Toc496702872"/>
      <w:bookmarkStart w:id="76" w:name="_Toc321334066"/>
      <w:r>
        <w:rPr>
          <w:rFonts w:hint="eastAsia"/>
        </w:rPr>
        <w:t>项目概况</w:t>
      </w:r>
    </w:p>
    <w:p>
      <w:pPr>
        <w:widowControl w:val="0"/>
        <w:ind w:firstLine="560" w:firstLineChars="200"/>
        <w:jc w:val="both"/>
        <w:rPr>
          <w:rFonts w:ascii="宋体" w:hAnsi="宋体"/>
          <w:kern w:val="2"/>
          <w:sz w:val="28"/>
          <w:szCs w:val="28"/>
        </w:rPr>
      </w:pPr>
      <w:r>
        <w:rPr>
          <w:rFonts w:hint="eastAsia" w:ascii="宋体" w:hAnsi="宋体"/>
          <w:kern w:val="2"/>
          <w:sz w:val="28"/>
          <w:szCs w:val="28"/>
        </w:rPr>
        <w:t>成都东部新区福田街道办事处社区工程一期安置小区，位于成都东部新区福田街道办事处定水村八组，项目占地134.58亩，总建筑面积约242,480.38平方米。其中地上住宅建筑面积194,366.43平方米；地上商业及配套建筑面积15,029.51平方米，公共配套建筑面积33,084.44平方米。</w:t>
      </w:r>
    </w:p>
    <w:p>
      <w:pPr>
        <w:widowControl w:val="0"/>
        <w:ind w:firstLine="560" w:firstLineChars="200"/>
        <w:jc w:val="both"/>
        <w:rPr>
          <w:rFonts w:ascii="宋体" w:hAnsi="宋体"/>
          <w:kern w:val="2"/>
          <w:sz w:val="28"/>
          <w:szCs w:val="28"/>
        </w:rPr>
      </w:pPr>
      <w:r>
        <w:rPr>
          <w:rFonts w:hint="eastAsia" w:ascii="宋体" w:hAnsi="宋体"/>
          <w:kern w:val="2"/>
          <w:sz w:val="28"/>
          <w:szCs w:val="28"/>
        </w:rPr>
        <w:t>福田街道社区工程一期住宅共有电梯46部、出入口12个（主，次出入口共12个）、发电机3台，每台500千伏安，监控室4个，地下室机动车位1,513个，非机动车位1,604个、物业服务用房942.43平方米；总安置人数约2407人，安置户数约1424户。</w:t>
      </w:r>
    </w:p>
    <w:p>
      <w:pPr>
        <w:pStyle w:val="5"/>
      </w:pPr>
      <w:bookmarkStart w:id="77" w:name="_Toc60658341"/>
      <w:r>
        <w:rPr>
          <w:rFonts w:hint="eastAsia"/>
        </w:rPr>
        <w:t>服务内容</w:t>
      </w:r>
    </w:p>
    <w:bookmarkEnd w:id="77"/>
    <w:p>
      <w:pPr>
        <w:pStyle w:val="80"/>
        <w:ind w:firstLine="280" w:firstLineChars="100"/>
        <w:rPr>
          <w:rFonts w:ascii="宋体" w:hAnsi="宋体"/>
          <w:sz w:val="28"/>
          <w:szCs w:val="28"/>
        </w:rPr>
      </w:pPr>
      <w:r>
        <w:rPr>
          <w:rFonts w:hint="eastAsia" w:ascii="宋体" w:hAnsi="宋体"/>
          <w:sz w:val="28"/>
          <w:szCs w:val="28"/>
        </w:rPr>
        <w:t>（一）物业服务质量标准(124项）</w:t>
      </w:r>
    </w:p>
    <w:p>
      <w:pPr>
        <w:ind w:firstLine="280" w:firstLineChars="100"/>
        <w:rPr>
          <w:rFonts w:ascii="宋体" w:hAnsi="宋体"/>
          <w:sz w:val="28"/>
          <w:szCs w:val="28"/>
        </w:rPr>
      </w:pPr>
      <w:r>
        <w:rPr>
          <w:rFonts w:hint="eastAsia" w:ascii="宋体" w:hAnsi="宋体"/>
          <w:sz w:val="28"/>
          <w:szCs w:val="28"/>
        </w:rPr>
        <w:t>本项目物业的物业服务质量标准参照（四川省（区域性）地方标准《住宅物业服务等级划分》）（DB510100T 073-2011）住宅三级服务标准及采购人为本项目物业服务制定的物业服务标准。</w:t>
      </w:r>
    </w:p>
    <w:p>
      <w:pPr>
        <w:ind w:firstLine="280" w:firstLineChars="100"/>
        <w:rPr>
          <w:rFonts w:ascii="宋体" w:hAnsi="宋体"/>
          <w:sz w:val="28"/>
          <w:szCs w:val="28"/>
        </w:rPr>
      </w:pPr>
      <w:r>
        <w:rPr>
          <w:rFonts w:hint="eastAsia" w:ascii="宋体" w:hAnsi="宋体"/>
          <w:sz w:val="28"/>
          <w:szCs w:val="28"/>
        </w:rPr>
        <w:t>（二）综合服务内容及要求（38项）</w:t>
      </w:r>
    </w:p>
    <w:tbl>
      <w:tblPr>
        <w:tblStyle w:val="45"/>
        <w:tblW w:w="839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5"/>
        <w:gridCol w:w="65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5" w:hRule="atLeast"/>
        </w:trPr>
        <w:tc>
          <w:tcPr>
            <w:tcW w:w="1835" w:type="dxa"/>
          </w:tcPr>
          <w:p>
            <w:pPr>
              <w:jc w:val="center"/>
              <w:rPr>
                <w:rFonts w:ascii="宋体" w:hAnsi="宋体"/>
                <w:sz w:val="28"/>
                <w:szCs w:val="28"/>
              </w:rPr>
            </w:pPr>
            <w:r>
              <w:rPr>
                <w:rFonts w:hint="eastAsia" w:ascii="宋体" w:hAnsi="宋体"/>
                <w:sz w:val="28"/>
                <w:szCs w:val="28"/>
              </w:rPr>
              <w:t>项 目</w:t>
            </w:r>
          </w:p>
        </w:tc>
        <w:tc>
          <w:tcPr>
            <w:tcW w:w="6558" w:type="dxa"/>
          </w:tcPr>
          <w:p>
            <w:pPr>
              <w:jc w:val="center"/>
              <w:rPr>
                <w:rFonts w:ascii="宋体" w:hAnsi="宋体"/>
                <w:sz w:val="28"/>
                <w:szCs w:val="28"/>
              </w:rPr>
            </w:pPr>
            <w:r>
              <w:rPr>
                <w:rFonts w:hint="eastAsia" w:ascii="宋体" w:hAnsi="宋体"/>
                <w:sz w:val="28"/>
                <w:szCs w:val="28"/>
              </w:rPr>
              <w:t>内容及要求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1835" w:type="dxa"/>
            <w:vAlign w:val="center"/>
          </w:tcPr>
          <w:p>
            <w:pPr>
              <w:jc w:val="center"/>
              <w:rPr>
                <w:rFonts w:ascii="宋体" w:hAnsi="宋体"/>
                <w:sz w:val="28"/>
                <w:szCs w:val="28"/>
              </w:rPr>
            </w:pPr>
            <w:r>
              <w:rPr>
                <w:rFonts w:hint="eastAsia" w:ascii="宋体" w:hAnsi="宋体"/>
                <w:sz w:val="28"/>
                <w:szCs w:val="28"/>
              </w:rPr>
              <w:t>客户服务场所</w:t>
            </w:r>
          </w:p>
        </w:tc>
        <w:tc>
          <w:tcPr>
            <w:tcW w:w="6558" w:type="dxa"/>
          </w:tcPr>
          <w:p>
            <w:pPr>
              <w:rPr>
                <w:rFonts w:ascii="宋体" w:hAnsi="宋体"/>
                <w:sz w:val="28"/>
                <w:szCs w:val="28"/>
              </w:rPr>
            </w:pPr>
            <w:r>
              <w:rPr>
                <w:rFonts w:hint="eastAsia" w:ascii="宋体" w:hAnsi="宋体"/>
                <w:sz w:val="28"/>
                <w:szCs w:val="28"/>
              </w:rPr>
              <w:t>1、有客户服务中心，至少应配置有办公桌、椅、饮水机、电脑、打印机、网络、电话。</w:t>
            </w:r>
          </w:p>
          <w:p>
            <w:pPr>
              <w:rPr>
                <w:rFonts w:ascii="宋体" w:hAnsi="宋体"/>
                <w:sz w:val="28"/>
                <w:szCs w:val="28"/>
              </w:rPr>
            </w:pPr>
            <w:r>
              <w:rPr>
                <w:rFonts w:hint="eastAsia" w:ascii="宋体" w:hAnsi="宋体"/>
                <w:sz w:val="28"/>
                <w:szCs w:val="28"/>
              </w:rPr>
              <w:t>2、公示有物业服务企业营业执照或其它管理人名录证书（复印件）、项目主要服务人员姓名、照片、岗位信息，物业服务事项、服务标准、收费项目、收费标准、收费率（每季度统计1次）、报修电话、三级投诉电话等物业服务及收费信息。有管务信息查询台。提供特约服务的，应公示服务项目、服务标准及收费标准。</w:t>
            </w:r>
          </w:p>
          <w:p>
            <w:pPr>
              <w:rPr>
                <w:rFonts w:ascii="宋体" w:hAnsi="宋体"/>
                <w:sz w:val="28"/>
                <w:szCs w:val="28"/>
              </w:rPr>
            </w:pPr>
            <w:r>
              <w:rPr>
                <w:rFonts w:hint="eastAsia" w:ascii="宋体" w:hAnsi="宋体"/>
                <w:sz w:val="28"/>
                <w:szCs w:val="28"/>
              </w:rPr>
              <w:t>3、客户服务中心工作时间至少10小时值班，其它时间物业管理区域内有值班人员。</w:t>
            </w:r>
          </w:p>
          <w:p>
            <w:pPr>
              <w:rPr>
                <w:rFonts w:ascii="宋体" w:hAnsi="宋体"/>
                <w:sz w:val="28"/>
                <w:szCs w:val="28"/>
              </w:rPr>
            </w:pPr>
            <w:r>
              <w:rPr>
                <w:rFonts w:hint="eastAsia" w:ascii="宋体" w:hAnsi="宋体"/>
                <w:sz w:val="28"/>
                <w:szCs w:val="28"/>
              </w:rPr>
              <w:t>4、公示有24 小时服务电话。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5" w:hRule="atLeast"/>
        </w:trPr>
        <w:tc>
          <w:tcPr>
            <w:tcW w:w="1835" w:type="dxa"/>
            <w:vAlign w:val="center"/>
          </w:tcPr>
          <w:p>
            <w:pPr>
              <w:jc w:val="center"/>
              <w:rPr>
                <w:rFonts w:ascii="宋体" w:hAnsi="宋体"/>
                <w:sz w:val="28"/>
                <w:szCs w:val="28"/>
              </w:rPr>
            </w:pPr>
            <w:r>
              <w:rPr>
                <w:rFonts w:ascii="宋体" w:hAnsi="宋体"/>
                <w:sz w:val="28"/>
                <w:szCs w:val="28"/>
              </w:rPr>
              <w:t>人员</w:t>
            </w:r>
          </w:p>
        </w:tc>
        <w:tc>
          <w:tcPr>
            <w:tcW w:w="6558" w:type="dxa"/>
          </w:tcPr>
          <w:p>
            <w:pPr>
              <w:rPr>
                <w:rFonts w:ascii="宋体" w:hAnsi="宋体"/>
                <w:sz w:val="28"/>
                <w:szCs w:val="28"/>
              </w:rPr>
            </w:pPr>
            <w:r>
              <w:rPr>
                <w:rFonts w:hint="eastAsia" w:ascii="宋体" w:hAnsi="宋体"/>
                <w:sz w:val="28"/>
                <w:szCs w:val="28"/>
              </w:rPr>
              <w:t>5、实行项目经理责任制，一个物业管理区域配备1名项目经理。项目负责人应取得成都市物业服务项目经理证书或注册物业管理师执业资格证书。</w:t>
            </w:r>
          </w:p>
          <w:p>
            <w:r>
              <w:rPr>
                <w:rFonts w:hint="eastAsia" w:ascii="宋体" w:hAnsi="宋体"/>
                <w:sz w:val="28"/>
                <w:szCs w:val="28"/>
              </w:rPr>
              <w:t>6、除项目经理外的项目其他管理人员应纳入成都市物业服务信用信息档案管理系统、持有执业名册证书。</w:t>
            </w:r>
          </w:p>
          <w:p>
            <w:pPr>
              <w:rPr>
                <w:rFonts w:ascii="宋体" w:hAnsi="宋体"/>
                <w:sz w:val="28"/>
                <w:szCs w:val="28"/>
              </w:rPr>
            </w:pPr>
            <w:r>
              <w:rPr>
                <w:rFonts w:hint="eastAsia" w:ascii="宋体" w:hAnsi="宋体"/>
                <w:sz w:val="28"/>
                <w:szCs w:val="28"/>
              </w:rPr>
              <w:t>7、项目物业服务中心配备有客户经理，每人管理户数应不高于300户。</w:t>
            </w:r>
          </w:p>
          <w:p>
            <w:pPr>
              <w:rPr>
                <w:rFonts w:ascii="宋体" w:hAnsi="宋体"/>
                <w:sz w:val="28"/>
                <w:szCs w:val="28"/>
              </w:rPr>
            </w:pPr>
            <w:r>
              <w:rPr>
                <w:rFonts w:hint="eastAsia" w:ascii="宋体" w:hAnsi="宋体"/>
                <w:sz w:val="28"/>
                <w:szCs w:val="28"/>
              </w:rPr>
              <w:t>8、从业人员统一着装，佩戴标志，规范服务，语言文明，主动、热情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1835" w:type="dxa"/>
            <w:vAlign w:val="center"/>
          </w:tcPr>
          <w:p>
            <w:pPr>
              <w:jc w:val="center"/>
              <w:rPr>
                <w:rFonts w:ascii="宋体" w:hAnsi="宋体"/>
                <w:sz w:val="28"/>
                <w:szCs w:val="28"/>
              </w:rPr>
            </w:pPr>
            <w:r>
              <w:rPr>
                <w:rFonts w:ascii="宋体" w:hAnsi="宋体"/>
                <w:sz w:val="28"/>
                <w:szCs w:val="28"/>
              </w:rPr>
              <w:t>制度</w:t>
            </w:r>
          </w:p>
        </w:tc>
        <w:tc>
          <w:tcPr>
            <w:tcW w:w="6558" w:type="dxa"/>
          </w:tcPr>
          <w:p>
            <w:pPr>
              <w:rPr>
                <w:rFonts w:ascii="宋体" w:hAnsi="宋体"/>
                <w:sz w:val="28"/>
                <w:szCs w:val="28"/>
              </w:rPr>
            </w:pPr>
            <w:r>
              <w:rPr>
                <w:rFonts w:hint="eastAsia" w:ascii="宋体" w:hAnsi="宋体"/>
                <w:sz w:val="28"/>
                <w:szCs w:val="28"/>
              </w:rPr>
              <w:t>9、有便民服务指南内容的业主手册。</w:t>
            </w:r>
          </w:p>
          <w:p>
            <w:pPr>
              <w:rPr>
                <w:rFonts w:ascii="宋体" w:hAnsi="宋体"/>
                <w:sz w:val="28"/>
                <w:szCs w:val="28"/>
              </w:rPr>
            </w:pPr>
            <w:r>
              <w:rPr>
                <w:rFonts w:hint="eastAsia" w:ascii="宋体" w:hAnsi="宋体"/>
                <w:sz w:val="28"/>
                <w:szCs w:val="28"/>
              </w:rPr>
              <w:t>10、有双方签订规范的（前期）物业服务合同，合同权利义务关系明确。</w:t>
            </w:r>
          </w:p>
          <w:p>
            <w:pPr>
              <w:rPr>
                <w:rFonts w:ascii="宋体" w:hAnsi="宋体"/>
                <w:sz w:val="28"/>
                <w:szCs w:val="28"/>
              </w:rPr>
            </w:pPr>
            <w:r>
              <w:rPr>
                <w:rFonts w:hint="eastAsia" w:ascii="宋体" w:hAnsi="宋体"/>
                <w:sz w:val="28"/>
                <w:szCs w:val="28"/>
              </w:rPr>
              <w:t>11、有共用部位及共用设施设备维修养护、消防安全防范、绿化养护、环境卫生、公共秩序维护等管理制度。</w:t>
            </w:r>
          </w:p>
          <w:p>
            <w:pPr>
              <w:rPr>
                <w:rFonts w:ascii="宋体" w:hAnsi="宋体"/>
                <w:sz w:val="28"/>
                <w:szCs w:val="28"/>
              </w:rPr>
            </w:pPr>
            <w:r>
              <w:rPr>
                <w:rFonts w:hint="eastAsia" w:ascii="宋体" w:hAnsi="宋体"/>
                <w:sz w:val="28"/>
                <w:szCs w:val="28"/>
              </w:rPr>
              <w:t>12、有突发公共事件应急预案。</w:t>
            </w:r>
          </w:p>
          <w:p>
            <w:pPr>
              <w:rPr>
                <w:rFonts w:ascii="宋体" w:hAnsi="宋体"/>
                <w:sz w:val="28"/>
                <w:szCs w:val="28"/>
              </w:rPr>
            </w:pPr>
            <w:r>
              <w:rPr>
                <w:rFonts w:hint="eastAsia" w:ascii="宋体" w:hAnsi="宋体"/>
                <w:sz w:val="28"/>
                <w:szCs w:val="28"/>
              </w:rPr>
              <w:t>13、有培训、考核制度。</w:t>
            </w:r>
          </w:p>
          <w:p>
            <w:pPr>
              <w:rPr>
                <w:rFonts w:ascii="宋体" w:hAnsi="宋体"/>
                <w:sz w:val="28"/>
                <w:szCs w:val="28"/>
              </w:rPr>
            </w:pPr>
            <w:r>
              <w:rPr>
                <w:rFonts w:hint="eastAsia" w:ascii="宋体" w:hAnsi="宋体"/>
                <w:sz w:val="28"/>
                <w:szCs w:val="28"/>
              </w:rPr>
              <w:t>14、有物业服务工作记录。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5" w:hRule="atLeast"/>
        </w:trPr>
        <w:tc>
          <w:tcPr>
            <w:tcW w:w="1835" w:type="dxa"/>
            <w:vAlign w:val="center"/>
          </w:tcPr>
          <w:p>
            <w:pPr>
              <w:jc w:val="center"/>
              <w:rPr>
                <w:rFonts w:ascii="宋体" w:hAnsi="宋体"/>
                <w:sz w:val="28"/>
                <w:szCs w:val="28"/>
              </w:rPr>
            </w:pPr>
            <w:r>
              <w:rPr>
                <w:rFonts w:ascii="宋体" w:hAnsi="宋体"/>
                <w:sz w:val="28"/>
                <w:szCs w:val="28"/>
              </w:rPr>
              <w:t>档案</w:t>
            </w:r>
          </w:p>
        </w:tc>
        <w:tc>
          <w:tcPr>
            <w:tcW w:w="6558" w:type="dxa"/>
          </w:tcPr>
          <w:p>
            <w:pPr>
              <w:rPr>
                <w:rFonts w:ascii="宋体" w:hAnsi="宋体"/>
                <w:sz w:val="28"/>
                <w:szCs w:val="28"/>
              </w:rPr>
            </w:pPr>
            <w:r>
              <w:rPr>
                <w:rFonts w:hint="eastAsia" w:ascii="宋体" w:hAnsi="宋体"/>
                <w:sz w:val="28"/>
                <w:szCs w:val="28"/>
              </w:rPr>
              <w:t>15、有物业服务档案管理制度，有电梯、消防等设施设备承接查验、运行、维修、养护档案资料。</w:t>
            </w:r>
          </w:p>
          <w:p>
            <w:pPr>
              <w:rPr>
                <w:rFonts w:ascii="宋体" w:hAnsi="宋体"/>
                <w:sz w:val="28"/>
                <w:szCs w:val="28"/>
              </w:rPr>
            </w:pPr>
            <w:r>
              <w:rPr>
                <w:rFonts w:hint="eastAsia" w:ascii="宋体" w:hAnsi="宋体"/>
                <w:sz w:val="28"/>
                <w:szCs w:val="28"/>
              </w:rPr>
              <w:t>16、档案资料管理规范、齐全、整洁、查阅方便。</w:t>
            </w:r>
          </w:p>
          <w:p>
            <w:pPr>
              <w:rPr>
                <w:rFonts w:ascii="宋体" w:hAnsi="宋体"/>
                <w:sz w:val="28"/>
                <w:szCs w:val="28"/>
              </w:rPr>
            </w:pPr>
            <w:r>
              <w:rPr>
                <w:rFonts w:hint="eastAsia" w:ascii="宋体" w:hAnsi="宋体"/>
                <w:sz w:val="28"/>
                <w:szCs w:val="28"/>
              </w:rPr>
              <w:t>17、有档案管理人员，并设置有档案资料室。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1835" w:type="dxa"/>
            <w:vAlign w:val="center"/>
          </w:tcPr>
          <w:p>
            <w:pPr>
              <w:jc w:val="center"/>
              <w:rPr>
                <w:rFonts w:ascii="宋体" w:hAnsi="宋体"/>
                <w:sz w:val="28"/>
                <w:szCs w:val="28"/>
              </w:rPr>
            </w:pPr>
            <w:r>
              <w:rPr>
                <w:rFonts w:ascii="宋体" w:hAnsi="宋体"/>
                <w:sz w:val="28"/>
                <w:szCs w:val="28"/>
              </w:rPr>
              <w:t>标识</w:t>
            </w:r>
          </w:p>
        </w:tc>
        <w:tc>
          <w:tcPr>
            <w:tcW w:w="6558" w:type="dxa"/>
          </w:tcPr>
          <w:p>
            <w:pPr>
              <w:rPr>
                <w:rFonts w:ascii="宋体" w:hAnsi="宋体"/>
                <w:sz w:val="28"/>
                <w:szCs w:val="28"/>
              </w:rPr>
            </w:pPr>
            <w:r>
              <w:rPr>
                <w:rFonts w:hint="eastAsia" w:ascii="宋体" w:hAnsi="宋体"/>
                <w:sz w:val="28"/>
                <w:szCs w:val="28"/>
              </w:rPr>
              <w:t>18、重点部位按相关要求设置有安全警示标识、消防标识、导向标识、指示标识及其它标识。</w:t>
            </w:r>
          </w:p>
          <w:p>
            <w:pPr>
              <w:rPr>
                <w:rFonts w:ascii="宋体" w:hAnsi="宋体"/>
                <w:sz w:val="28"/>
                <w:szCs w:val="28"/>
              </w:rPr>
            </w:pPr>
            <w:r>
              <w:rPr>
                <w:rFonts w:hint="eastAsia" w:ascii="宋体" w:hAnsi="宋体"/>
                <w:sz w:val="28"/>
                <w:szCs w:val="28"/>
              </w:rPr>
              <w:t>19、有倡导文明、环保、健康生活的温馨提示标识。</w:t>
            </w:r>
          </w:p>
          <w:p>
            <w:pPr>
              <w:rPr>
                <w:rFonts w:ascii="宋体" w:hAnsi="宋体"/>
                <w:sz w:val="28"/>
                <w:szCs w:val="28"/>
              </w:rPr>
            </w:pPr>
            <w:r>
              <w:rPr>
                <w:rFonts w:hint="eastAsia" w:ascii="宋体" w:hAnsi="宋体"/>
                <w:sz w:val="28"/>
                <w:szCs w:val="28"/>
              </w:rPr>
              <w:t>20、房屋栋号、房号及公共配套设施、设备标识清晰、明显。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35" w:type="dxa"/>
            <w:vAlign w:val="center"/>
          </w:tcPr>
          <w:p>
            <w:pPr>
              <w:jc w:val="center"/>
              <w:rPr>
                <w:rFonts w:ascii="宋体" w:hAnsi="宋体"/>
                <w:sz w:val="28"/>
                <w:szCs w:val="28"/>
              </w:rPr>
            </w:pPr>
            <w:r>
              <w:rPr>
                <w:rFonts w:hint="eastAsia" w:ascii="宋体" w:hAnsi="宋体"/>
                <w:sz w:val="28"/>
                <w:szCs w:val="28"/>
              </w:rPr>
              <w:t>客户服务</w:t>
            </w:r>
          </w:p>
        </w:tc>
        <w:tc>
          <w:tcPr>
            <w:tcW w:w="6558" w:type="dxa"/>
          </w:tcPr>
          <w:p>
            <w:pPr>
              <w:rPr>
                <w:rFonts w:ascii="宋体" w:hAnsi="宋体"/>
                <w:sz w:val="28"/>
                <w:szCs w:val="28"/>
              </w:rPr>
            </w:pPr>
            <w:r>
              <w:rPr>
                <w:rFonts w:hint="eastAsia" w:ascii="宋体" w:hAnsi="宋体"/>
                <w:sz w:val="28"/>
                <w:szCs w:val="28"/>
              </w:rPr>
              <w:t>21、每半年公示物业服务合同履行情况。</w:t>
            </w:r>
          </w:p>
          <w:p>
            <w:pPr>
              <w:rPr>
                <w:rFonts w:ascii="宋体" w:hAnsi="宋体"/>
                <w:sz w:val="28"/>
                <w:szCs w:val="28"/>
              </w:rPr>
            </w:pPr>
            <w:r>
              <w:rPr>
                <w:rFonts w:hint="eastAsia" w:ascii="宋体" w:hAnsi="宋体"/>
                <w:sz w:val="28"/>
                <w:szCs w:val="28"/>
              </w:rPr>
              <w:t>22、重要物业服务事项应在主要出入口、各楼单元门内以书面形式履行告知义务。</w:t>
            </w:r>
          </w:p>
          <w:p>
            <w:pPr>
              <w:rPr>
                <w:rFonts w:ascii="宋体" w:hAnsi="宋体"/>
                <w:sz w:val="28"/>
                <w:szCs w:val="28"/>
              </w:rPr>
            </w:pPr>
            <w:r>
              <w:rPr>
                <w:rFonts w:hint="eastAsia" w:ascii="宋体" w:hAnsi="宋体"/>
                <w:sz w:val="28"/>
                <w:szCs w:val="28"/>
              </w:rPr>
              <w:t>23、对违反治安、规划、环保等方面法律、法规规定的行为，应劝阻并报告相关行政主管部门。</w:t>
            </w:r>
          </w:p>
          <w:p>
            <w:pPr>
              <w:rPr>
                <w:rFonts w:ascii="宋体" w:hAnsi="宋体"/>
                <w:sz w:val="28"/>
                <w:szCs w:val="28"/>
              </w:rPr>
            </w:pPr>
            <w:r>
              <w:rPr>
                <w:rFonts w:hint="eastAsia" w:ascii="宋体" w:hAnsi="宋体"/>
                <w:sz w:val="28"/>
                <w:szCs w:val="28"/>
              </w:rPr>
              <w:t>24、水、电急修20 分钟内、其它报修按双方约定时间到达现场；由专项服务企业负责的设备设施应在30 分钟内告知。</w:t>
            </w:r>
          </w:p>
          <w:p>
            <w:pPr>
              <w:rPr>
                <w:rFonts w:ascii="宋体" w:hAnsi="宋体"/>
                <w:sz w:val="28"/>
                <w:szCs w:val="28"/>
              </w:rPr>
            </w:pPr>
            <w:r>
              <w:rPr>
                <w:rFonts w:hint="eastAsia" w:ascii="宋体" w:hAnsi="宋体"/>
                <w:sz w:val="28"/>
                <w:szCs w:val="28"/>
              </w:rPr>
              <w:t>25、业主或使用人提出的意见、建议、投诉在2 个工作日内回复；投诉回访率不低于80%。</w:t>
            </w:r>
          </w:p>
          <w:p>
            <w:pPr>
              <w:rPr>
                <w:rFonts w:ascii="宋体" w:hAnsi="宋体"/>
                <w:sz w:val="28"/>
                <w:szCs w:val="28"/>
              </w:rPr>
            </w:pPr>
            <w:r>
              <w:rPr>
                <w:rFonts w:hint="eastAsia" w:ascii="宋体" w:hAnsi="宋体"/>
                <w:sz w:val="28"/>
                <w:szCs w:val="28"/>
              </w:rPr>
              <w:t>26、每年组织1次满意度调查，客户满意率不低于80%。</w:t>
            </w:r>
          </w:p>
          <w:p>
            <w:pPr>
              <w:rPr>
                <w:rFonts w:ascii="宋体" w:hAnsi="宋体"/>
                <w:sz w:val="28"/>
                <w:szCs w:val="28"/>
              </w:rPr>
            </w:pPr>
            <w:r>
              <w:rPr>
                <w:rFonts w:hint="eastAsia" w:ascii="宋体" w:hAnsi="宋体"/>
                <w:sz w:val="28"/>
                <w:szCs w:val="28"/>
              </w:rPr>
              <w:t>27、有宠物管理制度与措施，设置宠物管理标识，严格管理，有园区犬只花名册。</w:t>
            </w:r>
          </w:p>
          <w:p>
            <w:pPr>
              <w:rPr>
                <w:rFonts w:ascii="宋体" w:hAnsi="宋体"/>
                <w:sz w:val="28"/>
                <w:szCs w:val="28"/>
              </w:rPr>
            </w:pPr>
            <w:r>
              <w:rPr>
                <w:rFonts w:hint="eastAsia" w:ascii="宋体" w:hAnsi="宋体"/>
                <w:sz w:val="28"/>
                <w:szCs w:val="28"/>
              </w:rPr>
              <w:t>28、出入口配置有便民服务推车，配置标准不低于1辆/300户，不少于6辆。</w:t>
            </w:r>
          </w:p>
          <w:p>
            <w:pPr>
              <w:rPr>
                <w:rFonts w:ascii="宋体" w:hAnsi="宋体"/>
                <w:sz w:val="28"/>
                <w:szCs w:val="28"/>
              </w:rPr>
            </w:pPr>
            <w:r>
              <w:rPr>
                <w:rFonts w:hint="eastAsia" w:ascii="宋体" w:hAnsi="宋体"/>
                <w:sz w:val="28"/>
                <w:szCs w:val="28"/>
              </w:rPr>
              <w:t>29、按约定投保物业共用部位、共用设施设备及公众责任保险。</w:t>
            </w:r>
          </w:p>
          <w:p>
            <w:pPr>
              <w:rPr>
                <w:rFonts w:ascii="宋体" w:hAnsi="宋体"/>
                <w:sz w:val="28"/>
                <w:szCs w:val="28"/>
              </w:rPr>
            </w:pPr>
            <w:r>
              <w:rPr>
                <w:rFonts w:hint="eastAsia" w:ascii="宋体" w:hAnsi="宋体"/>
                <w:sz w:val="28"/>
                <w:szCs w:val="28"/>
              </w:rPr>
              <w:t>30、有智能公共广播系统，播放广播与背景音乐。</w:t>
            </w:r>
          </w:p>
          <w:p>
            <w:pPr>
              <w:rPr>
                <w:rFonts w:ascii="宋体" w:hAnsi="宋体"/>
                <w:sz w:val="28"/>
                <w:szCs w:val="28"/>
              </w:rPr>
            </w:pPr>
            <w:r>
              <w:rPr>
                <w:rFonts w:hint="eastAsia" w:ascii="宋体" w:hAnsi="宋体"/>
                <w:sz w:val="28"/>
                <w:szCs w:val="28"/>
              </w:rPr>
              <w:t>31、公共卫生间能正常使用，公共卫生间内的残疾人无障碍设施使用情况良好，无侵占、损坏等现象。</w:t>
            </w:r>
          </w:p>
          <w:p>
            <w:pPr>
              <w:rPr>
                <w:rFonts w:ascii="宋体" w:hAnsi="宋体"/>
                <w:sz w:val="28"/>
                <w:szCs w:val="28"/>
              </w:rPr>
            </w:pPr>
            <w:r>
              <w:rPr>
                <w:rFonts w:hint="eastAsia" w:ascii="宋体" w:hAnsi="宋体"/>
                <w:sz w:val="28"/>
                <w:szCs w:val="28"/>
              </w:rPr>
              <w:t>32、提供特约服务。</w:t>
            </w:r>
          </w:p>
          <w:p>
            <w:pPr>
              <w:rPr>
                <w:rFonts w:ascii="宋体" w:hAnsi="宋体"/>
                <w:sz w:val="28"/>
                <w:szCs w:val="28"/>
              </w:rPr>
            </w:pPr>
            <w:r>
              <w:rPr>
                <w:rFonts w:hint="eastAsia" w:ascii="宋体" w:hAnsi="宋体"/>
                <w:sz w:val="28"/>
                <w:szCs w:val="28"/>
              </w:rPr>
              <w:t>33、接受委托，提供邮件代收服务。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35" w:type="dxa"/>
            <w:vAlign w:val="center"/>
          </w:tcPr>
          <w:p>
            <w:pPr>
              <w:jc w:val="center"/>
              <w:rPr>
                <w:rFonts w:ascii="宋体" w:hAnsi="宋体"/>
                <w:sz w:val="28"/>
                <w:szCs w:val="28"/>
              </w:rPr>
            </w:pPr>
            <w:r>
              <w:rPr>
                <w:rFonts w:hint="eastAsia" w:ascii="宋体" w:hAnsi="宋体"/>
                <w:sz w:val="28"/>
                <w:szCs w:val="28"/>
              </w:rPr>
              <w:t>专项委托服务管理</w:t>
            </w:r>
          </w:p>
        </w:tc>
        <w:tc>
          <w:tcPr>
            <w:tcW w:w="6558" w:type="dxa"/>
          </w:tcPr>
          <w:p>
            <w:pPr>
              <w:rPr>
                <w:rFonts w:ascii="宋体" w:hAnsi="宋体"/>
                <w:sz w:val="28"/>
                <w:szCs w:val="28"/>
              </w:rPr>
            </w:pPr>
            <w:r>
              <w:rPr>
                <w:rFonts w:hint="eastAsia" w:ascii="宋体" w:hAnsi="宋体"/>
                <w:sz w:val="28"/>
                <w:szCs w:val="28"/>
              </w:rPr>
              <w:t>34、签订有专项服务委托合同，明确各方权利义务。</w:t>
            </w:r>
          </w:p>
          <w:p>
            <w:pPr>
              <w:rPr>
                <w:rFonts w:ascii="宋体" w:hAnsi="宋体"/>
                <w:sz w:val="28"/>
                <w:szCs w:val="28"/>
              </w:rPr>
            </w:pPr>
            <w:r>
              <w:rPr>
                <w:rFonts w:hint="eastAsia" w:ascii="宋体" w:hAnsi="宋体"/>
                <w:sz w:val="28"/>
                <w:szCs w:val="28"/>
              </w:rPr>
              <w:t>35、专业服务企业应符合相关行政主管部门的资质要求；操作人员应持有相应的职业资格证书。</w:t>
            </w:r>
          </w:p>
          <w:p>
            <w:pPr>
              <w:rPr>
                <w:rFonts w:ascii="宋体" w:hAnsi="宋体"/>
                <w:sz w:val="28"/>
                <w:szCs w:val="28"/>
              </w:rPr>
            </w:pPr>
            <w:r>
              <w:rPr>
                <w:rFonts w:hint="eastAsia" w:ascii="宋体" w:hAnsi="宋体"/>
                <w:sz w:val="28"/>
                <w:szCs w:val="28"/>
              </w:rPr>
              <w:t>36、专业服务企业人员进入物业管理区域内应佩戴标志。</w:t>
            </w:r>
          </w:p>
          <w:p>
            <w:pPr>
              <w:rPr>
                <w:rFonts w:ascii="宋体" w:hAnsi="宋体"/>
                <w:sz w:val="28"/>
                <w:szCs w:val="28"/>
              </w:rPr>
            </w:pPr>
            <w:r>
              <w:rPr>
                <w:rFonts w:hint="eastAsia" w:ascii="宋体" w:hAnsi="宋体"/>
                <w:sz w:val="28"/>
                <w:szCs w:val="28"/>
              </w:rPr>
              <w:t>37、对专项委托服务有监督及评价机制，有监督评价记录。</w:t>
            </w:r>
          </w:p>
        </w:tc>
      </w:tr>
    </w:tbl>
    <w:p>
      <w:pPr>
        <w:ind w:firstLine="280" w:firstLineChars="100"/>
        <w:rPr>
          <w:rFonts w:ascii="宋体" w:hAnsi="宋体"/>
          <w:sz w:val="28"/>
          <w:szCs w:val="28"/>
        </w:rPr>
      </w:pPr>
      <w:r>
        <w:rPr>
          <w:rFonts w:hint="eastAsia" w:ascii="宋体" w:hAnsi="宋体"/>
          <w:sz w:val="28"/>
          <w:szCs w:val="28"/>
        </w:rPr>
        <w:t>3、共用部位及共用设施设备运行和维修养护（49项）</w:t>
      </w:r>
    </w:p>
    <w:tbl>
      <w:tblPr>
        <w:tblStyle w:val="45"/>
        <w:tblW w:w="839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7"/>
        <w:gridCol w:w="918"/>
        <w:gridCol w:w="65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5" w:hRule="atLeast"/>
        </w:trPr>
        <w:tc>
          <w:tcPr>
            <w:tcW w:w="1835" w:type="dxa"/>
            <w:gridSpan w:val="2"/>
          </w:tcPr>
          <w:p>
            <w:pPr>
              <w:jc w:val="center"/>
              <w:rPr>
                <w:rFonts w:ascii="宋体" w:hAnsi="宋体"/>
                <w:sz w:val="28"/>
                <w:szCs w:val="28"/>
              </w:rPr>
            </w:pPr>
            <w:r>
              <w:rPr>
                <w:rFonts w:hint="eastAsia" w:ascii="宋体" w:hAnsi="宋体"/>
                <w:sz w:val="28"/>
                <w:szCs w:val="28"/>
              </w:rPr>
              <w:t>项 目</w:t>
            </w:r>
          </w:p>
        </w:tc>
        <w:tc>
          <w:tcPr>
            <w:tcW w:w="6558" w:type="dxa"/>
          </w:tcPr>
          <w:p>
            <w:pPr>
              <w:jc w:val="center"/>
              <w:rPr>
                <w:rFonts w:ascii="宋体" w:hAnsi="宋体"/>
                <w:sz w:val="28"/>
                <w:szCs w:val="28"/>
              </w:rPr>
            </w:pPr>
            <w:r>
              <w:rPr>
                <w:rFonts w:hint="eastAsia" w:ascii="宋体" w:hAnsi="宋体"/>
                <w:sz w:val="28"/>
                <w:szCs w:val="28"/>
              </w:rPr>
              <w:t>内容及要求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1835" w:type="dxa"/>
            <w:gridSpan w:val="2"/>
            <w:vAlign w:val="center"/>
          </w:tcPr>
          <w:p>
            <w:pPr>
              <w:jc w:val="center"/>
              <w:rPr>
                <w:rFonts w:ascii="宋体" w:hAnsi="宋体"/>
                <w:sz w:val="28"/>
                <w:szCs w:val="28"/>
              </w:rPr>
            </w:pPr>
            <w:r>
              <w:rPr>
                <w:rFonts w:hint="eastAsia" w:ascii="宋体" w:hAnsi="宋体"/>
                <w:sz w:val="28"/>
                <w:szCs w:val="28"/>
              </w:rPr>
              <w:t>综合管理</w:t>
            </w:r>
          </w:p>
        </w:tc>
        <w:tc>
          <w:tcPr>
            <w:tcW w:w="6558" w:type="dxa"/>
          </w:tcPr>
          <w:p>
            <w:pPr>
              <w:rPr>
                <w:rFonts w:ascii="宋体" w:hAnsi="宋体"/>
                <w:sz w:val="28"/>
                <w:szCs w:val="28"/>
              </w:rPr>
            </w:pPr>
            <w:r>
              <w:rPr>
                <w:rFonts w:hint="eastAsia" w:ascii="宋体" w:hAnsi="宋体"/>
                <w:sz w:val="28"/>
                <w:szCs w:val="28"/>
              </w:rPr>
              <w:t>1、按照相关规定实施承接查验。</w:t>
            </w:r>
          </w:p>
          <w:p>
            <w:pPr>
              <w:rPr>
                <w:rFonts w:ascii="宋体" w:hAnsi="宋体"/>
                <w:sz w:val="28"/>
                <w:szCs w:val="28"/>
              </w:rPr>
            </w:pPr>
            <w:r>
              <w:rPr>
                <w:rFonts w:hint="eastAsia" w:ascii="宋体" w:hAnsi="宋体"/>
                <w:sz w:val="28"/>
                <w:szCs w:val="28"/>
              </w:rPr>
              <w:t>2、按照DB510100/T 054-2010的规定进行维修、更新、改造。</w:t>
            </w:r>
          </w:p>
          <w:p>
            <w:pPr>
              <w:rPr>
                <w:rFonts w:ascii="宋体" w:hAnsi="宋体"/>
                <w:sz w:val="28"/>
                <w:szCs w:val="28"/>
              </w:rPr>
            </w:pPr>
            <w:r>
              <w:rPr>
                <w:rFonts w:hint="eastAsia" w:ascii="宋体" w:hAnsi="宋体"/>
                <w:sz w:val="28"/>
                <w:szCs w:val="28"/>
              </w:rPr>
              <w:t>3、有房屋共用部位及共用设施设备的基础档案。</w:t>
            </w:r>
          </w:p>
          <w:p>
            <w:pPr>
              <w:rPr>
                <w:rFonts w:ascii="宋体" w:hAnsi="宋体"/>
                <w:sz w:val="28"/>
                <w:szCs w:val="28"/>
              </w:rPr>
            </w:pPr>
            <w:r>
              <w:rPr>
                <w:rFonts w:hint="eastAsia" w:ascii="宋体" w:hAnsi="宋体"/>
                <w:sz w:val="28"/>
                <w:szCs w:val="28"/>
              </w:rPr>
              <w:t>4、共用部位检查中发现的问题，应按照责任范围编制修缮计划，并按计划组织修缮。共用设施设备运行中出现的故障及检查中发现的问题，属于急修范围内，应在30分钟内组织到场维修。</w:t>
            </w:r>
          </w:p>
          <w:p>
            <w:pPr>
              <w:rPr>
                <w:rFonts w:ascii="宋体" w:hAnsi="宋体"/>
                <w:sz w:val="28"/>
                <w:szCs w:val="28"/>
              </w:rPr>
            </w:pPr>
            <w:r>
              <w:rPr>
                <w:rFonts w:hint="eastAsia" w:ascii="宋体" w:hAnsi="宋体"/>
                <w:sz w:val="28"/>
                <w:szCs w:val="28"/>
              </w:rPr>
              <w:t>5、按合同约定规范使用房屋专项维修资金，有紧急维修情形，按维修资金紧急使用预案实施维修。</w:t>
            </w:r>
          </w:p>
          <w:p>
            <w:pPr>
              <w:rPr>
                <w:rFonts w:ascii="宋体" w:hAnsi="宋体"/>
                <w:sz w:val="28"/>
                <w:szCs w:val="28"/>
              </w:rPr>
            </w:pPr>
            <w:r>
              <w:rPr>
                <w:rFonts w:hint="eastAsia" w:ascii="宋体" w:hAnsi="宋体"/>
                <w:sz w:val="28"/>
                <w:szCs w:val="28"/>
              </w:rPr>
              <w:t>6、每年第4季度制订出下一年度维修养护计划。</w:t>
            </w:r>
          </w:p>
          <w:p>
            <w:pPr>
              <w:rPr>
                <w:rFonts w:ascii="宋体" w:hAnsi="宋体"/>
                <w:sz w:val="28"/>
                <w:szCs w:val="28"/>
              </w:rPr>
            </w:pPr>
            <w:r>
              <w:rPr>
                <w:rFonts w:hint="eastAsia" w:ascii="宋体" w:hAnsi="宋体"/>
                <w:sz w:val="28"/>
                <w:szCs w:val="28"/>
              </w:rPr>
              <w:t>7、特种设备按照有关规定运行、维修养护和定期检测。</w:t>
            </w:r>
          </w:p>
          <w:p>
            <w:pPr>
              <w:rPr>
                <w:rFonts w:ascii="宋体" w:hAnsi="宋体"/>
                <w:sz w:val="28"/>
                <w:szCs w:val="28"/>
              </w:rPr>
            </w:pPr>
            <w:r>
              <w:rPr>
                <w:rFonts w:hint="eastAsia" w:ascii="宋体" w:hAnsi="宋体"/>
                <w:sz w:val="28"/>
                <w:szCs w:val="28"/>
              </w:rPr>
              <w:t>8、雷电、强降水、大风等极端天气前后有检查防范措施。</w:t>
            </w:r>
          </w:p>
          <w:p>
            <w:pPr>
              <w:rPr>
                <w:rFonts w:ascii="宋体" w:hAnsi="宋体"/>
                <w:sz w:val="28"/>
                <w:szCs w:val="28"/>
              </w:rPr>
            </w:pPr>
            <w:r>
              <w:rPr>
                <w:rFonts w:hint="eastAsia" w:ascii="宋体" w:hAnsi="宋体"/>
                <w:sz w:val="28"/>
                <w:szCs w:val="28"/>
              </w:rPr>
              <w:t>9、设备机房（1）每月清洁1 次，机房整洁有序，室内无杂物。（2）设有挡鼠板、鼠药盒或粘鼠板。（3）在明显易取位置配备有符合规定的消防器材及专用工具，确保完好有效。（4）设施设备标识、标牌齐全。（5）张贴或悬挂相关制度、证书。（6）记录齐全、完整。</w:t>
            </w:r>
          </w:p>
          <w:p>
            <w:pPr>
              <w:rPr>
                <w:rFonts w:ascii="宋体" w:hAnsi="宋体"/>
                <w:sz w:val="28"/>
                <w:szCs w:val="28"/>
              </w:rPr>
            </w:pPr>
            <w:r>
              <w:rPr>
                <w:rFonts w:hint="eastAsia" w:ascii="宋体" w:hAnsi="宋体"/>
                <w:sz w:val="28"/>
                <w:szCs w:val="28"/>
              </w:rPr>
              <w:t>10、运行、检查、维修养护记录应每月归档。发电机每年必须保养一次。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5" w:hRule="atLeast"/>
        </w:trPr>
        <w:tc>
          <w:tcPr>
            <w:tcW w:w="1835" w:type="dxa"/>
            <w:gridSpan w:val="2"/>
            <w:vAlign w:val="center"/>
          </w:tcPr>
          <w:p>
            <w:pPr>
              <w:jc w:val="center"/>
              <w:rPr>
                <w:rFonts w:ascii="宋体" w:hAnsi="宋体"/>
                <w:sz w:val="28"/>
                <w:szCs w:val="28"/>
              </w:rPr>
            </w:pPr>
            <w:r>
              <w:rPr>
                <w:rFonts w:hint="eastAsia" w:ascii="宋体" w:hAnsi="宋体"/>
                <w:sz w:val="28"/>
                <w:szCs w:val="28"/>
              </w:rPr>
              <w:t>共用部位</w:t>
            </w:r>
          </w:p>
        </w:tc>
        <w:tc>
          <w:tcPr>
            <w:tcW w:w="6558" w:type="dxa"/>
          </w:tcPr>
          <w:p>
            <w:pPr>
              <w:rPr>
                <w:rFonts w:ascii="宋体" w:hAnsi="宋体"/>
                <w:sz w:val="28"/>
                <w:szCs w:val="28"/>
              </w:rPr>
            </w:pPr>
            <w:r>
              <w:rPr>
                <w:rFonts w:hint="eastAsia" w:ascii="宋体" w:hAnsi="宋体"/>
                <w:sz w:val="28"/>
                <w:szCs w:val="28"/>
              </w:rPr>
              <w:t>11、房屋结构每季度巡视1 次梁、板、柱等结构构件，外观出现变形、开裂等现象时，应建议相关业主申请房屋安全鉴定，同时采取必要的防护措施。按照鉴定结果组织修缮。</w:t>
            </w:r>
          </w:p>
          <w:p>
            <w:pPr>
              <w:rPr>
                <w:rFonts w:ascii="宋体" w:hAnsi="宋体"/>
                <w:sz w:val="28"/>
                <w:szCs w:val="28"/>
              </w:rPr>
            </w:pPr>
            <w:r>
              <w:rPr>
                <w:rFonts w:hint="eastAsia" w:ascii="宋体" w:hAnsi="宋体"/>
                <w:sz w:val="28"/>
                <w:szCs w:val="28"/>
              </w:rPr>
              <w:t>12、建筑部件 （1）每季度检查1 次外墙贴饰面或抹灰、屋檐、阳台、雨罩、空调室外机支撑构件等。 （2）每月巡查1 次共用部位的门、窗、玻璃等。 （3）每季度检查1 次共用部位的室内地面、墙面、天棚；室外屋面、散水等。 （4）每年汛前和强降雨后检查屋面防水和雨落管等。</w:t>
            </w:r>
          </w:p>
          <w:p>
            <w:pPr>
              <w:rPr>
                <w:rFonts w:ascii="宋体" w:hAnsi="宋体"/>
                <w:sz w:val="28"/>
                <w:szCs w:val="28"/>
              </w:rPr>
            </w:pPr>
            <w:r>
              <w:rPr>
                <w:rFonts w:hint="eastAsia" w:ascii="宋体" w:hAnsi="宋体"/>
                <w:sz w:val="28"/>
                <w:szCs w:val="28"/>
              </w:rPr>
              <w:t>13、附属构筑物 （1）每月巡查1 次道路、场地、阶梯及扶手、侧石、管井、沟渠等。 （2）每季度检查1 次雨、污水管井等。 （3）每月巡查1 次大门、围墙、围栏等。（4）每月巡查1 次休闲椅、凉亭、雕塑、景观小品等。 （5）每年检测1 次防雷装置。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917" w:type="dxa"/>
            <w:vMerge w:val="restart"/>
            <w:vAlign w:val="center"/>
          </w:tcPr>
          <w:p>
            <w:pPr>
              <w:jc w:val="center"/>
              <w:rPr>
                <w:rFonts w:ascii="宋体" w:hAnsi="宋体"/>
                <w:sz w:val="28"/>
                <w:szCs w:val="28"/>
              </w:rPr>
            </w:pPr>
            <w:r>
              <w:rPr>
                <w:rFonts w:hint="eastAsia" w:ascii="宋体" w:hAnsi="宋体"/>
                <w:sz w:val="28"/>
                <w:szCs w:val="28"/>
              </w:rPr>
              <w:t>共用设施设备</w:t>
            </w:r>
          </w:p>
        </w:tc>
        <w:tc>
          <w:tcPr>
            <w:tcW w:w="918" w:type="dxa"/>
            <w:vAlign w:val="center"/>
          </w:tcPr>
          <w:p>
            <w:pPr>
              <w:jc w:val="center"/>
              <w:rPr>
                <w:rFonts w:ascii="宋体" w:hAnsi="宋体"/>
                <w:sz w:val="28"/>
                <w:szCs w:val="28"/>
              </w:rPr>
            </w:pPr>
            <w:r>
              <w:rPr>
                <w:rFonts w:ascii="宋体" w:hAnsi="宋体"/>
                <w:sz w:val="28"/>
                <w:szCs w:val="28"/>
              </w:rPr>
              <w:t>供水系统</w:t>
            </w:r>
          </w:p>
        </w:tc>
        <w:tc>
          <w:tcPr>
            <w:tcW w:w="6558" w:type="dxa"/>
          </w:tcPr>
          <w:p>
            <w:pPr>
              <w:rPr>
                <w:rFonts w:ascii="宋体" w:hAnsi="宋体"/>
                <w:sz w:val="28"/>
                <w:szCs w:val="28"/>
              </w:rPr>
            </w:pPr>
            <w:r>
              <w:rPr>
                <w:rFonts w:hint="eastAsia" w:ascii="宋体" w:hAnsi="宋体"/>
                <w:sz w:val="28"/>
                <w:szCs w:val="28"/>
              </w:rPr>
              <w:t>14、每半年至少应对二次供水设施进行1次清洗消毒，水质符合GB 5749的要求。</w:t>
            </w:r>
          </w:p>
          <w:p>
            <w:pPr>
              <w:rPr>
                <w:rFonts w:ascii="宋体" w:hAnsi="宋体"/>
                <w:sz w:val="28"/>
                <w:szCs w:val="28"/>
              </w:rPr>
            </w:pPr>
            <w:r>
              <w:rPr>
                <w:rFonts w:hint="eastAsia" w:ascii="宋体" w:hAnsi="宋体"/>
                <w:sz w:val="28"/>
                <w:szCs w:val="28"/>
              </w:rPr>
              <w:t>15、每日巡检1次供水设施，发现跑冒滴漏现象及时解决。</w:t>
            </w:r>
          </w:p>
          <w:p>
            <w:pPr>
              <w:rPr>
                <w:rFonts w:ascii="宋体" w:hAnsi="宋体"/>
                <w:sz w:val="28"/>
                <w:szCs w:val="28"/>
              </w:rPr>
            </w:pPr>
            <w:r>
              <w:rPr>
                <w:rFonts w:hint="eastAsia" w:ascii="宋体" w:hAnsi="宋体"/>
                <w:sz w:val="28"/>
                <w:szCs w:val="28"/>
              </w:rPr>
              <w:t>16、每日巡视1 次水箱间、水泵房，检查设备运行状况。</w:t>
            </w:r>
          </w:p>
          <w:p>
            <w:pPr>
              <w:rPr>
                <w:rFonts w:ascii="宋体" w:hAnsi="宋体"/>
                <w:sz w:val="28"/>
                <w:szCs w:val="28"/>
              </w:rPr>
            </w:pPr>
            <w:r>
              <w:rPr>
                <w:rFonts w:hint="eastAsia" w:ascii="宋体" w:hAnsi="宋体"/>
                <w:sz w:val="28"/>
                <w:szCs w:val="28"/>
              </w:rPr>
              <w:t>17、水箱、蓄水池盖板应保持完好并加锁，钥匙由专人保管；溢流管口、透气口应安装金属防护网并保持完好。</w:t>
            </w:r>
          </w:p>
          <w:p>
            <w:pPr>
              <w:rPr>
                <w:rFonts w:ascii="宋体" w:hAnsi="宋体"/>
                <w:sz w:val="28"/>
                <w:szCs w:val="28"/>
              </w:rPr>
            </w:pPr>
            <w:r>
              <w:rPr>
                <w:rFonts w:hint="eastAsia" w:ascii="宋体" w:hAnsi="宋体"/>
                <w:sz w:val="28"/>
                <w:szCs w:val="28"/>
              </w:rPr>
              <w:t>18、不具备自动切换功能的，每半年手动切换1 次备用水泵。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5" w:hRule="atLeast"/>
        </w:trPr>
        <w:tc>
          <w:tcPr>
            <w:tcW w:w="917" w:type="dxa"/>
            <w:vMerge w:val="continue"/>
            <w:vAlign w:val="center"/>
          </w:tcPr>
          <w:p>
            <w:pPr>
              <w:jc w:val="center"/>
              <w:rPr>
                <w:rFonts w:ascii="宋体" w:hAnsi="宋体"/>
                <w:sz w:val="28"/>
                <w:szCs w:val="28"/>
              </w:rPr>
            </w:pPr>
          </w:p>
        </w:tc>
        <w:tc>
          <w:tcPr>
            <w:tcW w:w="918" w:type="dxa"/>
            <w:vAlign w:val="center"/>
          </w:tcPr>
          <w:p>
            <w:pPr>
              <w:jc w:val="center"/>
              <w:rPr>
                <w:rFonts w:ascii="宋体" w:hAnsi="宋体"/>
                <w:sz w:val="28"/>
                <w:szCs w:val="28"/>
              </w:rPr>
            </w:pPr>
            <w:r>
              <w:rPr>
                <w:rFonts w:hint="eastAsia" w:ascii="宋体" w:hAnsi="宋体"/>
                <w:sz w:val="28"/>
                <w:szCs w:val="28"/>
              </w:rPr>
              <w:t>排水系统</w:t>
            </w:r>
          </w:p>
        </w:tc>
        <w:tc>
          <w:tcPr>
            <w:tcW w:w="6558" w:type="dxa"/>
          </w:tcPr>
          <w:p>
            <w:pPr>
              <w:rPr>
                <w:rFonts w:ascii="宋体" w:hAnsi="宋体"/>
                <w:sz w:val="28"/>
                <w:szCs w:val="28"/>
              </w:rPr>
            </w:pPr>
            <w:r>
              <w:rPr>
                <w:rFonts w:hint="eastAsia" w:ascii="宋体" w:hAnsi="宋体"/>
                <w:sz w:val="28"/>
                <w:szCs w:val="28"/>
              </w:rPr>
              <w:t>19、有防汛预案，每年至少组织1次演练。</w:t>
            </w:r>
          </w:p>
          <w:p>
            <w:pPr>
              <w:rPr>
                <w:rFonts w:ascii="宋体" w:hAnsi="宋体"/>
                <w:sz w:val="28"/>
                <w:szCs w:val="28"/>
              </w:rPr>
            </w:pPr>
            <w:r>
              <w:rPr>
                <w:rFonts w:hint="eastAsia" w:ascii="宋体" w:hAnsi="宋体"/>
                <w:sz w:val="28"/>
                <w:szCs w:val="28"/>
              </w:rPr>
              <w:t>20、配备有防汛物资（沙袋、雨具、照明工具、抽水泵等）。</w:t>
            </w:r>
          </w:p>
          <w:p>
            <w:pPr>
              <w:rPr>
                <w:rFonts w:ascii="宋体" w:hAnsi="宋体"/>
                <w:sz w:val="28"/>
                <w:szCs w:val="28"/>
              </w:rPr>
            </w:pPr>
            <w:r>
              <w:rPr>
                <w:rFonts w:hint="eastAsia" w:ascii="宋体" w:hAnsi="宋体"/>
                <w:sz w:val="28"/>
                <w:szCs w:val="28"/>
              </w:rPr>
              <w:t>21、排水设施：每年汛前对雨、污水井、屋面雨水口等设施进行检查，组织清理、疏通。</w:t>
            </w:r>
          </w:p>
          <w:p>
            <w:pPr>
              <w:rPr>
                <w:rFonts w:ascii="宋体" w:hAnsi="宋体"/>
                <w:sz w:val="28"/>
                <w:szCs w:val="28"/>
              </w:rPr>
            </w:pPr>
            <w:r>
              <w:rPr>
                <w:rFonts w:hint="eastAsia" w:ascii="宋体" w:hAnsi="宋体"/>
                <w:sz w:val="28"/>
                <w:szCs w:val="28"/>
              </w:rPr>
              <w:t>22、污水泵：汛期每日巡视1 次，平时每月巡视1 次，检查设备运行状态；每月进行1 次手动启动测试；每年养护1 次。</w:t>
            </w:r>
          </w:p>
          <w:p>
            <w:pPr>
              <w:rPr>
                <w:rFonts w:ascii="宋体" w:hAnsi="宋体"/>
                <w:sz w:val="28"/>
                <w:szCs w:val="28"/>
              </w:rPr>
            </w:pPr>
            <w:r>
              <w:rPr>
                <w:rFonts w:hint="eastAsia" w:ascii="宋体" w:hAnsi="宋体"/>
                <w:sz w:val="28"/>
                <w:szCs w:val="28"/>
              </w:rPr>
              <w:t>23、化粪池：每半年清掏1 次，发现异常及时清掏。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917" w:type="dxa"/>
            <w:vMerge w:val="continue"/>
            <w:vAlign w:val="center"/>
          </w:tcPr>
          <w:p>
            <w:pPr>
              <w:jc w:val="center"/>
              <w:rPr>
                <w:rFonts w:ascii="宋体" w:hAnsi="宋体"/>
                <w:sz w:val="28"/>
                <w:szCs w:val="28"/>
              </w:rPr>
            </w:pPr>
          </w:p>
        </w:tc>
        <w:tc>
          <w:tcPr>
            <w:tcW w:w="918" w:type="dxa"/>
            <w:vAlign w:val="center"/>
          </w:tcPr>
          <w:p>
            <w:pPr>
              <w:jc w:val="center"/>
              <w:rPr>
                <w:rFonts w:ascii="宋体" w:hAnsi="宋体"/>
                <w:sz w:val="28"/>
                <w:szCs w:val="28"/>
              </w:rPr>
            </w:pPr>
            <w:r>
              <w:rPr>
                <w:rFonts w:hint="eastAsia" w:ascii="宋体" w:hAnsi="宋体"/>
                <w:sz w:val="28"/>
                <w:szCs w:val="28"/>
              </w:rPr>
              <w:t>供配电系统及照明</w:t>
            </w:r>
          </w:p>
        </w:tc>
        <w:tc>
          <w:tcPr>
            <w:tcW w:w="6558" w:type="dxa"/>
          </w:tcPr>
          <w:p>
            <w:pPr>
              <w:rPr>
                <w:rFonts w:ascii="宋体" w:hAnsi="宋体"/>
                <w:sz w:val="28"/>
                <w:szCs w:val="28"/>
              </w:rPr>
            </w:pPr>
            <w:r>
              <w:rPr>
                <w:rFonts w:hint="eastAsia" w:ascii="宋体" w:hAnsi="宋体"/>
                <w:sz w:val="28"/>
                <w:szCs w:val="28"/>
              </w:rPr>
              <w:t>24、楼内照明：每周巡视2 次，一般故障1 日内修复；复杂故障5日内修复。</w:t>
            </w:r>
          </w:p>
          <w:p>
            <w:pPr>
              <w:rPr>
                <w:rFonts w:ascii="宋体" w:hAnsi="宋体"/>
                <w:sz w:val="28"/>
                <w:szCs w:val="28"/>
              </w:rPr>
            </w:pPr>
            <w:r>
              <w:rPr>
                <w:rFonts w:hint="eastAsia" w:ascii="宋体" w:hAnsi="宋体"/>
                <w:sz w:val="28"/>
                <w:szCs w:val="28"/>
              </w:rPr>
              <w:t>25、楼外照明：每周巡视1 次，一般故障1日内修复；复杂故障1 周内修复；每月调整1次时间控制器。</w:t>
            </w:r>
          </w:p>
          <w:p>
            <w:pPr>
              <w:rPr>
                <w:rFonts w:ascii="宋体" w:hAnsi="宋体"/>
                <w:sz w:val="28"/>
                <w:szCs w:val="28"/>
              </w:rPr>
            </w:pPr>
            <w:r>
              <w:rPr>
                <w:rFonts w:hint="eastAsia" w:ascii="宋体" w:hAnsi="宋体"/>
                <w:sz w:val="28"/>
                <w:szCs w:val="28"/>
              </w:rPr>
              <w:t>26、应急照明：每日巡视1 次，发现故障，30分钟内组织维修。</w:t>
            </w:r>
          </w:p>
          <w:p>
            <w:pPr>
              <w:rPr>
                <w:rFonts w:ascii="宋体" w:hAnsi="宋体"/>
                <w:sz w:val="28"/>
                <w:szCs w:val="28"/>
              </w:rPr>
            </w:pPr>
            <w:r>
              <w:rPr>
                <w:rFonts w:hint="eastAsia" w:ascii="宋体" w:hAnsi="宋体"/>
                <w:sz w:val="28"/>
                <w:szCs w:val="28"/>
              </w:rPr>
              <w:t>27、低压柜：每3日巡视1 次设备运行状况；每年养护1 次，养护内容包括紧固、检测、清扫；每年检查1次电气安全。</w:t>
            </w:r>
          </w:p>
          <w:p>
            <w:pPr>
              <w:rPr>
                <w:rFonts w:ascii="宋体" w:hAnsi="宋体"/>
                <w:sz w:val="28"/>
                <w:szCs w:val="28"/>
              </w:rPr>
            </w:pPr>
            <w:r>
              <w:rPr>
                <w:rFonts w:hint="eastAsia" w:ascii="宋体" w:hAnsi="宋体"/>
                <w:sz w:val="28"/>
                <w:szCs w:val="28"/>
              </w:rPr>
              <w:t>28、低压配电箱和线路：每月检查1 次设备运行状况；每年养护1 次，养护内容包括紧固、检测、清扫。</w:t>
            </w:r>
          </w:p>
          <w:p>
            <w:pPr>
              <w:rPr>
                <w:rFonts w:ascii="宋体" w:hAnsi="宋体"/>
                <w:sz w:val="28"/>
                <w:szCs w:val="28"/>
              </w:rPr>
            </w:pPr>
            <w:r>
              <w:rPr>
                <w:rFonts w:hint="eastAsia" w:ascii="宋体" w:hAnsi="宋体"/>
                <w:sz w:val="28"/>
                <w:szCs w:val="28"/>
              </w:rPr>
              <w:t>29、控制柜：每半月检查1 次设备运行状况；每年养护1 次，养护内容包括紧固、检测、调试、清扫。</w:t>
            </w:r>
          </w:p>
          <w:p>
            <w:pPr>
              <w:rPr>
                <w:rFonts w:ascii="宋体" w:hAnsi="宋体"/>
                <w:sz w:val="28"/>
                <w:szCs w:val="28"/>
              </w:rPr>
            </w:pPr>
            <w:r>
              <w:rPr>
                <w:rFonts w:hint="eastAsia" w:ascii="宋体" w:hAnsi="宋体"/>
                <w:sz w:val="28"/>
                <w:szCs w:val="28"/>
              </w:rPr>
              <w:t>30、发电机：每半月试运行1 次，保证运行正常；每年活化1次蓄电池；每周巡视1次充电机和蓄电池。</w:t>
            </w:r>
          </w:p>
          <w:p>
            <w:pPr>
              <w:rPr>
                <w:rFonts w:ascii="宋体" w:hAnsi="宋体"/>
                <w:sz w:val="28"/>
                <w:szCs w:val="28"/>
              </w:rPr>
            </w:pPr>
            <w:r>
              <w:rPr>
                <w:rFonts w:hint="eastAsia" w:ascii="宋体" w:hAnsi="宋体"/>
                <w:sz w:val="28"/>
                <w:szCs w:val="28"/>
              </w:rPr>
              <w:t>31、配电室、楼层配电间：有门、孔、洞、窗等处的防鼠措施完备；穿墙线槽周边封堵严密；锁具完好；电缆进出线和开关标识准确。</w:t>
            </w:r>
          </w:p>
          <w:p>
            <w:pPr>
              <w:rPr>
                <w:rFonts w:ascii="宋体" w:hAnsi="宋体"/>
                <w:sz w:val="28"/>
                <w:szCs w:val="28"/>
              </w:rPr>
            </w:pPr>
            <w:r>
              <w:rPr>
                <w:rFonts w:hint="eastAsia" w:ascii="宋体" w:hAnsi="宋体"/>
                <w:sz w:val="28"/>
                <w:szCs w:val="28"/>
              </w:rPr>
              <w:t>32、变电站高低压电缆沟、电梯底坑无积水。每2年组织对高低压母线、配电盘、变压器、电缆进行1次例行试验，根据试验记录对相关设备进行维护。</w:t>
            </w:r>
          </w:p>
          <w:p>
            <w:pPr>
              <w:rPr>
                <w:rFonts w:ascii="宋体" w:hAnsi="宋体"/>
                <w:sz w:val="28"/>
                <w:szCs w:val="28"/>
              </w:rPr>
            </w:pPr>
            <w:r>
              <w:rPr>
                <w:rFonts w:hint="eastAsia" w:ascii="宋体" w:hAnsi="宋体"/>
                <w:sz w:val="28"/>
                <w:szCs w:val="28"/>
              </w:rPr>
              <w:t>33、每5年检验1次内部核算电能表。</w:t>
            </w:r>
          </w:p>
          <w:p>
            <w:pPr>
              <w:rPr>
                <w:rFonts w:ascii="宋体" w:hAnsi="宋体"/>
                <w:sz w:val="28"/>
                <w:szCs w:val="28"/>
              </w:rPr>
            </w:pPr>
            <w:r>
              <w:rPr>
                <w:rFonts w:hint="eastAsia" w:ascii="宋体" w:hAnsi="宋体"/>
                <w:sz w:val="28"/>
                <w:szCs w:val="28"/>
              </w:rPr>
              <w:t>34、路灯、楼道灯完好率应不低于85%。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17" w:type="dxa"/>
            <w:vMerge w:val="continue"/>
            <w:vAlign w:val="center"/>
          </w:tcPr>
          <w:p>
            <w:pPr>
              <w:jc w:val="center"/>
              <w:rPr>
                <w:rFonts w:ascii="宋体" w:hAnsi="宋体"/>
                <w:sz w:val="28"/>
                <w:szCs w:val="28"/>
              </w:rPr>
            </w:pPr>
          </w:p>
        </w:tc>
        <w:tc>
          <w:tcPr>
            <w:tcW w:w="918" w:type="dxa"/>
            <w:vAlign w:val="center"/>
          </w:tcPr>
          <w:p>
            <w:pPr>
              <w:jc w:val="center"/>
              <w:rPr>
                <w:rFonts w:ascii="宋体" w:hAnsi="宋体"/>
                <w:sz w:val="28"/>
                <w:szCs w:val="28"/>
              </w:rPr>
            </w:pPr>
            <w:r>
              <w:rPr>
                <w:rFonts w:hint="eastAsia" w:ascii="宋体" w:hAnsi="宋体"/>
                <w:sz w:val="28"/>
                <w:szCs w:val="28"/>
              </w:rPr>
              <w:t>安全防范系统安全防范系统安全防范系统</w:t>
            </w:r>
          </w:p>
        </w:tc>
        <w:tc>
          <w:tcPr>
            <w:tcW w:w="6558" w:type="dxa"/>
          </w:tcPr>
          <w:p>
            <w:pPr>
              <w:rPr>
                <w:rFonts w:ascii="宋体" w:hAnsi="宋体"/>
                <w:sz w:val="28"/>
                <w:szCs w:val="28"/>
              </w:rPr>
            </w:pPr>
            <w:r>
              <w:rPr>
                <w:rFonts w:hint="eastAsia" w:ascii="宋体" w:hAnsi="宋体"/>
                <w:sz w:val="28"/>
                <w:szCs w:val="28"/>
              </w:rPr>
              <w:t>35、物防（1）外露管道等易攀爬处有防盗设施，如：防盗伞、防爬刺、带钩铁丝或抹黄油等。（2）设置非机动车集中停放点，有序停放。（3）应安装单元防盗安全门。（4）物业区域内路灯、楼道灯等夜间照明设施齐全，使用正常。（5）落实专人对各类物防设施每月开展1次全面检查，及时排除安全隐患。</w:t>
            </w:r>
          </w:p>
          <w:p>
            <w:pPr>
              <w:rPr>
                <w:rFonts w:ascii="宋体" w:hAnsi="宋体"/>
                <w:sz w:val="28"/>
                <w:szCs w:val="28"/>
              </w:rPr>
            </w:pPr>
            <w:r>
              <w:rPr>
                <w:rFonts w:hint="eastAsia" w:ascii="宋体" w:hAnsi="宋体"/>
                <w:sz w:val="28"/>
                <w:szCs w:val="28"/>
              </w:rPr>
              <w:t>36、技防（1）报警控制管理主机：每日检查1次，保障设备运行正常。（2）红外对射探测器：每半月做运行状态测试1次，保障设备运行正常。（3）图像采集设备：每周检查1次监视画面效果、录像、图像保存等功能，保障设备运行正常。（4）摄像头：每2个月检查1次聚焦、清晰度、红外夜视、遮挡物、镜头清洁等情况，进行相应调校。（5）楼宇对讲设备：每月检查1次按键、显示屏、通话等功能状况，保障设备运行正常。（6）门禁管理设备：每月检查1次，保障设备运行正常。（7）技防设施设备出现运行不正常和损坏等问题，应立即进行维修。</w:t>
            </w:r>
          </w:p>
          <w:p>
            <w:pPr>
              <w:rPr>
                <w:rFonts w:ascii="宋体" w:hAnsi="宋体"/>
                <w:sz w:val="28"/>
                <w:szCs w:val="28"/>
              </w:rPr>
            </w:pPr>
            <w:r>
              <w:rPr>
                <w:rFonts w:hint="eastAsia" w:ascii="宋体" w:hAnsi="宋体"/>
                <w:sz w:val="28"/>
                <w:szCs w:val="28"/>
              </w:rPr>
              <w:t>37、消防 （1）消防设施设备完好，可随时启用；保持消防通道畅通。（2）在出入口、电梯口、防火门等醒目位置有提示火灾危险性、安全逃生路线、安全出口、消防设施器材使用方法的明显标志和警示标语、安全疏散路线指导图。（3）有消防安全责任制，明确各级岗位的消防安全职责。（4）有灭火和应急疏散预案，有义务消防队，配备必要的消防器材，相关人员掌握消防基本知识和技能；高层住宅每年至少组织2次有员工、业主或使用人参加的消防演练，多层、别墅等住宅每年至少组织1次。（5）对以下消防设施，应每日进行检查：a. 火灾报警器的功能是否正常、指示灯有无损坏；b. 消防泵房内的阀门、报警阀组、管道压力、供电是否正常；c. 疏散通道、安全出口的防火门是否完好，常闭防火门是否处于正常状态。（6）对以下消防设施，应每月进行1次检查或试验：a. 进行消防水泵启动运转，检查其运转是否正常；b. 消防水泵接合器的接口及附件是否完好，有无渗漏、闷盖是否齐全；c. 屋顶供水水箱的储水水位；d. 消防泵房间的防火门是否完好；e. 灭火器的压力是否达到要求、是否过期失效、是否生锈、是否无法启用。（7）对以下消防设施，应每季度进行1次检查或试验：a. 火灾警报装置声光显示、消防控制设备的控制显示功能、应急照明、疏散指示标志等是否有效、是否处于正常状态。对主、备电源进行自动转换试验；b. 进行消防电梯强制停于首层试验；c. 对水流指示器进行功能试验，利用末端试水装置排水，水流指示器应动作，消防控制室应有信号显示，水力警铃应发出报警声，并应启动消防水泵。对报警阀旁的放水试验进行供水试验，验证系统的供水能力；d. 喷头外观，发现有不正常的喷头应更换，当喷头上有异物时应清除；e. 室外阀门井中进水阀、屋顶水箱阀门和管道中的阀门，核实其是否处于正常状态；f. 与火灾报警系统有联动功能的防火门(包括防火卷帘)能否联动，设施、设备间的防火门是否完好；g. 防排烟系统是否处于正常状态。（8）发现消防安全违法行为和火灾隐患，立即纠正、排除；无法立即纠正、排除的，应向公安机关消防机构报告。（9）消防控制室设24 小时值班，及时处理各类报警、故障信息。（10）发生火情立即报警，组织扑救初起火灾，疏散遇险人员，协助配合公安机关消防机构工作。（11）与有资质的消防维保单位签订消防维保合同，约定消防维保的内容、要求、频次、期限以及双方的权利、义务与责任。（12）有消防安全管理制度，每年对员工进行至少2次消防安全培训。每年对业主至少有2次消防安全宣传教育，可采用宣传栏、横幅、讲座等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17" w:type="dxa"/>
            <w:vMerge w:val="continue"/>
            <w:vAlign w:val="center"/>
          </w:tcPr>
          <w:p>
            <w:pPr>
              <w:jc w:val="center"/>
              <w:rPr>
                <w:rFonts w:ascii="宋体" w:hAnsi="宋体"/>
                <w:sz w:val="28"/>
                <w:szCs w:val="28"/>
              </w:rPr>
            </w:pPr>
          </w:p>
        </w:tc>
        <w:tc>
          <w:tcPr>
            <w:tcW w:w="918" w:type="dxa"/>
            <w:vAlign w:val="center"/>
          </w:tcPr>
          <w:p>
            <w:pPr>
              <w:jc w:val="center"/>
              <w:rPr>
                <w:rFonts w:ascii="宋体" w:hAnsi="宋体"/>
                <w:sz w:val="28"/>
                <w:szCs w:val="28"/>
              </w:rPr>
            </w:pPr>
            <w:r>
              <w:rPr>
                <w:rFonts w:hint="eastAsia" w:ascii="宋体" w:hAnsi="宋体"/>
                <w:sz w:val="28"/>
                <w:szCs w:val="28"/>
              </w:rPr>
              <w:t>电梯</w:t>
            </w:r>
          </w:p>
        </w:tc>
        <w:tc>
          <w:tcPr>
            <w:tcW w:w="6558" w:type="dxa"/>
          </w:tcPr>
          <w:p>
            <w:pPr>
              <w:rPr>
                <w:rFonts w:ascii="宋体" w:hAnsi="宋体"/>
                <w:sz w:val="28"/>
                <w:szCs w:val="28"/>
              </w:rPr>
            </w:pPr>
            <w:r>
              <w:rPr>
                <w:rFonts w:hint="eastAsia" w:ascii="宋体" w:hAnsi="宋体"/>
                <w:sz w:val="28"/>
                <w:szCs w:val="28"/>
              </w:rPr>
              <w:t>38、电梯每年进行1次定期检验。电梯检验有效期届满前1个月，应向电梯检验检测机构提出定期检验申请。</w:t>
            </w:r>
          </w:p>
          <w:p>
            <w:pPr>
              <w:rPr>
                <w:rFonts w:ascii="宋体" w:hAnsi="宋体"/>
                <w:sz w:val="28"/>
                <w:szCs w:val="28"/>
              </w:rPr>
            </w:pPr>
            <w:r>
              <w:rPr>
                <w:rFonts w:hint="eastAsia" w:ascii="宋体" w:hAnsi="宋体"/>
                <w:sz w:val="28"/>
                <w:szCs w:val="28"/>
              </w:rPr>
              <w:t>39、在电梯轿厢内或者出入口的明显位置张贴有效的电梯检验标志；在电梯轿厢内显著位置张贴电梯使用的安全注意事项和警示标志、使用管理单位名称和维保单位名称及其急修、救援、投诉19电话。</w:t>
            </w:r>
          </w:p>
          <w:p>
            <w:pPr>
              <w:rPr>
                <w:rFonts w:ascii="宋体" w:hAnsi="宋体"/>
                <w:sz w:val="28"/>
                <w:szCs w:val="28"/>
              </w:rPr>
            </w:pPr>
            <w:r>
              <w:rPr>
                <w:rFonts w:hint="eastAsia" w:ascii="宋体" w:hAnsi="宋体"/>
                <w:sz w:val="28"/>
                <w:szCs w:val="28"/>
              </w:rPr>
              <w:t>40、有以岗位责任制为核心的电梯使用安全管理制度。</w:t>
            </w:r>
          </w:p>
          <w:p>
            <w:pPr>
              <w:rPr>
                <w:rFonts w:ascii="宋体" w:hAnsi="宋体"/>
                <w:sz w:val="28"/>
                <w:szCs w:val="28"/>
              </w:rPr>
            </w:pPr>
            <w:r>
              <w:rPr>
                <w:rFonts w:hint="eastAsia" w:ascii="宋体" w:hAnsi="宋体"/>
                <w:sz w:val="28"/>
                <w:szCs w:val="28"/>
              </w:rPr>
              <w:t>41、电梯紧急报警装置能随时与值班人员取得有效联系。</w:t>
            </w:r>
          </w:p>
          <w:p>
            <w:pPr>
              <w:rPr>
                <w:rFonts w:ascii="宋体" w:hAnsi="宋体"/>
                <w:sz w:val="28"/>
                <w:szCs w:val="28"/>
              </w:rPr>
            </w:pPr>
            <w:r>
              <w:rPr>
                <w:rFonts w:hint="eastAsia" w:ascii="宋体" w:hAnsi="宋体"/>
                <w:sz w:val="28"/>
                <w:szCs w:val="28"/>
              </w:rPr>
              <w:t>42、日常维护保养和定期检查中发现的问题应及时组织排除。</w:t>
            </w:r>
          </w:p>
          <w:p>
            <w:pPr>
              <w:rPr>
                <w:rFonts w:ascii="宋体" w:hAnsi="宋体"/>
                <w:sz w:val="28"/>
                <w:szCs w:val="28"/>
              </w:rPr>
            </w:pPr>
            <w:r>
              <w:rPr>
                <w:rFonts w:hint="eastAsia" w:ascii="宋体" w:hAnsi="宋体"/>
                <w:sz w:val="28"/>
                <w:szCs w:val="28"/>
              </w:rPr>
              <w:t>43、与有相应有效资质的电梯维保单位签订电梯维保合同，约定维护保养的内容、要求、频次、期限以及双方的权利、义务与责任。</w:t>
            </w:r>
          </w:p>
          <w:p>
            <w:pPr>
              <w:rPr>
                <w:rFonts w:ascii="宋体" w:hAnsi="宋体"/>
                <w:sz w:val="28"/>
                <w:szCs w:val="28"/>
              </w:rPr>
            </w:pPr>
            <w:r>
              <w:rPr>
                <w:rFonts w:hint="eastAsia" w:ascii="宋体" w:hAnsi="宋体"/>
                <w:sz w:val="28"/>
                <w:szCs w:val="28"/>
              </w:rPr>
              <w:t>44、配备至少1名取得特种设备作业人员证的电梯安全管理人员。每日检查1次电梯安全状况。每年至少对电梯安全管理人员进行1次特种设备安全培训，保证其具备必要的安全知识。</w:t>
            </w:r>
          </w:p>
          <w:p>
            <w:pPr>
              <w:rPr>
                <w:rFonts w:ascii="宋体" w:hAnsi="宋体"/>
                <w:sz w:val="28"/>
                <w:szCs w:val="28"/>
              </w:rPr>
            </w:pPr>
            <w:r>
              <w:rPr>
                <w:rFonts w:hint="eastAsia" w:ascii="宋体" w:hAnsi="宋体"/>
                <w:sz w:val="28"/>
                <w:szCs w:val="28"/>
              </w:rPr>
              <w:t>45、有电梯突发事件或者事故的应急措施与救援预案，并每年演练1次。发生电梯困人时应及时采取措施。物业服务人员应在20分钟内到达现场，六城区范围内专业维修人员应在30分钟内到达现场，其它地区在60分钟内到达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17" w:type="dxa"/>
            <w:vMerge w:val="continue"/>
            <w:vAlign w:val="center"/>
          </w:tcPr>
          <w:p>
            <w:pPr>
              <w:jc w:val="center"/>
              <w:rPr>
                <w:rFonts w:ascii="宋体" w:hAnsi="宋体"/>
                <w:sz w:val="28"/>
                <w:szCs w:val="28"/>
              </w:rPr>
            </w:pPr>
          </w:p>
        </w:tc>
        <w:tc>
          <w:tcPr>
            <w:tcW w:w="918" w:type="dxa"/>
            <w:vAlign w:val="center"/>
          </w:tcPr>
          <w:p>
            <w:pPr>
              <w:jc w:val="center"/>
              <w:rPr>
                <w:rFonts w:ascii="宋体" w:hAnsi="宋体"/>
                <w:sz w:val="28"/>
                <w:szCs w:val="28"/>
              </w:rPr>
            </w:pPr>
            <w:r>
              <w:rPr>
                <w:rFonts w:hint="eastAsia" w:ascii="宋体" w:hAnsi="宋体"/>
                <w:sz w:val="28"/>
                <w:szCs w:val="28"/>
              </w:rPr>
              <w:t>水景及游乐设施</w:t>
            </w:r>
          </w:p>
        </w:tc>
        <w:tc>
          <w:tcPr>
            <w:tcW w:w="6558" w:type="dxa"/>
          </w:tcPr>
          <w:p>
            <w:pPr>
              <w:rPr>
                <w:rFonts w:ascii="宋体" w:hAnsi="宋体"/>
                <w:sz w:val="28"/>
                <w:szCs w:val="28"/>
              </w:rPr>
            </w:pPr>
            <w:r>
              <w:rPr>
                <w:rFonts w:hint="eastAsia" w:ascii="宋体" w:hAnsi="宋体"/>
                <w:sz w:val="28"/>
                <w:szCs w:val="28"/>
              </w:rPr>
              <w:t>46、启用前进行防渗漏和防漏电检查，防止渗漏，保证用电安全。</w:t>
            </w:r>
          </w:p>
          <w:p>
            <w:pPr>
              <w:rPr>
                <w:rFonts w:ascii="宋体" w:hAnsi="宋体"/>
                <w:sz w:val="28"/>
                <w:szCs w:val="28"/>
              </w:rPr>
            </w:pPr>
            <w:r>
              <w:rPr>
                <w:rFonts w:hint="eastAsia" w:ascii="宋体" w:hAnsi="宋体"/>
                <w:sz w:val="28"/>
                <w:szCs w:val="28"/>
              </w:rPr>
              <w:t>47、使用期间每周巡查2 次喷水池、水泵及其附属设施，每月检查1 次防漏电设施。</w:t>
            </w:r>
          </w:p>
          <w:p>
            <w:pPr>
              <w:rPr>
                <w:rFonts w:ascii="宋体" w:hAnsi="宋体"/>
                <w:sz w:val="28"/>
                <w:szCs w:val="28"/>
              </w:rPr>
            </w:pPr>
            <w:r>
              <w:rPr>
                <w:rFonts w:hint="eastAsia" w:ascii="宋体" w:hAnsi="宋体"/>
                <w:sz w:val="28"/>
                <w:szCs w:val="28"/>
              </w:rPr>
              <w:t>48、有安全警示标识。49、每日巡查1次游乐设施，确保无安全隐患。</w:t>
            </w:r>
          </w:p>
        </w:tc>
      </w:tr>
    </w:tbl>
    <w:p>
      <w:pPr>
        <w:ind w:firstLine="280" w:firstLineChars="100"/>
        <w:rPr>
          <w:rFonts w:ascii="宋体" w:hAnsi="宋体"/>
          <w:sz w:val="28"/>
          <w:szCs w:val="28"/>
        </w:rPr>
      </w:pPr>
      <w:r>
        <w:rPr>
          <w:rFonts w:hint="eastAsia" w:ascii="宋体" w:hAnsi="宋体"/>
          <w:sz w:val="28"/>
          <w:szCs w:val="28"/>
        </w:rPr>
        <w:t>4、装饰装修管理（5项）</w:t>
      </w:r>
    </w:p>
    <w:tbl>
      <w:tblPr>
        <w:tblStyle w:val="45"/>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09"/>
        <w:gridCol w:w="67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tcPr>
          <w:p>
            <w:pPr>
              <w:jc w:val="center"/>
              <w:rPr>
                <w:rFonts w:ascii="宋体" w:hAnsi="宋体"/>
                <w:sz w:val="28"/>
                <w:szCs w:val="28"/>
              </w:rPr>
            </w:pPr>
            <w:r>
              <w:rPr>
                <w:rFonts w:ascii="宋体" w:hAnsi="宋体"/>
                <w:sz w:val="28"/>
                <w:szCs w:val="28"/>
              </w:rPr>
              <w:t>项目</w:t>
            </w:r>
          </w:p>
        </w:tc>
        <w:tc>
          <w:tcPr>
            <w:tcW w:w="6713" w:type="dxa"/>
          </w:tcPr>
          <w:p>
            <w:pPr>
              <w:jc w:val="center"/>
              <w:rPr>
                <w:rFonts w:ascii="宋体" w:hAnsi="宋体"/>
                <w:sz w:val="28"/>
                <w:szCs w:val="28"/>
              </w:rPr>
            </w:pPr>
            <w:r>
              <w:rPr>
                <w:rFonts w:ascii="宋体" w:hAnsi="宋体"/>
                <w:sz w:val="28"/>
                <w:szCs w:val="28"/>
              </w:rPr>
              <w:t>内容及要求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vAlign w:val="center"/>
          </w:tcPr>
          <w:p>
            <w:pPr>
              <w:jc w:val="center"/>
              <w:rPr>
                <w:rFonts w:ascii="宋体" w:hAnsi="宋体"/>
                <w:sz w:val="28"/>
                <w:szCs w:val="28"/>
              </w:rPr>
            </w:pPr>
            <w:r>
              <w:rPr>
                <w:rFonts w:hint="eastAsia" w:ascii="宋体" w:hAnsi="宋体"/>
                <w:sz w:val="28"/>
                <w:szCs w:val="28"/>
              </w:rPr>
              <w:t>装饰装修</w:t>
            </w:r>
          </w:p>
          <w:p>
            <w:pPr>
              <w:jc w:val="center"/>
              <w:rPr>
                <w:rFonts w:ascii="宋体" w:hAnsi="宋体"/>
                <w:sz w:val="28"/>
                <w:szCs w:val="28"/>
              </w:rPr>
            </w:pPr>
            <w:r>
              <w:rPr>
                <w:rFonts w:hint="eastAsia" w:ascii="宋体" w:hAnsi="宋体"/>
                <w:sz w:val="28"/>
                <w:szCs w:val="28"/>
              </w:rPr>
              <w:t>管理</w:t>
            </w:r>
          </w:p>
        </w:tc>
        <w:tc>
          <w:tcPr>
            <w:tcW w:w="6713" w:type="dxa"/>
          </w:tcPr>
          <w:p>
            <w:pPr>
              <w:rPr>
                <w:rFonts w:ascii="宋体" w:hAnsi="宋体"/>
                <w:sz w:val="28"/>
                <w:szCs w:val="28"/>
              </w:rPr>
            </w:pPr>
            <w:r>
              <w:rPr>
                <w:rFonts w:hint="eastAsia" w:ascii="宋体" w:hAnsi="宋体"/>
                <w:sz w:val="28"/>
                <w:szCs w:val="28"/>
              </w:rPr>
              <w:t>1、有装饰装修管理服务制度。</w:t>
            </w:r>
          </w:p>
          <w:p>
            <w:pPr>
              <w:rPr>
                <w:rFonts w:ascii="宋体" w:hAnsi="宋体"/>
                <w:sz w:val="28"/>
                <w:szCs w:val="28"/>
              </w:rPr>
            </w:pPr>
            <w:r>
              <w:rPr>
                <w:rFonts w:hint="eastAsia" w:ascii="宋体" w:hAnsi="宋体"/>
                <w:sz w:val="28"/>
                <w:szCs w:val="28"/>
              </w:rPr>
              <w:t>2、有装饰装修管理档案。</w:t>
            </w:r>
          </w:p>
          <w:p>
            <w:pPr>
              <w:rPr>
                <w:rFonts w:ascii="宋体" w:hAnsi="宋体"/>
                <w:sz w:val="28"/>
                <w:szCs w:val="28"/>
              </w:rPr>
            </w:pPr>
            <w:r>
              <w:rPr>
                <w:rFonts w:hint="eastAsia" w:ascii="宋体" w:hAnsi="宋体"/>
                <w:sz w:val="28"/>
                <w:szCs w:val="28"/>
              </w:rPr>
              <w:t>3、受理业主或使用人的装饰装修申报登记，与业主或使用人、装饰装修企业签订住宅室内装饰装修管理服务协议，告知业主或使用人在装饰装修工程中的禁止行为和注意事项。</w:t>
            </w:r>
          </w:p>
          <w:p>
            <w:pPr>
              <w:rPr>
                <w:rFonts w:ascii="宋体" w:hAnsi="宋体"/>
                <w:sz w:val="28"/>
                <w:szCs w:val="28"/>
              </w:rPr>
            </w:pPr>
            <w:r>
              <w:rPr>
                <w:rFonts w:hint="eastAsia" w:ascii="宋体" w:hAnsi="宋体"/>
                <w:sz w:val="28"/>
                <w:szCs w:val="28"/>
              </w:rPr>
              <w:t>4、装饰装修期间每2日巡查1 次现场，发现业主或使用人未申报登记或者有违法违规行为的，应立即劝阻；拒不改正的，报告相关行政主管部门及业主、业主委员会。</w:t>
            </w:r>
          </w:p>
          <w:p>
            <w:pPr>
              <w:rPr>
                <w:rFonts w:ascii="宋体" w:hAnsi="宋体"/>
                <w:sz w:val="28"/>
                <w:szCs w:val="28"/>
              </w:rPr>
            </w:pPr>
            <w:r>
              <w:rPr>
                <w:rFonts w:hint="eastAsia" w:ascii="宋体" w:hAnsi="宋体"/>
                <w:sz w:val="28"/>
                <w:szCs w:val="28"/>
              </w:rPr>
              <w:t>5、委托清运装修垃圾的，应在指定地点临时堆放，在1周内清运，自行清运装修垃圾的，应采用袋装运输或密闭运输的方式清运。</w:t>
            </w:r>
          </w:p>
        </w:tc>
      </w:tr>
    </w:tbl>
    <w:p>
      <w:pPr>
        <w:ind w:firstLine="280" w:firstLineChars="100"/>
        <w:rPr>
          <w:rFonts w:ascii="宋体" w:hAnsi="宋体"/>
          <w:sz w:val="28"/>
          <w:szCs w:val="28"/>
        </w:rPr>
      </w:pPr>
      <w:r>
        <w:rPr>
          <w:rFonts w:hint="eastAsia" w:ascii="宋体" w:hAnsi="宋体"/>
          <w:sz w:val="28"/>
          <w:szCs w:val="28"/>
        </w:rPr>
        <w:t>5、公共秩序维护（11项）</w:t>
      </w:r>
    </w:p>
    <w:tbl>
      <w:tblPr>
        <w:tblStyle w:val="45"/>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09"/>
        <w:gridCol w:w="67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tcPr>
          <w:p>
            <w:pPr>
              <w:jc w:val="center"/>
              <w:rPr>
                <w:rFonts w:ascii="宋体" w:hAnsi="宋体"/>
                <w:sz w:val="28"/>
                <w:szCs w:val="28"/>
              </w:rPr>
            </w:pPr>
            <w:r>
              <w:rPr>
                <w:rFonts w:ascii="宋体" w:hAnsi="宋体"/>
                <w:sz w:val="28"/>
                <w:szCs w:val="28"/>
              </w:rPr>
              <w:t>项目</w:t>
            </w:r>
          </w:p>
        </w:tc>
        <w:tc>
          <w:tcPr>
            <w:tcW w:w="6713" w:type="dxa"/>
          </w:tcPr>
          <w:p>
            <w:pPr>
              <w:jc w:val="center"/>
              <w:rPr>
                <w:rFonts w:ascii="宋体" w:hAnsi="宋体"/>
                <w:sz w:val="28"/>
                <w:szCs w:val="28"/>
              </w:rPr>
            </w:pPr>
            <w:r>
              <w:rPr>
                <w:rFonts w:ascii="宋体" w:hAnsi="宋体"/>
                <w:sz w:val="28"/>
                <w:szCs w:val="28"/>
              </w:rPr>
              <w:t>内容及要求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vAlign w:val="center"/>
          </w:tcPr>
          <w:p>
            <w:pPr>
              <w:jc w:val="center"/>
              <w:rPr>
                <w:rFonts w:ascii="宋体" w:hAnsi="宋体"/>
                <w:sz w:val="28"/>
                <w:szCs w:val="28"/>
              </w:rPr>
            </w:pPr>
            <w:r>
              <w:rPr>
                <w:rFonts w:hint="eastAsia" w:ascii="宋体" w:hAnsi="宋体"/>
                <w:sz w:val="28"/>
                <w:szCs w:val="28"/>
              </w:rPr>
              <w:t>公共秩序</w:t>
            </w:r>
          </w:p>
          <w:p>
            <w:pPr>
              <w:jc w:val="center"/>
              <w:rPr>
                <w:rFonts w:ascii="宋体" w:hAnsi="宋体"/>
                <w:sz w:val="28"/>
                <w:szCs w:val="28"/>
              </w:rPr>
            </w:pPr>
            <w:r>
              <w:rPr>
                <w:rFonts w:hint="eastAsia" w:ascii="宋体" w:hAnsi="宋体"/>
                <w:sz w:val="28"/>
                <w:szCs w:val="28"/>
              </w:rPr>
              <w:t>维护</w:t>
            </w:r>
          </w:p>
        </w:tc>
        <w:tc>
          <w:tcPr>
            <w:tcW w:w="6713" w:type="dxa"/>
          </w:tcPr>
          <w:p>
            <w:pPr>
              <w:rPr>
                <w:rFonts w:ascii="宋体" w:hAnsi="宋体"/>
                <w:sz w:val="28"/>
                <w:szCs w:val="28"/>
              </w:rPr>
            </w:pPr>
            <w:r>
              <w:rPr>
                <w:rFonts w:hint="eastAsia" w:ascii="宋体" w:hAnsi="宋体"/>
                <w:sz w:val="28"/>
                <w:szCs w:val="28"/>
              </w:rPr>
              <w:t>1、出入口有专人24小时值守。</w:t>
            </w:r>
          </w:p>
          <w:p>
            <w:pPr>
              <w:rPr>
                <w:rFonts w:ascii="宋体" w:hAnsi="宋体"/>
                <w:sz w:val="28"/>
                <w:szCs w:val="28"/>
              </w:rPr>
            </w:pPr>
            <w:r>
              <w:rPr>
                <w:rFonts w:hint="eastAsia" w:ascii="宋体" w:hAnsi="宋体"/>
                <w:sz w:val="28"/>
                <w:szCs w:val="28"/>
              </w:rPr>
              <w:t>2、对重点区域、重点部位每2小时巡查1次。</w:t>
            </w:r>
          </w:p>
          <w:p>
            <w:pPr>
              <w:rPr>
                <w:rFonts w:ascii="宋体" w:hAnsi="宋体"/>
                <w:sz w:val="28"/>
                <w:szCs w:val="28"/>
              </w:rPr>
            </w:pPr>
            <w:r>
              <w:rPr>
                <w:rFonts w:hint="eastAsia" w:ascii="宋体" w:hAnsi="宋体"/>
                <w:sz w:val="28"/>
                <w:szCs w:val="28"/>
              </w:rPr>
              <w:t>3、有外来人员管理制度，对来人来访进行询问登记。</w:t>
            </w:r>
          </w:p>
          <w:p>
            <w:pPr>
              <w:rPr>
                <w:rFonts w:ascii="宋体" w:hAnsi="宋体"/>
                <w:sz w:val="28"/>
                <w:szCs w:val="28"/>
              </w:rPr>
            </w:pPr>
            <w:r>
              <w:rPr>
                <w:rFonts w:hint="eastAsia" w:ascii="宋体" w:hAnsi="宋体"/>
                <w:sz w:val="28"/>
                <w:szCs w:val="28"/>
              </w:rPr>
              <w:t>4、对机动车实行发牌进出登记管理制度，停放有序。</w:t>
            </w:r>
          </w:p>
          <w:p>
            <w:pPr>
              <w:rPr>
                <w:rFonts w:ascii="宋体" w:hAnsi="宋体"/>
                <w:sz w:val="28"/>
                <w:szCs w:val="28"/>
              </w:rPr>
            </w:pPr>
            <w:r>
              <w:rPr>
                <w:rFonts w:hint="eastAsia" w:ascii="宋体" w:hAnsi="宋体"/>
                <w:sz w:val="28"/>
                <w:szCs w:val="28"/>
              </w:rPr>
              <w:t>5、有大宗物品进出管理制度，实行大宗物品搬运进出登记管理。</w:t>
            </w:r>
          </w:p>
          <w:p>
            <w:pPr>
              <w:rPr>
                <w:rFonts w:ascii="宋体" w:hAnsi="宋体"/>
                <w:sz w:val="28"/>
                <w:szCs w:val="28"/>
              </w:rPr>
            </w:pPr>
            <w:r>
              <w:rPr>
                <w:rFonts w:hint="eastAsia" w:ascii="宋体" w:hAnsi="宋体"/>
                <w:sz w:val="28"/>
                <w:szCs w:val="28"/>
              </w:rPr>
              <w:t>6、安防控制室设专人24小时值守。</w:t>
            </w:r>
          </w:p>
          <w:p>
            <w:pPr>
              <w:rPr>
                <w:rFonts w:ascii="宋体" w:hAnsi="宋体"/>
                <w:sz w:val="28"/>
                <w:szCs w:val="28"/>
              </w:rPr>
            </w:pPr>
            <w:r>
              <w:rPr>
                <w:rFonts w:hint="eastAsia" w:ascii="宋体" w:hAnsi="宋体"/>
                <w:sz w:val="28"/>
                <w:szCs w:val="28"/>
              </w:rPr>
              <w:t>7、对违法犯罪行为立即报警，协助公安机关进行处理。</w:t>
            </w:r>
          </w:p>
          <w:p>
            <w:pPr>
              <w:rPr>
                <w:rFonts w:ascii="宋体" w:hAnsi="宋体"/>
                <w:sz w:val="28"/>
                <w:szCs w:val="28"/>
              </w:rPr>
            </w:pPr>
            <w:r>
              <w:rPr>
                <w:rFonts w:hint="eastAsia" w:ascii="宋体" w:hAnsi="宋体"/>
                <w:sz w:val="28"/>
                <w:szCs w:val="28"/>
              </w:rPr>
              <w:t>8、每年开展1次专项治安应急预案演练。</w:t>
            </w:r>
          </w:p>
          <w:p>
            <w:pPr>
              <w:rPr>
                <w:rFonts w:ascii="宋体" w:hAnsi="宋体"/>
                <w:sz w:val="28"/>
                <w:szCs w:val="28"/>
              </w:rPr>
            </w:pPr>
            <w:r>
              <w:rPr>
                <w:rFonts w:hint="eastAsia" w:ascii="宋体" w:hAnsi="宋体"/>
                <w:sz w:val="28"/>
                <w:szCs w:val="28"/>
              </w:rPr>
              <w:t>9、对秩序维护人员必须进行相关法律法规及岗位流程培训后方能上岗，每半年组织物管人员和保安人员开展1次安全防范教育培训。</w:t>
            </w:r>
          </w:p>
          <w:p>
            <w:pPr>
              <w:rPr>
                <w:rFonts w:ascii="宋体" w:hAnsi="宋体"/>
                <w:sz w:val="28"/>
                <w:szCs w:val="28"/>
              </w:rPr>
            </w:pPr>
            <w:r>
              <w:rPr>
                <w:rFonts w:hint="eastAsia" w:ascii="宋体" w:hAnsi="宋体"/>
                <w:sz w:val="28"/>
                <w:szCs w:val="28"/>
              </w:rPr>
              <w:t>10、利用小区公告栏张贴安全防范宣传品。</w:t>
            </w:r>
          </w:p>
          <w:p>
            <w:pPr>
              <w:rPr>
                <w:rFonts w:ascii="宋体" w:hAnsi="宋体"/>
                <w:sz w:val="28"/>
                <w:szCs w:val="28"/>
              </w:rPr>
            </w:pPr>
            <w:r>
              <w:rPr>
                <w:rFonts w:hint="eastAsia" w:ascii="宋体" w:hAnsi="宋体"/>
                <w:sz w:val="28"/>
                <w:szCs w:val="28"/>
              </w:rPr>
              <w:t>11、有租户管理制度，租户信息完善，配合做好流动人口登记、出租房屋登记工作。登记薄册齐全，有出租房屋公示栏。</w:t>
            </w:r>
          </w:p>
        </w:tc>
      </w:tr>
    </w:tbl>
    <w:p>
      <w:pPr>
        <w:ind w:firstLine="280" w:firstLineChars="100"/>
        <w:rPr>
          <w:rFonts w:ascii="宋体" w:hAnsi="宋体"/>
          <w:sz w:val="28"/>
          <w:szCs w:val="28"/>
        </w:rPr>
      </w:pPr>
      <w:r>
        <w:rPr>
          <w:rFonts w:hint="eastAsia" w:ascii="宋体" w:hAnsi="宋体"/>
          <w:sz w:val="28"/>
          <w:szCs w:val="28"/>
        </w:rPr>
        <w:t>6、环境卫生维护（10项）</w:t>
      </w:r>
    </w:p>
    <w:tbl>
      <w:tblPr>
        <w:tblStyle w:val="45"/>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09"/>
        <w:gridCol w:w="67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tcPr>
          <w:p>
            <w:pPr>
              <w:jc w:val="center"/>
              <w:rPr>
                <w:rFonts w:ascii="宋体" w:hAnsi="宋体"/>
                <w:sz w:val="28"/>
                <w:szCs w:val="28"/>
              </w:rPr>
            </w:pPr>
            <w:r>
              <w:rPr>
                <w:rFonts w:ascii="宋体" w:hAnsi="宋体"/>
                <w:sz w:val="28"/>
                <w:szCs w:val="28"/>
              </w:rPr>
              <w:t>项目</w:t>
            </w:r>
          </w:p>
        </w:tc>
        <w:tc>
          <w:tcPr>
            <w:tcW w:w="6713" w:type="dxa"/>
          </w:tcPr>
          <w:p>
            <w:pPr>
              <w:jc w:val="center"/>
              <w:rPr>
                <w:rFonts w:ascii="宋体" w:hAnsi="宋体"/>
                <w:sz w:val="28"/>
                <w:szCs w:val="28"/>
              </w:rPr>
            </w:pPr>
            <w:r>
              <w:rPr>
                <w:rFonts w:ascii="宋体" w:hAnsi="宋体"/>
                <w:sz w:val="28"/>
                <w:szCs w:val="28"/>
              </w:rPr>
              <w:t>内容及要求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vAlign w:val="center"/>
          </w:tcPr>
          <w:p>
            <w:pPr>
              <w:jc w:val="center"/>
              <w:rPr>
                <w:rFonts w:ascii="宋体" w:hAnsi="宋体"/>
                <w:sz w:val="28"/>
                <w:szCs w:val="28"/>
              </w:rPr>
            </w:pPr>
            <w:r>
              <w:rPr>
                <w:rFonts w:hint="eastAsia" w:ascii="宋体" w:hAnsi="宋体"/>
                <w:sz w:val="28"/>
                <w:szCs w:val="28"/>
              </w:rPr>
              <w:t>生活垃圾的收集、清运</w:t>
            </w:r>
          </w:p>
        </w:tc>
        <w:tc>
          <w:tcPr>
            <w:tcW w:w="6713" w:type="dxa"/>
          </w:tcPr>
          <w:p>
            <w:pPr>
              <w:rPr>
                <w:rFonts w:ascii="宋体" w:hAnsi="宋体"/>
                <w:sz w:val="28"/>
                <w:szCs w:val="28"/>
              </w:rPr>
            </w:pPr>
            <w:r>
              <w:rPr>
                <w:rFonts w:hint="eastAsia" w:ascii="宋体" w:hAnsi="宋体"/>
                <w:sz w:val="28"/>
                <w:szCs w:val="28"/>
              </w:rPr>
              <w:t>1、有垃圾收集容器。</w:t>
            </w:r>
          </w:p>
          <w:p>
            <w:pPr>
              <w:rPr>
                <w:rFonts w:ascii="宋体" w:hAnsi="宋体"/>
                <w:sz w:val="28"/>
                <w:szCs w:val="28"/>
              </w:rPr>
            </w:pPr>
            <w:r>
              <w:rPr>
                <w:rFonts w:hint="eastAsia" w:ascii="宋体" w:hAnsi="宋体"/>
                <w:sz w:val="28"/>
                <w:szCs w:val="28"/>
              </w:rPr>
              <w:t>2、每周至少清洗1次垃圾收集容器（夏季1次/3日），蝇、蚊孳生季节每5日喷洒1次杀虫药。</w:t>
            </w:r>
          </w:p>
          <w:p>
            <w:pPr>
              <w:rPr>
                <w:rFonts w:ascii="宋体" w:hAnsi="宋体"/>
                <w:sz w:val="28"/>
                <w:szCs w:val="28"/>
              </w:rPr>
            </w:pPr>
            <w:r>
              <w:rPr>
                <w:rFonts w:hint="eastAsia" w:ascii="宋体" w:hAnsi="宋体"/>
                <w:sz w:val="28"/>
                <w:szCs w:val="28"/>
              </w:rPr>
              <w:t>3、垃圾收集容器内的垃圾不超过其容量的2/3，周边无散落垃圾。生活垃圾应清运至指定的垃圾中转站，清运频次不低于3次/日。</w:t>
            </w:r>
          </w:p>
          <w:p>
            <w:pPr>
              <w:rPr>
                <w:rFonts w:ascii="宋体" w:hAnsi="宋体"/>
                <w:sz w:val="28"/>
                <w:szCs w:val="28"/>
              </w:rPr>
            </w:pPr>
            <w:r>
              <w:rPr>
                <w:rFonts w:hint="eastAsia" w:ascii="宋体" w:hAnsi="宋体"/>
                <w:sz w:val="28"/>
                <w:szCs w:val="28"/>
              </w:rPr>
              <w:t>4、垃圾中转站外围保持整洁。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vAlign w:val="center"/>
          </w:tcPr>
          <w:p>
            <w:pPr>
              <w:jc w:val="center"/>
              <w:rPr>
                <w:rFonts w:ascii="宋体" w:hAnsi="宋体"/>
                <w:sz w:val="28"/>
                <w:szCs w:val="28"/>
              </w:rPr>
            </w:pPr>
            <w:r>
              <w:rPr>
                <w:rFonts w:hint="eastAsia" w:ascii="宋体" w:hAnsi="宋体"/>
                <w:sz w:val="28"/>
                <w:szCs w:val="28"/>
              </w:rPr>
              <w:t>物业共用部分清洁，维修及发电机</w:t>
            </w:r>
          </w:p>
          <w:p>
            <w:pPr>
              <w:jc w:val="center"/>
              <w:rPr>
                <w:rFonts w:ascii="宋体" w:hAnsi="宋体"/>
                <w:sz w:val="28"/>
                <w:szCs w:val="28"/>
              </w:rPr>
            </w:pPr>
            <w:r>
              <w:rPr>
                <w:rFonts w:hint="eastAsia" w:ascii="宋体" w:hAnsi="宋体"/>
                <w:sz w:val="28"/>
                <w:szCs w:val="28"/>
              </w:rPr>
              <w:t>保养</w:t>
            </w:r>
          </w:p>
        </w:tc>
        <w:tc>
          <w:tcPr>
            <w:tcW w:w="6713" w:type="dxa"/>
          </w:tcPr>
          <w:p>
            <w:pPr>
              <w:rPr>
                <w:rFonts w:ascii="宋体" w:hAnsi="宋体"/>
                <w:sz w:val="28"/>
                <w:szCs w:val="28"/>
              </w:rPr>
            </w:pPr>
            <w:r>
              <w:rPr>
                <w:rFonts w:hint="eastAsia" w:ascii="宋体" w:hAnsi="宋体"/>
                <w:sz w:val="28"/>
                <w:szCs w:val="28"/>
              </w:rPr>
              <w:t>5、公共场所每日清扫2次，楼道、楼梯每日清扫1次。</w:t>
            </w:r>
          </w:p>
          <w:p>
            <w:pPr>
              <w:rPr>
                <w:rFonts w:ascii="宋体" w:hAnsi="宋体"/>
                <w:sz w:val="28"/>
                <w:szCs w:val="28"/>
              </w:rPr>
            </w:pPr>
            <w:r>
              <w:rPr>
                <w:rFonts w:hint="eastAsia" w:ascii="宋体" w:hAnsi="宋体"/>
                <w:sz w:val="28"/>
                <w:szCs w:val="28"/>
              </w:rPr>
              <w:t>6、每月度擦拭1次楼梯扶手、栏杆、窗台、防火门、消火栓、指示牌等共用设施。</w:t>
            </w:r>
          </w:p>
          <w:p>
            <w:pPr>
              <w:rPr>
                <w:rFonts w:ascii="宋体" w:hAnsi="宋体"/>
                <w:sz w:val="28"/>
                <w:szCs w:val="28"/>
              </w:rPr>
            </w:pPr>
            <w:r>
              <w:rPr>
                <w:rFonts w:hint="eastAsia" w:ascii="宋体" w:hAnsi="宋体"/>
                <w:sz w:val="28"/>
                <w:szCs w:val="28"/>
              </w:rPr>
              <w:t>7、电梯轿厢：每日擦拭1 次电梯轿厢门、面板；每日清拖1 次轿厢地面；不锈钢或其它材料装饰的电梯轿厢，每月护理1次；石材装饰的电梯轿厢，每季度养护1次；每日巡视保洁2次电梯轿厢。</w:t>
            </w:r>
          </w:p>
          <w:p>
            <w:pPr>
              <w:rPr>
                <w:rFonts w:ascii="宋体" w:hAnsi="宋体"/>
                <w:sz w:val="28"/>
                <w:szCs w:val="28"/>
              </w:rPr>
            </w:pPr>
            <w:r>
              <w:rPr>
                <w:rFonts w:hint="eastAsia" w:ascii="宋体" w:hAnsi="宋体"/>
                <w:sz w:val="28"/>
                <w:szCs w:val="28"/>
              </w:rPr>
              <w:t>8、楼外道路及设施：每日清扫1次、巡视保洁2次，楼外道路无积水；每月清洁1次楼外公共照明及共用设施；每季度清洁1次雨篷、门头等。</w:t>
            </w:r>
          </w:p>
          <w:p>
            <w:pPr>
              <w:rPr>
                <w:rFonts w:ascii="宋体" w:hAnsi="宋体"/>
                <w:sz w:val="28"/>
                <w:szCs w:val="28"/>
              </w:rPr>
            </w:pPr>
            <w:r>
              <w:rPr>
                <w:rFonts w:hint="eastAsia" w:ascii="宋体" w:hAnsi="宋体"/>
                <w:sz w:val="28"/>
                <w:szCs w:val="28"/>
              </w:rPr>
              <w:t>9、水景：根据水质情况进行消毒净化处理。使用期间每周清洁1 次水面；每年清洁2 次水池池底。</w:t>
            </w:r>
          </w:p>
          <w:p>
            <w:pPr>
              <w:rPr>
                <w:rFonts w:ascii="宋体" w:hAnsi="宋体"/>
                <w:sz w:val="28"/>
                <w:szCs w:val="28"/>
              </w:rPr>
            </w:pPr>
            <w:r>
              <w:rPr>
                <w:rFonts w:hint="eastAsia" w:ascii="宋体" w:hAnsi="宋体"/>
                <w:sz w:val="28"/>
                <w:szCs w:val="28"/>
              </w:rPr>
              <w:t>10、有完善的消杀灭害服务方案和管理制度。配合相关部门进行有害生物的预防和控制。投放药物应预先告知，投药位置有明显标识；定期进行消杀灭害，有相关记录。</w:t>
            </w:r>
          </w:p>
          <w:p>
            <w:pPr>
              <w:pStyle w:val="2"/>
            </w:pPr>
            <w:r>
              <w:rPr>
                <w:rFonts w:hint="eastAsia" w:hAnsi="宋体"/>
                <w:sz w:val="28"/>
                <w:szCs w:val="28"/>
              </w:rPr>
              <w:t>11、公用部分的常用耗材≤500元由物业管理公司自行承担，＞500元申请房屋维修资金。发电机每年必须保养一次，停电时电梯要保持24小时运行，发电机的耗材（只含燃油）费用包含在此次报价范围，由物业公司自行承担。</w:t>
            </w:r>
          </w:p>
        </w:tc>
      </w:tr>
    </w:tbl>
    <w:p>
      <w:pPr>
        <w:ind w:firstLine="280" w:firstLineChars="100"/>
        <w:rPr>
          <w:rFonts w:ascii="宋体" w:hAnsi="宋体"/>
          <w:sz w:val="28"/>
          <w:szCs w:val="28"/>
        </w:rPr>
      </w:pPr>
      <w:r>
        <w:rPr>
          <w:rFonts w:hint="eastAsia" w:ascii="宋体" w:hAnsi="宋体"/>
          <w:sz w:val="28"/>
          <w:szCs w:val="28"/>
        </w:rPr>
        <w:t>7、绿化养护（6项）</w:t>
      </w:r>
    </w:p>
    <w:tbl>
      <w:tblPr>
        <w:tblStyle w:val="45"/>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09"/>
        <w:gridCol w:w="67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tcPr>
          <w:p>
            <w:pPr>
              <w:jc w:val="center"/>
              <w:rPr>
                <w:rFonts w:ascii="宋体" w:hAnsi="宋体"/>
                <w:sz w:val="28"/>
                <w:szCs w:val="28"/>
              </w:rPr>
            </w:pPr>
            <w:r>
              <w:rPr>
                <w:rFonts w:ascii="宋体" w:hAnsi="宋体"/>
                <w:sz w:val="28"/>
                <w:szCs w:val="28"/>
              </w:rPr>
              <w:t>项目</w:t>
            </w:r>
          </w:p>
        </w:tc>
        <w:tc>
          <w:tcPr>
            <w:tcW w:w="6713" w:type="dxa"/>
          </w:tcPr>
          <w:p>
            <w:pPr>
              <w:jc w:val="center"/>
              <w:rPr>
                <w:rFonts w:ascii="宋体" w:hAnsi="宋体"/>
                <w:sz w:val="28"/>
                <w:szCs w:val="28"/>
              </w:rPr>
            </w:pPr>
            <w:r>
              <w:rPr>
                <w:rFonts w:ascii="宋体" w:hAnsi="宋体"/>
                <w:sz w:val="28"/>
                <w:szCs w:val="28"/>
              </w:rPr>
              <w:t>内容及要求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vAlign w:val="center"/>
          </w:tcPr>
          <w:p>
            <w:pPr>
              <w:jc w:val="center"/>
              <w:rPr>
                <w:rFonts w:ascii="宋体" w:hAnsi="宋体"/>
                <w:sz w:val="28"/>
                <w:szCs w:val="28"/>
              </w:rPr>
            </w:pPr>
            <w:r>
              <w:rPr>
                <w:rFonts w:hint="eastAsia" w:ascii="宋体" w:hAnsi="宋体"/>
                <w:sz w:val="28"/>
                <w:szCs w:val="28"/>
              </w:rPr>
              <w:t>绿化养护</w:t>
            </w:r>
          </w:p>
        </w:tc>
        <w:tc>
          <w:tcPr>
            <w:tcW w:w="6713" w:type="dxa"/>
          </w:tcPr>
          <w:p>
            <w:pPr>
              <w:rPr>
                <w:rFonts w:ascii="宋体" w:hAnsi="宋体"/>
                <w:sz w:val="28"/>
                <w:szCs w:val="28"/>
              </w:rPr>
            </w:pPr>
            <w:r>
              <w:rPr>
                <w:rFonts w:hint="eastAsia" w:ascii="宋体" w:hAnsi="宋体"/>
                <w:sz w:val="28"/>
                <w:szCs w:val="28"/>
              </w:rPr>
              <w:t>1、灌溉有计划地进行浇灌，灌溉水下渗充足均匀，无明显旱涝情况发生；一般植物确保在萌芽前、4 月、5 月、秋季、入冬前浇水1 次，草坪根据长势和土壤情况适当增加灌溉次数。</w:t>
            </w:r>
          </w:p>
          <w:p>
            <w:pPr>
              <w:rPr>
                <w:rFonts w:ascii="宋体" w:hAnsi="宋体"/>
                <w:sz w:val="28"/>
                <w:szCs w:val="28"/>
              </w:rPr>
            </w:pPr>
            <w:r>
              <w:rPr>
                <w:rFonts w:hint="eastAsia" w:ascii="宋体" w:hAnsi="宋体"/>
                <w:sz w:val="28"/>
                <w:szCs w:val="28"/>
              </w:rPr>
              <w:t>2、施肥根据植物生长情况施肥，乔木每2 年施肥1 次至2 次；灌木每年施肥1 次至2 次；地被和草坪植物每年施肥2 次至3次；花坛植物根据生长情况进行追肥；尽量减少对化肥的依赖。</w:t>
            </w:r>
          </w:p>
          <w:p>
            <w:pPr>
              <w:rPr>
                <w:rFonts w:ascii="宋体" w:hAnsi="宋体"/>
                <w:sz w:val="28"/>
                <w:szCs w:val="28"/>
              </w:rPr>
            </w:pPr>
            <w:r>
              <w:rPr>
                <w:rFonts w:hint="eastAsia" w:ascii="宋体" w:hAnsi="宋体"/>
                <w:sz w:val="28"/>
                <w:szCs w:val="28"/>
              </w:rPr>
              <w:t>3、病虫害防治根据病虫害发生规律，植物生长季每月至少检查3 次病虫害情况；并根据检查结果防治病虫害，不因病虫害出现提前落叶、死亡现象。</w:t>
            </w:r>
          </w:p>
          <w:p>
            <w:pPr>
              <w:rPr>
                <w:rFonts w:ascii="宋体" w:hAnsi="宋体"/>
                <w:sz w:val="28"/>
                <w:szCs w:val="28"/>
              </w:rPr>
            </w:pPr>
            <w:r>
              <w:rPr>
                <w:rFonts w:hint="eastAsia" w:ascii="宋体" w:hAnsi="宋体"/>
                <w:sz w:val="28"/>
                <w:szCs w:val="28"/>
              </w:rPr>
              <w:t>4、整形修剪乔木每年冬季修剪1 次；灌木每年生长季节和冬季修剪1 次；绿篱每年至少修剪4次；草坪夏季每月至少修剪2 次，全年至少修剪12 次。</w:t>
            </w:r>
          </w:p>
          <w:p>
            <w:pPr>
              <w:rPr>
                <w:rFonts w:ascii="宋体" w:hAnsi="宋体"/>
                <w:sz w:val="28"/>
                <w:szCs w:val="28"/>
              </w:rPr>
            </w:pPr>
            <w:r>
              <w:rPr>
                <w:rFonts w:hint="eastAsia" w:ascii="宋体" w:hAnsi="宋体"/>
                <w:sz w:val="28"/>
                <w:szCs w:val="28"/>
              </w:rPr>
              <w:t>5、除草每年全面除草3 次，重点绿地增加除草次数。</w:t>
            </w:r>
          </w:p>
          <w:p>
            <w:pPr>
              <w:rPr>
                <w:rFonts w:ascii="宋体" w:hAnsi="宋体"/>
                <w:sz w:val="28"/>
                <w:szCs w:val="28"/>
              </w:rPr>
            </w:pPr>
            <w:r>
              <w:rPr>
                <w:rFonts w:hint="eastAsia" w:ascii="宋体" w:hAnsi="宋体"/>
                <w:sz w:val="28"/>
                <w:szCs w:val="28"/>
              </w:rPr>
              <w:t>6、垃圾处理绿化作业产生的垃圾应在作业完成后2小时内清理干净。</w:t>
            </w:r>
          </w:p>
        </w:tc>
      </w:tr>
    </w:tbl>
    <w:p>
      <w:pPr>
        <w:ind w:firstLine="280" w:firstLineChars="100"/>
        <w:rPr>
          <w:rFonts w:ascii="宋体" w:hAnsi="宋体"/>
          <w:sz w:val="28"/>
          <w:szCs w:val="28"/>
        </w:rPr>
      </w:pPr>
      <w:r>
        <w:rPr>
          <w:rFonts w:hint="eastAsia" w:ascii="宋体" w:hAnsi="宋体"/>
          <w:sz w:val="28"/>
          <w:szCs w:val="28"/>
        </w:rPr>
        <w:t>8、社区文化建设（4项）</w:t>
      </w:r>
    </w:p>
    <w:tbl>
      <w:tblPr>
        <w:tblStyle w:val="45"/>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09"/>
        <w:gridCol w:w="67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tcPr>
          <w:p>
            <w:pPr>
              <w:jc w:val="center"/>
              <w:rPr>
                <w:rFonts w:ascii="宋体" w:hAnsi="宋体"/>
                <w:sz w:val="28"/>
                <w:szCs w:val="28"/>
              </w:rPr>
            </w:pPr>
            <w:r>
              <w:rPr>
                <w:rFonts w:ascii="宋体" w:hAnsi="宋体"/>
                <w:sz w:val="28"/>
                <w:szCs w:val="28"/>
              </w:rPr>
              <w:t>项目</w:t>
            </w:r>
          </w:p>
        </w:tc>
        <w:tc>
          <w:tcPr>
            <w:tcW w:w="6713" w:type="dxa"/>
          </w:tcPr>
          <w:p>
            <w:pPr>
              <w:jc w:val="center"/>
              <w:rPr>
                <w:rFonts w:ascii="宋体" w:hAnsi="宋体"/>
                <w:sz w:val="28"/>
                <w:szCs w:val="28"/>
              </w:rPr>
            </w:pPr>
            <w:r>
              <w:rPr>
                <w:rFonts w:ascii="宋体" w:hAnsi="宋体"/>
                <w:sz w:val="28"/>
                <w:szCs w:val="28"/>
              </w:rPr>
              <w:t>内容及要求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vAlign w:val="center"/>
          </w:tcPr>
          <w:p>
            <w:pPr>
              <w:jc w:val="center"/>
              <w:rPr>
                <w:rFonts w:ascii="宋体" w:hAnsi="宋体"/>
                <w:sz w:val="28"/>
                <w:szCs w:val="28"/>
              </w:rPr>
            </w:pPr>
            <w:r>
              <w:rPr>
                <w:rFonts w:hint="eastAsia" w:ascii="宋体" w:hAnsi="宋体"/>
                <w:sz w:val="28"/>
                <w:szCs w:val="28"/>
              </w:rPr>
              <w:t>社区文化</w:t>
            </w:r>
          </w:p>
          <w:p>
            <w:pPr>
              <w:jc w:val="center"/>
              <w:rPr>
                <w:rFonts w:ascii="宋体" w:hAnsi="宋体"/>
                <w:sz w:val="28"/>
                <w:szCs w:val="28"/>
              </w:rPr>
            </w:pPr>
            <w:r>
              <w:rPr>
                <w:rFonts w:hint="eastAsia" w:ascii="宋体" w:hAnsi="宋体"/>
                <w:sz w:val="28"/>
                <w:szCs w:val="28"/>
              </w:rPr>
              <w:t>建设</w:t>
            </w:r>
          </w:p>
        </w:tc>
        <w:tc>
          <w:tcPr>
            <w:tcW w:w="6713" w:type="dxa"/>
          </w:tcPr>
          <w:p>
            <w:pPr>
              <w:rPr>
                <w:rFonts w:ascii="宋体" w:hAnsi="宋体"/>
                <w:sz w:val="28"/>
                <w:szCs w:val="28"/>
              </w:rPr>
            </w:pPr>
            <w:r>
              <w:rPr>
                <w:rFonts w:hint="eastAsia" w:ascii="宋体" w:hAnsi="宋体"/>
                <w:sz w:val="28"/>
                <w:szCs w:val="28"/>
              </w:rPr>
              <w:t>1、有管务公开栏及其它宣传栏，内容每季度更新1次。</w:t>
            </w:r>
          </w:p>
          <w:p>
            <w:pPr>
              <w:rPr>
                <w:rFonts w:ascii="宋体" w:hAnsi="宋体"/>
                <w:sz w:val="28"/>
                <w:szCs w:val="28"/>
              </w:rPr>
            </w:pPr>
            <w:r>
              <w:rPr>
                <w:rFonts w:hint="eastAsia" w:ascii="宋体" w:hAnsi="宋体"/>
                <w:sz w:val="28"/>
                <w:szCs w:val="28"/>
              </w:rPr>
              <w:t>2、每年至少开展2次精神文明宣传教育工作，内容包括科学防疫、消防安全、食品卫生、房屋及其附属设施设备使用安全、环保及法律等知识。</w:t>
            </w:r>
          </w:p>
          <w:p>
            <w:pPr>
              <w:rPr>
                <w:rFonts w:ascii="宋体" w:hAnsi="宋体"/>
                <w:sz w:val="28"/>
                <w:szCs w:val="28"/>
              </w:rPr>
            </w:pPr>
            <w:r>
              <w:rPr>
                <w:rFonts w:hint="eastAsia" w:ascii="宋体" w:hAnsi="宋体"/>
                <w:sz w:val="28"/>
                <w:szCs w:val="28"/>
              </w:rPr>
              <w:t>3、每年按物业服务合同约定组织社区文化活动。</w:t>
            </w:r>
          </w:p>
          <w:p>
            <w:pPr>
              <w:rPr>
                <w:rFonts w:ascii="宋体" w:hAnsi="宋体"/>
                <w:sz w:val="28"/>
                <w:szCs w:val="28"/>
              </w:rPr>
            </w:pPr>
            <w:r>
              <w:rPr>
                <w:rFonts w:hint="eastAsia" w:ascii="宋体" w:hAnsi="宋体"/>
                <w:sz w:val="28"/>
                <w:szCs w:val="28"/>
              </w:rPr>
              <w:t>4、社区文化有活动计划、有记录、有总结，相关资料齐全。</w:t>
            </w:r>
          </w:p>
        </w:tc>
      </w:tr>
    </w:tbl>
    <w:p>
      <w:pPr>
        <w:pStyle w:val="80"/>
        <w:ind w:firstLine="0" w:firstLineChars="0"/>
        <w:rPr>
          <w:rFonts w:ascii="宋体" w:hAnsi="宋体"/>
          <w:b/>
          <w:bCs/>
          <w:sz w:val="28"/>
          <w:szCs w:val="28"/>
        </w:rPr>
      </w:pPr>
      <w:r>
        <w:rPr>
          <w:rFonts w:hint="eastAsia" w:ascii="宋体" w:hAnsi="宋体" w:cs="宋体"/>
          <w:b/>
          <w:bCs/>
          <w:sz w:val="28"/>
          <w:szCs w:val="28"/>
        </w:rPr>
        <w:t>★</w:t>
      </w:r>
      <w:r>
        <w:rPr>
          <w:rFonts w:hint="eastAsia" w:ascii="宋体" w:hAnsi="宋体"/>
          <w:b/>
          <w:bCs/>
          <w:sz w:val="28"/>
          <w:szCs w:val="28"/>
        </w:rPr>
        <w:t>（三）人员数量要求（实质性要求）</w:t>
      </w:r>
    </w:p>
    <w:tbl>
      <w:tblPr>
        <w:tblStyle w:val="45"/>
        <w:tblW w:w="9129"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27"/>
        <w:gridCol w:w="2590"/>
        <w:gridCol w:w="1770"/>
        <w:gridCol w:w="37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27" w:type="dxa"/>
            <w:vAlign w:val="center"/>
          </w:tcPr>
          <w:p>
            <w:pPr>
              <w:pStyle w:val="80"/>
              <w:ind w:firstLine="0" w:firstLineChars="0"/>
              <w:jc w:val="center"/>
              <w:rPr>
                <w:rFonts w:ascii="宋体" w:hAnsi="宋体"/>
                <w:b/>
                <w:bCs/>
                <w:sz w:val="28"/>
                <w:szCs w:val="28"/>
              </w:rPr>
            </w:pPr>
            <w:r>
              <w:rPr>
                <w:rFonts w:hint="eastAsia" w:ascii="宋体" w:hAnsi="宋体"/>
                <w:b/>
                <w:bCs/>
                <w:sz w:val="28"/>
                <w:szCs w:val="28"/>
              </w:rPr>
              <w:t>序号</w:t>
            </w:r>
          </w:p>
        </w:tc>
        <w:tc>
          <w:tcPr>
            <w:tcW w:w="2590" w:type="dxa"/>
            <w:vAlign w:val="center"/>
          </w:tcPr>
          <w:p>
            <w:pPr>
              <w:pStyle w:val="80"/>
              <w:ind w:firstLine="0" w:firstLineChars="0"/>
              <w:jc w:val="center"/>
              <w:rPr>
                <w:rFonts w:ascii="宋体" w:hAnsi="宋体"/>
                <w:b/>
                <w:bCs/>
                <w:sz w:val="28"/>
                <w:szCs w:val="28"/>
              </w:rPr>
            </w:pPr>
            <w:r>
              <w:rPr>
                <w:rFonts w:hint="eastAsia" w:ascii="宋体" w:hAnsi="宋体"/>
                <w:b/>
                <w:bCs/>
                <w:sz w:val="28"/>
                <w:szCs w:val="28"/>
              </w:rPr>
              <w:t>岗位</w:t>
            </w:r>
          </w:p>
        </w:tc>
        <w:tc>
          <w:tcPr>
            <w:tcW w:w="1770" w:type="dxa"/>
            <w:vAlign w:val="center"/>
          </w:tcPr>
          <w:p>
            <w:pPr>
              <w:pStyle w:val="80"/>
              <w:ind w:firstLine="0" w:firstLineChars="0"/>
              <w:jc w:val="center"/>
              <w:rPr>
                <w:rFonts w:ascii="宋体" w:hAnsi="宋体"/>
                <w:b/>
                <w:bCs/>
                <w:sz w:val="28"/>
                <w:szCs w:val="28"/>
              </w:rPr>
            </w:pPr>
            <w:r>
              <w:rPr>
                <w:rFonts w:hint="eastAsia" w:ascii="宋体" w:hAnsi="宋体"/>
                <w:b/>
                <w:bCs/>
                <w:sz w:val="28"/>
                <w:szCs w:val="28"/>
              </w:rPr>
              <w:t>人数</w:t>
            </w:r>
          </w:p>
        </w:tc>
        <w:tc>
          <w:tcPr>
            <w:tcW w:w="3742" w:type="dxa"/>
          </w:tcPr>
          <w:p>
            <w:pPr>
              <w:pStyle w:val="80"/>
              <w:ind w:firstLine="0" w:firstLineChars="0"/>
              <w:jc w:val="center"/>
              <w:rPr>
                <w:rFonts w:ascii="宋体" w:hAnsi="宋体"/>
                <w:b/>
                <w:bCs/>
                <w:sz w:val="28"/>
                <w:szCs w:val="28"/>
              </w:rPr>
            </w:pPr>
            <w:r>
              <w:rPr>
                <w:rFonts w:hint="eastAsia" w:ascii="宋体" w:hAnsi="宋体"/>
                <w:b/>
                <w:bCs/>
                <w:sz w:val="28"/>
                <w:szCs w:val="2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27" w:type="dxa"/>
            <w:vAlign w:val="center"/>
          </w:tcPr>
          <w:p>
            <w:pPr>
              <w:pStyle w:val="80"/>
              <w:ind w:firstLine="0" w:firstLineChars="0"/>
              <w:jc w:val="center"/>
              <w:rPr>
                <w:rFonts w:ascii="宋体" w:hAnsi="宋体"/>
                <w:b/>
                <w:bCs/>
                <w:sz w:val="28"/>
                <w:szCs w:val="28"/>
              </w:rPr>
            </w:pPr>
            <w:r>
              <w:rPr>
                <w:rFonts w:hint="eastAsia" w:ascii="宋体" w:hAnsi="宋体"/>
                <w:b/>
                <w:bCs/>
                <w:sz w:val="28"/>
                <w:szCs w:val="28"/>
              </w:rPr>
              <w:t>1</w:t>
            </w:r>
          </w:p>
        </w:tc>
        <w:tc>
          <w:tcPr>
            <w:tcW w:w="2590" w:type="dxa"/>
            <w:vAlign w:val="center"/>
          </w:tcPr>
          <w:p>
            <w:pPr>
              <w:adjustRightInd w:val="0"/>
              <w:snapToGrid w:val="0"/>
              <w:jc w:val="center"/>
              <w:rPr>
                <w:rFonts w:ascii="宋体" w:hAnsi="宋体"/>
                <w:b/>
                <w:bCs/>
                <w:sz w:val="28"/>
                <w:szCs w:val="28"/>
              </w:rPr>
            </w:pPr>
            <w:r>
              <w:rPr>
                <w:rFonts w:ascii="宋体" w:hAnsi="宋体"/>
                <w:b/>
                <w:bCs/>
                <w:sz w:val="28"/>
                <w:szCs w:val="28"/>
              </w:rPr>
              <w:t>项目经理</w:t>
            </w:r>
          </w:p>
        </w:tc>
        <w:tc>
          <w:tcPr>
            <w:tcW w:w="1770" w:type="dxa"/>
            <w:vAlign w:val="center"/>
          </w:tcPr>
          <w:p>
            <w:pPr>
              <w:adjustRightInd w:val="0"/>
              <w:snapToGrid w:val="0"/>
              <w:jc w:val="center"/>
              <w:rPr>
                <w:rFonts w:ascii="宋体" w:hAnsi="宋体"/>
                <w:b/>
                <w:bCs/>
                <w:sz w:val="28"/>
                <w:szCs w:val="28"/>
              </w:rPr>
            </w:pPr>
            <w:r>
              <w:rPr>
                <w:rFonts w:ascii="宋体" w:hAnsi="宋体"/>
                <w:b/>
                <w:bCs/>
                <w:sz w:val="28"/>
                <w:szCs w:val="28"/>
              </w:rPr>
              <w:t>1</w:t>
            </w:r>
          </w:p>
        </w:tc>
        <w:tc>
          <w:tcPr>
            <w:tcW w:w="3742" w:type="dxa"/>
            <w:vMerge w:val="restart"/>
          </w:tcPr>
          <w:p>
            <w:pPr>
              <w:adjustRightInd w:val="0"/>
              <w:snapToGrid w:val="0"/>
              <w:spacing w:line="360" w:lineRule="auto"/>
              <w:rPr>
                <w:rFonts w:ascii="宋体" w:hAnsi="宋体"/>
                <w:b/>
                <w:bCs/>
                <w:sz w:val="28"/>
                <w:szCs w:val="28"/>
              </w:rPr>
            </w:pPr>
            <w:r>
              <w:rPr>
                <w:rFonts w:hint="eastAsia" w:ascii="宋体" w:hAnsi="宋体"/>
                <w:b/>
                <w:bCs/>
                <w:sz w:val="28"/>
                <w:szCs w:val="28"/>
              </w:rPr>
              <w:t>1、供应商承诺配置人员，需具有初中文化以上，身体健康，当地失地农民优先考虑。（供应商须提供承诺函加盖公章，承诺函格式自拟）</w:t>
            </w:r>
          </w:p>
          <w:p>
            <w:pPr>
              <w:adjustRightInd w:val="0"/>
              <w:snapToGrid w:val="0"/>
              <w:spacing w:line="360" w:lineRule="auto"/>
              <w:rPr>
                <w:rFonts w:ascii="宋体" w:hAnsi="宋体"/>
                <w:b/>
                <w:bCs/>
                <w:sz w:val="28"/>
                <w:szCs w:val="28"/>
                <w:highlight w:val="yellow"/>
              </w:rPr>
            </w:pPr>
            <w:r>
              <w:rPr>
                <w:rFonts w:hint="eastAsia" w:ascii="宋体" w:hAnsi="宋体"/>
                <w:b/>
                <w:bCs/>
                <w:sz w:val="28"/>
                <w:szCs w:val="28"/>
              </w:rPr>
              <w:t>2</w:t>
            </w:r>
            <w:r>
              <w:rPr>
                <w:rFonts w:ascii="宋体" w:hAnsi="宋体"/>
                <w:b/>
                <w:bCs/>
                <w:sz w:val="28"/>
                <w:szCs w:val="28"/>
              </w:rPr>
              <w:t>.</w:t>
            </w:r>
            <w:r>
              <w:rPr>
                <w:rFonts w:hint="eastAsia" w:ascii="宋体" w:hAnsi="宋体"/>
                <w:b/>
                <w:bCs/>
                <w:sz w:val="28"/>
                <w:szCs w:val="28"/>
              </w:rPr>
              <w:t>供应商承诺若在成交后，</w:t>
            </w:r>
            <w:r>
              <w:rPr>
                <w:rFonts w:ascii="宋体" w:hAnsi="宋体"/>
                <w:b/>
                <w:bCs/>
                <w:sz w:val="28"/>
                <w:szCs w:val="28"/>
              </w:rPr>
              <w:t>需对其派驻的服务人员按照国家相关规定购买社保，并对其派驻服务人员的工伤及人身安全负责，采购人对此不承担任何的责任和义务。（</w:t>
            </w:r>
            <w:r>
              <w:rPr>
                <w:rFonts w:hint="eastAsia" w:ascii="宋体" w:hAnsi="宋体"/>
                <w:b/>
                <w:bCs/>
                <w:sz w:val="28"/>
                <w:szCs w:val="28"/>
              </w:rPr>
              <w:t>供应商</w:t>
            </w:r>
            <w:r>
              <w:rPr>
                <w:rFonts w:ascii="宋体" w:hAnsi="宋体"/>
                <w:b/>
                <w:bCs/>
                <w:sz w:val="28"/>
                <w:szCs w:val="28"/>
              </w:rPr>
              <w:t>须提供承诺函加盖公章，承诺函格式自拟）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27" w:type="dxa"/>
            <w:vAlign w:val="center"/>
          </w:tcPr>
          <w:p>
            <w:pPr>
              <w:pStyle w:val="80"/>
              <w:ind w:firstLine="0" w:firstLineChars="0"/>
              <w:jc w:val="center"/>
              <w:rPr>
                <w:rFonts w:ascii="宋体" w:hAnsi="宋体"/>
                <w:b/>
                <w:bCs/>
                <w:sz w:val="28"/>
                <w:szCs w:val="28"/>
              </w:rPr>
            </w:pPr>
            <w:r>
              <w:rPr>
                <w:rFonts w:hint="eastAsia" w:ascii="宋体" w:hAnsi="宋体"/>
                <w:b/>
                <w:bCs/>
                <w:sz w:val="28"/>
                <w:szCs w:val="28"/>
              </w:rPr>
              <w:t>2</w:t>
            </w:r>
          </w:p>
        </w:tc>
        <w:tc>
          <w:tcPr>
            <w:tcW w:w="2590" w:type="dxa"/>
            <w:vAlign w:val="center"/>
          </w:tcPr>
          <w:p>
            <w:pPr>
              <w:adjustRightInd w:val="0"/>
              <w:snapToGrid w:val="0"/>
              <w:jc w:val="center"/>
              <w:rPr>
                <w:rFonts w:ascii="宋体" w:hAnsi="宋体"/>
                <w:b/>
                <w:bCs/>
                <w:sz w:val="28"/>
                <w:szCs w:val="28"/>
              </w:rPr>
            </w:pPr>
            <w:r>
              <w:rPr>
                <w:rFonts w:ascii="宋体" w:hAnsi="宋体"/>
                <w:b/>
                <w:bCs/>
                <w:sz w:val="28"/>
                <w:szCs w:val="28"/>
              </w:rPr>
              <w:t>客服前台</w:t>
            </w:r>
          </w:p>
        </w:tc>
        <w:tc>
          <w:tcPr>
            <w:tcW w:w="1770" w:type="dxa"/>
            <w:vAlign w:val="center"/>
          </w:tcPr>
          <w:p>
            <w:pPr>
              <w:adjustRightInd w:val="0"/>
              <w:snapToGrid w:val="0"/>
              <w:jc w:val="center"/>
              <w:rPr>
                <w:rFonts w:ascii="宋体" w:hAnsi="宋体"/>
                <w:b/>
                <w:bCs/>
                <w:sz w:val="28"/>
                <w:szCs w:val="28"/>
              </w:rPr>
            </w:pPr>
            <w:r>
              <w:rPr>
                <w:rFonts w:hint="eastAsia" w:ascii="宋体" w:hAnsi="宋体"/>
                <w:b/>
                <w:bCs/>
                <w:sz w:val="28"/>
                <w:szCs w:val="28"/>
              </w:rPr>
              <w:t>5</w:t>
            </w:r>
          </w:p>
        </w:tc>
        <w:tc>
          <w:tcPr>
            <w:tcW w:w="3742" w:type="dxa"/>
            <w:vMerge w:val="continue"/>
          </w:tcPr>
          <w:p>
            <w:pPr>
              <w:adjustRightInd w:val="0"/>
              <w:snapToGrid w:val="0"/>
              <w:jc w:val="center"/>
              <w:rPr>
                <w:rFonts w:ascii="宋体" w:hAnsi="宋体"/>
                <w:b/>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27" w:type="dxa"/>
            <w:vAlign w:val="center"/>
          </w:tcPr>
          <w:p>
            <w:pPr>
              <w:pStyle w:val="80"/>
              <w:ind w:firstLine="0" w:firstLineChars="0"/>
              <w:jc w:val="center"/>
              <w:rPr>
                <w:rFonts w:ascii="宋体" w:hAnsi="宋体"/>
                <w:b/>
                <w:bCs/>
                <w:sz w:val="28"/>
                <w:szCs w:val="28"/>
              </w:rPr>
            </w:pPr>
            <w:r>
              <w:rPr>
                <w:rFonts w:hint="eastAsia" w:ascii="宋体" w:hAnsi="宋体"/>
                <w:b/>
                <w:bCs/>
                <w:sz w:val="28"/>
                <w:szCs w:val="28"/>
              </w:rPr>
              <w:t>3</w:t>
            </w:r>
          </w:p>
        </w:tc>
        <w:tc>
          <w:tcPr>
            <w:tcW w:w="2590" w:type="dxa"/>
            <w:vAlign w:val="center"/>
          </w:tcPr>
          <w:p>
            <w:pPr>
              <w:adjustRightInd w:val="0"/>
              <w:snapToGrid w:val="0"/>
              <w:jc w:val="center"/>
              <w:rPr>
                <w:rFonts w:ascii="宋体" w:hAnsi="宋体"/>
                <w:b/>
                <w:bCs/>
                <w:sz w:val="28"/>
                <w:szCs w:val="28"/>
              </w:rPr>
            </w:pPr>
            <w:r>
              <w:rPr>
                <w:rFonts w:ascii="宋体" w:hAnsi="宋体"/>
                <w:b/>
                <w:bCs/>
                <w:sz w:val="28"/>
                <w:szCs w:val="28"/>
              </w:rPr>
              <w:t>管家/助理</w:t>
            </w:r>
          </w:p>
        </w:tc>
        <w:tc>
          <w:tcPr>
            <w:tcW w:w="1770" w:type="dxa"/>
            <w:vAlign w:val="center"/>
          </w:tcPr>
          <w:p>
            <w:pPr>
              <w:adjustRightInd w:val="0"/>
              <w:snapToGrid w:val="0"/>
              <w:jc w:val="center"/>
              <w:rPr>
                <w:rFonts w:ascii="宋体" w:hAnsi="宋体"/>
                <w:b/>
                <w:bCs/>
                <w:sz w:val="28"/>
                <w:szCs w:val="28"/>
              </w:rPr>
            </w:pPr>
            <w:r>
              <w:rPr>
                <w:rFonts w:ascii="宋体" w:hAnsi="宋体"/>
                <w:b/>
                <w:bCs/>
                <w:sz w:val="28"/>
                <w:szCs w:val="28"/>
              </w:rPr>
              <w:t>6</w:t>
            </w:r>
          </w:p>
        </w:tc>
        <w:tc>
          <w:tcPr>
            <w:tcW w:w="3742" w:type="dxa"/>
            <w:vMerge w:val="continue"/>
          </w:tcPr>
          <w:p>
            <w:pPr>
              <w:adjustRightInd w:val="0"/>
              <w:snapToGrid w:val="0"/>
              <w:jc w:val="center"/>
              <w:rPr>
                <w:rFonts w:ascii="宋体" w:hAnsi="宋体"/>
                <w:b/>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27" w:type="dxa"/>
            <w:vAlign w:val="center"/>
          </w:tcPr>
          <w:p>
            <w:pPr>
              <w:pStyle w:val="80"/>
              <w:ind w:firstLine="0" w:firstLineChars="0"/>
              <w:jc w:val="center"/>
              <w:rPr>
                <w:rFonts w:ascii="宋体" w:hAnsi="宋体"/>
                <w:b/>
                <w:bCs/>
                <w:sz w:val="28"/>
                <w:szCs w:val="28"/>
              </w:rPr>
            </w:pPr>
            <w:r>
              <w:rPr>
                <w:rFonts w:hint="eastAsia" w:ascii="宋体" w:hAnsi="宋体"/>
                <w:b/>
                <w:bCs/>
                <w:sz w:val="28"/>
                <w:szCs w:val="28"/>
              </w:rPr>
              <w:t>4</w:t>
            </w:r>
          </w:p>
        </w:tc>
        <w:tc>
          <w:tcPr>
            <w:tcW w:w="2590" w:type="dxa"/>
            <w:vAlign w:val="center"/>
          </w:tcPr>
          <w:p>
            <w:pPr>
              <w:adjustRightInd w:val="0"/>
              <w:snapToGrid w:val="0"/>
              <w:jc w:val="center"/>
              <w:rPr>
                <w:rFonts w:ascii="宋体" w:hAnsi="宋体"/>
                <w:b/>
                <w:bCs/>
                <w:sz w:val="28"/>
                <w:szCs w:val="28"/>
              </w:rPr>
            </w:pPr>
            <w:r>
              <w:rPr>
                <w:rFonts w:ascii="宋体" w:hAnsi="宋体"/>
                <w:b/>
                <w:bCs/>
                <w:sz w:val="28"/>
                <w:szCs w:val="28"/>
              </w:rPr>
              <w:t>监控/消防值班</w:t>
            </w:r>
          </w:p>
        </w:tc>
        <w:tc>
          <w:tcPr>
            <w:tcW w:w="1770" w:type="dxa"/>
            <w:vAlign w:val="center"/>
          </w:tcPr>
          <w:p>
            <w:pPr>
              <w:adjustRightInd w:val="0"/>
              <w:snapToGrid w:val="0"/>
              <w:jc w:val="center"/>
              <w:rPr>
                <w:rFonts w:ascii="宋体" w:hAnsi="宋体"/>
                <w:b/>
                <w:bCs/>
                <w:sz w:val="28"/>
                <w:szCs w:val="28"/>
              </w:rPr>
            </w:pPr>
            <w:r>
              <w:rPr>
                <w:rFonts w:ascii="宋体" w:hAnsi="宋体"/>
                <w:b/>
                <w:bCs/>
                <w:sz w:val="28"/>
                <w:szCs w:val="28"/>
              </w:rPr>
              <w:t>2</w:t>
            </w:r>
          </w:p>
        </w:tc>
        <w:tc>
          <w:tcPr>
            <w:tcW w:w="3742" w:type="dxa"/>
            <w:vMerge w:val="continue"/>
          </w:tcPr>
          <w:p>
            <w:pPr>
              <w:adjustRightInd w:val="0"/>
              <w:snapToGrid w:val="0"/>
              <w:jc w:val="center"/>
              <w:rPr>
                <w:rFonts w:ascii="宋体" w:hAnsi="宋体"/>
                <w:b/>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27" w:type="dxa"/>
            <w:vAlign w:val="center"/>
          </w:tcPr>
          <w:p>
            <w:pPr>
              <w:pStyle w:val="80"/>
              <w:ind w:firstLine="0" w:firstLineChars="0"/>
              <w:jc w:val="center"/>
              <w:rPr>
                <w:rFonts w:ascii="宋体" w:hAnsi="宋体"/>
                <w:b/>
                <w:bCs/>
                <w:sz w:val="28"/>
                <w:szCs w:val="28"/>
              </w:rPr>
            </w:pPr>
            <w:r>
              <w:rPr>
                <w:rFonts w:hint="eastAsia" w:ascii="宋体" w:hAnsi="宋体"/>
                <w:b/>
                <w:bCs/>
                <w:sz w:val="28"/>
                <w:szCs w:val="28"/>
              </w:rPr>
              <w:t>5</w:t>
            </w:r>
          </w:p>
        </w:tc>
        <w:tc>
          <w:tcPr>
            <w:tcW w:w="2590" w:type="dxa"/>
            <w:vAlign w:val="center"/>
          </w:tcPr>
          <w:p>
            <w:pPr>
              <w:adjustRightInd w:val="0"/>
              <w:snapToGrid w:val="0"/>
              <w:jc w:val="center"/>
              <w:rPr>
                <w:rFonts w:ascii="宋体" w:hAnsi="宋体"/>
                <w:b/>
                <w:bCs/>
                <w:sz w:val="28"/>
                <w:szCs w:val="28"/>
              </w:rPr>
            </w:pPr>
            <w:r>
              <w:rPr>
                <w:rFonts w:ascii="宋体" w:hAnsi="宋体"/>
                <w:b/>
                <w:bCs/>
                <w:sz w:val="28"/>
                <w:szCs w:val="28"/>
              </w:rPr>
              <w:t>安保岗</w:t>
            </w:r>
          </w:p>
        </w:tc>
        <w:tc>
          <w:tcPr>
            <w:tcW w:w="1770" w:type="dxa"/>
            <w:vAlign w:val="center"/>
          </w:tcPr>
          <w:p>
            <w:pPr>
              <w:adjustRightInd w:val="0"/>
              <w:snapToGrid w:val="0"/>
              <w:jc w:val="center"/>
              <w:rPr>
                <w:rFonts w:ascii="宋体" w:hAnsi="宋体"/>
                <w:b/>
                <w:bCs/>
                <w:sz w:val="28"/>
                <w:szCs w:val="28"/>
              </w:rPr>
            </w:pPr>
            <w:r>
              <w:rPr>
                <w:rFonts w:hint="eastAsia" w:ascii="宋体" w:hAnsi="宋体"/>
                <w:b/>
                <w:bCs/>
                <w:sz w:val="28"/>
                <w:szCs w:val="28"/>
              </w:rPr>
              <w:t>60</w:t>
            </w:r>
          </w:p>
        </w:tc>
        <w:tc>
          <w:tcPr>
            <w:tcW w:w="3742" w:type="dxa"/>
            <w:vMerge w:val="continue"/>
          </w:tcPr>
          <w:p>
            <w:pPr>
              <w:adjustRightInd w:val="0"/>
              <w:snapToGrid w:val="0"/>
              <w:jc w:val="center"/>
              <w:rPr>
                <w:rFonts w:ascii="宋体" w:hAnsi="宋体"/>
                <w:b/>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27" w:type="dxa"/>
            <w:vAlign w:val="center"/>
          </w:tcPr>
          <w:p>
            <w:pPr>
              <w:pStyle w:val="80"/>
              <w:ind w:firstLine="0" w:firstLineChars="0"/>
              <w:jc w:val="center"/>
              <w:rPr>
                <w:rFonts w:ascii="宋体" w:hAnsi="宋体"/>
                <w:b/>
                <w:bCs/>
                <w:sz w:val="28"/>
                <w:szCs w:val="28"/>
              </w:rPr>
            </w:pPr>
            <w:r>
              <w:rPr>
                <w:rFonts w:hint="eastAsia" w:ascii="宋体" w:hAnsi="宋体"/>
                <w:b/>
                <w:bCs/>
                <w:sz w:val="28"/>
                <w:szCs w:val="28"/>
              </w:rPr>
              <w:t>6</w:t>
            </w:r>
          </w:p>
        </w:tc>
        <w:tc>
          <w:tcPr>
            <w:tcW w:w="2590" w:type="dxa"/>
            <w:vAlign w:val="center"/>
          </w:tcPr>
          <w:p>
            <w:pPr>
              <w:adjustRightInd w:val="0"/>
              <w:snapToGrid w:val="0"/>
              <w:jc w:val="center"/>
              <w:rPr>
                <w:rFonts w:ascii="宋体" w:hAnsi="宋体"/>
                <w:b/>
                <w:bCs/>
                <w:sz w:val="28"/>
                <w:szCs w:val="28"/>
              </w:rPr>
            </w:pPr>
            <w:r>
              <w:rPr>
                <w:rFonts w:ascii="宋体" w:hAnsi="宋体"/>
                <w:b/>
                <w:bCs/>
                <w:sz w:val="28"/>
                <w:szCs w:val="28"/>
              </w:rPr>
              <w:t>综合维修部</w:t>
            </w:r>
          </w:p>
        </w:tc>
        <w:tc>
          <w:tcPr>
            <w:tcW w:w="1770" w:type="dxa"/>
            <w:vAlign w:val="center"/>
          </w:tcPr>
          <w:p>
            <w:pPr>
              <w:adjustRightInd w:val="0"/>
              <w:snapToGrid w:val="0"/>
              <w:jc w:val="center"/>
              <w:rPr>
                <w:rFonts w:ascii="宋体" w:hAnsi="宋体"/>
                <w:b/>
                <w:bCs/>
                <w:sz w:val="28"/>
                <w:szCs w:val="28"/>
              </w:rPr>
            </w:pPr>
            <w:r>
              <w:rPr>
                <w:rFonts w:ascii="宋体" w:hAnsi="宋体"/>
                <w:b/>
                <w:bCs/>
                <w:sz w:val="28"/>
                <w:szCs w:val="28"/>
              </w:rPr>
              <w:t>6</w:t>
            </w:r>
          </w:p>
        </w:tc>
        <w:tc>
          <w:tcPr>
            <w:tcW w:w="3742" w:type="dxa"/>
            <w:vMerge w:val="continue"/>
          </w:tcPr>
          <w:p>
            <w:pPr>
              <w:adjustRightInd w:val="0"/>
              <w:snapToGrid w:val="0"/>
              <w:jc w:val="center"/>
              <w:rPr>
                <w:rFonts w:ascii="宋体" w:hAnsi="宋体"/>
                <w:b/>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27" w:type="dxa"/>
            <w:vAlign w:val="center"/>
          </w:tcPr>
          <w:p>
            <w:pPr>
              <w:pStyle w:val="80"/>
              <w:ind w:firstLine="0" w:firstLineChars="0"/>
              <w:jc w:val="center"/>
              <w:rPr>
                <w:rFonts w:ascii="宋体" w:hAnsi="宋体"/>
                <w:b/>
                <w:bCs/>
                <w:sz w:val="28"/>
                <w:szCs w:val="28"/>
              </w:rPr>
            </w:pPr>
            <w:r>
              <w:rPr>
                <w:rFonts w:hint="eastAsia" w:ascii="宋体" w:hAnsi="宋体"/>
                <w:b/>
                <w:bCs/>
                <w:sz w:val="28"/>
                <w:szCs w:val="28"/>
              </w:rPr>
              <w:t>7</w:t>
            </w:r>
          </w:p>
        </w:tc>
        <w:tc>
          <w:tcPr>
            <w:tcW w:w="2590" w:type="dxa"/>
            <w:vAlign w:val="center"/>
          </w:tcPr>
          <w:p>
            <w:pPr>
              <w:adjustRightInd w:val="0"/>
              <w:snapToGrid w:val="0"/>
              <w:jc w:val="center"/>
              <w:rPr>
                <w:rFonts w:ascii="宋体" w:hAnsi="宋体"/>
                <w:b/>
                <w:bCs/>
                <w:sz w:val="28"/>
                <w:szCs w:val="28"/>
              </w:rPr>
            </w:pPr>
            <w:r>
              <w:rPr>
                <w:rFonts w:ascii="宋体" w:hAnsi="宋体"/>
                <w:b/>
                <w:bCs/>
                <w:sz w:val="28"/>
                <w:szCs w:val="28"/>
              </w:rPr>
              <w:t>设备管理员</w:t>
            </w:r>
          </w:p>
        </w:tc>
        <w:tc>
          <w:tcPr>
            <w:tcW w:w="1770" w:type="dxa"/>
            <w:vAlign w:val="center"/>
          </w:tcPr>
          <w:p>
            <w:pPr>
              <w:adjustRightInd w:val="0"/>
              <w:snapToGrid w:val="0"/>
              <w:jc w:val="center"/>
              <w:rPr>
                <w:rFonts w:ascii="宋体" w:hAnsi="宋体"/>
                <w:b/>
                <w:bCs/>
                <w:sz w:val="28"/>
                <w:szCs w:val="28"/>
              </w:rPr>
            </w:pPr>
            <w:r>
              <w:rPr>
                <w:rFonts w:ascii="宋体" w:hAnsi="宋体"/>
                <w:b/>
                <w:bCs/>
                <w:sz w:val="28"/>
                <w:szCs w:val="28"/>
              </w:rPr>
              <w:t>2</w:t>
            </w:r>
          </w:p>
        </w:tc>
        <w:tc>
          <w:tcPr>
            <w:tcW w:w="3742" w:type="dxa"/>
            <w:vMerge w:val="continue"/>
          </w:tcPr>
          <w:p>
            <w:pPr>
              <w:adjustRightInd w:val="0"/>
              <w:snapToGrid w:val="0"/>
              <w:jc w:val="center"/>
              <w:rPr>
                <w:rFonts w:ascii="宋体" w:hAnsi="宋体"/>
                <w:b/>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27" w:type="dxa"/>
            <w:vAlign w:val="center"/>
          </w:tcPr>
          <w:p>
            <w:pPr>
              <w:pStyle w:val="80"/>
              <w:ind w:firstLine="0" w:firstLineChars="0"/>
              <w:jc w:val="center"/>
              <w:rPr>
                <w:rFonts w:ascii="宋体" w:hAnsi="宋体"/>
                <w:b/>
                <w:bCs/>
                <w:sz w:val="28"/>
                <w:szCs w:val="28"/>
              </w:rPr>
            </w:pPr>
            <w:r>
              <w:rPr>
                <w:rFonts w:hint="eastAsia" w:ascii="宋体" w:hAnsi="宋体"/>
                <w:b/>
                <w:bCs/>
                <w:sz w:val="28"/>
                <w:szCs w:val="28"/>
              </w:rPr>
              <w:t>8</w:t>
            </w:r>
          </w:p>
        </w:tc>
        <w:tc>
          <w:tcPr>
            <w:tcW w:w="2590" w:type="dxa"/>
            <w:vAlign w:val="center"/>
          </w:tcPr>
          <w:p>
            <w:pPr>
              <w:adjustRightInd w:val="0"/>
              <w:snapToGrid w:val="0"/>
              <w:jc w:val="center"/>
              <w:rPr>
                <w:rFonts w:ascii="宋体" w:hAnsi="宋体"/>
                <w:b/>
                <w:bCs/>
                <w:sz w:val="28"/>
                <w:szCs w:val="28"/>
              </w:rPr>
            </w:pPr>
            <w:r>
              <w:rPr>
                <w:rFonts w:ascii="宋体" w:hAnsi="宋体"/>
                <w:b/>
                <w:bCs/>
                <w:sz w:val="28"/>
                <w:szCs w:val="28"/>
              </w:rPr>
              <w:t>保洁服务部</w:t>
            </w:r>
          </w:p>
        </w:tc>
        <w:tc>
          <w:tcPr>
            <w:tcW w:w="1770" w:type="dxa"/>
            <w:vAlign w:val="center"/>
          </w:tcPr>
          <w:p>
            <w:pPr>
              <w:adjustRightInd w:val="0"/>
              <w:snapToGrid w:val="0"/>
              <w:jc w:val="center"/>
              <w:rPr>
                <w:rFonts w:ascii="宋体" w:hAnsi="宋体"/>
                <w:b/>
                <w:bCs/>
                <w:sz w:val="28"/>
                <w:szCs w:val="28"/>
              </w:rPr>
            </w:pPr>
            <w:r>
              <w:rPr>
                <w:rFonts w:hint="eastAsia" w:ascii="宋体" w:hAnsi="宋体"/>
                <w:b/>
                <w:bCs/>
                <w:sz w:val="28"/>
                <w:szCs w:val="28"/>
              </w:rPr>
              <w:t>25</w:t>
            </w:r>
          </w:p>
        </w:tc>
        <w:tc>
          <w:tcPr>
            <w:tcW w:w="3742" w:type="dxa"/>
            <w:vMerge w:val="continue"/>
          </w:tcPr>
          <w:p>
            <w:pPr>
              <w:adjustRightInd w:val="0"/>
              <w:snapToGrid w:val="0"/>
              <w:jc w:val="center"/>
              <w:rPr>
                <w:rFonts w:ascii="宋体" w:hAnsi="宋体"/>
                <w:b/>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27" w:type="dxa"/>
            <w:vAlign w:val="center"/>
          </w:tcPr>
          <w:p>
            <w:pPr>
              <w:pStyle w:val="80"/>
              <w:ind w:firstLine="0" w:firstLineChars="0"/>
              <w:jc w:val="center"/>
              <w:rPr>
                <w:rFonts w:ascii="宋体" w:hAnsi="宋体"/>
                <w:b/>
                <w:bCs/>
                <w:sz w:val="28"/>
                <w:szCs w:val="28"/>
              </w:rPr>
            </w:pPr>
            <w:r>
              <w:rPr>
                <w:rFonts w:hint="eastAsia" w:ascii="宋体" w:hAnsi="宋体"/>
                <w:b/>
                <w:bCs/>
                <w:sz w:val="28"/>
                <w:szCs w:val="28"/>
              </w:rPr>
              <w:t>9</w:t>
            </w:r>
          </w:p>
        </w:tc>
        <w:tc>
          <w:tcPr>
            <w:tcW w:w="2590" w:type="dxa"/>
            <w:vAlign w:val="center"/>
          </w:tcPr>
          <w:p>
            <w:pPr>
              <w:adjustRightInd w:val="0"/>
              <w:snapToGrid w:val="0"/>
              <w:jc w:val="center"/>
              <w:rPr>
                <w:rFonts w:ascii="宋体" w:hAnsi="宋体"/>
                <w:b/>
                <w:bCs/>
                <w:sz w:val="28"/>
                <w:szCs w:val="28"/>
              </w:rPr>
            </w:pPr>
            <w:r>
              <w:rPr>
                <w:rFonts w:ascii="宋体" w:hAnsi="宋体"/>
                <w:b/>
                <w:bCs/>
                <w:sz w:val="28"/>
                <w:szCs w:val="28"/>
              </w:rPr>
              <w:t>绿化员</w:t>
            </w:r>
          </w:p>
        </w:tc>
        <w:tc>
          <w:tcPr>
            <w:tcW w:w="1770" w:type="dxa"/>
            <w:vAlign w:val="center"/>
          </w:tcPr>
          <w:p>
            <w:pPr>
              <w:adjustRightInd w:val="0"/>
              <w:snapToGrid w:val="0"/>
              <w:jc w:val="center"/>
              <w:rPr>
                <w:rFonts w:ascii="宋体" w:hAnsi="宋体"/>
                <w:b/>
                <w:bCs/>
                <w:sz w:val="28"/>
                <w:szCs w:val="28"/>
              </w:rPr>
            </w:pPr>
            <w:r>
              <w:rPr>
                <w:rFonts w:ascii="宋体" w:hAnsi="宋体"/>
                <w:b/>
                <w:bCs/>
                <w:sz w:val="28"/>
                <w:szCs w:val="28"/>
              </w:rPr>
              <w:t>3</w:t>
            </w:r>
          </w:p>
        </w:tc>
        <w:tc>
          <w:tcPr>
            <w:tcW w:w="3742" w:type="dxa"/>
            <w:vMerge w:val="continue"/>
          </w:tcPr>
          <w:p>
            <w:pPr>
              <w:adjustRightInd w:val="0"/>
              <w:snapToGrid w:val="0"/>
              <w:jc w:val="center"/>
              <w:rPr>
                <w:rFonts w:ascii="宋体" w:hAnsi="宋体"/>
                <w:b/>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trPr>
        <w:tc>
          <w:tcPr>
            <w:tcW w:w="3617" w:type="dxa"/>
            <w:gridSpan w:val="2"/>
            <w:vAlign w:val="center"/>
          </w:tcPr>
          <w:p>
            <w:pPr>
              <w:adjustRightInd w:val="0"/>
              <w:snapToGrid w:val="0"/>
              <w:jc w:val="center"/>
              <w:rPr>
                <w:rFonts w:ascii="宋体" w:hAnsi="宋体"/>
                <w:b/>
                <w:bCs/>
                <w:sz w:val="28"/>
                <w:szCs w:val="28"/>
              </w:rPr>
            </w:pPr>
            <w:r>
              <w:rPr>
                <w:rFonts w:ascii="宋体" w:hAnsi="宋体"/>
                <w:b/>
                <w:bCs/>
                <w:sz w:val="28"/>
                <w:szCs w:val="28"/>
              </w:rPr>
              <w:t>共计</w:t>
            </w:r>
          </w:p>
        </w:tc>
        <w:tc>
          <w:tcPr>
            <w:tcW w:w="1770" w:type="dxa"/>
            <w:vAlign w:val="center"/>
          </w:tcPr>
          <w:p>
            <w:pPr>
              <w:adjustRightInd w:val="0"/>
              <w:snapToGrid w:val="0"/>
              <w:jc w:val="center"/>
              <w:rPr>
                <w:rFonts w:ascii="宋体" w:hAnsi="宋体"/>
                <w:b/>
                <w:bCs/>
                <w:sz w:val="28"/>
                <w:szCs w:val="28"/>
              </w:rPr>
            </w:pPr>
            <w:r>
              <w:rPr>
                <w:rFonts w:hint="eastAsia" w:ascii="宋体" w:hAnsi="宋体"/>
                <w:b/>
                <w:bCs/>
                <w:sz w:val="28"/>
                <w:szCs w:val="28"/>
              </w:rPr>
              <w:t>110人</w:t>
            </w:r>
          </w:p>
        </w:tc>
        <w:tc>
          <w:tcPr>
            <w:tcW w:w="3742" w:type="dxa"/>
            <w:vMerge w:val="continue"/>
          </w:tcPr>
          <w:p>
            <w:pPr>
              <w:adjustRightInd w:val="0"/>
              <w:snapToGrid w:val="0"/>
              <w:jc w:val="center"/>
              <w:rPr>
                <w:rFonts w:ascii="宋体" w:hAnsi="宋体"/>
                <w:b/>
                <w:bCs/>
                <w:sz w:val="28"/>
                <w:szCs w:val="28"/>
              </w:rPr>
            </w:pPr>
          </w:p>
        </w:tc>
      </w:tr>
    </w:tbl>
    <w:p>
      <w:pPr>
        <w:pStyle w:val="80"/>
        <w:ind w:firstLine="280" w:firstLineChars="100"/>
        <w:rPr>
          <w:rFonts w:ascii="宋体" w:hAnsi="宋体"/>
          <w:sz w:val="28"/>
          <w:szCs w:val="28"/>
        </w:rPr>
      </w:pPr>
      <w:r>
        <w:rPr>
          <w:rFonts w:hint="eastAsia" w:ascii="宋体" w:hAnsi="宋体"/>
          <w:sz w:val="28"/>
          <w:szCs w:val="28"/>
        </w:rPr>
        <w:t>三、商务及其他要求</w:t>
      </w:r>
    </w:p>
    <w:p>
      <w:pPr>
        <w:pStyle w:val="80"/>
        <w:ind w:firstLine="560"/>
        <w:rPr>
          <w:rFonts w:ascii="宋体" w:hAnsi="宋体"/>
          <w:sz w:val="28"/>
          <w:szCs w:val="28"/>
        </w:rPr>
      </w:pPr>
      <w:r>
        <w:rPr>
          <w:rFonts w:hint="eastAsia" w:ascii="宋体" w:hAnsi="宋体"/>
          <w:sz w:val="28"/>
          <w:szCs w:val="28"/>
        </w:rPr>
        <w:t>（一）合同期内，采购人对物业管理工作按季度进行考核（考核标准见下），如达不到合同约定的标准，视为不合格，则采购人有权适当扣减费用；一个年度内累计四次考核不合格，采购人有权终止合同，由物业公司承担违约责任。</w:t>
      </w:r>
    </w:p>
    <w:p>
      <w:pPr>
        <w:pStyle w:val="80"/>
        <w:ind w:firstLine="560"/>
        <w:rPr>
          <w:rFonts w:ascii="宋体" w:hAnsi="宋体"/>
          <w:sz w:val="28"/>
          <w:szCs w:val="28"/>
        </w:rPr>
      </w:pPr>
      <w:r>
        <w:rPr>
          <w:rFonts w:hint="eastAsia" w:ascii="宋体" w:hAnsi="宋体"/>
          <w:sz w:val="28"/>
          <w:szCs w:val="28"/>
        </w:rPr>
        <w:t>（二）付款方式：物业管理服务费根据中标金额确定支付费用。物业管理服务费按季度支付，每季度的第一个月10日前（法定节假日顺延）支付本季度的物业管理服务费。成交人在付款前向采购人提供符合国家相关规定的发票，否则，采购人有权拒绝支付价款并不承担任何违约责任。</w:t>
      </w:r>
    </w:p>
    <w:p>
      <w:pPr>
        <w:pStyle w:val="80"/>
        <w:ind w:firstLine="560"/>
        <w:rPr>
          <w:rFonts w:ascii="宋体" w:hAnsi="宋体"/>
          <w:sz w:val="28"/>
          <w:szCs w:val="28"/>
        </w:rPr>
      </w:pPr>
      <w:r>
        <w:rPr>
          <w:rFonts w:hint="eastAsia" w:ascii="宋体" w:hAnsi="宋体"/>
          <w:sz w:val="28"/>
          <w:szCs w:val="28"/>
        </w:rPr>
        <w:t>（三）服务期限：</w:t>
      </w:r>
      <w:r>
        <w:rPr>
          <w:rFonts w:hint="eastAsia" w:ascii="宋体" w:hAnsi="宋体"/>
          <w:sz w:val="28"/>
          <w:szCs w:val="28"/>
          <w:lang w:eastAsia="zh-CN"/>
        </w:rPr>
        <w:t>三年，合同</w:t>
      </w:r>
      <w:r>
        <w:rPr>
          <w:rFonts w:hint="eastAsia" w:ascii="宋体" w:hAnsi="宋体"/>
          <w:sz w:val="28"/>
          <w:szCs w:val="28"/>
        </w:rPr>
        <w:t>一年</w:t>
      </w:r>
      <w:r>
        <w:rPr>
          <w:rFonts w:hint="eastAsia" w:ascii="宋体" w:hAnsi="宋体"/>
          <w:sz w:val="28"/>
          <w:szCs w:val="28"/>
          <w:lang w:eastAsia="zh-CN"/>
        </w:rPr>
        <w:t>一签</w:t>
      </w:r>
      <w:r>
        <w:rPr>
          <w:rFonts w:hint="eastAsia" w:ascii="宋体" w:hAnsi="宋体"/>
          <w:sz w:val="28"/>
          <w:szCs w:val="28"/>
        </w:rPr>
        <w:t>。</w:t>
      </w:r>
    </w:p>
    <w:p>
      <w:pPr>
        <w:pStyle w:val="80"/>
        <w:ind w:firstLine="560"/>
        <w:rPr>
          <w:rFonts w:ascii="宋体" w:hAnsi="宋体"/>
          <w:sz w:val="28"/>
          <w:szCs w:val="28"/>
        </w:rPr>
      </w:pPr>
      <w:r>
        <w:rPr>
          <w:rFonts w:hint="eastAsia" w:ascii="宋体" w:hAnsi="宋体"/>
          <w:sz w:val="28"/>
          <w:szCs w:val="28"/>
        </w:rPr>
        <w:t>（四）服务地点：成都东部新区福田街道办事处定水村八组。</w:t>
      </w:r>
    </w:p>
    <w:p>
      <w:pPr>
        <w:pStyle w:val="80"/>
        <w:ind w:firstLine="560"/>
        <w:rPr>
          <w:rFonts w:ascii="宋体" w:hAnsi="宋体"/>
          <w:sz w:val="28"/>
          <w:szCs w:val="28"/>
        </w:rPr>
      </w:pPr>
      <w:r>
        <w:rPr>
          <w:rFonts w:hint="eastAsia" w:ascii="宋体" w:hAnsi="宋体"/>
          <w:sz w:val="28"/>
          <w:szCs w:val="28"/>
        </w:rPr>
        <w:t>（五）验收方法：按照《财政部关于进一步加强政府采购需求和履约验收管理的指导意见》（财库〔2016〕205号）要求进行验收。</w:t>
      </w:r>
    </w:p>
    <w:p>
      <w:pPr>
        <w:pStyle w:val="80"/>
        <w:ind w:firstLine="560"/>
        <w:rPr>
          <w:rFonts w:ascii="宋体" w:hAnsi="宋体"/>
          <w:sz w:val="28"/>
          <w:szCs w:val="28"/>
        </w:rPr>
      </w:pPr>
      <w:r>
        <w:rPr>
          <w:rFonts w:hint="eastAsia" w:ascii="宋体" w:hAnsi="宋体"/>
          <w:sz w:val="28"/>
          <w:szCs w:val="28"/>
        </w:rPr>
        <w:t>(六)违约责任:按照合同约定执行。</w:t>
      </w:r>
    </w:p>
    <w:p>
      <w:pPr>
        <w:pStyle w:val="80"/>
        <w:ind w:firstLine="560"/>
        <w:rPr>
          <w:rFonts w:ascii="宋体" w:hAnsi="宋体"/>
          <w:sz w:val="28"/>
          <w:szCs w:val="28"/>
        </w:rPr>
      </w:pPr>
      <w:r>
        <w:rPr>
          <w:rFonts w:hint="eastAsia" w:ascii="宋体" w:hAnsi="宋体"/>
          <w:sz w:val="28"/>
          <w:szCs w:val="28"/>
        </w:rPr>
        <w:t>（七）考核标准：</w:t>
      </w:r>
    </w:p>
    <w:tbl>
      <w:tblPr>
        <w:tblStyle w:val="45"/>
        <w:tblW w:w="8502" w:type="dxa"/>
        <w:tblInd w:w="4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07"/>
        <w:gridCol w:w="851"/>
        <w:gridCol w:w="3827"/>
        <w:gridCol w:w="1684"/>
        <w:gridCol w:w="783"/>
        <w:gridCol w:w="5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7" w:type="dxa"/>
            <w:vMerge w:val="restart"/>
            <w:vAlign w:val="center"/>
          </w:tcPr>
          <w:p>
            <w:pPr>
              <w:pStyle w:val="80"/>
              <w:ind w:firstLine="0" w:firstLineChars="0"/>
              <w:jc w:val="center"/>
              <w:rPr>
                <w:rFonts w:ascii="宋体" w:hAnsi="宋体"/>
                <w:sz w:val="28"/>
                <w:szCs w:val="28"/>
              </w:rPr>
            </w:pPr>
            <w:r>
              <w:rPr>
                <w:rFonts w:hint="eastAsia" w:ascii="宋体" w:hAnsi="宋体"/>
                <w:sz w:val="28"/>
                <w:szCs w:val="28"/>
              </w:rPr>
              <w:t>考核内容</w:t>
            </w:r>
          </w:p>
        </w:tc>
        <w:tc>
          <w:tcPr>
            <w:tcW w:w="7695" w:type="dxa"/>
            <w:gridSpan w:val="5"/>
            <w:vAlign w:val="center"/>
          </w:tcPr>
          <w:p>
            <w:pPr>
              <w:pStyle w:val="80"/>
              <w:ind w:firstLine="0" w:firstLineChars="0"/>
              <w:jc w:val="center"/>
              <w:rPr>
                <w:rFonts w:ascii="宋体" w:hAnsi="宋体"/>
                <w:sz w:val="28"/>
                <w:szCs w:val="28"/>
              </w:rPr>
            </w:pPr>
            <w:r>
              <w:rPr>
                <w:rFonts w:hint="eastAsia" w:ascii="宋体" w:hAnsi="宋体"/>
                <w:sz w:val="28"/>
                <w:szCs w:val="28"/>
              </w:rPr>
              <w:t>物业管理三级服务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7" w:type="dxa"/>
            <w:vMerge w:val="continue"/>
            <w:vAlign w:val="center"/>
          </w:tcPr>
          <w:p>
            <w:pPr>
              <w:pStyle w:val="80"/>
              <w:ind w:firstLine="0" w:firstLineChars="0"/>
              <w:jc w:val="center"/>
              <w:rPr>
                <w:rFonts w:ascii="宋体" w:hAnsi="宋体"/>
                <w:sz w:val="28"/>
                <w:szCs w:val="28"/>
              </w:rPr>
            </w:pPr>
          </w:p>
        </w:tc>
        <w:tc>
          <w:tcPr>
            <w:tcW w:w="851" w:type="dxa"/>
            <w:vAlign w:val="center"/>
          </w:tcPr>
          <w:p>
            <w:pPr>
              <w:pStyle w:val="80"/>
              <w:ind w:firstLine="0" w:firstLineChars="0"/>
              <w:jc w:val="center"/>
              <w:rPr>
                <w:rFonts w:ascii="宋体" w:hAnsi="宋体"/>
                <w:sz w:val="28"/>
                <w:szCs w:val="28"/>
              </w:rPr>
            </w:pPr>
            <w:r>
              <w:rPr>
                <w:rFonts w:ascii="宋体" w:hAnsi="宋体"/>
                <w:sz w:val="28"/>
                <w:szCs w:val="28"/>
              </w:rPr>
              <w:t>考核分数</w:t>
            </w:r>
          </w:p>
        </w:tc>
        <w:tc>
          <w:tcPr>
            <w:tcW w:w="3827" w:type="dxa"/>
            <w:vAlign w:val="center"/>
          </w:tcPr>
          <w:p>
            <w:pPr>
              <w:pStyle w:val="80"/>
              <w:ind w:firstLine="0" w:firstLineChars="0"/>
              <w:jc w:val="center"/>
              <w:rPr>
                <w:rFonts w:ascii="宋体" w:hAnsi="宋体"/>
                <w:sz w:val="28"/>
                <w:szCs w:val="28"/>
              </w:rPr>
            </w:pPr>
            <w:r>
              <w:rPr>
                <w:rFonts w:hint="eastAsia" w:ascii="宋体" w:hAnsi="宋体"/>
                <w:sz w:val="28"/>
                <w:szCs w:val="28"/>
              </w:rPr>
              <w:t>具体考核内容</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考核标准</w:t>
            </w:r>
          </w:p>
        </w:tc>
        <w:tc>
          <w:tcPr>
            <w:tcW w:w="783" w:type="dxa"/>
            <w:vAlign w:val="center"/>
          </w:tcPr>
          <w:p>
            <w:pPr>
              <w:pStyle w:val="80"/>
              <w:ind w:firstLine="0" w:firstLineChars="0"/>
              <w:jc w:val="center"/>
              <w:rPr>
                <w:rFonts w:ascii="宋体" w:hAnsi="宋体"/>
                <w:sz w:val="28"/>
                <w:szCs w:val="28"/>
              </w:rPr>
            </w:pPr>
            <w:r>
              <w:rPr>
                <w:rFonts w:ascii="宋体" w:hAnsi="宋体"/>
                <w:sz w:val="28"/>
                <w:szCs w:val="28"/>
              </w:rPr>
              <w:t>分值</w:t>
            </w:r>
          </w:p>
        </w:tc>
        <w:tc>
          <w:tcPr>
            <w:tcW w:w="550" w:type="dxa"/>
            <w:vAlign w:val="center"/>
          </w:tcPr>
          <w:p>
            <w:pPr>
              <w:pStyle w:val="80"/>
              <w:ind w:firstLine="0" w:firstLineChars="0"/>
              <w:jc w:val="center"/>
              <w:rPr>
                <w:rFonts w:ascii="宋体" w:hAnsi="宋体"/>
                <w:sz w:val="28"/>
                <w:szCs w:val="28"/>
              </w:rPr>
            </w:pPr>
            <w:r>
              <w:rPr>
                <w:rFonts w:ascii="宋体" w:hAnsi="宋体"/>
                <w:sz w:val="28"/>
                <w:szCs w:val="28"/>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7" w:type="dxa"/>
            <w:vMerge w:val="restart"/>
            <w:vAlign w:val="center"/>
          </w:tcPr>
          <w:p>
            <w:pPr>
              <w:pStyle w:val="80"/>
              <w:ind w:firstLine="0" w:firstLineChars="0"/>
              <w:jc w:val="center"/>
              <w:rPr>
                <w:rFonts w:ascii="宋体" w:hAnsi="宋体"/>
                <w:sz w:val="28"/>
                <w:szCs w:val="28"/>
              </w:rPr>
            </w:pPr>
            <w:r>
              <w:rPr>
                <w:rFonts w:ascii="宋体" w:hAnsi="宋体"/>
                <w:sz w:val="28"/>
                <w:szCs w:val="28"/>
              </w:rPr>
              <w:t>基础管理</w:t>
            </w:r>
          </w:p>
        </w:tc>
        <w:tc>
          <w:tcPr>
            <w:tcW w:w="851" w:type="dxa"/>
            <w:vMerge w:val="restart"/>
            <w:vAlign w:val="center"/>
          </w:tcPr>
          <w:p>
            <w:pPr>
              <w:pStyle w:val="80"/>
              <w:ind w:firstLine="0" w:firstLineChars="0"/>
              <w:jc w:val="center"/>
              <w:rPr>
                <w:rFonts w:ascii="宋体" w:hAnsi="宋体"/>
                <w:sz w:val="28"/>
                <w:szCs w:val="28"/>
              </w:rPr>
            </w:pPr>
            <w:r>
              <w:rPr>
                <w:rFonts w:hint="eastAsia" w:ascii="宋体" w:hAnsi="宋体"/>
                <w:sz w:val="28"/>
                <w:szCs w:val="28"/>
              </w:rPr>
              <w:t>10分</w:t>
            </w: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1、设有服务接待中心；小区物业管理人员各技术人员应持有政府或专业部门颁发的有效证书上岗。全体员工统一着装，佩戴标志，服务意识高，行为语言规范，对业主的意见要耐心；建立24小时值班制度，公示24小时服务电话，及时处理物业管理服务合同范围内的公共性事务，受理住户的咨询和投诉，有回访制度和记录。对业主及房产档案、物业管理服务、收费情况、设备档案和日常办公进行管理，查阅方便。</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未制定相关制度本项0分，不全扣0.5分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1</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07" w:type="dxa"/>
            <w:vMerge w:val="continue"/>
            <w:vAlign w:val="center"/>
          </w:tcPr>
          <w:p>
            <w:pPr>
              <w:pStyle w:val="80"/>
              <w:ind w:firstLine="0" w:firstLineChars="0"/>
              <w:jc w:val="center"/>
              <w:rPr>
                <w:rFonts w:ascii="宋体" w:hAnsi="宋体"/>
                <w:sz w:val="28"/>
                <w:szCs w:val="28"/>
              </w:rPr>
            </w:pPr>
          </w:p>
        </w:tc>
        <w:tc>
          <w:tcPr>
            <w:tcW w:w="851" w:type="dxa"/>
            <w:vMerge w:val="continue"/>
            <w:vAlign w:val="center"/>
          </w:tcPr>
          <w:p>
            <w:pPr>
              <w:pStyle w:val="80"/>
              <w:ind w:firstLine="0" w:firstLineChars="0"/>
              <w:jc w:val="center"/>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2、小区电子防盗、监控、报警系统等设施设备运行正常，有记录。</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未及时维护每次扣0.5分；无记录扣0.5分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1</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7" w:type="dxa"/>
            <w:vMerge w:val="continue"/>
            <w:vAlign w:val="center"/>
          </w:tcPr>
          <w:p>
            <w:pPr>
              <w:pStyle w:val="80"/>
              <w:ind w:firstLine="0" w:firstLineChars="0"/>
              <w:jc w:val="center"/>
              <w:rPr>
                <w:rFonts w:ascii="宋体" w:hAnsi="宋体"/>
                <w:sz w:val="28"/>
                <w:szCs w:val="28"/>
              </w:rPr>
            </w:pPr>
          </w:p>
        </w:tc>
        <w:tc>
          <w:tcPr>
            <w:tcW w:w="851" w:type="dxa"/>
            <w:vMerge w:val="continue"/>
            <w:vAlign w:val="center"/>
          </w:tcPr>
          <w:p>
            <w:pPr>
              <w:pStyle w:val="80"/>
              <w:ind w:firstLine="0" w:firstLineChars="0"/>
              <w:jc w:val="center"/>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3、无因物业管理引发的投诉和纠纷事件。</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每发生1起扣0.5 分，扣完为止</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3</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7" w:type="dxa"/>
            <w:vMerge w:val="continue"/>
            <w:vAlign w:val="center"/>
          </w:tcPr>
          <w:p>
            <w:pPr>
              <w:pStyle w:val="80"/>
              <w:ind w:firstLine="0" w:firstLineChars="0"/>
              <w:jc w:val="center"/>
              <w:rPr>
                <w:rFonts w:ascii="宋体" w:hAnsi="宋体"/>
                <w:sz w:val="28"/>
                <w:szCs w:val="28"/>
              </w:rPr>
            </w:pPr>
          </w:p>
        </w:tc>
        <w:tc>
          <w:tcPr>
            <w:tcW w:w="851" w:type="dxa"/>
            <w:vMerge w:val="continue"/>
            <w:vAlign w:val="center"/>
          </w:tcPr>
          <w:p>
            <w:pPr>
              <w:pStyle w:val="80"/>
              <w:ind w:firstLine="0" w:firstLineChars="0"/>
              <w:jc w:val="center"/>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4、配合完成政府赋予的突发性（临时性）工作任务。每月向所在社区工作站和公司汇报物业管理服务实施情况。</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临时性工作未完成一次扣0.5分扣完为止；未汇报扣0.5分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3</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7" w:type="dxa"/>
            <w:vMerge w:val="continue"/>
            <w:vAlign w:val="center"/>
          </w:tcPr>
          <w:p>
            <w:pPr>
              <w:pStyle w:val="80"/>
              <w:ind w:firstLine="0" w:firstLineChars="0"/>
              <w:jc w:val="center"/>
              <w:rPr>
                <w:rFonts w:ascii="宋体" w:hAnsi="宋体"/>
                <w:sz w:val="28"/>
                <w:szCs w:val="28"/>
              </w:rPr>
            </w:pPr>
          </w:p>
        </w:tc>
        <w:tc>
          <w:tcPr>
            <w:tcW w:w="851" w:type="dxa"/>
            <w:vMerge w:val="continue"/>
            <w:vAlign w:val="center"/>
          </w:tcPr>
          <w:p>
            <w:pPr>
              <w:pStyle w:val="80"/>
              <w:ind w:firstLine="0" w:firstLineChars="0"/>
              <w:jc w:val="center"/>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5、适时对服务人员进行物业管理业务知识培训；每年组织防汛、消防培训及其演练各一次；建立消杀工作管理制度，根据小区实际情况开展消毒和灭虫除害工作。</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未建立消防、防汛应急预案及消杀制度每项扣0.5分；未开展相关演练年底物业考评总分扣10分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1</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07" w:type="dxa"/>
            <w:vMerge w:val="continue"/>
            <w:vAlign w:val="center"/>
          </w:tcPr>
          <w:p>
            <w:pPr>
              <w:pStyle w:val="80"/>
              <w:ind w:firstLine="0" w:firstLineChars="0"/>
              <w:jc w:val="center"/>
              <w:rPr>
                <w:rFonts w:ascii="宋体" w:hAnsi="宋体"/>
                <w:sz w:val="28"/>
                <w:szCs w:val="28"/>
              </w:rPr>
            </w:pPr>
          </w:p>
        </w:tc>
        <w:tc>
          <w:tcPr>
            <w:tcW w:w="851" w:type="dxa"/>
            <w:vMerge w:val="continue"/>
            <w:vAlign w:val="center"/>
          </w:tcPr>
          <w:p>
            <w:pPr>
              <w:pStyle w:val="80"/>
              <w:ind w:firstLine="0" w:firstLineChars="0"/>
              <w:jc w:val="center"/>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6、对共用设施设备进行日常管理和维修养护（依法应由专业部门负责的除外）并建立档案，对可能发生的突发设备故障制定应急预案。发生突发事故，按应急预案处置并有现场处理记录。</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未制定相关制度和日常管理和维修档案本项0分，不全扣0.5分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1</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7" w:type="dxa"/>
            <w:vMerge w:val="restart"/>
            <w:vAlign w:val="center"/>
          </w:tcPr>
          <w:p>
            <w:pPr>
              <w:pStyle w:val="80"/>
              <w:ind w:firstLine="0" w:firstLineChars="0"/>
              <w:jc w:val="center"/>
              <w:rPr>
                <w:rFonts w:ascii="宋体" w:hAnsi="宋体"/>
                <w:sz w:val="28"/>
                <w:szCs w:val="28"/>
              </w:rPr>
            </w:pPr>
            <w:r>
              <w:rPr>
                <w:rFonts w:hint="eastAsia" w:ascii="宋体" w:hAnsi="宋体"/>
                <w:sz w:val="28"/>
                <w:szCs w:val="28"/>
              </w:rPr>
              <w:t>房屋管理与维修养护</w:t>
            </w:r>
          </w:p>
        </w:tc>
        <w:tc>
          <w:tcPr>
            <w:tcW w:w="851" w:type="dxa"/>
            <w:vMerge w:val="restart"/>
            <w:vAlign w:val="center"/>
          </w:tcPr>
          <w:p>
            <w:pPr>
              <w:pStyle w:val="80"/>
              <w:ind w:firstLine="0" w:firstLineChars="0"/>
              <w:jc w:val="center"/>
              <w:rPr>
                <w:rFonts w:ascii="宋体" w:hAnsi="宋体"/>
                <w:sz w:val="28"/>
                <w:szCs w:val="28"/>
              </w:rPr>
            </w:pPr>
            <w:r>
              <w:rPr>
                <w:rFonts w:hint="eastAsia" w:ascii="宋体" w:hAnsi="宋体"/>
                <w:sz w:val="28"/>
                <w:szCs w:val="28"/>
              </w:rPr>
              <w:t>15分</w:t>
            </w: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1、小区内各建筑物标志明显、设立引路方向平面图和路标、单位名录标识在区内位置明显；铭牌及各类标示牌统一有序。</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标识不全扣1分，无标识本项0分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2</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7" w:type="dxa"/>
            <w:vMerge w:val="continue"/>
            <w:vAlign w:val="center"/>
          </w:tcPr>
          <w:p>
            <w:pPr>
              <w:pStyle w:val="80"/>
              <w:ind w:firstLine="0" w:firstLineChars="0"/>
              <w:jc w:val="center"/>
              <w:rPr>
                <w:rFonts w:ascii="宋体" w:hAnsi="宋体"/>
                <w:sz w:val="28"/>
                <w:szCs w:val="28"/>
              </w:rPr>
            </w:pPr>
          </w:p>
        </w:tc>
        <w:tc>
          <w:tcPr>
            <w:tcW w:w="851" w:type="dxa"/>
            <w:vMerge w:val="continue"/>
            <w:vAlign w:val="center"/>
          </w:tcPr>
          <w:p>
            <w:pPr>
              <w:pStyle w:val="80"/>
              <w:ind w:firstLine="0" w:firstLineChars="0"/>
              <w:jc w:val="center"/>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2、对违反规划私搭乱建、私自拆改管线和擅自改变房屋用途的行为及时劝阻、制止，及时报告相关主管部门并主动妥处和积极协助处置。</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未及时上报扣2分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2</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7" w:type="dxa"/>
            <w:vMerge w:val="continue"/>
            <w:vAlign w:val="center"/>
          </w:tcPr>
          <w:p>
            <w:pPr>
              <w:pStyle w:val="80"/>
              <w:ind w:firstLine="0" w:firstLineChars="0"/>
              <w:jc w:val="center"/>
              <w:rPr>
                <w:rFonts w:ascii="宋体" w:hAnsi="宋体"/>
                <w:sz w:val="28"/>
                <w:szCs w:val="28"/>
              </w:rPr>
            </w:pPr>
          </w:p>
        </w:tc>
        <w:tc>
          <w:tcPr>
            <w:tcW w:w="851" w:type="dxa"/>
            <w:vMerge w:val="continue"/>
            <w:vAlign w:val="center"/>
          </w:tcPr>
          <w:p>
            <w:pPr>
              <w:pStyle w:val="80"/>
              <w:ind w:firstLine="0" w:firstLineChars="0"/>
              <w:jc w:val="center"/>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3、房屋外观（包括屋面、露台）完好、整洁；户外墙面、顶面、地面每周巡查一次，保持屋面无破损、无开裂现象，屋面排污沟无堵塞。公共楼梯间及墙面、地面无破损。</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无巡查记录扣0.5分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2</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07" w:type="dxa"/>
            <w:vMerge w:val="continue"/>
            <w:vAlign w:val="center"/>
          </w:tcPr>
          <w:p>
            <w:pPr>
              <w:pStyle w:val="80"/>
              <w:ind w:firstLine="0" w:firstLineChars="0"/>
              <w:jc w:val="center"/>
              <w:rPr>
                <w:rFonts w:ascii="宋体" w:hAnsi="宋体"/>
                <w:sz w:val="28"/>
                <w:szCs w:val="28"/>
              </w:rPr>
            </w:pPr>
          </w:p>
        </w:tc>
        <w:tc>
          <w:tcPr>
            <w:tcW w:w="851" w:type="dxa"/>
            <w:vMerge w:val="continue"/>
            <w:vAlign w:val="center"/>
          </w:tcPr>
          <w:p>
            <w:pPr>
              <w:pStyle w:val="80"/>
              <w:ind w:firstLine="0" w:firstLineChars="0"/>
              <w:jc w:val="center"/>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4、每3日巡查1次小区楼梯通道以及其他共用部位的门窗、玻璃等，做好巡查记录，并及时维修养护，检修记录和保养记录齐全。</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未及时保养维修扣0.5分，无检修保养记录扣0.5分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2</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7" w:type="dxa"/>
            <w:vMerge w:val="continue"/>
            <w:vAlign w:val="center"/>
          </w:tcPr>
          <w:p>
            <w:pPr>
              <w:pStyle w:val="80"/>
              <w:ind w:firstLine="0" w:firstLineChars="0"/>
              <w:jc w:val="center"/>
              <w:rPr>
                <w:rFonts w:ascii="宋体" w:hAnsi="宋体"/>
                <w:sz w:val="28"/>
                <w:szCs w:val="28"/>
              </w:rPr>
            </w:pPr>
          </w:p>
        </w:tc>
        <w:tc>
          <w:tcPr>
            <w:tcW w:w="851" w:type="dxa"/>
            <w:vMerge w:val="continue"/>
            <w:vAlign w:val="center"/>
          </w:tcPr>
          <w:p>
            <w:pPr>
              <w:pStyle w:val="80"/>
              <w:ind w:firstLine="0" w:firstLineChars="0"/>
              <w:jc w:val="center"/>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5、业主反映的管道堵塞、漏水、路灯损坏等需要维修的项目，在保修期内，维修人员应该在报修的当天进行现场查看，并制定维修方案，一般工程1天之内完成维修任务。如遇特殊工程，需报请上级部门认可，确定完成期限，及时告知业主。</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业主反映维修项目在保修期内未及时维修1次扣0.5分。特殊工程未及时告知扣0.5分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5</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7" w:type="dxa"/>
            <w:vMerge w:val="continue"/>
            <w:vAlign w:val="center"/>
          </w:tcPr>
          <w:p>
            <w:pPr>
              <w:pStyle w:val="80"/>
              <w:ind w:firstLine="0" w:firstLineChars="0"/>
              <w:jc w:val="center"/>
              <w:rPr>
                <w:rFonts w:ascii="宋体" w:hAnsi="宋体"/>
                <w:sz w:val="28"/>
                <w:szCs w:val="28"/>
              </w:rPr>
            </w:pPr>
          </w:p>
        </w:tc>
        <w:tc>
          <w:tcPr>
            <w:tcW w:w="851" w:type="dxa"/>
            <w:vMerge w:val="continue"/>
            <w:vAlign w:val="center"/>
          </w:tcPr>
          <w:p>
            <w:pPr>
              <w:pStyle w:val="80"/>
              <w:ind w:firstLine="0" w:firstLineChars="0"/>
              <w:jc w:val="center"/>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6、急修1小时内、其他保修按双方约定时间到达现场，建立有完整的报修、维修和回访记录。</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无完整报修、维修和回访记录的扣1分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2</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7" w:type="dxa"/>
            <w:vMerge w:val="restart"/>
            <w:vAlign w:val="center"/>
          </w:tcPr>
          <w:p>
            <w:pPr>
              <w:pStyle w:val="80"/>
              <w:ind w:firstLine="0" w:firstLineChars="0"/>
              <w:jc w:val="center"/>
              <w:rPr>
                <w:rFonts w:ascii="宋体" w:hAnsi="宋体"/>
                <w:sz w:val="28"/>
                <w:szCs w:val="28"/>
              </w:rPr>
            </w:pPr>
            <w:r>
              <w:rPr>
                <w:rFonts w:hint="eastAsia" w:ascii="宋体" w:hAnsi="宋体"/>
                <w:sz w:val="28"/>
                <w:szCs w:val="28"/>
              </w:rPr>
              <w:t>共用设施设备管理</w:t>
            </w:r>
          </w:p>
        </w:tc>
        <w:tc>
          <w:tcPr>
            <w:tcW w:w="851" w:type="dxa"/>
            <w:vMerge w:val="restart"/>
            <w:vAlign w:val="center"/>
          </w:tcPr>
          <w:p>
            <w:pPr>
              <w:pStyle w:val="80"/>
              <w:ind w:firstLine="0" w:firstLineChars="0"/>
              <w:jc w:val="center"/>
              <w:rPr>
                <w:rFonts w:ascii="宋体" w:hAnsi="宋体"/>
                <w:sz w:val="28"/>
                <w:szCs w:val="28"/>
              </w:rPr>
            </w:pPr>
            <w:r>
              <w:rPr>
                <w:rFonts w:hint="eastAsia" w:ascii="宋体" w:hAnsi="宋体"/>
                <w:sz w:val="28"/>
                <w:szCs w:val="28"/>
              </w:rPr>
              <w:t>20分</w:t>
            </w: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1、按物业服务合同和业主公约的约定对房屋及配套设施设备提供服务。</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未按合同及公约提供服务本项0 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2</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07" w:type="dxa"/>
            <w:vMerge w:val="continue"/>
            <w:vAlign w:val="center"/>
          </w:tcPr>
          <w:p>
            <w:pPr>
              <w:pStyle w:val="80"/>
              <w:ind w:firstLine="0" w:firstLineChars="0"/>
              <w:jc w:val="center"/>
              <w:rPr>
                <w:rFonts w:ascii="宋体" w:hAnsi="宋体"/>
                <w:sz w:val="28"/>
                <w:szCs w:val="28"/>
              </w:rPr>
            </w:pPr>
          </w:p>
        </w:tc>
        <w:tc>
          <w:tcPr>
            <w:tcW w:w="851" w:type="dxa"/>
            <w:vMerge w:val="continue"/>
            <w:vAlign w:val="center"/>
          </w:tcPr>
          <w:p>
            <w:pPr>
              <w:pStyle w:val="80"/>
              <w:ind w:firstLine="0" w:firstLineChars="0"/>
              <w:jc w:val="center"/>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2、明确水、电、气、监控等设施设备的维修养护责任人，运行保养人员技能熟练，严格遵守操作规程及保养规范。</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未明确的视情况扣0. 5到2分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2</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7" w:type="dxa"/>
            <w:vMerge w:val="continue"/>
            <w:vAlign w:val="center"/>
          </w:tcPr>
          <w:p>
            <w:pPr>
              <w:pStyle w:val="80"/>
              <w:ind w:firstLine="0" w:firstLineChars="0"/>
              <w:jc w:val="center"/>
              <w:rPr>
                <w:rFonts w:ascii="宋体" w:hAnsi="宋体"/>
                <w:sz w:val="28"/>
                <w:szCs w:val="28"/>
              </w:rPr>
            </w:pPr>
          </w:p>
        </w:tc>
        <w:tc>
          <w:tcPr>
            <w:tcW w:w="851" w:type="dxa"/>
            <w:vMerge w:val="continue"/>
            <w:vAlign w:val="center"/>
          </w:tcPr>
          <w:p>
            <w:pPr>
              <w:pStyle w:val="80"/>
              <w:ind w:firstLine="0" w:firstLineChars="0"/>
              <w:jc w:val="center"/>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3、路灯、楼道灯等公共照明设备完好率95%以上。</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未达到扣0. 5分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2</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7" w:type="dxa"/>
            <w:vMerge w:val="continue"/>
            <w:vAlign w:val="center"/>
          </w:tcPr>
          <w:p>
            <w:pPr>
              <w:pStyle w:val="80"/>
              <w:ind w:firstLine="0" w:firstLineChars="0"/>
              <w:jc w:val="center"/>
              <w:rPr>
                <w:rFonts w:ascii="宋体" w:hAnsi="宋体"/>
                <w:sz w:val="28"/>
                <w:szCs w:val="28"/>
              </w:rPr>
            </w:pPr>
          </w:p>
        </w:tc>
        <w:tc>
          <w:tcPr>
            <w:tcW w:w="851" w:type="dxa"/>
            <w:vMerge w:val="continue"/>
            <w:vAlign w:val="center"/>
          </w:tcPr>
          <w:p>
            <w:pPr>
              <w:pStyle w:val="80"/>
              <w:ind w:firstLine="0" w:firstLineChars="0"/>
              <w:jc w:val="center"/>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4、共用楼梯、天台、通道、卸货平台等无对方废弃物、杂物及违章占用等。</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发现一处扣0.5 分，直至扣完</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2</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7" w:type="dxa"/>
            <w:vMerge w:val="continue"/>
            <w:vAlign w:val="center"/>
          </w:tcPr>
          <w:p>
            <w:pPr>
              <w:pStyle w:val="80"/>
              <w:ind w:firstLine="0" w:firstLineChars="0"/>
              <w:jc w:val="center"/>
              <w:rPr>
                <w:rFonts w:ascii="宋体" w:hAnsi="宋体"/>
                <w:sz w:val="28"/>
                <w:szCs w:val="28"/>
              </w:rPr>
            </w:pPr>
          </w:p>
        </w:tc>
        <w:tc>
          <w:tcPr>
            <w:tcW w:w="851" w:type="dxa"/>
            <w:vMerge w:val="continue"/>
            <w:vAlign w:val="center"/>
          </w:tcPr>
          <w:p>
            <w:pPr>
              <w:pStyle w:val="80"/>
              <w:ind w:firstLine="0" w:firstLineChars="0"/>
              <w:jc w:val="center"/>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5、外墙及公共空间无乱张贴、乱涂、乱画、乱悬挂现象。</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发现一处扣0.5 分，直至扣完</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3</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07" w:type="dxa"/>
            <w:vMerge w:val="continue"/>
            <w:vAlign w:val="center"/>
          </w:tcPr>
          <w:p>
            <w:pPr>
              <w:pStyle w:val="80"/>
              <w:ind w:firstLine="0" w:firstLineChars="0"/>
              <w:jc w:val="center"/>
              <w:rPr>
                <w:rFonts w:ascii="宋体" w:hAnsi="宋体"/>
                <w:sz w:val="28"/>
                <w:szCs w:val="28"/>
              </w:rPr>
            </w:pPr>
          </w:p>
        </w:tc>
        <w:tc>
          <w:tcPr>
            <w:tcW w:w="851" w:type="dxa"/>
            <w:vMerge w:val="continue"/>
            <w:vAlign w:val="center"/>
          </w:tcPr>
          <w:p>
            <w:pPr>
              <w:pStyle w:val="80"/>
              <w:ind w:firstLine="0" w:firstLineChars="0"/>
              <w:jc w:val="center"/>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6、上下水管道、落水管等供排水设施每3日巡检一次，发现异常及时处理，保障通水排水畅通、无恶意损坏。</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未及时处理的扣0.5分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2</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7" w:type="dxa"/>
            <w:vMerge w:val="continue"/>
            <w:vAlign w:val="center"/>
          </w:tcPr>
          <w:p>
            <w:pPr>
              <w:pStyle w:val="80"/>
              <w:ind w:firstLine="0" w:firstLineChars="0"/>
              <w:jc w:val="center"/>
              <w:rPr>
                <w:rFonts w:ascii="宋体" w:hAnsi="宋体"/>
                <w:sz w:val="28"/>
                <w:szCs w:val="28"/>
              </w:rPr>
            </w:pPr>
          </w:p>
        </w:tc>
        <w:tc>
          <w:tcPr>
            <w:tcW w:w="851" w:type="dxa"/>
            <w:vMerge w:val="continue"/>
            <w:vAlign w:val="center"/>
          </w:tcPr>
          <w:p>
            <w:pPr>
              <w:pStyle w:val="80"/>
              <w:ind w:firstLine="0" w:firstLineChars="0"/>
              <w:jc w:val="center"/>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7、消防设施设备完好，可随时启用，消防通道通畅；建立消防责任制及火灾消防预案。</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制度、预案不全，扣0.5分</w:t>
            </w:r>
          </w:p>
          <w:p>
            <w:pPr>
              <w:pStyle w:val="80"/>
              <w:ind w:firstLine="0" w:firstLineChars="0"/>
              <w:jc w:val="center"/>
              <w:rPr>
                <w:rFonts w:ascii="宋体" w:hAnsi="宋体"/>
                <w:sz w:val="28"/>
                <w:szCs w:val="28"/>
              </w:rPr>
            </w:pP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2</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7" w:type="dxa"/>
            <w:vMerge w:val="continue"/>
            <w:vAlign w:val="center"/>
          </w:tcPr>
          <w:p>
            <w:pPr>
              <w:pStyle w:val="80"/>
              <w:ind w:firstLine="0" w:firstLineChars="0"/>
              <w:jc w:val="center"/>
              <w:rPr>
                <w:rFonts w:ascii="宋体" w:hAnsi="宋体"/>
                <w:sz w:val="28"/>
                <w:szCs w:val="28"/>
              </w:rPr>
            </w:pPr>
          </w:p>
        </w:tc>
        <w:tc>
          <w:tcPr>
            <w:tcW w:w="851" w:type="dxa"/>
            <w:vMerge w:val="continue"/>
            <w:vAlign w:val="center"/>
          </w:tcPr>
          <w:p>
            <w:pPr>
              <w:pStyle w:val="80"/>
              <w:ind w:firstLine="0" w:firstLineChars="0"/>
              <w:jc w:val="center"/>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8、对火灾、治安、公共卫生等突发事件有应急预案，事发时及时报告有关部门并协助采取相应措施妥善处理。</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制度、预案不全，扣0.5分，突发事件未釆取相应措施处理的扣1-2分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2</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7" w:type="dxa"/>
            <w:vMerge w:val="continue"/>
            <w:vAlign w:val="center"/>
          </w:tcPr>
          <w:p>
            <w:pPr>
              <w:pStyle w:val="80"/>
              <w:ind w:firstLine="0" w:firstLineChars="0"/>
              <w:jc w:val="center"/>
              <w:rPr>
                <w:rFonts w:ascii="宋体" w:hAnsi="宋体"/>
                <w:sz w:val="28"/>
                <w:szCs w:val="28"/>
              </w:rPr>
            </w:pPr>
          </w:p>
        </w:tc>
        <w:tc>
          <w:tcPr>
            <w:tcW w:w="851" w:type="dxa"/>
            <w:vMerge w:val="continue"/>
            <w:vAlign w:val="center"/>
          </w:tcPr>
          <w:p>
            <w:pPr>
              <w:pStyle w:val="80"/>
              <w:ind w:firstLine="0" w:firstLineChars="0"/>
              <w:jc w:val="center"/>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9、急修1小时内、其他保修按双方约定时间到达现场，建立有完整的报修、维修和回访记录。</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未及时到场，无完整记录的扣0.5分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3</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07" w:type="dxa"/>
            <w:vMerge w:val="restart"/>
            <w:vAlign w:val="center"/>
          </w:tcPr>
          <w:p>
            <w:pPr>
              <w:pStyle w:val="80"/>
              <w:ind w:firstLine="0" w:firstLineChars="0"/>
              <w:jc w:val="center"/>
              <w:rPr>
                <w:rFonts w:ascii="宋体" w:hAnsi="宋体"/>
                <w:sz w:val="28"/>
                <w:szCs w:val="28"/>
              </w:rPr>
            </w:pPr>
            <w:r>
              <w:rPr>
                <w:rFonts w:hint="eastAsia" w:ascii="宋体" w:hAnsi="宋体"/>
                <w:sz w:val="28"/>
                <w:szCs w:val="28"/>
              </w:rPr>
              <w:t>环境卫生管理</w:t>
            </w:r>
          </w:p>
        </w:tc>
        <w:tc>
          <w:tcPr>
            <w:tcW w:w="851" w:type="dxa"/>
            <w:vMerge w:val="restart"/>
            <w:vAlign w:val="center"/>
          </w:tcPr>
          <w:p>
            <w:pPr>
              <w:pStyle w:val="80"/>
              <w:ind w:firstLine="0" w:firstLineChars="0"/>
              <w:jc w:val="center"/>
              <w:rPr>
                <w:rFonts w:ascii="宋体" w:hAnsi="宋体"/>
                <w:sz w:val="28"/>
                <w:szCs w:val="28"/>
              </w:rPr>
            </w:pPr>
            <w:r>
              <w:rPr>
                <w:rFonts w:hint="eastAsia" w:ascii="宋体" w:hAnsi="宋体"/>
                <w:sz w:val="28"/>
                <w:szCs w:val="28"/>
              </w:rPr>
              <w:t>30分</w:t>
            </w: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1、小区道路、广场、停车场、绿地等公共区域设专人保洁，负责全天的清洁、保洁工作。</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未设专人的本项0分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3</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7" w:type="dxa"/>
            <w:vMerge w:val="continue"/>
            <w:vAlign w:val="center"/>
          </w:tcPr>
          <w:p>
            <w:pPr>
              <w:pStyle w:val="80"/>
              <w:ind w:firstLine="0" w:firstLineChars="0"/>
              <w:jc w:val="center"/>
              <w:rPr>
                <w:rFonts w:ascii="宋体" w:hAnsi="宋体"/>
                <w:sz w:val="28"/>
                <w:szCs w:val="28"/>
              </w:rPr>
            </w:pPr>
          </w:p>
        </w:tc>
        <w:tc>
          <w:tcPr>
            <w:tcW w:w="851" w:type="dxa"/>
            <w:vMerge w:val="continue"/>
            <w:vAlign w:val="center"/>
          </w:tcPr>
          <w:p>
            <w:pPr>
              <w:pStyle w:val="80"/>
              <w:ind w:firstLine="0" w:firstLineChars="0"/>
              <w:jc w:val="center"/>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2、根据小区实际情况合理布设果皮箱或垃圾桶，垃圾清运日产日清，保持垃圾设施清洁、无异味；化粪井、化粪池每季度检查1次，发现异常及时清掏，化粪池每年清掏1次。</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未及时清理、清掏的扣1分，未及时检查的扣1分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3</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7" w:type="dxa"/>
            <w:vMerge w:val="continue"/>
            <w:vAlign w:val="center"/>
          </w:tcPr>
          <w:p>
            <w:pPr>
              <w:pStyle w:val="80"/>
              <w:ind w:firstLine="0" w:firstLineChars="0"/>
              <w:jc w:val="center"/>
              <w:rPr>
                <w:rFonts w:ascii="宋体" w:hAnsi="宋体"/>
                <w:sz w:val="28"/>
                <w:szCs w:val="28"/>
              </w:rPr>
            </w:pPr>
          </w:p>
        </w:tc>
        <w:tc>
          <w:tcPr>
            <w:tcW w:w="851" w:type="dxa"/>
            <w:vMerge w:val="continue"/>
            <w:vAlign w:val="center"/>
          </w:tcPr>
          <w:p>
            <w:pPr>
              <w:pStyle w:val="80"/>
              <w:ind w:firstLine="0" w:firstLineChars="0"/>
              <w:jc w:val="center"/>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3、雨水井、污水井每季度检查1次以上，视检查情况及时清掏，保持通畅，共用雨、污水管道每两年疏通1次以上，并保持日常通畅。</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未及时检查的扣1分，未及时清掏的扣1分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4</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7" w:type="dxa"/>
            <w:vMerge w:val="continue"/>
            <w:vAlign w:val="center"/>
          </w:tcPr>
          <w:p>
            <w:pPr>
              <w:pStyle w:val="80"/>
              <w:ind w:firstLine="0" w:firstLineChars="0"/>
              <w:jc w:val="center"/>
              <w:rPr>
                <w:rFonts w:ascii="宋体" w:hAnsi="宋体"/>
                <w:sz w:val="28"/>
                <w:szCs w:val="28"/>
              </w:rPr>
            </w:pPr>
          </w:p>
        </w:tc>
        <w:tc>
          <w:tcPr>
            <w:tcW w:w="851" w:type="dxa"/>
            <w:vMerge w:val="continue"/>
            <w:vAlign w:val="center"/>
          </w:tcPr>
          <w:p>
            <w:pPr>
              <w:pStyle w:val="80"/>
              <w:ind w:firstLine="0" w:firstLineChars="0"/>
              <w:jc w:val="center"/>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4、地面每天清扫1次，，随时巡视保洁，做到地面无明显垃圾；生活垃圾每天清运1次，垃圾桶每月消毒处理2次，保证小区内环境卫生无死角；保持全天的整洁，楼道每周拖洗1 次；路灯、楼道灯每季度清洁1次。</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未达到的扣1-2 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4</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07" w:type="dxa"/>
            <w:vMerge w:val="continue"/>
            <w:vAlign w:val="center"/>
          </w:tcPr>
          <w:p>
            <w:pPr>
              <w:pStyle w:val="80"/>
              <w:ind w:firstLine="0" w:firstLineChars="0"/>
              <w:jc w:val="center"/>
              <w:rPr>
                <w:rFonts w:ascii="宋体" w:hAnsi="宋体"/>
                <w:sz w:val="28"/>
                <w:szCs w:val="28"/>
              </w:rPr>
            </w:pPr>
          </w:p>
        </w:tc>
        <w:tc>
          <w:tcPr>
            <w:tcW w:w="851" w:type="dxa"/>
            <w:vMerge w:val="continue"/>
            <w:vAlign w:val="center"/>
          </w:tcPr>
          <w:p>
            <w:pPr>
              <w:pStyle w:val="80"/>
              <w:ind w:firstLine="0" w:firstLineChars="0"/>
              <w:jc w:val="center"/>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5、共用部位玻璃每半个月清洁1次，室外标识、宣传栏、信报箱等共用设施设备每周擦拭1次</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未达到的扣1-2分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4</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7" w:type="dxa"/>
            <w:vMerge w:val="continue"/>
            <w:vAlign w:val="center"/>
          </w:tcPr>
          <w:p>
            <w:pPr>
              <w:pStyle w:val="80"/>
              <w:ind w:firstLine="0" w:firstLineChars="0"/>
              <w:jc w:val="center"/>
              <w:rPr>
                <w:rFonts w:ascii="宋体" w:hAnsi="宋体"/>
                <w:sz w:val="28"/>
                <w:szCs w:val="28"/>
              </w:rPr>
            </w:pPr>
          </w:p>
        </w:tc>
        <w:tc>
          <w:tcPr>
            <w:tcW w:w="851" w:type="dxa"/>
            <w:vMerge w:val="continue"/>
            <w:vAlign w:val="center"/>
          </w:tcPr>
          <w:p>
            <w:pPr>
              <w:pStyle w:val="80"/>
              <w:ind w:firstLine="0" w:firstLineChars="0"/>
              <w:jc w:val="center"/>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6、草坪每两月修剪1次，修剪平整美观，施肥每半年1次，随时补栽，保持草坪地面无裸土。及时清除杂草，有效控制杂草孳生，无垃圾、无烟头纸屑</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未达到的扣1-2分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4</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7" w:type="dxa"/>
            <w:vMerge w:val="continue"/>
            <w:vAlign w:val="center"/>
          </w:tcPr>
          <w:p>
            <w:pPr>
              <w:pStyle w:val="80"/>
              <w:ind w:firstLine="0" w:firstLineChars="0"/>
              <w:jc w:val="center"/>
              <w:rPr>
                <w:rFonts w:ascii="宋体" w:hAnsi="宋体"/>
                <w:sz w:val="28"/>
                <w:szCs w:val="28"/>
              </w:rPr>
            </w:pPr>
          </w:p>
        </w:tc>
        <w:tc>
          <w:tcPr>
            <w:tcW w:w="851" w:type="dxa"/>
            <w:vMerge w:val="continue"/>
            <w:vAlign w:val="center"/>
          </w:tcPr>
          <w:p>
            <w:pPr>
              <w:pStyle w:val="80"/>
              <w:ind w:firstLine="0" w:firstLineChars="0"/>
              <w:jc w:val="center"/>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7、树木、绿篱每半年进行1次修剪，施肥、中耕除草、松土每年2次，无枯死、无树挂，发现死树及时清除，并适时补种。</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未达到的扣1-2 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4</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7" w:type="dxa"/>
            <w:vMerge w:val="continue"/>
            <w:vAlign w:val="center"/>
          </w:tcPr>
          <w:p>
            <w:pPr>
              <w:pStyle w:val="80"/>
              <w:ind w:firstLine="0" w:firstLineChars="0"/>
              <w:jc w:val="center"/>
              <w:rPr>
                <w:rFonts w:ascii="宋体" w:hAnsi="宋体"/>
                <w:sz w:val="28"/>
                <w:szCs w:val="28"/>
              </w:rPr>
            </w:pPr>
          </w:p>
        </w:tc>
        <w:tc>
          <w:tcPr>
            <w:tcW w:w="851" w:type="dxa"/>
            <w:vMerge w:val="continue"/>
            <w:vAlign w:val="center"/>
          </w:tcPr>
          <w:p>
            <w:pPr>
              <w:pStyle w:val="80"/>
              <w:ind w:firstLine="0" w:firstLineChars="0"/>
              <w:jc w:val="center"/>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8、绿化地设有提示人们爱护绿化的宣传牌。</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发现一处未设置扣0.5分，直至扣完</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2</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07" w:type="dxa"/>
            <w:vMerge w:val="continue"/>
            <w:vAlign w:val="center"/>
          </w:tcPr>
          <w:p>
            <w:pPr>
              <w:pStyle w:val="80"/>
              <w:ind w:firstLine="0" w:firstLineChars="0"/>
              <w:jc w:val="center"/>
              <w:rPr>
                <w:rFonts w:ascii="宋体" w:hAnsi="宋体"/>
                <w:sz w:val="28"/>
                <w:szCs w:val="28"/>
              </w:rPr>
            </w:pPr>
          </w:p>
        </w:tc>
        <w:tc>
          <w:tcPr>
            <w:tcW w:w="851" w:type="dxa"/>
            <w:vMerge w:val="continue"/>
            <w:vAlign w:val="center"/>
          </w:tcPr>
          <w:p>
            <w:pPr>
              <w:pStyle w:val="80"/>
              <w:ind w:firstLine="0" w:firstLineChars="0"/>
              <w:jc w:val="center"/>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9、根据情况进行病虫害预防，病虫害无明显迹象</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未达到的扣2分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2</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7" w:type="dxa"/>
            <w:vMerge w:val="restart"/>
            <w:vAlign w:val="center"/>
          </w:tcPr>
          <w:p>
            <w:pPr>
              <w:pStyle w:val="80"/>
              <w:ind w:firstLine="0" w:firstLineChars="0"/>
              <w:jc w:val="center"/>
              <w:rPr>
                <w:rFonts w:ascii="宋体" w:hAnsi="宋体"/>
                <w:sz w:val="28"/>
                <w:szCs w:val="28"/>
              </w:rPr>
            </w:pPr>
            <w:r>
              <w:rPr>
                <w:rFonts w:hint="eastAsia" w:ascii="宋体" w:hAnsi="宋体"/>
                <w:sz w:val="28"/>
                <w:szCs w:val="28"/>
              </w:rPr>
              <w:t>保安及车辆管理</w:t>
            </w:r>
          </w:p>
        </w:tc>
        <w:tc>
          <w:tcPr>
            <w:tcW w:w="851" w:type="dxa"/>
            <w:vMerge w:val="restart"/>
            <w:vAlign w:val="center"/>
          </w:tcPr>
          <w:p>
            <w:pPr>
              <w:pStyle w:val="80"/>
              <w:ind w:firstLine="0" w:firstLineChars="0"/>
              <w:jc w:val="center"/>
              <w:rPr>
                <w:rFonts w:ascii="宋体" w:hAnsi="宋体"/>
                <w:sz w:val="28"/>
                <w:szCs w:val="28"/>
              </w:rPr>
            </w:pPr>
            <w:r>
              <w:rPr>
                <w:rFonts w:hint="eastAsia" w:ascii="宋体" w:hAnsi="宋体"/>
                <w:sz w:val="28"/>
                <w:szCs w:val="28"/>
              </w:rPr>
              <w:t>25分</w:t>
            </w: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1、设专人24小时值勤，其中主出入口时有专人站岗值守，对进出小区的车辆实施有效管理，引导机动车辆全部停到规定的停车场。</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未达到扣0.5-1分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3</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7" w:type="dxa"/>
            <w:vMerge w:val="continue"/>
          </w:tcPr>
          <w:p>
            <w:pPr>
              <w:pStyle w:val="80"/>
              <w:ind w:firstLine="0" w:firstLineChars="0"/>
              <w:rPr>
                <w:rFonts w:ascii="宋体" w:hAnsi="宋体"/>
                <w:sz w:val="28"/>
                <w:szCs w:val="28"/>
              </w:rPr>
            </w:pPr>
          </w:p>
        </w:tc>
        <w:tc>
          <w:tcPr>
            <w:tcW w:w="851" w:type="dxa"/>
            <w:vMerge w:val="continue"/>
          </w:tcPr>
          <w:p>
            <w:pPr>
              <w:pStyle w:val="80"/>
              <w:ind w:firstLine="0" w:firstLineChars="0"/>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2、门岗室整洁，公共秩序维护人员统一着装，佩戴有明显的标志。</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未达到扣0.5分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2</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7" w:type="dxa"/>
            <w:vMerge w:val="continue"/>
          </w:tcPr>
          <w:p>
            <w:pPr>
              <w:pStyle w:val="80"/>
              <w:ind w:firstLine="0" w:firstLineChars="0"/>
              <w:rPr>
                <w:rFonts w:ascii="宋体" w:hAnsi="宋体"/>
                <w:sz w:val="28"/>
                <w:szCs w:val="28"/>
              </w:rPr>
            </w:pPr>
          </w:p>
        </w:tc>
        <w:tc>
          <w:tcPr>
            <w:tcW w:w="851" w:type="dxa"/>
            <w:vMerge w:val="continue"/>
          </w:tcPr>
          <w:p>
            <w:pPr>
              <w:pStyle w:val="80"/>
              <w:ind w:firstLine="0" w:firstLineChars="0"/>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3、对进出小区的装修、家政等劳务人员进行出入登记，对小区的流动人口进行动态管理。</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没有进出登记的扣1分，没有流动人口台账的扣1分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2</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07" w:type="dxa"/>
            <w:vMerge w:val="continue"/>
          </w:tcPr>
          <w:p>
            <w:pPr>
              <w:pStyle w:val="80"/>
              <w:ind w:firstLine="0" w:firstLineChars="0"/>
              <w:rPr>
                <w:rFonts w:ascii="宋体" w:hAnsi="宋体"/>
                <w:sz w:val="28"/>
                <w:szCs w:val="28"/>
              </w:rPr>
            </w:pPr>
          </w:p>
        </w:tc>
        <w:tc>
          <w:tcPr>
            <w:tcW w:w="851" w:type="dxa"/>
            <w:vMerge w:val="continue"/>
          </w:tcPr>
          <w:p>
            <w:pPr>
              <w:pStyle w:val="80"/>
              <w:ind w:firstLine="0" w:firstLineChars="0"/>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4、小区主要道路及停车场交通标志齐仝、规范。</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设置不全扣1分，未设置为0.5分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2</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7" w:type="dxa"/>
            <w:vMerge w:val="continue"/>
          </w:tcPr>
          <w:p>
            <w:pPr>
              <w:pStyle w:val="80"/>
              <w:ind w:firstLine="0" w:firstLineChars="0"/>
              <w:rPr>
                <w:rFonts w:ascii="宋体" w:hAnsi="宋体"/>
                <w:sz w:val="28"/>
                <w:szCs w:val="28"/>
              </w:rPr>
            </w:pPr>
          </w:p>
        </w:tc>
        <w:tc>
          <w:tcPr>
            <w:tcW w:w="851" w:type="dxa"/>
            <w:vMerge w:val="continue"/>
          </w:tcPr>
          <w:p>
            <w:pPr>
              <w:pStyle w:val="80"/>
              <w:ind w:firstLine="0" w:firstLineChars="0"/>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5、对非机动车棚进行管理，非机动车棚必须符合安全要求，保持清洁，非机动按规范停放。</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未达到的扣1分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2</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7" w:type="dxa"/>
            <w:vMerge w:val="continue"/>
          </w:tcPr>
          <w:p>
            <w:pPr>
              <w:pStyle w:val="80"/>
              <w:ind w:firstLine="0" w:firstLineChars="0"/>
              <w:rPr>
                <w:rFonts w:ascii="宋体" w:hAnsi="宋体"/>
                <w:sz w:val="28"/>
                <w:szCs w:val="28"/>
              </w:rPr>
            </w:pPr>
          </w:p>
        </w:tc>
        <w:tc>
          <w:tcPr>
            <w:tcW w:w="851" w:type="dxa"/>
            <w:vMerge w:val="continue"/>
          </w:tcPr>
          <w:p>
            <w:pPr>
              <w:pStyle w:val="80"/>
              <w:ind w:firstLine="0" w:firstLineChars="0"/>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6、按照规定路线和时间24小时进行有计划、不间断的巡逻，每天不少于8次，对重点区域、重点部位每2小时至少巡査1 次，并做好巡查记录。有当班、交班记录并记录详细，当班不脱岗。</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没有巡查记录的扣0.5分，没有当班、交班记录的扣0.5分，当班脱岗的扣1分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3</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7" w:type="dxa"/>
            <w:vMerge w:val="continue"/>
          </w:tcPr>
          <w:p>
            <w:pPr>
              <w:pStyle w:val="80"/>
              <w:ind w:firstLine="0" w:firstLineChars="0"/>
              <w:rPr>
                <w:rFonts w:ascii="宋体" w:hAnsi="宋体"/>
                <w:sz w:val="28"/>
                <w:szCs w:val="28"/>
              </w:rPr>
            </w:pPr>
          </w:p>
        </w:tc>
        <w:tc>
          <w:tcPr>
            <w:tcW w:w="851" w:type="dxa"/>
            <w:vMerge w:val="continue"/>
          </w:tcPr>
          <w:p>
            <w:pPr>
              <w:pStyle w:val="80"/>
              <w:ind w:firstLine="0" w:firstLineChars="0"/>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7、及时发现违规搭建、违法经营等，及时处理并报公司和当地政府。</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未及时发现上报扣2分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3</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07" w:type="dxa"/>
            <w:vMerge w:val="continue"/>
          </w:tcPr>
          <w:p>
            <w:pPr>
              <w:pStyle w:val="80"/>
              <w:ind w:firstLine="0" w:firstLineChars="0"/>
              <w:rPr>
                <w:rFonts w:ascii="宋体" w:hAnsi="宋体"/>
                <w:sz w:val="28"/>
                <w:szCs w:val="28"/>
              </w:rPr>
            </w:pPr>
          </w:p>
        </w:tc>
        <w:tc>
          <w:tcPr>
            <w:tcW w:w="851" w:type="dxa"/>
            <w:vMerge w:val="continue"/>
          </w:tcPr>
          <w:p>
            <w:pPr>
              <w:pStyle w:val="80"/>
              <w:ind w:firstLine="0" w:firstLineChars="0"/>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8、加强社会治安工作，避免盗窃汽车、摩托车、自行车事件发生。</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发生一起偷盗事件扣0.5分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4</w:t>
            </w:r>
          </w:p>
        </w:tc>
        <w:tc>
          <w:tcPr>
            <w:tcW w:w="550" w:type="dxa"/>
            <w:vAlign w:val="center"/>
          </w:tcPr>
          <w:p>
            <w:pPr>
              <w:pStyle w:val="80"/>
              <w:ind w:firstLine="0" w:firstLineChars="0"/>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7" w:type="dxa"/>
            <w:vMerge w:val="continue"/>
          </w:tcPr>
          <w:p>
            <w:pPr>
              <w:pStyle w:val="80"/>
              <w:ind w:firstLine="0" w:firstLineChars="0"/>
              <w:rPr>
                <w:rFonts w:ascii="宋体" w:hAnsi="宋体"/>
                <w:sz w:val="28"/>
                <w:szCs w:val="28"/>
              </w:rPr>
            </w:pPr>
          </w:p>
        </w:tc>
        <w:tc>
          <w:tcPr>
            <w:tcW w:w="851" w:type="dxa"/>
            <w:vMerge w:val="continue"/>
          </w:tcPr>
          <w:p>
            <w:pPr>
              <w:pStyle w:val="80"/>
              <w:ind w:firstLine="0" w:firstLineChars="0"/>
              <w:rPr>
                <w:rFonts w:ascii="宋体" w:hAnsi="宋体"/>
                <w:sz w:val="28"/>
                <w:szCs w:val="28"/>
              </w:rPr>
            </w:pPr>
          </w:p>
        </w:tc>
        <w:tc>
          <w:tcPr>
            <w:tcW w:w="3827" w:type="dxa"/>
            <w:vAlign w:val="center"/>
          </w:tcPr>
          <w:p>
            <w:pPr>
              <w:pStyle w:val="80"/>
              <w:ind w:firstLine="0" w:firstLineChars="0"/>
              <w:rPr>
                <w:rFonts w:ascii="宋体" w:hAnsi="宋体"/>
                <w:sz w:val="28"/>
                <w:szCs w:val="28"/>
              </w:rPr>
            </w:pPr>
            <w:r>
              <w:rPr>
                <w:rFonts w:hint="eastAsia" w:ascii="宋体" w:hAnsi="宋体"/>
                <w:sz w:val="28"/>
                <w:szCs w:val="28"/>
              </w:rPr>
              <w:t>9、加强保安巡逻，避免入室盗窃事件发生</w:t>
            </w:r>
          </w:p>
        </w:tc>
        <w:tc>
          <w:tcPr>
            <w:tcW w:w="1684" w:type="dxa"/>
            <w:vAlign w:val="center"/>
          </w:tcPr>
          <w:p>
            <w:pPr>
              <w:pStyle w:val="80"/>
              <w:ind w:firstLine="0" w:firstLineChars="0"/>
              <w:jc w:val="center"/>
              <w:rPr>
                <w:rFonts w:ascii="宋体" w:hAnsi="宋体"/>
                <w:sz w:val="28"/>
                <w:szCs w:val="28"/>
              </w:rPr>
            </w:pPr>
            <w:r>
              <w:rPr>
                <w:rFonts w:hint="eastAsia" w:ascii="宋体" w:hAnsi="宋体"/>
                <w:sz w:val="28"/>
                <w:szCs w:val="28"/>
              </w:rPr>
              <w:t>发生一起入室盗窃扣0.5分</w:t>
            </w:r>
          </w:p>
        </w:tc>
        <w:tc>
          <w:tcPr>
            <w:tcW w:w="783" w:type="dxa"/>
            <w:vAlign w:val="center"/>
          </w:tcPr>
          <w:p>
            <w:pPr>
              <w:pStyle w:val="80"/>
              <w:ind w:firstLine="0" w:firstLineChars="0"/>
              <w:jc w:val="center"/>
              <w:rPr>
                <w:rFonts w:ascii="宋体" w:hAnsi="宋体"/>
                <w:sz w:val="28"/>
                <w:szCs w:val="28"/>
              </w:rPr>
            </w:pPr>
            <w:r>
              <w:rPr>
                <w:rFonts w:hint="eastAsia" w:ascii="宋体" w:hAnsi="宋体"/>
                <w:sz w:val="28"/>
                <w:szCs w:val="28"/>
              </w:rPr>
              <w:t>4</w:t>
            </w:r>
          </w:p>
        </w:tc>
        <w:tc>
          <w:tcPr>
            <w:tcW w:w="550" w:type="dxa"/>
            <w:vAlign w:val="center"/>
          </w:tcPr>
          <w:p>
            <w:pPr>
              <w:pStyle w:val="80"/>
              <w:ind w:firstLine="0" w:firstLineChars="0"/>
              <w:jc w:val="center"/>
              <w:rPr>
                <w:rFonts w:ascii="宋体" w:hAnsi="宋体"/>
                <w:sz w:val="28"/>
                <w:szCs w:val="28"/>
              </w:rPr>
            </w:pPr>
          </w:p>
        </w:tc>
      </w:tr>
    </w:tbl>
    <w:p>
      <w:pPr>
        <w:pStyle w:val="4"/>
        <w:spacing w:after="200"/>
      </w:pPr>
      <w:bookmarkStart w:id="78" w:name="_Toc229"/>
      <w:bookmarkStart w:id="79" w:name="_Toc58943343"/>
      <w:r>
        <w:rPr>
          <w:rFonts w:hint="eastAsia"/>
        </w:rPr>
        <w:t>满足采购需求的最低要求</w:t>
      </w:r>
      <w:bookmarkEnd w:id="78"/>
      <w:bookmarkEnd w:id="79"/>
    </w:p>
    <w:p>
      <w:pPr>
        <w:ind w:firstLine="562" w:firstLineChars="200"/>
        <w:rPr>
          <w:rFonts w:ascii="宋体" w:hAnsi="宋体"/>
          <w:b/>
          <w:sz w:val="28"/>
          <w:szCs w:val="28"/>
        </w:rPr>
      </w:pPr>
      <w:r>
        <w:rPr>
          <w:rFonts w:hint="eastAsia" w:ascii="宋体" w:hAnsi="宋体"/>
          <w:b/>
          <w:sz w:val="28"/>
          <w:szCs w:val="28"/>
        </w:rPr>
        <w:t>技术、服务、商务及其他要求中加★号的要求为满足采购需求的最低要求。</w:t>
      </w:r>
    </w:p>
    <w:p>
      <w:pPr>
        <w:pStyle w:val="369"/>
        <w:snapToGrid w:val="0"/>
        <w:spacing w:line="360" w:lineRule="auto"/>
        <w:ind w:firstLine="281"/>
        <w:rPr>
          <w:b/>
          <w:sz w:val="28"/>
          <w:szCs w:val="28"/>
        </w:rPr>
      </w:pPr>
    </w:p>
    <w:bookmarkEnd w:id="75"/>
    <w:bookmarkEnd w:id="76"/>
    <w:p>
      <w:pPr>
        <w:spacing w:line="560" w:lineRule="exact"/>
        <w:ind w:firstLine="484" w:firstLineChars="202"/>
      </w:pPr>
      <w:r>
        <w:br w:type="page"/>
      </w:r>
    </w:p>
    <w:p>
      <w:pPr>
        <w:pStyle w:val="3"/>
        <w:numPr>
          <w:ilvl w:val="0"/>
          <w:numId w:val="1"/>
        </w:numPr>
        <w:spacing w:before="0" w:after="0"/>
        <w:ind w:left="0" w:firstLine="0"/>
      </w:pPr>
      <w:bookmarkStart w:id="80" w:name="_Toc12767"/>
      <w:bookmarkStart w:id="81" w:name="_Toc73619750"/>
      <w:r>
        <w:rPr>
          <w:rFonts w:hint="eastAsia"/>
        </w:rPr>
        <w:t>资格性审查</w:t>
      </w:r>
      <w:bookmarkEnd w:id="80"/>
      <w:bookmarkEnd w:id="81"/>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资格性审查由磋商小组依据法律法规和磋商文件的规定，对响应文件中的资格证明等进行审查，以确定供应商是否具备响应资格，并出具资格性审查报告。</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时因断电、断网、系统故障或其他不可抗力等因素，导致磋商小组无法通过系统阅读响应文件进行审查的，待系统恢复后继续审查。出现上述情况时，成都东部新区党工委管委会（成都市东部新城办）综合部将以电子邮件形式通知各供应商。资格性审查标准见下表：</w:t>
      </w:r>
    </w:p>
    <w:tbl>
      <w:tblPr>
        <w:tblStyle w:val="4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sz w:val="20"/>
              </w:rPr>
            </w:pPr>
            <w:r>
              <w:rPr>
                <w:rFonts w:hint="eastAsia"/>
                <w:b/>
                <w:sz w:val="20"/>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sz w:val="20"/>
              </w:rPr>
            </w:pPr>
            <w:r>
              <w:rPr>
                <w:rFonts w:hint="eastAsia"/>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在中华人民共和国境内依法登记注册，并有效存续具有独立法人资格的供应商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营业执照复印件（正本或副本）或法人证书复印件（正本或副本）。【说明：</w:t>
            </w:r>
            <w:r>
              <w:rPr>
                <w:rFonts w:hint="eastAsia" w:ascii="宋体" w:hAnsi="宋体"/>
                <w:sz w:val="20"/>
                <w:szCs w:val="28"/>
              </w:rPr>
              <w:t>①</w:t>
            </w:r>
            <w:r>
              <w:rPr>
                <w:rFonts w:hint="eastAsia"/>
                <w:sz w:val="20"/>
              </w:rPr>
              <w:t>营业执照或法人证书载明有期限的，应在有效期限内；</w:t>
            </w:r>
            <w:r>
              <w:rPr>
                <w:rFonts w:hint="eastAsia" w:ascii="宋体" w:hAnsi="宋体"/>
                <w:sz w:val="20"/>
                <w:szCs w:val="28"/>
              </w:rPr>
              <w:t>②</w:t>
            </w:r>
            <w:r>
              <w:rPr>
                <w:rFonts w:hint="eastAsia"/>
                <w:sz w:val="20"/>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2</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供应商具有良好的商业信誉的书面声明材料。【说明：</w:t>
            </w:r>
            <w:r>
              <w:rPr>
                <w:rFonts w:hint="eastAsia" w:ascii="宋体" w:hAnsi="宋体"/>
                <w:sz w:val="20"/>
                <w:szCs w:val="28"/>
              </w:rPr>
              <w:t>①</w:t>
            </w:r>
            <w:r>
              <w:rPr>
                <w:rFonts w:hint="eastAsia"/>
                <w:sz w:val="20"/>
              </w:rPr>
              <w:t>按磋商文件</w:t>
            </w:r>
            <w:r>
              <w:rPr>
                <w:sz w:val="20"/>
              </w:rPr>
              <w:t>3</w:t>
            </w:r>
            <w:r>
              <w:rPr>
                <w:rFonts w:hint="eastAsia"/>
                <w:sz w:val="20"/>
              </w:rPr>
              <w:t>.2.2声明的内容提供书面声明材料</w:t>
            </w:r>
            <w:r>
              <w:rPr>
                <w:rFonts w:hint="eastAsia" w:ascii="宋体" w:hAnsi="宋体"/>
                <w:sz w:val="20"/>
                <w:szCs w:val="28"/>
              </w:rPr>
              <w:t>；②供应商具有良好的商业信誉</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供应商参加政府采购活动前三年内，在经营活动中没有重大违法记录的书面声明材料。【说明：</w:t>
            </w:r>
            <w:r>
              <w:rPr>
                <w:rFonts w:hint="eastAsia" w:ascii="宋体" w:hAnsi="宋体"/>
                <w:sz w:val="20"/>
                <w:szCs w:val="28"/>
              </w:rPr>
              <w:t>①</w:t>
            </w:r>
            <w:r>
              <w:rPr>
                <w:rFonts w:hint="eastAsia"/>
                <w:sz w:val="20"/>
              </w:rPr>
              <w:t>按磋商文件</w:t>
            </w:r>
            <w:r>
              <w:rPr>
                <w:sz w:val="20"/>
              </w:rPr>
              <w:t>3</w:t>
            </w:r>
            <w:r>
              <w:rPr>
                <w:rFonts w:hint="eastAsia"/>
                <w:sz w:val="20"/>
              </w:rPr>
              <w:t>.2.2声明的内容提供书面声明材料；</w:t>
            </w:r>
            <w:r>
              <w:rPr>
                <w:rFonts w:hint="eastAsia" w:ascii="宋体" w:hAnsi="宋体"/>
                <w:sz w:val="20"/>
                <w:szCs w:val="28"/>
              </w:rPr>
              <w:t>②供应商参加政府采购活动前三年内，在经营活动中没有重大违法记录</w:t>
            </w:r>
            <w:r>
              <w:rPr>
                <w:rFonts w:hint="eastAsia"/>
                <w:sz w:val="20"/>
              </w:rPr>
              <w:t>。】</w:t>
            </w:r>
          </w:p>
          <w:p>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网站的查询结果，在资格审查期间对供应商在参加政府采购活动前三年内，在经营活动中是否有重大违法记录进行审查。【说明：供应商参加政府采购活动前三年内，在经营活动中没有重大违法记录。】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供应商未列入失信被执行人、重大税收违法案件当事人名单、政府采购严重违法失信行为记录名单的书面声明材料。【说明：</w:t>
            </w:r>
            <w:r>
              <w:rPr>
                <w:rFonts w:hint="eastAsia" w:ascii="宋体" w:hAnsi="宋体"/>
                <w:sz w:val="20"/>
                <w:szCs w:val="28"/>
              </w:rPr>
              <w:t>①</w:t>
            </w:r>
            <w:r>
              <w:rPr>
                <w:rFonts w:hint="eastAsia"/>
                <w:sz w:val="20"/>
              </w:rPr>
              <w:t>供应商未列入失信被执行人、重大税收违法案件当事人名单、政府采购严重违法失信行为记录名单；</w:t>
            </w:r>
            <w:r>
              <w:rPr>
                <w:rFonts w:hint="eastAsia" w:ascii="宋体" w:hAnsi="宋体"/>
                <w:sz w:val="20"/>
                <w:szCs w:val="28"/>
              </w:rPr>
              <w:t>②</w:t>
            </w:r>
            <w:r>
              <w:rPr>
                <w:rFonts w:hint="eastAsia"/>
                <w:sz w:val="20"/>
              </w:rPr>
              <w:t>按磋商文件</w:t>
            </w:r>
            <w:r>
              <w:rPr>
                <w:sz w:val="20"/>
              </w:rPr>
              <w:t>3</w:t>
            </w:r>
            <w:r>
              <w:rPr>
                <w:rFonts w:hint="eastAsia"/>
                <w:sz w:val="20"/>
              </w:rPr>
              <w:t>.2.2声明内容提供书面声明材料。】</w:t>
            </w:r>
          </w:p>
          <w:p>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供应商在参加政府采购活动前三年内，在经营活动中是否被列入失信被执行人、重大税收违法案件当事人名单、政府采购严重违法失信行为记录名单进行审查。【说明：供应商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供应商未处于被行政部门禁止参与政府采购活动的期限内。【说明：</w:t>
            </w:r>
            <w:r>
              <w:rPr>
                <w:rFonts w:hint="eastAsia" w:ascii="宋体" w:hAnsi="宋体"/>
                <w:sz w:val="20"/>
                <w:szCs w:val="28"/>
              </w:rPr>
              <w:t>①</w:t>
            </w:r>
            <w:r>
              <w:rPr>
                <w:rFonts w:hint="eastAsia"/>
                <w:sz w:val="20"/>
              </w:rPr>
              <w:t>按磋商文件</w:t>
            </w:r>
            <w:r>
              <w:rPr>
                <w:sz w:val="20"/>
              </w:rPr>
              <w:t>3</w:t>
            </w:r>
            <w:r>
              <w:rPr>
                <w:rFonts w:hint="eastAsia"/>
                <w:sz w:val="20"/>
              </w:rPr>
              <w:t>.2.2声明内容提供书面声明材料</w:t>
            </w:r>
            <w:r>
              <w:rPr>
                <w:rFonts w:hint="eastAsia" w:ascii="宋体" w:hAnsi="宋体"/>
                <w:sz w:val="20"/>
                <w:szCs w:val="28"/>
              </w:rPr>
              <w:t>；②供应商未处于被行政部门禁止参与政府采购活动的期限内。</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在行贿犯罪信息查询期限内，供应商及其现任法定代表人、主要负责人没有行贿犯罪记录的书面声明材料。【说明：</w:t>
            </w:r>
            <w:r>
              <w:rPr>
                <w:rFonts w:hint="eastAsia" w:ascii="宋体" w:hAnsi="宋体"/>
                <w:sz w:val="20"/>
                <w:szCs w:val="28"/>
              </w:rPr>
              <w:t>①</w:t>
            </w:r>
            <w:r>
              <w:rPr>
                <w:rFonts w:hint="eastAsia"/>
                <w:sz w:val="20"/>
              </w:rPr>
              <w:t>按磋商文件</w:t>
            </w:r>
            <w:r>
              <w:rPr>
                <w:sz w:val="20"/>
              </w:rPr>
              <w:t>3</w:t>
            </w:r>
            <w:r>
              <w:rPr>
                <w:rFonts w:hint="eastAsia"/>
                <w:sz w:val="20"/>
              </w:rPr>
              <w:t>.2.2声明内容提供书面声明材料，响应文件中不需提供中国裁判文书网（</w:t>
            </w:r>
            <w:r>
              <w:rPr>
                <w:sz w:val="20"/>
              </w:rPr>
              <w:t>https://wenshu.court.gov.cn</w:t>
            </w:r>
            <w:r>
              <w:rPr>
                <w:rFonts w:hint="eastAsia"/>
                <w:sz w:val="20"/>
              </w:rPr>
              <w:t>）查询结果的证明材料；</w:t>
            </w:r>
            <w:r>
              <w:rPr>
                <w:rFonts w:hint="eastAsia" w:ascii="宋体" w:hAnsi="宋体"/>
                <w:sz w:val="20"/>
                <w:szCs w:val="28"/>
              </w:rPr>
              <w:t>②在行贿犯罪信息查询期限内，供应商及其现任法定代表人、主要负责人没有行贿犯罪记录</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单位负责人为同一人或者存在直接控股、管理关系的不同供应商，不得参加同一项目的投标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与供应商负责人为同一人或者存在直接控股、管理关系的相关供应商的书面声明材料。【说明：</w:t>
            </w:r>
            <w:r>
              <w:rPr>
                <w:rFonts w:hint="eastAsia" w:ascii="宋体" w:hAnsi="宋体"/>
                <w:sz w:val="20"/>
                <w:szCs w:val="28"/>
              </w:rPr>
              <w:t>①</w:t>
            </w:r>
            <w:r>
              <w:rPr>
                <w:rFonts w:hint="eastAsia"/>
                <w:sz w:val="20"/>
              </w:rPr>
              <w:t>按磋商文件</w:t>
            </w:r>
            <w:r>
              <w:rPr>
                <w:sz w:val="20"/>
              </w:rPr>
              <w:t>3</w:t>
            </w:r>
            <w:r>
              <w:rPr>
                <w:rFonts w:hint="eastAsia"/>
                <w:sz w:val="20"/>
              </w:rPr>
              <w:t>.2.2声明内容提供书面声明材料</w:t>
            </w:r>
            <w:r>
              <w:rPr>
                <w:rFonts w:hint="eastAsia" w:ascii="宋体" w:hAnsi="宋体"/>
                <w:sz w:val="20"/>
                <w:szCs w:val="28"/>
              </w:rPr>
              <w:t>；②参加投标的供应商中无与供应商的负责人为同一人或者存在直接控股、管理关系的供应商。</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sz w:val="20"/>
              </w:rPr>
            </w:pPr>
            <w:r>
              <w:rPr>
                <w:rFonts w:hint="eastAsia"/>
                <w:sz w:val="20"/>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sz w:val="20"/>
              </w:rPr>
            </w:pPr>
            <w:r>
              <w:rPr>
                <w:rFonts w:hint="eastAsia"/>
                <w:sz w:val="20"/>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具有履行合同所必须的设备和专业技术能力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采购人对供应商履行合同所必须的设备和专业技术能力无其他特殊要求，供应商具有有效的营业执照或法人证书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采购人对法律、行政法规规定的其他条件无其他特殊要求，供应商具有有效的营业执照或法人证书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不属于其他国家相关法律法规规定的禁止参加投标的供应商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、根据磋商文件的要求不属于禁止参加投标或投标无效的供应商；</w:t>
            </w:r>
          </w:p>
          <w:p>
            <w:pPr>
              <w:tabs>
                <w:tab w:val="left" w:pos="851"/>
              </w:tabs>
              <w:spacing w:line="360" w:lineRule="auto"/>
              <w:rPr>
                <w:sz w:val="20"/>
              </w:rPr>
            </w:pPr>
            <w:r>
              <w:rPr>
                <w:sz w:val="20"/>
              </w:rPr>
              <w:t>2</w:t>
            </w:r>
            <w:r>
              <w:rPr>
                <w:rFonts w:hint="eastAsia"/>
                <w:sz w:val="20"/>
              </w:rPr>
              <w:t>、资格审查小组未发现或者未知晓供应商存在属于国家相关法律法规规定的禁止参加投标或投标无效的供应商。</w:t>
            </w:r>
          </w:p>
          <w:p>
            <w:pPr>
              <w:tabs>
                <w:tab w:val="left" w:pos="851"/>
              </w:tabs>
              <w:spacing w:line="360" w:lineRule="auto"/>
              <w:rPr>
                <w:sz w:val="20"/>
              </w:rPr>
            </w:pP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联合体投标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响应文件解密情况</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除因断电、断网、系统故障或其他不可抗力等因素，导致系统无法使用外，响应文件已成功解密。</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响应文件签章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响应文件加盖有供应商（法定名称）电子签章。【说明：无须提供证明材料，上传空白页即可，不对本项上传的材料作资格审查】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响应文件资格性审查部分的语言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语言符合磋商文件的要求。【说明：无须提供证明材料，上传空白页即可，不对本项上传的材料作资格审查】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4</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响应文件资格性审查部分组成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符合磋商文件“</w:t>
            </w:r>
            <w:r>
              <w:rPr>
                <w:rFonts w:ascii="宋体" w:hAnsi="宋体"/>
                <w:sz w:val="20"/>
                <w:szCs w:val="28"/>
              </w:rPr>
              <w:t>2.4.</w:t>
            </w:r>
            <w:r>
              <w:rPr>
                <w:rFonts w:hint="eastAsia" w:ascii="宋体" w:hAnsi="宋体"/>
                <w:sz w:val="20"/>
                <w:szCs w:val="28"/>
              </w:rPr>
              <w:t>6响应文件</w:t>
            </w:r>
            <w:r>
              <w:rPr>
                <w:rFonts w:ascii="宋体" w:hAnsi="宋体"/>
                <w:sz w:val="20"/>
                <w:szCs w:val="28"/>
              </w:rPr>
              <w:t>的组成”规定要求。</w:t>
            </w:r>
            <w:r>
              <w:rPr>
                <w:rFonts w:hint="eastAsia" w:ascii="宋体" w:hAnsi="宋体"/>
                <w:sz w:val="20"/>
                <w:szCs w:val="28"/>
              </w:rPr>
              <w:t>【说明：供应商按磋商文件3.2.1关于供应商资格申明的</w:t>
            </w:r>
            <w:r>
              <w:rPr>
                <w:rFonts w:hint="eastAsia"/>
                <w:sz w:val="20"/>
              </w:rPr>
              <w:t>内容</w:t>
            </w:r>
            <w:r>
              <w:rPr>
                <w:rFonts w:hint="eastAsia" w:ascii="宋体" w:hAnsi="宋体"/>
                <w:sz w:val="20"/>
                <w:szCs w:val="28"/>
              </w:rPr>
              <w:t>提供关于供应商资格申明的函。】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2019</w:t>
            </w:r>
            <w:r>
              <w:rPr>
                <w:rFonts w:hint="eastAsia"/>
                <w:sz w:val="20"/>
              </w:rPr>
              <w:t>或</w:t>
            </w:r>
            <w:r>
              <w:rPr>
                <w:sz w:val="20"/>
              </w:rPr>
              <w:t>2020</w:t>
            </w:r>
            <w:r>
              <w:rPr>
                <w:rFonts w:hint="eastAsia"/>
                <w:sz w:val="20"/>
              </w:rPr>
              <w:t>会计年度资产负债表复印件。【说明：供应商成立时间至投标截止时间止不足一年的，提供成立后任意时段的资产负债表复印件。】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供应商缴纳</w:t>
            </w:r>
            <w:r>
              <w:rPr>
                <w:sz w:val="20"/>
              </w:rPr>
              <w:t>2020</w:t>
            </w:r>
            <w:r>
              <w:rPr>
                <w:rFonts w:hint="eastAsia"/>
                <w:sz w:val="20"/>
              </w:rPr>
              <w:t>或</w:t>
            </w:r>
            <w:r>
              <w:rPr>
                <w:sz w:val="20"/>
              </w:rPr>
              <w:t>2021</w:t>
            </w:r>
            <w:r>
              <w:rPr>
                <w:rFonts w:hint="eastAsia"/>
                <w:sz w:val="20"/>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供应商缴纳</w:t>
            </w:r>
            <w:r>
              <w:rPr>
                <w:sz w:val="20"/>
              </w:rPr>
              <w:t>2020</w:t>
            </w:r>
            <w:r>
              <w:rPr>
                <w:rFonts w:hint="eastAsia"/>
                <w:sz w:val="20"/>
              </w:rPr>
              <w:t>或</w:t>
            </w:r>
            <w:r>
              <w:rPr>
                <w:sz w:val="20"/>
              </w:rPr>
              <w:t>2021</w:t>
            </w:r>
            <w:r>
              <w:rPr>
                <w:rFonts w:hint="eastAsia"/>
                <w:sz w:val="20"/>
              </w:rPr>
              <w:t>年任意时段的税收的银行电子回单或者行政部门出具的纳税证明或完税证明的复印件。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8</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本项目为专门面向中小企业采购项目，服务全部由符合政策要求的中小企业承接</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0"/>
                <w:szCs w:val="28"/>
              </w:rPr>
            </w:pPr>
            <w:r>
              <w:rPr>
                <w:rFonts w:hint="eastAsia" w:ascii="宋体" w:hAnsi="宋体"/>
                <w:sz w:val="20"/>
                <w:szCs w:val="28"/>
              </w:rPr>
              <w:t>专门面向中小企业采购项目:</w:t>
            </w:r>
          </w:p>
          <w:p>
            <w:pPr>
              <w:tabs>
                <w:tab w:val="left" w:pos="851"/>
              </w:tabs>
              <w:spacing w:line="360" w:lineRule="auto"/>
              <w:rPr>
                <w:rFonts w:ascii="宋体" w:hAnsi="宋体"/>
                <w:sz w:val="20"/>
                <w:szCs w:val="28"/>
              </w:rPr>
            </w:pPr>
            <w:r>
              <w:rPr>
                <w:rFonts w:hint="eastAsia" w:ascii="宋体" w:hAnsi="宋体"/>
                <w:sz w:val="20"/>
                <w:szCs w:val="28"/>
              </w:rPr>
              <w:t>1.《中小企业声明函》中声明提供的服务全部由符合政策要求的中小企业承接；</w:t>
            </w:r>
          </w:p>
          <w:p>
            <w:pPr>
              <w:tabs>
                <w:tab w:val="left" w:pos="851"/>
              </w:tabs>
              <w:spacing w:line="360" w:lineRule="auto"/>
              <w:rPr>
                <w:rFonts w:ascii="宋体" w:hAnsi="宋体"/>
                <w:sz w:val="20"/>
                <w:szCs w:val="28"/>
              </w:rPr>
            </w:pPr>
            <w:r>
              <w:rPr>
                <w:rFonts w:hint="eastAsia" w:ascii="宋体" w:hAnsi="宋体"/>
                <w:sz w:val="20"/>
                <w:szCs w:val="28"/>
              </w:rPr>
              <w:t>2.残疾人福利性单位视同为小型、微型企业，《残疾人福利性单位声明函》中声明供应商为符合条件的残疾人福利性单位，其参加</w:t>
            </w:r>
            <w:r>
              <w:rPr>
                <w:rFonts w:hint="eastAsia" w:ascii="宋体" w:hAnsi="宋体"/>
                <w:sz w:val="20"/>
                <w:szCs w:val="28"/>
                <w:u w:val="single"/>
              </w:rPr>
              <w:t>本</w:t>
            </w:r>
            <w:r>
              <w:rPr>
                <w:rFonts w:hint="eastAsia" w:ascii="宋体" w:hAnsi="宋体"/>
                <w:sz w:val="20"/>
                <w:szCs w:val="28"/>
              </w:rPr>
              <w:t>项目采购活动由本单位提供服务；</w:t>
            </w:r>
          </w:p>
          <w:p>
            <w:pPr>
              <w:tabs>
                <w:tab w:val="left" w:pos="851"/>
              </w:tabs>
              <w:spacing w:line="360" w:lineRule="auto"/>
              <w:rPr>
                <w:sz w:val="20"/>
              </w:rPr>
            </w:pPr>
            <w:r>
              <w:rPr>
                <w:rFonts w:hint="eastAsia" w:ascii="宋体" w:hAnsi="宋体"/>
                <w:sz w:val="20"/>
                <w:szCs w:val="28"/>
              </w:rPr>
              <w:t>3.监狱企业视同为小型、微型企业，提供由省级以上监狱管理局、戒毒管理局（含新疆生产建设兵团）出具的</w:t>
            </w:r>
            <w:r>
              <w:rPr>
                <w:rFonts w:hint="eastAsia"/>
                <w:sz w:val="20"/>
              </w:rPr>
              <w:t>供应商</w:t>
            </w:r>
            <w:r>
              <w:rPr>
                <w:rFonts w:hint="eastAsia" w:ascii="宋体" w:hAnsi="宋体"/>
                <w:sz w:val="20"/>
                <w:szCs w:val="28"/>
              </w:rPr>
              <w:t>属于监狱企业的证明文件复印件。</w:t>
            </w:r>
          </w:p>
        </w:tc>
      </w:tr>
    </w:tbl>
    <w:p>
      <w:pPr>
        <w:tabs>
          <w:tab w:val="left" w:pos="851"/>
        </w:tabs>
        <w:spacing w:line="360" w:lineRule="auto"/>
        <w:ind w:firstLine="560" w:firstLineChars="200"/>
        <w:rPr>
          <w:rFonts w:ascii="宋体" w:hAnsi="宋体"/>
          <w:sz w:val="28"/>
          <w:szCs w:val="28"/>
        </w:rPr>
      </w:pPr>
      <w:r>
        <w:rPr>
          <w:rFonts w:hint="eastAsia" w:ascii="宋体" w:hAnsi="宋体"/>
          <w:sz w:val="28"/>
          <w:szCs w:val="28"/>
        </w:rPr>
        <w:t>注：一、以上每一项结论均为“通过”的，则供应商的响应文件通过资格性审查；如有其中任意一项结论为“不通过”的，则供应商的响应文件按无效响应文件处理。如果磋商小组认为供应商有任意一项不通过的，应在资格性审查报告中载明不通过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三、供应商的响应文件资格性审查时被判定为无效的，成都东部新区党工委管委会（成都市东部新城办）综合部将通知供应商（以短信、现场公示、电话、“政府采购云平台”等任一方式）。供应商如对资格审查结论有异议的，应及时向成都东部新区党工委管委会（成都市东部新城办）综合部反馈意见。成都东部新区党工委管委会（成都市东部新城办）综合部将及时告知磋商小组。（说明：无论供应商是否收到通知或提供反馈意见，均不影响资格审查和评标工作，且成都东部新区党工委管委会（成都市东部新城办）综合部对此将不承担任何的责任。供应商对资格审查结论有异议的，其反馈意见仅限于磋商小组对资格审查结论的正确性进行复核，避免出现审查错误。）</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四、通过资格性审查的供应商＜3名，采购失败。</w:t>
      </w:r>
    </w:p>
    <w:p>
      <w:pPr>
        <w:spacing w:line="560" w:lineRule="exact"/>
        <w:rPr>
          <w:rFonts w:ascii="宋体" w:hAnsi="宋体"/>
          <w:b/>
          <w:sz w:val="28"/>
          <w:szCs w:val="28"/>
        </w:rPr>
      </w:pPr>
      <w:r>
        <w:rPr>
          <w:rFonts w:hint="eastAsia" w:ascii="宋体" w:hAnsi="宋体"/>
          <w:b/>
          <w:sz w:val="28"/>
          <w:szCs w:val="28"/>
        </w:rPr>
        <w:t>特别说明：1、磋商文件中要求提供复印件的证明材料的，包含原件的影印件或复印件。2、磋商文件中要求提供复印件加盖公章的证明材料的，复印件所在页按要求加盖公章或复印件为多页但至少有一页按要求加盖公章的，视为满足复印件加盖公章的要求。</w:t>
      </w:r>
    </w:p>
    <w:p>
      <w:pPr>
        <w:spacing w:line="560" w:lineRule="exact"/>
        <w:rPr>
          <w:rFonts w:ascii="宋体" w:hAnsi="宋体"/>
          <w:b/>
          <w:sz w:val="28"/>
          <w:szCs w:val="28"/>
        </w:rPr>
      </w:pPr>
    </w:p>
    <w:p>
      <w:pPr>
        <w:spacing w:line="560" w:lineRule="exact"/>
        <w:rPr>
          <w:rFonts w:ascii="宋体" w:hAnsi="宋体"/>
          <w:b/>
          <w:sz w:val="28"/>
          <w:szCs w:val="28"/>
        </w:rPr>
      </w:pPr>
    </w:p>
    <w:p>
      <w:pPr>
        <w:spacing w:line="560" w:lineRule="exact"/>
        <w:rPr>
          <w:rFonts w:ascii="宋体" w:hAnsi="宋体"/>
          <w:b/>
          <w:sz w:val="28"/>
          <w:szCs w:val="28"/>
        </w:rPr>
      </w:pPr>
    </w:p>
    <w:p>
      <w:pPr>
        <w:spacing w:line="560" w:lineRule="exact"/>
        <w:rPr>
          <w:rFonts w:ascii="宋体" w:hAnsi="宋体"/>
          <w:b/>
          <w:sz w:val="28"/>
          <w:szCs w:val="28"/>
        </w:rPr>
      </w:pPr>
    </w:p>
    <w:p>
      <w:pPr>
        <w:spacing w:line="560" w:lineRule="exact"/>
        <w:rPr>
          <w:rFonts w:ascii="宋体" w:hAnsi="宋体"/>
          <w:b/>
          <w:sz w:val="28"/>
          <w:szCs w:val="28"/>
        </w:rPr>
      </w:pPr>
    </w:p>
    <w:p>
      <w:pPr>
        <w:spacing w:line="560" w:lineRule="exact"/>
        <w:rPr>
          <w:rFonts w:ascii="宋体" w:hAnsi="宋体"/>
          <w:b/>
          <w:sz w:val="28"/>
          <w:szCs w:val="28"/>
        </w:rPr>
      </w:pPr>
    </w:p>
    <w:p>
      <w:pPr>
        <w:spacing w:line="560" w:lineRule="exact"/>
        <w:rPr>
          <w:rFonts w:ascii="宋体" w:hAnsi="宋体"/>
          <w:b/>
          <w:sz w:val="28"/>
          <w:szCs w:val="28"/>
        </w:rPr>
      </w:pPr>
    </w:p>
    <w:p>
      <w:pPr>
        <w:spacing w:line="560" w:lineRule="exact"/>
        <w:rPr>
          <w:rFonts w:ascii="宋体" w:hAnsi="宋体"/>
          <w:b/>
          <w:sz w:val="28"/>
          <w:szCs w:val="28"/>
        </w:rPr>
      </w:pPr>
    </w:p>
    <w:p>
      <w:pPr>
        <w:spacing w:line="560" w:lineRule="exact"/>
        <w:rPr>
          <w:rFonts w:ascii="宋体" w:hAnsi="宋体"/>
          <w:b/>
          <w:sz w:val="28"/>
          <w:szCs w:val="28"/>
        </w:rPr>
      </w:pPr>
    </w:p>
    <w:p>
      <w:pPr>
        <w:spacing w:line="560" w:lineRule="exact"/>
        <w:rPr>
          <w:rFonts w:ascii="宋体" w:hAnsi="宋体"/>
          <w:b/>
          <w:sz w:val="28"/>
          <w:szCs w:val="28"/>
        </w:rPr>
      </w:pPr>
    </w:p>
    <w:p>
      <w:pPr>
        <w:spacing w:line="560" w:lineRule="exact"/>
        <w:rPr>
          <w:rFonts w:ascii="宋体" w:hAnsi="宋体"/>
          <w:b/>
          <w:sz w:val="28"/>
          <w:szCs w:val="28"/>
        </w:rPr>
      </w:pPr>
    </w:p>
    <w:p>
      <w:pPr>
        <w:spacing w:line="560" w:lineRule="exact"/>
        <w:rPr>
          <w:rFonts w:ascii="宋体" w:hAnsi="宋体"/>
          <w:b/>
          <w:sz w:val="28"/>
          <w:szCs w:val="28"/>
        </w:rPr>
      </w:pPr>
    </w:p>
    <w:p>
      <w:pPr>
        <w:spacing w:line="560" w:lineRule="exact"/>
        <w:rPr>
          <w:rFonts w:ascii="宋体" w:hAnsi="宋体"/>
          <w:b/>
          <w:sz w:val="28"/>
          <w:szCs w:val="28"/>
        </w:rPr>
      </w:pPr>
    </w:p>
    <w:p>
      <w:pPr>
        <w:spacing w:line="560" w:lineRule="exact"/>
        <w:rPr>
          <w:rFonts w:ascii="宋体" w:hAnsi="宋体"/>
          <w:b/>
          <w:sz w:val="28"/>
          <w:szCs w:val="28"/>
        </w:rPr>
      </w:pPr>
    </w:p>
    <w:p>
      <w:pPr>
        <w:pStyle w:val="3"/>
        <w:numPr>
          <w:ilvl w:val="0"/>
          <w:numId w:val="1"/>
        </w:numPr>
        <w:spacing w:before="0" w:after="0"/>
        <w:ind w:left="0" w:firstLine="0"/>
      </w:pPr>
      <w:bookmarkStart w:id="82" w:name="_Toc26433"/>
      <w:bookmarkStart w:id="83" w:name="_Toc236285891"/>
      <w:bookmarkStart w:id="84" w:name="_Toc238273564"/>
      <w:bookmarkStart w:id="85" w:name="_Toc360696963"/>
      <w:bookmarkStart w:id="86" w:name="_Toc205604899"/>
      <w:r>
        <w:rPr>
          <w:rFonts w:hint="eastAsia"/>
        </w:rPr>
        <w:t>磋商办法</w:t>
      </w:r>
      <w:bookmarkEnd w:id="82"/>
    </w:p>
    <w:p>
      <w:pPr>
        <w:pStyle w:val="4"/>
        <w:tabs>
          <w:tab w:val="left" w:pos="993"/>
          <w:tab w:val="clear" w:pos="426"/>
          <w:tab w:val="clear" w:pos="567"/>
        </w:tabs>
        <w:ind w:left="0" w:firstLine="0"/>
      </w:pPr>
      <w:bookmarkStart w:id="87" w:name="_Toc27223"/>
      <w:r>
        <w:rPr>
          <w:rFonts w:hint="eastAsia"/>
        </w:rPr>
        <w:t>总则</w:t>
      </w:r>
      <w:bookmarkEnd w:id="87"/>
    </w:p>
    <w:p>
      <w:pPr>
        <w:widowControl w:val="0"/>
        <w:numPr>
          <w:ilvl w:val="0"/>
          <w:numId w:val="3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根据《中华人民共和国政府采购法》、《中华人民共和国政府采购法实施条例》和《政府采购非招标采购方式管理办法》等法律规章，结合采购项目特点制定本办法。</w:t>
      </w:r>
    </w:p>
    <w:p>
      <w:pPr>
        <w:widowControl w:val="0"/>
        <w:numPr>
          <w:ilvl w:val="0"/>
          <w:numId w:val="3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由成都东部新区党工委管委会（成都市东部新城办）综合部负责组织，具体评审事务由采购人和成都东部新区党工委管委会（成都市东部新城办）综合部依法组建的磋商小组负责。磋商小组由采购人代表和评审专家组成。</w:t>
      </w:r>
    </w:p>
    <w:p>
      <w:pPr>
        <w:widowControl w:val="0"/>
        <w:numPr>
          <w:ilvl w:val="0"/>
          <w:numId w:val="3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磋商工作应遵循公平、公正、科学及择优的原则，并以相同的评审程序和标准对待所有的供应商。</w:t>
      </w:r>
    </w:p>
    <w:p>
      <w:pPr>
        <w:widowControl w:val="0"/>
        <w:numPr>
          <w:ilvl w:val="0"/>
          <w:numId w:val="3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磋商小组按照磋商文件规定的磋商程序、评分方法和标准进行独立评审，并独立履行下列职责：</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熟悉和理解磋商文件，确定磋商文件内容是否违反国家有关强制性规定或者磋商文件存在歧义、重大缺陷，根据需要书面要求采购人、采购代理机构对磋商文件作出解释</w:t>
      </w:r>
      <w:r>
        <w:rPr>
          <w:rFonts w:ascii="宋体" w:hAnsi="宋体" w:cs="宋体"/>
          <w:sz w:val="28"/>
          <w:szCs w:val="28"/>
        </w:rPr>
        <w:t>；</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 响应文件并作出公正评价；</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 响应文件中含义不明确、同类问题表述不一致或者有明显文字和计算错误的内容等作出必要的澄清、说明或者更正；</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依法、客观、公平、公正开展供应商资格性审查、磋商和推荐成交候选供应商；</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3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 响应文件作为无效处理。</w:t>
      </w:r>
    </w:p>
    <w:p>
      <w:pPr>
        <w:widowControl w:val="0"/>
        <w:numPr>
          <w:ilvl w:val="0"/>
          <w:numId w:val="3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磋商小组决定 响应文件的响应性依据 响应文件本身的内容，而不寻求外部的证据，磋商文件有明确约定的除外。</w:t>
      </w:r>
    </w:p>
    <w:p>
      <w:pPr>
        <w:pStyle w:val="4"/>
        <w:tabs>
          <w:tab w:val="left" w:pos="993"/>
          <w:tab w:val="clear" w:pos="426"/>
          <w:tab w:val="clear" w:pos="567"/>
        </w:tabs>
        <w:ind w:left="0" w:firstLine="0"/>
      </w:pPr>
      <w:bookmarkStart w:id="88" w:name="_Toc17105"/>
      <w:r>
        <w:rPr>
          <w:rFonts w:hint="eastAsia"/>
        </w:rPr>
        <w:t>磋商程序</w:t>
      </w:r>
      <w:bookmarkEnd w:id="88"/>
    </w:p>
    <w:p>
      <w:pPr>
        <w:spacing w:line="360" w:lineRule="auto"/>
        <w:ind w:firstLine="570"/>
        <w:rPr>
          <w:rFonts w:ascii="宋体" w:hAnsi="宋体"/>
          <w:sz w:val="28"/>
          <w:szCs w:val="28"/>
        </w:rPr>
      </w:pPr>
      <w:r>
        <w:rPr>
          <w:rFonts w:hint="eastAsia" w:ascii="宋体" w:hAnsi="宋体"/>
          <w:sz w:val="28"/>
          <w:szCs w:val="28"/>
        </w:rPr>
        <w:t>磋商会议在</w:t>
      </w:r>
      <w:r>
        <w:rPr>
          <w:rFonts w:hint="eastAsia" w:ascii="宋体" w:hAnsi="宋体"/>
          <w:sz w:val="28"/>
          <w:szCs w:val="28"/>
          <w:lang w:eastAsia="zh-CN"/>
        </w:rPr>
        <w:t>成都市公共资源交易服务中心第25评标室</w:t>
      </w:r>
      <w:r>
        <w:rPr>
          <w:rFonts w:hint="eastAsia" w:ascii="宋体" w:hAnsi="宋体"/>
          <w:sz w:val="28"/>
          <w:szCs w:val="28"/>
        </w:rPr>
        <w:t>进行。磋商会议由成都东部新区党工委管委会（成都市东部新城办）综合部主持，供应商代表参加。</w:t>
      </w:r>
    </w:p>
    <w:p>
      <w:pPr>
        <w:spacing w:line="360" w:lineRule="auto"/>
        <w:ind w:firstLine="560" w:firstLineChars="200"/>
        <w:rPr>
          <w:rFonts w:ascii="宋体" w:hAnsi="宋体"/>
          <w:sz w:val="28"/>
          <w:szCs w:val="28"/>
        </w:rPr>
      </w:pPr>
      <w:r>
        <w:rPr>
          <w:rFonts w:hint="eastAsia" w:ascii="宋体" w:hAnsi="宋体"/>
          <w:sz w:val="28"/>
          <w:szCs w:val="28"/>
        </w:rPr>
        <w:t>磋商应由监督人员进行监督，且可根据具体情况邀请有关监督管理部门对采购活动进行现场监督。</w:t>
      </w:r>
    </w:p>
    <w:p>
      <w:pPr>
        <w:pStyle w:val="4"/>
        <w:numPr>
          <w:ilvl w:val="2"/>
          <w:numId w:val="1"/>
        </w:numPr>
        <w:tabs>
          <w:tab w:val="left" w:pos="993"/>
          <w:tab w:val="clear" w:pos="426"/>
          <w:tab w:val="clear" w:pos="567"/>
        </w:tabs>
      </w:pPr>
      <w:bookmarkStart w:id="89" w:name="_Toc29153"/>
      <w:bookmarkStart w:id="90" w:name="_Toc63437908"/>
      <w:bookmarkStart w:id="91" w:name="_Toc63084322"/>
      <w:r>
        <w:rPr>
          <w:rFonts w:hint="eastAsia"/>
        </w:rPr>
        <w:t>确定邀请参加磋商的供应商数量</w:t>
      </w:r>
      <w:bookmarkEnd w:id="89"/>
      <w:bookmarkEnd w:id="90"/>
      <w:bookmarkEnd w:id="91"/>
    </w:p>
    <w:p>
      <w:pPr>
        <w:tabs>
          <w:tab w:val="left" w:pos="1134"/>
        </w:tabs>
        <w:spacing w:line="360" w:lineRule="auto"/>
        <w:ind w:firstLine="560" w:firstLineChars="200"/>
        <w:rPr>
          <w:rFonts w:ascii="宋体" w:hAnsi="宋体"/>
          <w:sz w:val="28"/>
          <w:szCs w:val="28"/>
        </w:rPr>
      </w:pPr>
      <w:r>
        <w:rPr>
          <w:rFonts w:hint="eastAsia" w:ascii="宋体" w:hAnsi="宋体"/>
          <w:sz w:val="28"/>
          <w:szCs w:val="28"/>
        </w:rPr>
        <w:t>邀请已通过本次采购资格审查的供应商参加本项目的竞争性磋商。</w:t>
      </w:r>
    </w:p>
    <w:p>
      <w:pPr>
        <w:pStyle w:val="4"/>
        <w:numPr>
          <w:ilvl w:val="2"/>
          <w:numId w:val="1"/>
        </w:numPr>
        <w:tabs>
          <w:tab w:val="left" w:pos="993"/>
          <w:tab w:val="clear" w:pos="426"/>
          <w:tab w:val="clear" w:pos="567"/>
        </w:tabs>
      </w:pPr>
      <w:bookmarkStart w:id="92" w:name="_Toc63084323"/>
      <w:bookmarkStart w:id="93" w:name="_Toc25130"/>
      <w:bookmarkStart w:id="94" w:name="_Toc63437909"/>
      <w:bookmarkStart w:id="95" w:name="_Toc287623646"/>
      <w:r>
        <w:rPr>
          <w:rFonts w:hint="eastAsia"/>
        </w:rPr>
        <w:t>成立磋商小组</w:t>
      </w:r>
      <w:bookmarkEnd w:id="92"/>
      <w:bookmarkEnd w:id="93"/>
      <w:bookmarkEnd w:id="94"/>
      <w:bookmarkEnd w:id="95"/>
    </w:p>
    <w:p>
      <w:pPr>
        <w:pStyle w:val="24"/>
        <w:spacing w:line="360" w:lineRule="auto"/>
        <w:ind w:firstLine="560" w:firstLineChars="200"/>
        <w:rPr>
          <w:rFonts w:hAnsi="宋体" w:eastAsia="宋体"/>
          <w:sz w:val="28"/>
          <w:szCs w:val="28"/>
        </w:rPr>
      </w:pPr>
      <w:r>
        <w:rPr>
          <w:rFonts w:hint="eastAsia" w:hAnsi="宋体" w:eastAsia="宋体"/>
          <w:sz w:val="28"/>
          <w:szCs w:val="28"/>
        </w:rPr>
        <w:t>磋商小组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。磋商小组</w:t>
      </w:r>
      <w:r>
        <w:rPr>
          <w:rFonts w:hAnsi="宋体" w:eastAsia="宋体"/>
          <w:sz w:val="28"/>
          <w:szCs w:val="28"/>
        </w:rPr>
        <w:t>负责本项目的</w:t>
      </w:r>
      <w:r>
        <w:rPr>
          <w:rFonts w:hint="eastAsia" w:hAnsi="宋体" w:eastAsia="宋体"/>
          <w:sz w:val="28"/>
          <w:szCs w:val="28"/>
        </w:rPr>
        <w:t>磋商</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4"/>
        <w:numPr>
          <w:ilvl w:val="2"/>
          <w:numId w:val="1"/>
        </w:numPr>
        <w:tabs>
          <w:tab w:val="left" w:pos="993"/>
          <w:tab w:val="clear" w:pos="426"/>
          <w:tab w:val="clear" w:pos="567"/>
        </w:tabs>
      </w:pPr>
      <w:bookmarkStart w:id="96" w:name="_Toc25620"/>
      <w:r>
        <w:rPr>
          <w:rFonts w:hint="eastAsia"/>
        </w:rPr>
        <w:t>磋商</w:t>
      </w:r>
      <w:bookmarkEnd w:id="96"/>
    </w:p>
    <w:p>
      <w:pPr>
        <w:numPr>
          <w:ilvl w:val="1"/>
          <w:numId w:val="37"/>
        </w:numPr>
        <w:tabs>
          <w:tab w:val="left" w:pos="1134"/>
        </w:tabs>
        <w:spacing w:after="200" w:line="360" w:lineRule="auto"/>
        <w:ind w:left="0" w:firstLine="565" w:firstLineChars="202"/>
        <w:rPr>
          <w:rFonts w:ascii="宋体" w:hAnsi="宋体"/>
          <w:sz w:val="28"/>
          <w:szCs w:val="28"/>
        </w:rPr>
      </w:pPr>
      <w:r>
        <w:rPr>
          <w:rFonts w:hint="eastAsia" w:ascii="宋体" w:hAnsi="宋体"/>
          <w:sz w:val="28"/>
          <w:szCs w:val="28"/>
        </w:rPr>
        <w:t>确定磋商顺序：磋商小组与通过资格审查的供应商分别进行磋商，磋商顺序以现场抽签的方式确定</w:t>
      </w:r>
      <w:r>
        <w:rPr>
          <w:rFonts w:hint="eastAsia" w:ascii="宋体" w:hAnsi="宋体"/>
          <w:b/>
          <w:sz w:val="28"/>
          <w:szCs w:val="28"/>
        </w:rPr>
        <w:t>（查验供应商法定代表人或其代理人身份证原件）</w:t>
      </w:r>
      <w:r>
        <w:rPr>
          <w:rFonts w:hint="eastAsia" w:ascii="宋体" w:hAnsi="宋体"/>
          <w:sz w:val="28"/>
          <w:szCs w:val="28"/>
        </w:rPr>
        <w:t>。如供应商法定代表人或其代理人未携带身份证的，可在收到磋商邀请书起90分钟内补查身份证原件，逾期未提供的，磋商小组应拒绝其参与磋商。</w:t>
      </w:r>
    </w:p>
    <w:p>
      <w:pPr>
        <w:numPr>
          <w:ilvl w:val="1"/>
          <w:numId w:val="37"/>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numPr>
          <w:ilvl w:val="1"/>
          <w:numId w:val="37"/>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磋商内容为第4章中“技术、服务、商务及其他要求”、第6章“合同草案条款”。其中第4章中加★号的条款为采购项目的</w:t>
      </w:r>
      <w:r>
        <w:rPr>
          <w:rFonts w:hint="eastAsia" w:ascii="宋体" w:hAnsi="宋体" w:cs="宋体"/>
          <w:sz w:val="28"/>
          <w:szCs w:val="28"/>
        </w:rPr>
        <w:t>最低要求</w:t>
      </w:r>
      <w:r>
        <w:rPr>
          <w:rFonts w:hint="eastAsia" w:ascii="宋体" w:hAnsi="宋体"/>
          <w:sz w:val="28"/>
          <w:szCs w:val="28"/>
        </w:rPr>
        <w:t>，为非磋商可以降低标准的内容。</w:t>
      </w:r>
    </w:p>
    <w:p>
      <w:pPr>
        <w:numPr>
          <w:ilvl w:val="1"/>
          <w:numId w:val="37"/>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当及时以书面形式同时通知所有参加磋商的供应商。磋商过程中，磋商小组可以根据磋商情况调整磋商轮次。</w:t>
      </w:r>
    </w:p>
    <w:p>
      <w:pPr>
        <w:numPr>
          <w:ilvl w:val="1"/>
          <w:numId w:val="37"/>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磋商过程中，供应商可以根据磋商情况变更其响应文件，并将变更内容形成书面材料送磋商小组。变更内容作为响应文件的一部分。供应商书面材料应当由其</w:t>
      </w:r>
      <w:r>
        <w:rPr>
          <w:rFonts w:hint="eastAsia" w:ascii="宋体" w:hAnsi="宋体"/>
          <w:sz w:val="28"/>
        </w:rPr>
        <w:t>法定代表人</w:t>
      </w:r>
      <w:r>
        <w:rPr>
          <w:rFonts w:hint="eastAsia" w:ascii="宋体" w:hAnsi="宋体"/>
          <w:sz w:val="28"/>
          <w:szCs w:val="28"/>
        </w:rPr>
        <w:t>或授权代表签字或者加盖公章，否则无效。</w:t>
      </w:r>
    </w:p>
    <w:p>
      <w:pPr>
        <w:widowControl w:val="0"/>
        <w:numPr>
          <w:ilvl w:val="1"/>
          <w:numId w:val="38"/>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磋商小组经过一轮或多轮磋商后，供应商的响应文件仍然不能满足磋商文件中</w:t>
      </w:r>
      <w:r>
        <w:rPr>
          <w:rFonts w:hint="eastAsia" w:ascii="宋体" w:hAnsi="宋体" w:cs="宋体"/>
          <w:sz w:val="28"/>
          <w:szCs w:val="28"/>
        </w:rPr>
        <w:t>采购项目的最低要求</w:t>
      </w:r>
      <w:r>
        <w:rPr>
          <w:rFonts w:hint="eastAsia" w:ascii="宋体" w:hAnsi="宋体"/>
          <w:sz w:val="28"/>
          <w:szCs w:val="28"/>
        </w:rPr>
        <w:t>，或者磋商过程中，磋商小组发现或者知晓供应商存在违法、违纪行为的，磋商小组应当将该供应商淘汰，不允许其参加最后报价。</w:t>
      </w:r>
    </w:p>
    <w:p>
      <w:pPr>
        <w:pStyle w:val="4"/>
        <w:numPr>
          <w:ilvl w:val="2"/>
          <w:numId w:val="1"/>
        </w:numPr>
        <w:tabs>
          <w:tab w:val="left" w:pos="993"/>
          <w:tab w:val="clear" w:pos="426"/>
          <w:tab w:val="clear" w:pos="567"/>
        </w:tabs>
      </w:pPr>
      <w:bookmarkStart w:id="97" w:name="_Toc63084325"/>
      <w:bookmarkStart w:id="98" w:name="_Toc17526"/>
      <w:bookmarkStart w:id="99" w:name="_Toc63437911"/>
      <w:r>
        <w:rPr>
          <w:rFonts w:hint="eastAsia"/>
        </w:rPr>
        <w:t>符合性审查</w:t>
      </w:r>
      <w:bookmarkEnd w:id="97"/>
      <w:bookmarkEnd w:id="98"/>
      <w:bookmarkEnd w:id="99"/>
    </w:p>
    <w:p>
      <w:pPr>
        <w:pStyle w:val="80"/>
        <w:numPr>
          <w:ilvl w:val="0"/>
          <w:numId w:val="39"/>
        </w:numPr>
        <w:tabs>
          <w:tab w:val="left" w:pos="1134"/>
          <w:tab w:val="left" w:pos="1276"/>
          <w:tab w:val="left" w:pos="1418"/>
        </w:tabs>
        <w:spacing w:after="200" w:line="360" w:lineRule="auto"/>
        <w:ind w:left="0" w:firstLine="567" w:firstLineChars="0"/>
        <w:rPr>
          <w:rFonts w:ascii="宋体" w:hAnsi="宋体" w:eastAsia="宋体"/>
          <w:sz w:val="28"/>
          <w:szCs w:val="28"/>
        </w:rPr>
      </w:pPr>
      <w:bookmarkStart w:id="100" w:name="_Toc63084326"/>
      <w:bookmarkStart w:id="101" w:name="_Toc63437912"/>
      <w:r>
        <w:rPr>
          <w:rFonts w:hint="eastAsia" w:ascii="宋体" w:hAnsi="宋体" w:eastAsia="宋体"/>
          <w:sz w:val="28"/>
          <w:szCs w:val="28"/>
        </w:rPr>
        <w:t>磋商结束后，由磋商小组对供应商响应文件进行符合性审查。</w:t>
      </w:r>
    </w:p>
    <w:p>
      <w:pPr>
        <w:pStyle w:val="80"/>
        <w:numPr>
          <w:ilvl w:val="0"/>
          <w:numId w:val="39"/>
        </w:numPr>
        <w:tabs>
          <w:tab w:val="left" w:pos="1134"/>
          <w:tab w:val="left" w:pos="1276"/>
          <w:tab w:val="left" w:pos="1418"/>
        </w:tabs>
        <w:spacing w:after="200" w:line="360" w:lineRule="auto"/>
        <w:ind w:left="0" w:firstLine="567" w:firstLineChars="0"/>
        <w:rPr>
          <w:rFonts w:ascii="宋体" w:hAnsi="宋体" w:eastAsia="宋体"/>
          <w:sz w:val="28"/>
          <w:szCs w:val="28"/>
        </w:rPr>
      </w:pPr>
      <w:r>
        <w:rPr>
          <w:rFonts w:hint="eastAsia" w:ascii="宋体" w:hAnsi="宋体" w:eastAsia="宋体"/>
          <w:sz w:val="28"/>
          <w:szCs w:val="28"/>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80"/>
        <w:numPr>
          <w:ilvl w:val="0"/>
          <w:numId w:val="39"/>
        </w:numPr>
        <w:tabs>
          <w:tab w:val="left" w:pos="1134"/>
          <w:tab w:val="left" w:pos="1276"/>
          <w:tab w:val="left" w:pos="1418"/>
        </w:tabs>
        <w:spacing w:after="200" w:line="360" w:lineRule="auto"/>
        <w:ind w:left="0" w:firstLine="567" w:firstLineChars="0"/>
        <w:rPr>
          <w:rFonts w:ascii="宋体" w:hAnsi="宋体" w:eastAsia="宋体"/>
          <w:sz w:val="28"/>
          <w:szCs w:val="28"/>
        </w:rPr>
      </w:pPr>
      <w:r>
        <w:rPr>
          <w:rFonts w:hint="eastAsia" w:ascii="宋体" w:hAnsi="宋体" w:eastAsia="宋体"/>
          <w:sz w:val="28"/>
          <w:szCs w:val="28"/>
        </w:rPr>
        <w:t>磋商小组要求供应商澄清、说明或者更正响应文件应当以书面形式作出。供应商的澄清、说明或者更正应当由</w:t>
      </w:r>
      <w:r>
        <w:rPr>
          <w:rFonts w:hint="eastAsia" w:ascii="宋体" w:hAnsi="宋体" w:eastAsia="宋体"/>
          <w:sz w:val="28"/>
        </w:rPr>
        <w:t>法定代表人</w:t>
      </w:r>
      <w:r>
        <w:rPr>
          <w:rFonts w:hint="eastAsia" w:ascii="宋体" w:hAnsi="宋体" w:eastAsia="宋体"/>
          <w:sz w:val="28"/>
          <w:szCs w:val="28"/>
        </w:rPr>
        <w:t>或其授权代表签字或者加盖公章。</w:t>
      </w:r>
    </w:p>
    <w:p>
      <w:pPr>
        <w:pStyle w:val="80"/>
        <w:numPr>
          <w:ilvl w:val="0"/>
          <w:numId w:val="39"/>
        </w:numPr>
        <w:tabs>
          <w:tab w:val="left" w:pos="1134"/>
          <w:tab w:val="left" w:pos="1276"/>
          <w:tab w:val="left" w:pos="1418"/>
        </w:tabs>
        <w:spacing w:after="200" w:line="360" w:lineRule="auto"/>
        <w:ind w:left="0" w:firstLine="567" w:firstLineChars="0"/>
        <w:rPr>
          <w:rFonts w:ascii="宋体" w:hAnsi="宋体" w:eastAsia="宋体"/>
          <w:sz w:val="28"/>
          <w:szCs w:val="28"/>
        </w:rPr>
      </w:pPr>
      <w:r>
        <w:rPr>
          <w:rFonts w:hint="eastAsia" w:ascii="宋体" w:hAnsi="宋体" w:eastAsia="宋体"/>
          <w:sz w:val="28"/>
          <w:szCs w:val="28"/>
        </w:rPr>
        <w:t>磋商小组应当积极履行澄清、说明或者更正的职责，不得滥用权力。</w:t>
      </w:r>
    </w:p>
    <w:p>
      <w:pPr>
        <w:pStyle w:val="80"/>
        <w:numPr>
          <w:ilvl w:val="0"/>
          <w:numId w:val="39"/>
        </w:numPr>
        <w:tabs>
          <w:tab w:val="left" w:pos="1134"/>
          <w:tab w:val="left" w:pos="1276"/>
          <w:tab w:val="left" w:pos="1418"/>
        </w:tabs>
        <w:spacing w:after="200" w:line="360" w:lineRule="auto"/>
        <w:ind w:left="0" w:firstLine="567" w:firstLineChars="0"/>
        <w:rPr>
          <w:rFonts w:ascii="宋体" w:hAnsi="宋体" w:eastAsia="宋体"/>
          <w:sz w:val="28"/>
          <w:szCs w:val="28"/>
        </w:rPr>
      </w:pPr>
      <w:r>
        <w:rPr>
          <w:rFonts w:hint="eastAsia" w:ascii="宋体" w:hAnsi="宋体" w:eastAsia="宋体"/>
          <w:sz w:val="28"/>
          <w:szCs w:val="28"/>
        </w:rPr>
        <w:t>磋商小组在符合性审查过程中，磋商小组成员对供应商是否符合规定存在争议的，应当以少数服从多数的原则处理，但不违背政府采购法和磋商文件规定。</w:t>
      </w:r>
    </w:p>
    <w:p>
      <w:pPr>
        <w:pStyle w:val="80"/>
        <w:numPr>
          <w:ilvl w:val="0"/>
          <w:numId w:val="39"/>
        </w:numPr>
        <w:tabs>
          <w:tab w:val="left" w:pos="1134"/>
          <w:tab w:val="left" w:pos="1276"/>
          <w:tab w:val="left" w:pos="1418"/>
        </w:tabs>
        <w:spacing w:after="200" w:line="360" w:lineRule="auto"/>
        <w:ind w:left="0" w:firstLine="567" w:firstLineChars="0"/>
        <w:rPr>
          <w:rFonts w:ascii="宋体" w:hAnsi="宋体" w:eastAsia="宋体"/>
          <w:sz w:val="28"/>
          <w:szCs w:val="28"/>
        </w:rPr>
      </w:pPr>
      <w:r>
        <w:rPr>
          <w:rFonts w:hint="eastAsia" w:ascii="宋体" w:hAnsi="宋体" w:eastAsia="宋体"/>
          <w:sz w:val="28"/>
          <w:szCs w:val="28"/>
        </w:rPr>
        <w:t xml:space="preserve">供应商符合性审查标准（按以下顺序审查）： </w:t>
      </w:r>
    </w:p>
    <w:tbl>
      <w:tblPr>
        <w:tblStyle w:val="45"/>
        <w:tblW w:w="9315"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969"/>
        <w:gridCol w:w="3396"/>
        <w:gridCol w:w="109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b/>
                <w:sz w:val="22"/>
              </w:rPr>
            </w:pPr>
            <w:r>
              <w:rPr>
                <w:rFonts w:hint="eastAsia" w:asciiTheme="minorEastAsia" w:hAnsiTheme="minorEastAsia"/>
                <w:b/>
                <w:sz w:val="22"/>
              </w:rPr>
              <w:t>序号</w:t>
            </w:r>
          </w:p>
        </w:tc>
        <w:tc>
          <w:tcPr>
            <w:tcW w:w="39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b/>
                <w:sz w:val="22"/>
              </w:rPr>
            </w:pPr>
            <w:r>
              <w:rPr>
                <w:rFonts w:hint="eastAsia" w:asciiTheme="minorEastAsia" w:hAnsiTheme="minorEastAsia"/>
                <w:b/>
                <w:sz w:val="22"/>
              </w:rPr>
              <w:t>审查内容</w:t>
            </w:r>
          </w:p>
        </w:tc>
        <w:tc>
          <w:tcPr>
            <w:tcW w:w="339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b/>
                <w:sz w:val="22"/>
              </w:rPr>
            </w:pPr>
            <w:r>
              <w:rPr>
                <w:rFonts w:hint="eastAsia" w:asciiTheme="minorEastAsia" w:hAnsiTheme="minorEastAsia"/>
                <w:b/>
                <w:sz w:val="22"/>
              </w:rPr>
              <w:t>通过条件</w:t>
            </w:r>
          </w:p>
        </w:tc>
        <w:tc>
          <w:tcPr>
            <w:tcW w:w="109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b/>
                <w:sz w:val="22"/>
              </w:rPr>
            </w:pPr>
            <w:r>
              <w:rPr>
                <w:rFonts w:hint="eastAsia" w:asciiTheme="minorEastAsia" w:hAnsiTheme="minorEastAsia"/>
                <w:b/>
                <w:sz w:val="22"/>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sz w:val="22"/>
              </w:rPr>
            </w:pPr>
            <w:r>
              <w:rPr>
                <w:rFonts w:hint="eastAsia" w:asciiTheme="minorEastAsia" w:hAnsiTheme="minorEastAsia"/>
                <w:sz w:val="22"/>
              </w:rPr>
              <w:t>1</w:t>
            </w:r>
          </w:p>
        </w:tc>
        <w:tc>
          <w:tcPr>
            <w:tcW w:w="39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heme="minorEastAsia" w:hAnsiTheme="minorEastAsia"/>
                <w:sz w:val="22"/>
              </w:rPr>
            </w:pPr>
            <w:r>
              <w:rPr>
                <w:rFonts w:hint="eastAsia" w:asciiTheme="minorEastAsia" w:hAnsiTheme="minorEastAsia"/>
                <w:sz w:val="22"/>
              </w:rPr>
              <w:t>技术、服务性响应文件正、副本数量</w:t>
            </w:r>
          </w:p>
        </w:tc>
        <w:tc>
          <w:tcPr>
            <w:tcW w:w="339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heme="minorEastAsia" w:hAnsiTheme="minorEastAsia"/>
                <w:sz w:val="22"/>
              </w:rPr>
            </w:pPr>
            <w:r>
              <w:rPr>
                <w:rFonts w:hint="eastAsia" w:asciiTheme="minorEastAsia" w:hAnsiTheme="minorEastAsia"/>
                <w:sz w:val="22"/>
              </w:rPr>
              <w:t>正本一份，副本不少于一份。</w:t>
            </w:r>
          </w:p>
        </w:tc>
        <w:tc>
          <w:tcPr>
            <w:tcW w:w="109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sz w:val="22"/>
              </w:rPr>
            </w:pPr>
            <w:r>
              <w:rPr>
                <w:rFonts w:hint="eastAsia" w:asciiTheme="minorEastAsia" w:hAnsiTheme="minorEastAsia"/>
                <w:sz w:val="22"/>
              </w:rPr>
              <w:t>2</w:t>
            </w:r>
          </w:p>
        </w:tc>
        <w:tc>
          <w:tcPr>
            <w:tcW w:w="39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heme="minorEastAsia" w:hAnsiTheme="minorEastAsia"/>
                <w:sz w:val="22"/>
              </w:rPr>
            </w:pPr>
            <w:r>
              <w:rPr>
                <w:rFonts w:hint="eastAsia" w:asciiTheme="minorEastAsia" w:hAnsiTheme="minorEastAsia"/>
                <w:sz w:val="22"/>
              </w:rPr>
              <w:t>技术、服务性响应文件的组成</w:t>
            </w:r>
          </w:p>
        </w:tc>
        <w:tc>
          <w:tcPr>
            <w:tcW w:w="339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heme="minorEastAsia" w:hAnsiTheme="minorEastAsia"/>
                <w:sz w:val="22"/>
              </w:rPr>
            </w:pPr>
            <w:r>
              <w:rPr>
                <w:rFonts w:hint="eastAsia" w:asciiTheme="minorEastAsia" w:hAnsiTheme="minorEastAsia"/>
                <w:sz w:val="22"/>
              </w:rPr>
              <w:t>符合磋商文件2.4.6.2的要求。</w:t>
            </w:r>
          </w:p>
        </w:tc>
        <w:tc>
          <w:tcPr>
            <w:tcW w:w="109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sz w:val="22"/>
              </w:rPr>
            </w:pPr>
            <w:r>
              <w:rPr>
                <w:rFonts w:hint="eastAsia" w:asciiTheme="minorEastAsia" w:hAnsiTheme="minorEastAsia"/>
                <w:sz w:val="22"/>
              </w:rPr>
              <w:t>3</w:t>
            </w:r>
          </w:p>
        </w:tc>
        <w:tc>
          <w:tcPr>
            <w:tcW w:w="39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heme="minorEastAsia" w:hAnsiTheme="minorEastAsia"/>
                <w:sz w:val="22"/>
              </w:rPr>
            </w:pPr>
            <w:r>
              <w:rPr>
                <w:rFonts w:hint="eastAsia" w:asciiTheme="minorEastAsia" w:hAnsiTheme="minorEastAsia"/>
                <w:sz w:val="22"/>
              </w:rPr>
              <w:t>技术、服务性响应文件签字、盖章情况</w:t>
            </w:r>
          </w:p>
        </w:tc>
        <w:tc>
          <w:tcPr>
            <w:tcW w:w="339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heme="minorEastAsia" w:hAnsiTheme="minorEastAsia"/>
                <w:sz w:val="22"/>
              </w:rPr>
            </w:pPr>
            <w:r>
              <w:rPr>
                <w:rFonts w:hint="eastAsia" w:ascii="宋体" w:hAnsi="宋体"/>
                <w:sz w:val="22"/>
              </w:rPr>
              <w:t>均按磋商文件要求签字、盖章</w:t>
            </w:r>
            <w:r>
              <w:rPr>
                <w:rFonts w:hint="eastAsia" w:asciiTheme="minorEastAsia" w:hAnsiTheme="minorEastAsia"/>
                <w:sz w:val="22"/>
              </w:rPr>
              <w:t>【注：（1）评分标准中要求提供的证明材料除外；（2）中小企业声明函、残疾人福利性单位声明函见“2.4.6响应文件的组成”的要求。】。</w:t>
            </w:r>
          </w:p>
        </w:tc>
        <w:tc>
          <w:tcPr>
            <w:tcW w:w="109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sz w:val="22"/>
              </w:rPr>
            </w:pPr>
            <w:r>
              <w:rPr>
                <w:rFonts w:hint="eastAsia" w:asciiTheme="minorEastAsia" w:hAnsiTheme="minorEastAsia"/>
                <w:sz w:val="22"/>
              </w:rPr>
              <w:t>4</w:t>
            </w:r>
          </w:p>
        </w:tc>
        <w:tc>
          <w:tcPr>
            <w:tcW w:w="39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heme="minorEastAsia" w:hAnsiTheme="minorEastAsia"/>
                <w:sz w:val="22"/>
              </w:rPr>
            </w:pPr>
            <w:r>
              <w:rPr>
                <w:rFonts w:hint="eastAsia" w:asciiTheme="minorEastAsia" w:hAnsiTheme="minorEastAsia"/>
                <w:sz w:val="22"/>
              </w:rPr>
              <w:t>技术、服务性响应文件有效期、计量单位、语言</w:t>
            </w:r>
          </w:p>
        </w:tc>
        <w:tc>
          <w:tcPr>
            <w:tcW w:w="339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heme="minorEastAsia" w:hAnsiTheme="minorEastAsia"/>
                <w:sz w:val="22"/>
              </w:rPr>
            </w:pPr>
            <w:r>
              <w:rPr>
                <w:rFonts w:hint="eastAsia" w:asciiTheme="minorEastAsia" w:hAnsiTheme="minorEastAsia"/>
                <w:sz w:val="22"/>
              </w:rPr>
              <w:t>有效期、计量单位、语言满足磋商文件要求。</w:t>
            </w:r>
          </w:p>
        </w:tc>
        <w:tc>
          <w:tcPr>
            <w:tcW w:w="109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sz w:val="22"/>
              </w:rPr>
            </w:pPr>
            <w:r>
              <w:rPr>
                <w:rFonts w:hint="eastAsia" w:asciiTheme="minorEastAsia" w:hAnsiTheme="minorEastAsia"/>
                <w:sz w:val="22"/>
              </w:rPr>
              <w:t>5</w:t>
            </w:r>
          </w:p>
        </w:tc>
        <w:tc>
          <w:tcPr>
            <w:tcW w:w="39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heme="minorEastAsia" w:hAnsiTheme="minorEastAsia"/>
                <w:sz w:val="22"/>
              </w:rPr>
            </w:pPr>
            <w:r>
              <w:rPr>
                <w:rFonts w:hint="eastAsia" w:asciiTheme="minorEastAsia" w:hAnsiTheme="minorEastAsia"/>
                <w:sz w:val="22"/>
              </w:rPr>
              <w:t>技术、服务性响应文件对磋商文件规定的采购项目最低要求的响应情况</w:t>
            </w:r>
          </w:p>
        </w:tc>
        <w:tc>
          <w:tcPr>
            <w:tcW w:w="339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heme="minorEastAsia" w:hAnsiTheme="minorEastAsia"/>
                <w:sz w:val="22"/>
              </w:rPr>
            </w:pPr>
            <w:r>
              <w:rPr>
                <w:rFonts w:hint="eastAsia" w:asciiTheme="minorEastAsia" w:hAnsiTheme="minorEastAsia"/>
                <w:sz w:val="22"/>
              </w:rPr>
              <w:t>符合磋商文件规定的采购项目最低要求。</w:t>
            </w:r>
          </w:p>
        </w:tc>
        <w:tc>
          <w:tcPr>
            <w:tcW w:w="109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sz w:val="22"/>
              </w:rPr>
            </w:pPr>
          </w:p>
        </w:tc>
      </w:tr>
    </w:tbl>
    <w:p>
      <w:pPr>
        <w:tabs>
          <w:tab w:val="left" w:pos="851"/>
        </w:tabs>
        <w:spacing w:line="360" w:lineRule="auto"/>
        <w:ind w:firstLine="565" w:firstLineChars="202"/>
        <w:rPr>
          <w:rFonts w:ascii="宋体" w:hAnsi="宋体"/>
          <w:sz w:val="28"/>
          <w:szCs w:val="28"/>
        </w:rPr>
      </w:pPr>
      <w:r>
        <w:rPr>
          <w:rFonts w:hint="eastAsia" w:ascii="宋体" w:hAnsi="宋体"/>
          <w:sz w:val="28"/>
          <w:szCs w:val="28"/>
        </w:rPr>
        <w:t>一、以上每一项结论均为“通过”的，则供应商的响应文件通过符合性审查，才能允许其参加最后报价；如有任意一项结论为“不通过”的，则供应商的响应文件按无效响应文件处理，不允许其参加最后报价。如果磋商小组认为供应商有任意一项不通过的，应在评审报告中载明不通过的具体原因。</w:t>
      </w:r>
    </w:p>
    <w:p>
      <w:pPr>
        <w:pStyle w:val="80"/>
        <w:numPr>
          <w:ilvl w:val="0"/>
          <w:numId w:val="40"/>
        </w:numPr>
        <w:tabs>
          <w:tab w:val="left" w:pos="1134"/>
          <w:tab w:val="left" w:pos="1418"/>
        </w:tabs>
        <w:spacing w:after="200" w:line="360" w:lineRule="auto"/>
        <w:ind w:left="0" w:firstLine="560" w:firstLineChars="0"/>
        <w:rPr>
          <w:rFonts w:ascii="宋体" w:hAnsi="宋体" w:eastAsia="宋体"/>
          <w:sz w:val="28"/>
          <w:szCs w:val="28"/>
        </w:rPr>
      </w:pPr>
      <w:r>
        <w:rPr>
          <w:rFonts w:hint="eastAsia" w:ascii="宋体" w:hAnsi="宋体" w:eastAsia="宋体"/>
          <w:sz w:val="28"/>
          <w:szCs w:val="28"/>
        </w:rPr>
        <w:t>磋商小组符合性审查结束后，应当出具符合性审查报告，确定参加最后报价的供应商名单。成都东部新区党工委管委会（成都市东部新城办）综合部将通过和未通过符合性审查的供应商名单以及未通过符合性审查的原因向所有递交响应文件的供应商当场宣布，并书面通知未通过符合性审查的供应商的原因。</w:t>
      </w:r>
    </w:p>
    <w:p>
      <w:pPr>
        <w:pStyle w:val="80"/>
        <w:numPr>
          <w:ilvl w:val="0"/>
          <w:numId w:val="40"/>
        </w:numPr>
        <w:tabs>
          <w:tab w:val="left" w:pos="1134"/>
          <w:tab w:val="left" w:pos="1418"/>
        </w:tabs>
        <w:spacing w:after="200" w:line="360" w:lineRule="auto"/>
        <w:ind w:firstLineChars="0"/>
        <w:rPr>
          <w:rFonts w:ascii="宋体" w:hAnsi="宋体" w:eastAsia="宋体"/>
          <w:sz w:val="28"/>
          <w:szCs w:val="28"/>
        </w:rPr>
      </w:pPr>
      <w:r>
        <w:rPr>
          <w:rFonts w:hint="eastAsia" w:ascii="宋体" w:hAnsi="宋体" w:eastAsia="宋体"/>
          <w:sz w:val="28"/>
          <w:szCs w:val="28"/>
        </w:rPr>
        <w:t>通过符合性审查的供应商不足二家的，采购失败。</w:t>
      </w:r>
    </w:p>
    <w:p>
      <w:pPr>
        <w:spacing w:line="360" w:lineRule="auto"/>
        <w:ind w:firstLine="602" w:firstLineChars="214"/>
        <w:rPr>
          <w:rFonts w:ascii="宋体" w:hAnsi="宋体"/>
          <w:sz w:val="28"/>
          <w:szCs w:val="28"/>
        </w:rPr>
      </w:pPr>
      <w:r>
        <w:rPr>
          <w:rFonts w:hint="eastAsia" w:ascii="宋体" w:hAnsi="宋体"/>
          <w:b/>
          <w:sz w:val="28"/>
          <w:szCs w:val="28"/>
        </w:rPr>
        <w:t>特别说明：1、磋商文件中要求提供复印件的证明材料的，包含原件的影印件或复印件。2、磋商文件中要求提供复印件加盖公章的证明材料的，复印件所在页按要求加盖公章或复印件为多页但至少有一页按要求加盖公章的，视为满足复印件加盖公章的要求。</w:t>
      </w:r>
    </w:p>
    <w:p>
      <w:pPr>
        <w:pStyle w:val="4"/>
        <w:numPr>
          <w:ilvl w:val="2"/>
          <w:numId w:val="1"/>
        </w:numPr>
        <w:tabs>
          <w:tab w:val="left" w:pos="993"/>
          <w:tab w:val="clear" w:pos="426"/>
          <w:tab w:val="clear" w:pos="567"/>
        </w:tabs>
      </w:pPr>
      <w:bookmarkStart w:id="102" w:name="_Toc5531"/>
      <w:r>
        <w:rPr>
          <w:rFonts w:hint="eastAsia"/>
        </w:rPr>
        <w:t>最后报价审查</w:t>
      </w:r>
      <w:bookmarkEnd w:id="100"/>
      <w:bookmarkEnd w:id="101"/>
      <w:bookmarkEnd w:id="102"/>
    </w:p>
    <w:p>
      <w:pPr>
        <w:numPr>
          <w:ilvl w:val="0"/>
          <w:numId w:val="41"/>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磋商结束后，磋商小组应当要求所有通过符合性审查的供应商在规定时间内提交最后报价，最后报价是供应商响应文件的有效组成部分。</w:t>
      </w:r>
    </w:p>
    <w:p>
      <w:pPr>
        <w:numPr>
          <w:ilvl w:val="0"/>
          <w:numId w:val="41"/>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报价由供应商填写《最后报价表》（表格由磋商小组提供），经供应商</w:t>
      </w:r>
      <w:r>
        <w:rPr>
          <w:rFonts w:hint="eastAsia" w:ascii="宋体" w:hAnsi="宋体"/>
          <w:sz w:val="28"/>
        </w:rPr>
        <w:t>法定代表人</w:t>
      </w:r>
      <w:r>
        <w:rPr>
          <w:rFonts w:hint="eastAsia" w:ascii="宋体" w:hAnsi="宋体"/>
          <w:sz w:val="28"/>
          <w:szCs w:val="28"/>
        </w:rPr>
        <w:t>或代理人签字后密封递交给成都东部新区党工委管委会（成都市东部新城办）综合部工作人员，由其收集齐后集中递交磋商小组。</w:t>
      </w:r>
    </w:p>
    <w:p>
      <w:pPr>
        <w:numPr>
          <w:ilvl w:val="0"/>
          <w:numId w:val="41"/>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已提交响应文件的供应商，在提交最后报价之前，可以根据磋商情况退出磋商。</w:t>
      </w:r>
    </w:p>
    <w:p>
      <w:pPr>
        <w:numPr>
          <w:ilvl w:val="0"/>
          <w:numId w:val="41"/>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供应商退出磋商的，应向磋商小组提供退出磋商的书面申明。供应商不提供退出磋商的书面声明，也未在磋商小组规定时间内递交《最后报价表》的，视为其退出磋商。</w:t>
      </w:r>
    </w:p>
    <w:p>
      <w:pPr>
        <w:numPr>
          <w:ilvl w:val="0"/>
          <w:numId w:val="41"/>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《最后报价表》一旦递交后，供应商不得以任何理由撤回。</w:t>
      </w:r>
    </w:p>
    <w:p>
      <w:pPr>
        <w:numPr>
          <w:ilvl w:val="0"/>
          <w:numId w:val="41"/>
        </w:numPr>
        <w:tabs>
          <w:tab w:val="left" w:pos="1134"/>
        </w:tabs>
        <w:snapToGrid w:val="0"/>
        <w:spacing w:after="200" w:line="360" w:lineRule="auto"/>
        <w:ind w:left="0" w:firstLine="560" w:firstLineChars="200"/>
        <w:rPr>
          <w:rFonts w:ascii="宋体" w:hAnsi="宋体"/>
          <w:sz w:val="28"/>
          <w:szCs w:val="28"/>
        </w:rPr>
      </w:pPr>
      <w:r>
        <w:rPr>
          <w:rFonts w:hint="eastAsia" w:ascii="宋体" w:hAnsi="宋体" w:cs="宋体"/>
          <w:sz w:val="28"/>
          <w:szCs w:val="28"/>
        </w:rPr>
        <w:t>供应商的最后报价由</w:t>
      </w:r>
      <w:r>
        <w:rPr>
          <w:rFonts w:hint="eastAsia" w:ascii="宋体" w:hAnsi="宋体"/>
          <w:sz w:val="28"/>
          <w:szCs w:val="28"/>
        </w:rPr>
        <w:t>磋商小组</w:t>
      </w:r>
      <w:r>
        <w:rPr>
          <w:rFonts w:hint="eastAsia" w:ascii="宋体" w:hAnsi="宋体" w:cs="宋体"/>
          <w:sz w:val="28"/>
          <w:szCs w:val="28"/>
        </w:rPr>
        <w:t>应当场宣布。</w:t>
      </w:r>
    </w:p>
    <w:p>
      <w:pPr>
        <w:numPr>
          <w:ilvl w:val="0"/>
          <w:numId w:val="41"/>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最后报价为有效报价应符合下列条件：</w:t>
      </w:r>
    </w:p>
    <w:p>
      <w:pPr>
        <w:numPr>
          <w:ilvl w:val="0"/>
          <w:numId w:val="42"/>
        </w:numPr>
        <w:tabs>
          <w:tab w:val="left" w:pos="-2127"/>
          <w:tab w:val="left" w:pos="1134"/>
        </w:tabs>
        <w:snapToGrid w:val="0"/>
        <w:spacing w:after="200" w:line="360" w:lineRule="auto"/>
        <w:ind w:left="0" w:firstLine="557"/>
        <w:rPr>
          <w:rFonts w:ascii="宋体" w:hAnsi="宋体" w:cs="宋体"/>
          <w:sz w:val="28"/>
          <w:szCs w:val="28"/>
        </w:rPr>
      </w:pPr>
      <w:r>
        <w:rPr>
          <w:rFonts w:hint="eastAsia" w:ascii="宋体" w:hAnsi="宋体" w:cs="宋体"/>
          <w:sz w:val="28"/>
          <w:szCs w:val="28"/>
        </w:rPr>
        <w:t>供应商所提供的最后报价是在规定的时间内提交。</w:t>
      </w:r>
    </w:p>
    <w:p>
      <w:pPr>
        <w:numPr>
          <w:ilvl w:val="0"/>
          <w:numId w:val="42"/>
        </w:numPr>
        <w:tabs>
          <w:tab w:val="left" w:pos="-2127"/>
          <w:tab w:val="left" w:pos="1134"/>
        </w:tabs>
        <w:snapToGrid w:val="0"/>
        <w:spacing w:after="200" w:line="360" w:lineRule="auto"/>
        <w:ind w:left="0" w:firstLine="557"/>
        <w:rPr>
          <w:rFonts w:ascii="宋体" w:hAnsi="宋体" w:cs="宋体"/>
          <w:sz w:val="28"/>
          <w:szCs w:val="28"/>
        </w:rPr>
      </w:pPr>
      <w:r>
        <w:rPr>
          <w:rFonts w:hint="eastAsia" w:ascii="宋体" w:hAnsi="宋体" w:cs="宋体"/>
          <w:sz w:val="28"/>
          <w:szCs w:val="28"/>
        </w:rPr>
        <w:t>供应商的最后报价具有</w:t>
      </w:r>
      <w:r>
        <w:rPr>
          <w:rFonts w:hint="eastAsia" w:ascii="宋体" w:hAnsi="宋体"/>
          <w:sz w:val="28"/>
        </w:rPr>
        <w:t>法定代表人</w:t>
      </w:r>
      <w:r>
        <w:rPr>
          <w:rFonts w:hint="eastAsia" w:ascii="宋体" w:hAnsi="宋体" w:cs="宋体"/>
          <w:sz w:val="28"/>
          <w:szCs w:val="28"/>
        </w:rPr>
        <w:t>或代理人签字。</w:t>
      </w:r>
    </w:p>
    <w:p>
      <w:pPr>
        <w:numPr>
          <w:ilvl w:val="0"/>
          <w:numId w:val="42"/>
        </w:numPr>
        <w:tabs>
          <w:tab w:val="left" w:pos="-2127"/>
          <w:tab w:val="left" w:pos="1134"/>
        </w:tabs>
        <w:snapToGrid w:val="0"/>
        <w:spacing w:after="200" w:line="360" w:lineRule="auto"/>
        <w:ind w:left="0" w:firstLine="557"/>
        <w:rPr>
          <w:rFonts w:ascii="宋体" w:hAnsi="宋体" w:cs="宋体"/>
          <w:sz w:val="28"/>
          <w:szCs w:val="28"/>
        </w:rPr>
      </w:pPr>
      <w:r>
        <w:rPr>
          <w:rFonts w:hint="eastAsia" w:ascii="宋体" w:hAnsi="宋体" w:cs="宋体"/>
          <w:sz w:val="28"/>
          <w:szCs w:val="28"/>
        </w:rPr>
        <w:t>供应商的最后报价符合磋商文件的要求。</w:t>
      </w:r>
    </w:p>
    <w:p>
      <w:pPr>
        <w:numPr>
          <w:ilvl w:val="0"/>
          <w:numId w:val="42"/>
        </w:numPr>
        <w:tabs>
          <w:tab w:val="left" w:pos="-2127"/>
          <w:tab w:val="left" w:pos="1134"/>
        </w:tabs>
        <w:snapToGrid w:val="0"/>
        <w:spacing w:after="200" w:line="360" w:lineRule="auto"/>
        <w:ind w:left="0" w:firstLine="557"/>
        <w:rPr>
          <w:rFonts w:ascii="宋体" w:hAnsi="宋体" w:cs="宋体"/>
          <w:sz w:val="28"/>
          <w:szCs w:val="28"/>
        </w:rPr>
      </w:pPr>
      <w:r>
        <w:rPr>
          <w:rFonts w:hint="eastAsia" w:ascii="宋体" w:hAnsi="宋体" w:cs="宋体"/>
          <w:sz w:val="28"/>
          <w:szCs w:val="28"/>
        </w:rPr>
        <w:t>进口产品（如采购内容中涉及货物采购的）：竞争性磋商文件中未载明“允许采购进口产品”的产品，报价产品均为国产产品。</w:t>
      </w:r>
    </w:p>
    <w:p>
      <w:pPr>
        <w:numPr>
          <w:ilvl w:val="0"/>
          <w:numId w:val="42"/>
        </w:numPr>
        <w:tabs>
          <w:tab w:val="left" w:pos="-2127"/>
          <w:tab w:val="left" w:pos="1134"/>
        </w:tabs>
        <w:snapToGrid w:val="0"/>
        <w:spacing w:after="200" w:line="360" w:lineRule="auto"/>
        <w:ind w:left="0" w:firstLine="557"/>
        <w:rPr>
          <w:rFonts w:ascii="宋体" w:hAnsi="宋体" w:cs="宋体"/>
          <w:sz w:val="28"/>
          <w:szCs w:val="28"/>
        </w:rPr>
      </w:pPr>
      <w:r>
        <w:rPr>
          <w:rFonts w:hint="eastAsia" w:ascii="宋体" w:hAnsi="宋体" w:cs="宋体"/>
          <w:sz w:val="28"/>
          <w:szCs w:val="28"/>
        </w:rPr>
        <w:t>最后报价唯一，且不高于最高限价。</w:t>
      </w:r>
    </w:p>
    <w:p>
      <w:pPr>
        <w:numPr>
          <w:ilvl w:val="0"/>
          <w:numId w:val="42"/>
        </w:numPr>
        <w:tabs>
          <w:tab w:val="left" w:pos="-2127"/>
          <w:tab w:val="left" w:pos="1134"/>
        </w:tabs>
        <w:snapToGrid w:val="0"/>
        <w:spacing w:after="200" w:line="360" w:lineRule="auto"/>
        <w:ind w:left="0" w:firstLine="557"/>
        <w:rPr>
          <w:rFonts w:ascii="宋体" w:hAnsi="宋体" w:cs="宋体"/>
          <w:sz w:val="28"/>
          <w:szCs w:val="28"/>
        </w:rPr>
      </w:pPr>
      <w:r>
        <w:rPr>
          <w:rFonts w:hint="eastAsia" w:ascii="宋体" w:hAnsi="宋体" w:cs="宋体"/>
          <w:sz w:val="28"/>
          <w:szCs w:val="28"/>
        </w:rPr>
        <w:t>在未提高响应文件中承诺的产品及其服务质量的情况下，最后报价不高于技术、服务性响应文件中的报价。</w:t>
      </w:r>
    </w:p>
    <w:p>
      <w:pPr>
        <w:numPr>
          <w:ilvl w:val="0"/>
          <w:numId w:val="41"/>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最后报价出现下列情况的，不需要供应商澄清，按以下原则处理：</w:t>
      </w:r>
    </w:p>
    <w:p>
      <w:pPr>
        <w:pStyle w:val="324"/>
        <w:numPr>
          <w:ilvl w:val="0"/>
          <w:numId w:val="43"/>
        </w:numPr>
        <w:tabs>
          <w:tab w:val="left" w:pos="1134"/>
        </w:tabs>
        <w:spacing w:line="360" w:lineRule="auto"/>
        <w:ind w:left="0" w:firstLine="567" w:firstLineChars="0"/>
        <w:rPr>
          <w:rFonts w:ascii="宋体" w:hAnsi="宋体"/>
          <w:sz w:val="28"/>
          <w:szCs w:val="28"/>
        </w:rPr>
      </w:pPr>
      <w:r>
        <w:rPr>
          <w:rFonts w:hint="eastAsia" w:ascii="宋体" w:hAnsi="宋体"/>
          <w:sz w:val="28"/>
          <w:szCs w:val="28"/>
        </w:rPr>
        <w:t>最后报价中的大写金额和小写金额不一致的，以大写金额为准，但大写金额出现文字错误，导致金额无法判断的除外；</w:t>
      </w:r>
    </w:p>
    <w:p>
      <w:pPr>
        <w:pStyle w:val="324"/>
        <w:numPr>
          <w:ilvl w:val="0"/>
          <w:numId w:val="43"/>
        </w:numPr>
        <w:tabs>
          <w:tab w:val="left" w:pos="1134"/>
        </w:tabs>
        <w:spacing w:line="360" w:lineRule="auto"/>
        <w:ind w:left="0" w:firstLine="567" w:firstLineChars="0"/>
        <w:rPr>
          <w:rFonts w:ascii="宋体" w:hAnsi="宋体"/>
          <w:sz w:val="28"/>
          <w:szCs w:val="28"/>
        </w:rPr>
      </w:pPr>
      <w:r>
        <w:rPr>
          <w:rFonts w:hint="eastAsia" w:ascii="宋体" w:hAnsi="宋体"/>
          <w:sz w:val="28"/>
          <w:szCs w:val="28"/>
        </w:rPr>
        <w:t>单价金额小数点或者百分比有明显错位的，应以总价为准，并修改单价；</w:t>
      </w:r>
    </w:p>
    <w:p>
      <w:pPr>
        <w:pStyle w:val="324"/>
        <w:numPr>
          <w:ilvl w:val="0"/>
          <w:numId w:val="43"/>
        </w:numPr>
        <w:tabs>
          <w:tab w:val="left" w:pos="1134"/>
        </w:tabs>
        <w:spacing w:line="360" w:lineRule="auto"/>
        <w:ind w:left="0" w:firstLine="567" w:firstLineChars="0"/>
        <w:rPr>
          <w:rFonts w:ascii="宋体" w:hAnsi="宋体"/>
          <w:sz w:val="28"/>
          <w:szCs w:val="28"/>
        </w:rPr>
      </w:pPr>
      <w:r>
        <w:rPr>
          <w:rFonts w:hint="eastAsia" w:ascii="宋体" w:hAnsi="宋体"/>
          <w:sz w:val="28"/>
          <w:szCs w:val="28"/>
        </w:rPr>
        <w:t>总价金额与按单价汇总金额不一致的，以单价汇总金额计算结果为准；</w:t>
      </w:r>
    </w:p>
    <w:p>
      <w:pPr>
        <w:spacing w:line="360" w:lineRule="auto"/>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报价经供应商以书面形式进行确认，并加盖公章，或者由</w:t>
      </w:r>
      <w:r>
        <w:rPr>
          <w:rFonts w:hint="eastAsia" w:ascii="宋体" w:hAnsi="宋体"/>
          <w:sz w:val="28"/>
        </w:rPr>
        <w:t>法定代表人</w:t>
      </w:r>
      <w:r>
        <w:rPr>
          <w:rFonts w:hint="eastAsia" w:cs="Arial"/>
          <w:sz w:val="28"/>
          <w:szCs w:val="28"/>
        </w:rPr>
        <w:t>或其授权的代表签字后产生约束力，供应商不确认的，其</w:t>
      </w:r>
      <w:r>
        <w:rPr>
          <w:rFonts w:hint="eastAsia" w:ascii="宋体" w:hAnsi="宋体"/>
          <w:sz w:val="28"/>
          <w:szCs w:val="28"/>
        </w:rPr>
        <w:t>最后</w:t>
      </w:r>
      <w:r>
        <w:rPr>
          <w:rFonts w:hint="eastAsia" w:cs="Arial"/>
          <w:sz w:val="28"/>
          <w:szCs w:val="28"/>
        </w:rPr>
        <w:t>报价无效。</w:t>
      </w:r>
    </w:p>
    <w:p>
      <w:pPr>
        <w:spacing w:line="360" w:lineRule="auto"/>
        <w:ind w:firstLine="560" w:firstLineChars="200"/>
        <w:rPr>
          <w:rFonts w:cs="Arial"/>
          <w:sz w:val="28"/>
          <w:szCs w:val="28"/>
        </w:rPr>
      </w:pPr>
      <w:r>
        <w:rPr>
          <w:rFonts w:hint="eastAsia" w:cs="Arial"/>
          <w:sz w:val="28"/>
          <w:szCs w:val="28"/>
        </w:rPr>
        <w:t>对不同语言文本响应文件的解释发生异议的，以中文文本为准。</w:t>
      </w:r>
    </w:p>
    <w:p>
      <w:pPr>
        <w:numPr>
          <w:ilvl w:val="0"/>
          <w:numId w:val="41"/>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有效最后报价的供应商不足二家的，采购失败。</w:t>
      </w:r>
    </w:p>
    <w:p>
      <w:pPr>
        <w:pStyle w:val="5"/>
        <w:numPr>
          <w:ilvl w:val="2"/>
          <w:numId w:val="44"/>
        </w:numPr>
        <w:spacing w:after="200"/>
        <w:ind w:left="1135" w:hanging="1135"/>
        <w:rPr>
          <w:color w:val="auto"/>
        </w:rPr>
      </w:pPr>
      <w:r>
        <w:rPr>
          <w:rFonts w:hint="eastAsia"/>
          <w:color w:val="auto"/>
        </w:rPr>
        <w:t>解释、澄清、说明的有关问题</w:t>
      </w:r>
    </w:p>
    <w:p>
      <w:pPr>
        <w:numPr>
          <w:ilvl w:val="0"/>
          <w:numId w:val="45"/>
        </w:numPr>
        <w:tabs>
          <w:tab w:val="left" w:pos="1134"/>
        </w:tabs>
        <w:spacing w:after="200" w:line="360" w:lineRule="auto"/>
        <w:ind w:left="0" w:firstLine="567"/>
        <w:rPr>
          <w:rFonts w:ascii="宋体" w:hAnsi="宋体"/>
          <w:sz w:val="28"/>
          <w:szCs w:val="28"/>
        </w:rPr>
      </w:pPr>
      <w:r>
        <w:rPr>
          <w:rFonts w:hint="eastAsia" w:ascii="宋体" w:hAnsi="宋体"/>
          <w:sz w:val="28"/>
          <w:szCs w:val="28"/>
        </w:rPr>
        <w:t>评审过程中，磋商小组认为磋商文件有关事项表述不明确或需要说明的，可以提请成都东部新区党工委管委会（成都市东部新城办）综合部书面解释。成都东部新区党工委管委会（成都市东部新城办）综合部的解释不得改变磋商文件的原义或者影响公平、公正，解释事项如果涉及供应商权益的以有利于供应商的原则进行解释。</w:t>
      </w:r>
    </w:p>
    <w:p>
      <w:pPr>
        <w:numPr>
          <w:ilvl w:val="0"/>
          <w:numId w:val="45"/>
        </w:numPr>
        <w:tabs>
          <w:tab w:val="left" w:pos="1134"/>
        </w:tabs>
        <w:spacing w:after="200" w:line="360" w:lineRule="auto"/>
        <w:ind w:left="0" w:firstLine="567"/>
        <w:rPr>
          <w:rFonts w:ascii="宋体" w:hAnsi="宋体"/>
          <w:sz w:val="28"/>
          <w:szCs w:val="28"/>
        </w:rPr>
      </w:pPr>
      <w:r>
        <w:rPr>
          <w:rFonts w:hint="eastAsia" w:ascii="宋体" w:hAnsi="宋体"/>
          <w:sz w:val="28"/>
          <w:szCs w:val="28"/>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560" w:firstLineChars="200"/>
        <w:rPr>
          <w:rFonts w:ascii="宋体" w:hAnsi="宋体"/>
          <w:sz w:val="28"/>
          <w:szCs w:val="28"/>
        </w:rPr>
      </w:pPr>
      <w:r>
        <w:rPr>
          <w:rFonts w:hint="eastAsia" w:ascii="宋体" w:hAnsi="宋体"/>
          <w:sz w:val="28"/>
          <w:szCs w:val="28"/>
        </w:rPr>
        <w:t>磋商小组要求供应商澄清、说明或者更正响应文件应当以书面形式作出（须由磋商小组全体成员签字），并给予供应商必要的反馈时间。供应商的澄清、说明或者更正应当采用书面形式，并加盖公章，或者由</w:t>
      </w:r>
      <w:r>
        <w:rPr>
          <w:rFonts w:hint="eastAsia" w:ascii="宋体" w:hAnsi="宋体"/>
          <w:sz w:val="28"/>
        </w:rPr>
        <w:t>法定代表人</w:t>
      </w:r>
      <w:r>
        <w:rPr>
          <w:rFonts w:hint="eastAsia" w:ascii="宋体" w:hAnsi="宋体"/>
          <w:sz w:val="28"/>
          <w:szCs w:val="28"/>
        </w:rPr>
        <w:t>或其授权的代表签字。澄清不影响响应文件的效力，有效的澄清材料，是响应文件的组成部分。</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磋商小组应当积极履行澄清、说明或者更正的职责，不得滥用权力。</w:t>
      </w:r>
    </w:p>
    <w:p>
      <w:pPr>
        <w:pStyle w:val="5"/>
        <w:numPr>
          <w:ilvl w:val="2"/>
          <w:numId w:val="44"/>
        </w:numPr>
        <w:spacing w:after="200"/>
        <w:ind w:left="1135" w:hanging="1135"/>
        <w:rPr>
          <w:color w:val="auto"/>
        </w:rPr>
      </w:pPr>
      <w:r>
        <w:rPr>
          <w:rFonts w:hint="eastAsia"/>
          <w:color w:val="auto"/>
        </w:rPr>
        <w:t>磋商小组复核</w:t>
      </w:r>
    </w:p>
    <w:p>
      <w:pPr>
        <w:spacing w:line="360" w:lineRule="auto"/>
        <w:ind w:firstLine="560" w:firstLineChars="200"/>
        <w:rPr>
          <w:rFonts w:ascii="宋体" w:hAnsi="宋体"/>
          <w:sz w:val="28"/>
          <w:szCs w:val="28"/>
        </w:rPr>
      </w:pPr>
      <w:r>
        <w:rPr>
          <w:rFonts w:hint="eastAsia" w:ascii="宋体" w:hAnsi="宋体"/>
          <w:sz w:val="28"/>
          <w:szCs w:val="28"/>
        </w:rPr>
        <w:t>评审结束后，磋商小组应当进行复核，特别要对拟推荐为成交候选供应商的、报价最低的、响应文件被认定为无效的进行重点复核。</w:t>
      </w:r>
    </w:p>
    <w:p>
      <w:pPr>
        <w:spacing w:line="360" w:lineRule="auto"/>
        <w:ind w:firstLine="560" w:firstLineChars="200"/>
        <w:rPr>
          <w:rFonts w:ascii="宋体" w:hAnsi="宋体"/>
          <w:sz w:val="28"/>
          <w:szCs w:val="28"/>
        </w:rPr>
      </w:pPr>
      <w:r>
        <w:rPr>
          <w:rFonts w:hint="eastAsia" w:ascii="宋体" w:hAnsi="宋体"/>
          <w:sz w:val="28"/>
          <w:szCs w:val="28"/>
        </w:rPr>
        <w:t>评审结果汇总完成后，磋商小组拟出具评审报告前，成都东部新区党工委管委会（成都市东部新城办）综合部应当组织2名以上的工作人员，在采购现场监督人员的监督之下，依据有关的法律制度和采购文件对评审结果进行复核，出具复核报告。</w:t>
      </w:r>
    </w:p>
    <w:p>
      <w:pPr>
        <w:spacing w:line="360" w:lineRule="auto"/>
        <w:ind w:firstLine="560" w:firstLineChars="200"/>
        <w:rPr>
          <w:rFonts w:ascii="宋体" w:hAnsi="宋体"/>
          <w:sz w:val="28"/>
          <w:szCs w:val="28"/>
        </w:rPr>
      </w:pPr>
      <w:r>
        <w:rPr>
          <w:rFonts w:hint="eastAsia" w:ascii="宋体" w:hAnsi="宋体"/>
          <w:sz w:val="28"/>
          <w:szCs w:val="28"/>
        </w:rPr>
        <w:t>评审结果汇总完成后，除下列情形外，任何人不得修改评审结果：</w:t>
      </w:r>
    </w:p>
    <w:p>
      <w:pPr>
        <w:pStyle w:val="80"/>
        <w:numPr>
          <w:ilvl w:val="0"/>
          <w:numId w:val="46"/>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资格性认定错误；</w:t>
      </w:r>
    </w:p>
    <w:p>
      <w:pPr>
        <w:pStyle w:val="80"/>
        <w:numPr>
          <w:ilvl w:val="0"/>
          <w:numId w:val="46"/>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分值汇总计算错误的；</w:t>
      </w:r>
    </w:p>
    <w:p>
      <w:pPr>
        <w:pStyle w:val="80"/>
        <w:numPr>
          <w:ilvl w:val="0"/>
          <w:numId w:val="46"/>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分项评分超出评分标准范围的；</w:t>
      </w:r>
    </w:p>
    <w:p>
      <w:pPr>
        <w:pStyle w:val="80"/>
        <w:numPr>
          <w:ilvl w:val="0"/>
          <w:numId w:val="46"/>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磋商小组成员对客观评审因素评分不一致的；</w:t>
      </w:r>
    </w:p>
    <w:p>
      <w:pPr>
        <w:pStyle w:val="80"/>
        <w:numPr>
          <w:ilvl w:val="0"/>
          <w:numId w:val="46"/>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经磋商小组认定评分畸高、畸低的。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rPr>
          <w:rFonts w:ascii="宋体" w:hAnsi="宋体"/>
          <w:sz w:val="28"/>
          <w:szCs w:val="28"/>
        </w:rPr>
      </w:pPr>
      <w:r>
        <w:rPr>
          <w:rFonts w:hint="eastAsia" w:ascii="宋体" w:hAnsi="宋体"/>
          <w:sz w:val="28"/>
          <w:szCs w:val="28"/>
        </w:rPr>
        <w:t>采购人、采购代理机构发现磋商小组未按照磋商文件规定的评审标准进行评审的，应当重新开展采购活动，并同时书面报告本级财政部门。</w:t>
      </w:r>
    </w:p>
    <w:p>
      <w:pPr>
        <w:pStyle w:val="5"/>
        <w:numPr>
          <w:ilvl w:val="2"/>
          <w:numId w:val="44"/>
        </w:numPr>
        <w:spacing w:after="200"/>
        <w:ind w:left="1135" w:hanging="1135"/>
        <w:rPr>
          <w:color w:val="auto"/>
        </w:rPr>
      </w:pPr>
      <w:r>
        <w:rPr>
          <w:rFonts w:hint="eastAsia"/>
          <w:color w:val="auto"/>
        </w:rPr>
        <w:t>推荐成交侯选供应商</w:t>
      </w:r>
    </w:p>
    <w:p>
      <w:pPr>
        <w:spacing w:line="360" w:lineRule="auto"/>
        <w:ind w:firstLine="565" w:firstLineChars="202"/>
        <w:rPr>
          <w:rFonts w:ascii="宋体" w:hAnsi="宋体"/>
          <w:sz w:val="28"/>
          <w:szCs w:val="28"/>
        </w:rPr>
      </w:pPr>
      <w:r>
        <w:rPr>
          <w:rFonts w:hint="eastAsia" w:ascii="宋体" w:hAnsi="宋体"/>
          <w:sz w:val="28"/>
          <w:szCs w:val="28"/>
        </w:rPr>
        <w:t>磋商小组应当根据综合评分情况，按照评审得分由高到低顺序推荐2名以上成交候选供应商，并编写评审报告。评审得分相同的，按照最后报价由低到高的顺序推荐。评审得分且最后报价相同的，按照技术指标优劣（技术类分项得分高低）顺序推荐。</w:t>
      </w:r>
    </w:p>
    <w:p>
      <w:pPr>
        <w:pStyle w:val="5"/>
        <w:numPr>
          <w:ilvl w:val="2"/>
          <w:numId w:val="44"/>
        </w:numPr>
        <w:spacing w:after="200"/>
        <w:ind w:left="1135" w:hanging="1135"/>
        <w:rPr>
          <w:color w:val="auto"/>
        </w:rPr>
      </w:pPr>
      <w:r>
        <w:rPr>
          <w:rFonts w:hint="eastAsia"/>
          <w:color w:val="auto"/>
        </w:rPr>
        <w:t>编写评审报告</w:t>
      </w:r>
    </w:p>
    <w:p>
      <w:pPr>
        <w:spacing w:line="360" w:lineRule="auto"/>
        <w:ind w:firstLine="560" w:firstLineChars="200"/>
        <w:rPr>
          <w:rFonts w:ascii="宋体" w:hAnsi="宋体"/>
          <w:sz w:val="28"/>
          <w:szCs w:val="28"/>
        </w:rPr>
      </w:pPr>
      <w:r>
        <w:rPr>
          <w:rFonts w:hint="eastAsia" w:ascii="宋体" w:hAnsi="宋体"/>
          <w:sz w:val="28"/>
          <w:szCs w:val="28"/>
        </w:rPr>
        <w:t>评审报告是磋商小组根据全体成员签字的原始评审记录和评审结果编写的报告，其主要内容包括：</w:t>
      </w:r>
    </w:p>
    <w:p>
      <w:pPr>
        <w:pStyle w:val="80"/>
        <w:numPr>
          <w:ilvl w:val="0"/>
          <w:numId w:val="47"/>
        </w:numPr>
        <w:tabs>
          <w:tab w:val="left" w:pos="1134"/>
        </w:tabs>
        <w:spacing w:after="200" w:line="360" w:lineRule="auto"/>
        <w:ind w:firstLineChars="0"/>
        <w:rPr>
          <w:rFonts w:ascii="宋体" w:hAnsi="宋体" w:eastAsia="宋体"/>
          <w:sz w:val="28"/>
          <w:szCs w:val="28"/>
        </w:rPr>
      </w:pPr>
      <w:r>
        <w:rPr>
          <w:rFonts w:hint="eastAsia" w:ascii="宋体" w:hAnsi="宋体" w:eastAsia="宋体"/>
          <w:sz w:val="28"/>
          <w:szCs w:val="28"/>
        </w:rPr>
        <w:t>邀请供应商参加采购活动的具体方式和相关情况；</w:t>
      </w:r>
    </w:p>
    <w:p>
      <w:pPr>
        <w:pStyle w:val="80"/>
        <w:numPr>
          <w:ilvl w:val="0"/>
          <w:numId w:val="47"/>
        </w:numPr>
        <w:tabs>
          <w:tab w:val="left" w:pos="1134"/>
        </w:tabs>
        <w:spacing w:after="200" w:line="360" w:lineRule="auto"/>
        <w:ind w:firstLineChars="0"/>
        <w:rPr>
          <w:rFonts w:ascii="宋体" w:hAnsi="宋体" w:eastAsia="宋体"/>
          <w:sz w:val="28"/>
          <w:szCs w:val="28"/>
        </w:rPr>
      </w:pPr>
      <w:r>
        <w:rPr>
          <w:rFonts w:hint="eastAsia" w:ascii="宋体" w:hAnsi="宋体" w:eastAsia="宋体"/>
          <w:sz w:val="28"/>
          <w:szCs w:val="28"/>
        </w:rPr>
        <w:t>响应文件开启日期和地点；</w:t>
      </w:r>
    </w:p>
    <w:p>
      <w:pPr>
        <w:pStyle w:val="80"/>
        <w:numPr>
          <w:ilvl w:val="0"/>
          <w:numId w:val="47"/>
        </w:numPr>
        <w:tabs>
          <w:tab w:val="left" w:pos="1134"/>
        </w:tabs>
        <w:spacing w:after="200" w:line="360" w:lineRule="auto"/>
        <w:ind w:firstLineChars="0"/>
        <w:rPr>
          <w:rFonts w:ascii="宋体" w:hAnsi="宋体" w:eastAsia="宋体"/>
          <w:sz w:val="28"/>
          <w:szCs w:val="28"/>
        </w:rPr>
      </w:pPr>
      <w:r>
        <w:rPr>
          <w:rFonts w:hint="eastAsia" w:ascii="宋体" w:hAnsi="宋体" w:eastAsia="宋体"/>
          <w:sz w:val="28"/>
          <w:szCs w:val="28"/>
        </w:rPr>
        <w:t>获取磋商文件的供应商名单和磋商小组成员名单；</w:t>
      </w:r>
    </w:p>
    <w:p>
      <w:pPr>
        <w:pStyle w:val="80"/>
        <w:numPr>
          <w:ilvl w:val="0"/>
          <w:numId w:val="47"/>
        </w:numPr>
        <w:tabs>
          <w:tab w:val="left" w:pos="1134"/>
        </w:tabs>
        <w:spacing w:after="200" w:line="360" w:lineRule="auto"/>
        <w:ind w:left="0" w:firstLine="560" w:firstLineChars="0"/>
        <w:rPr>
          <w:rFonts w:ascii="宋体" w:hAnsi="宋体" w:eastAsia="宋体"/>
          <w:sz w:val="28"/>
          <w:szCs w:val="28"/>
        </w:rPr>
      </w:pPr>
      <w:r>
        <w:rPr>
          <w:rFonts w:hint="eastAsia" w:ascii="宋体" w:hAnsi="宋体" w:eastAsia="宋体"/>
          <w:sz w:val="28"/>
          <w:szCs w:val="28"/>
        </w:rPr>
        <w:t>评审情况记录和说明，包括对供应商的资格审查情况、供应商响应文件评审情况、磋商情况、报价情况等；</w:t>
      </w:r>
    </w:p>
    <w:p>
      <w:pPr>
        <w:pStyle w:val="80"/>
        <w:numPr>
          <w:ilvl w:val="0"/>
          <w:numId w:val="47"/>
        </w:numPr>
        <w:tabs>
          <w:tab w:val="left" w:pos="1134"/>
        </w:tabs>
        <w:spacing w:after="200" w:line="360" w:lineRule="auto"/>
        <w:ind w:left="0" w:firstLine="560" w:firstLineChars="0"/>
        <w:rPr>
          <w:rFonts w:ascii="宋体" w:hAnsi="宋体" w:eastAsia="宋体"/>
          <w:sz w:val="28"/>
          <w:szCs w:val="28"/>
        </w:rPr>
      </w:pPr>
      <w:r>
        <w:rPr>
          <w:rFonts w:hint="eastAsia" w:ascii="宋体" w:hAnsi="宋体" w:eastAsia="宋体"/>
          <w:sz w:val="28"/>
          <w:szCs w:val="28"/>
        </w:rPr>
        <w:t>提出的成交候选供应商的排序名单及理由。最后报价最高的供应商为成交候选供应商的，磋商小组应当对其报价的合理性予以特别说明。</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评审报告上签字又不书面说明其不同意见和理由的，视为同意评审报告。</w:t>
      </w:r>
    </w:p>
    <w:p>
      <w:pPr>
        <w:pStyle w:val="4"/>
        <w:numPr>
          <w:ilvl w:val="1"/>
          <w:numId w:val="44"/>
        </w:numPr>
        <w:spacing w:after="200"/>
        <w:ind w:left="1985" w:hanging="1985"/>
      </w:pPr>
      <w:bookmarkStart w:id="103" w:name="_Toc494095665"/>
      <w:bookmarkEnd w:id="103"/>
      <w:bookmarkStart w:id="104" w:name="_Toc494357018"/>
      <w:bookmarkEnd w:id="104"/>
      <w:bookmarkStart w:id="105" w:name="_Toc7481"/>
      <w:bookmarkStart w:id="106" w:name="_Toc58943347"/>
      <w:r>
        <w:rPr>
          <w:rFonts w:hint="eastAsia"/>
        </w:rPr>
        <w:t>争议处理规则</w:t>
      </w:r>
      <w:bookmarkEnd w:id="105"/>
      <w:bookmarkEnd w:id="106"/>
    </w:p>
    <w:p>
      <w:pPr>
        <w:tabs>
          <w:tab w:val="left" w:pos="1155"/>
        </w:tabs>
        <w:spacing w:line="360" w:lineRule="auto"/>
        <w:ind w:firstLine="565" w:firstLineChars="202"/>
      </w:pPr>
      <w:r>
        <w:rPr>
          <w:rFonts w:hint="eastAsia" w:ascii="宋体" w:hAnsi="宋体"/>
          <w:sz w:val="28"/>
          <w:szCs w:val="28"/>
        </w:rPr>
        <w:t>磋商小组在评审过程中，对于资格性审查、符合性审查、对供应商文件做无效响应文件处理及其他需要共同认定的事项存在争议的，应当以少数服从多数的原则做出结论，但不得违背法律法规和磋商文件规定。</w:t>
      </w:r>
      <w:r>
        <w:rPr>
          <w:rFonts w:hint="eastAsia" w:cs="Arial"/>
          <w:sz w:val="28"/>
          <w:szCs w:val="28"/>
        </w:rPr>
        <w:t>持不同意见的磋商小组成员应当在评审报告上签署不同意见及理由，否则视为同意评审报告。</w:t>
      </w:r>
      <w:r>
        <w:rPr>
          <w:rFonts w:hint="eastAsia" w:ascii="宋体" w:hAnsi="宋体"/>
          <w:sz w:val="28"/>
          <w:szCs w:val="28"/>
        </w:rPr>
        <w:t>持不同意见的磋商小组成员认为认定过程和结果不符合法律法规或者磋商文件规定的，应当及时向成都东部新区党工委管委会（成都市东部新城办）综合部书面反映。成都东部新区党工委管委会（成都市东部新城办）综合部收到书面反映后，应当书面报告采购项目同级财政部门依法处理。</w:t>
      </w:r>
    </w:p>
    <w:p>
      <w:pPr>
        <w:pStyle w:val="4"/>
        <w:numPr>
          <w:ilvl w:val="1"/>
          <w:numId w:val="44"/>
        </w:numPr>
        <w:spacing w:after="200"/>
        <w:ind w:left="1985" w:hanging="1985"/>
      </w:pPr>
      <w:bookmarkStart w:id="107" w:name="_Toc58943348"/>
      <w:bookmarkStart w:id="108" w:name="_Toc24425"/>
      <w:r>
        <w:rPr>
          <w:rFonts w:hint="eastAsia"/>
        </w:rPr>
        <w:t>评审办法和标准</w:t>
      </w:r>
      <w:bookmarkEnd w:id="107"/>
      <w:bookmarkEnd w:id="108"/>
    </w:p>
    <w:p>
      <w:pPr>
        <w:pStyle w:val="24"/>
        <w:snapToGrid w:val="0"/>
        <w:spacing w:line="360" w:lineRule="auto"/>
        <w:ind w:firstLine="560" w:firstLineChars="200"/>
        <w:rPr>
          <w:rFonts w:hAnsi="宋体"/>
          <w:sz w:val="28"/>
          <w:szCs w:val="28"/>
        </w:rPr>
      </w:pPr>
      <w:r>
        <w:rPr>
          <w:rFonts w:hint="eastAsia" w:hAnsi="宋体"/>
          <w:sz w:val="28"/>
          <w:szCs w:val="28"/>
        </w:rPr>
        <w:t>一、由磋商小组根据磋商文件的要求采用相同的评审程序、评分办法及标准对提交最后报价的供应商的响应文件和最后报价进行综合评分；</w:t>
      </w:r>
    </w:p>
    <w:p>
      <w:pPr>
        <w:tabs>
          <w:tab w:val="left" w:pos="1155"/>
        </w:tabs>
        <w:spacing w:line="360" w:lineRule="auto"/>
        <w:ind w:firstLine="560" w:firstLineChars="200"/>
        <w:rPr>
          <w:rFonts w:ascii="宋体" w:hAnsi="宋体"/>
          <w:sz w:val="28"/>
          <w:szCs w:val="28"/>
        </w:rPr>
      </w:pPr>
      <w:r>
        <w:rPr>
          <w:rFonts w:hint="eastAsia" w:ascii="宋体" w:hAnsi="宋体"/>
          <w:sz w:val="28"/>
          <w:szCs w:val="28"/>
        </w:rPr>
        <w:t>二、本次综合评分的因素是：价格、技术、服务等；</w:t>
      </w:r>
    </w:p>
    <w:p>
      <w:pPr>
        <w:tabs>
          <w:tab w:val="left" w:pos="1155"/>
        </w:tabs>
        <w:spacing w:line="360" w:lineRule="auto"/>
        <w:ind w:firstLine="560" w:firstLineChars="200"/>
      </w:pPr>
      <w:r>
        <w:rPr>
          <w:rFonts w:hint="eastAsia" w:ascii="宋体" w:hAnsi="宋体"/>
          <w:sz w:val="28"/>
          <w:szCs w:val="28"/>
        </w:rPr>
        <w:t>三、评审时，磋商小组各成员应当独立对每个有效响应的文件进行评价、打分，各位评委得分的算术平均数为供应商的最终得分，然后汇总每个供应商每项评分因素的得分。</w:t>
      </w:r>
    </w:p>
    <w:p>
      <w:pPr>
        <w:pStyle w:val="5"/>
        <w:numPr>
          <w:ilvl w:val="2"/>
          <w:numId w:val="44"/>
        </w:numPr>
        <w:spacing w:after="200"/>
        <w:ind w:left="1135" w:hanging="1135"/>
        <w:rPr>
          <w:color w:val="auto"/>
        </w:rPr>
      </w:pPr>
      <w:r>
        <w:rPr>
          <w:rFonts w:hint="eastAsia"/>
          <w:color w:val="auto"/>
        </w:rPr>
        <w:t>评分办法</w:t>
      </w:r>
    </w:p>
    <w:p>
      <w:pPr>
        <w:pStyle w:val="24"/>
        <w:snapToGrid w:val="0"/>
        <w:spacing w:line="360" w:lineRule="auto"/>
        <w:ind w:firstLine="560" w:firstLineChars="200"/>
        <w:rPr>
          <w:rFonts w:hAnsi="宋体"/>
          <w:sz w:val="28"/>
          <w:szCs w:val="28"/>
        </w:rPr>
      </w:pPr>
      <w:r>
        <w:rPr>
          <w:rFonts w:hint="eastAsia" w:hAnsi="宋体"/>
          <w:sz w:val="28"/>
          <w:szCs w:val="28"/>
        </w:rPr>
        <w:t>本次评审采用综合评分法，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sz w:val="28"/>
          <w:szCs w:val="28"/>
        </w:rPr>
      </w:pPr>
      <w:r>
        <w:rPr>
          <w:rFonts w:hint="eastAsia" w:ascii="宋体" w:hAnsi="宋体"/>
          <w:sz w:val="28"/>
          <w:szCs w:val="28"/>
        </w:rPr>
        <w:t>评审得分＝（A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p>
    <w:p>
      <w:pPr>
        <w:spacing w:line="360" w:lineRule="auto"/>
        <w:ind w:firstLine="560" w:firstLineChars="200"/>
        <w:rPr>
          <w:rFonts w:ascii="宋体" w:hAnsi="宋体" w:cs="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分别为磋商小组每个成员的打分，n</w:t>
      </w:r>
      <w:r>
        <w:rPr>
          <w:rFonts w:hint="eastAsia" w:ascii="宋体" w:hAnsi="宋体"/>
          <w:sz w:val="28"/>
          <w:szCs w:val="28"/>
          <w:vertAlign w:val="subscript"/>
        </w:rPr>
        <w:t>1</w:t>
      </w:r>
      <w:r>
        <w:rPr>
          <w:rFonts w:hint="eastAsia" w:ascii="宋体" w:hAnsi="宋体"/>
          <w:sz w:val="28"/>
          <w:szCs w:val="28"/>
        </w:rPr>
        <w:t>为磋商小组人数；B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sz w:val="28"/>
          <w:szCs w:val="28"/>
        </w:rPr>
        <w:t>技术类</w:t>
      </w:r>
      <w:r>
        <w:rPr>
          <w:rFonts w:hint="eastAsia" w:ascii="宋体" w:hAnsi="宋体"/>
          <w:sz w:val="28"/>
          <w:szCs w:val="28"/>
        </w:rPr>
        <w:t>评委（含采购人代表）人数。</w:t>
      </w:r>
    </w:p>
    <w:p>
      <w:pPr>
        <w:pStyle w:val="5"/>
        <w:numPr>
          <w:ilvl w:val="2"/>
          <w:numId w:val="44"/>
        </w:numPr>
        <w:spacing w:after="200"/>
        <w:ind w:left="1135" w:hanging="1135"/>
        <w:rPr>
          <w:color w:val="auto"/>
        </w:rPr>
      </w:pPr>
      <w:r>
        <w:rPr>
          <w:rFonts w:hint="eastAsia"/>
          <w:color w:val="auto"/>
        </w:rPr>
        <w:t>评分标准</w:t>
      </w:r>
    </w:p>
    <w:tbl>
      <w:tblPr>
        <w:tblStyle w:val="320"/>
        <w:tblW w:w="9781"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489"/>
        <w:gridCol w:w="1100"/>
        <w:gridCol w:w="6208"/>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widowControl w:val="0"/>
              <w:spacing w:after="200" w:line="360" w:lineRule="auto"/>
              <w:jc w:val="center"/>
              <w:rPr>
                <w:rFonts w:ascii="宋体" w:hAnsi="宋体" w:cs="宋体"/>
                <w:b/>
              </w:rPr>
            </w:pPr>
            <w:r>
              <w:rPr>
                <w:rFonts w:hint="eastAsia" w:ascii="宋体" w:hAnsi="宋体" w:cs="宋体"/>
                <w:b/>
              </w:rPr>
              <w:t>评委</w:t>
            </w:r>
          </w:p>
          <w:p>
            <w:pPr>
              <w:widowControl w:val="0"/>
              <w:spacing w:after="200" w:line="360" w:lineRule="auto"/>
              <w:jc w:val="center"/>
              <w:rPr>
                <w:rFonts w:ascii="宋体" w:hAnsi="宋体" w:cs="宋体"/>
                <w:b/>
              </w:rPr>
            </w:pPr>
            <w:r>
              <w:rPr>
                <w:rFonts w:hint="eastAsia" w:ascii="宋体" w:hAnsi="宋体" w:cs="宋体"/>
                <w:b/>
              </w:rPr>
              <w:t>类别</w:t>
            </w:r>
          </w:p>
        </w:tc>
        <w:tc>
          <w:tcPr>
            <w:tcW w:w="1589" w:type="dxa"/>
            <w:gridSpan w:val="2"/>
            <w:vAlign w:val="center"/>
          </w:tcPr>
          <w:p>
            <w:pPr>
              <w:widowControl w:val="0"/>
              <w:spacing w:after="200" w:line="360" w:lineRule="auto"/>
              <w:jc w:val="center"/>
              <w:rPr>
                <w:rFonts w:ascii="宋体" w:hAnsi="宋体" w:cs="宋体"/>
                <w:b/>
              </w:rPr>
            </w:pPr>
            <w:r>
              <w:rPr>
                <w:rFonts w:hint="eastAsia" w:ascii="宋体" w:hAnsi="宋体" w:cs="宋体"/>
                <w:b/>
              </w:rPr>
              <w:t>评审</w:t>
            </w:r>
          </w:p>
          <w:p>
            <w:pPr>
              <w:widowControl w:val="0"/>
              <w:spacing w:after="200" w:line="360" w:lineRule="auto"/>
              <w:jc w:val="center"/>
              <w:rPr>
                <w:rFonts w:ascii="宋体" w:hAnsi="宋体" w:cs="宋体"/>
                <w:b/>
              </w:rPr>
            </w:pPr>
            <w:r>
              <w:rPr>
                <w:rFonts w:hint="eastAsia" w:ascii="宋体" w:hAnsi="宋体" w:cs="宋体"/>
                <w:b/>
              </w:rPr>
              <w:t>项目</w:t>
            </w:r>
          </w:p>
        </w:tc>
        <w:tc>
          <w:tcPr>
            <w:tcW w:w="6208" w:type="dxa"/>
            <w:vAlign w:val="center"/>
          </w:tcPr>
          <w:p>
            <w:pPr>
              <w:widowControl w:val="0"/>
              <w:spacing w:after="200" w:line="360" w:lineRule="auto"/>
              <w:jc w:val="center"/>
              <w:rPr>
                <w:rFonts w:ascii="宋体" w:hAnsi="宋体" w:cs="宋体"/>
                <w:b/>
              </w:rPr>
            </w:pPr>
            <w:r>
              <w:rPr>
                <w:rFonts w:hint="eastAsia" w:ascii="宋体" w:hAnsi="宋体" w:cs="宋体"/>
                <w:b/>
              </w:rPr>
              <w:t>评分标准</w:t>
            </w:r>
          </w:p>
        </w:tc>
        <w:tc>
          <w:tcPr>
            <w:tcW w:w="850" w:type="dxa"/>
            <w:vAlign w:val="center"/>
          </w:tcPr>
          <w:p>
            <w:pPr>
              <w:widowControl w:val="0"/>
              <w:spacing w:after="200" w:line="360" w:lineRule="auto"/>
              <w:jc w:val="center"/>
              <w:rPr>
                <w:rFonts w:ascii="宋体" w:hAnsi="宋体" w:cs="宋体"/>
                <w:b/>
              </w:rPr>
            </w:pPr>
            <w:r>
              <w:rPr>
                <w:rFonts w:hint="eastAsia" w:ascii="宋体" w:hAnsi="宋体" w:cs="宋体"/>
                <w:b/>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1134" w:type="dxa"/>
            <w:vAlign w:val="center"/>
          </w:tcPr>
          <w:p>
            <w:pPr>
              <w:widowControl w:val="0"/>
              <w:spacing w:after="200" w:line="276" w:lineRule="auto"/>
              <w:jc w:val="center"/>
              <w:rPr>
                <w:rFonts w:ascii="宋体" w:hAnsi="宋体" w:cs="宋体"/>
              </w:rPr>
            </w:pPr>
            <w:r>
              <w:rPr>
                <w:rFonts w:hint="eastAsia" w:ascii="宋体" w:hAnsi="宋体" w:cs="宋体"/>
                <w:b/>
              </w:rPr>
              <w:t>磋商小组成员</w:t>
            </w:r>
          </w:p>
        </w:tc>
        <w:tc>
          <w:tcPr>
            <w:tcW w:w="1589" w:type="dxa"/>
            <w:gridSpan w:val="2"/>
            <w:vAlign w:val="center"/>
          </w:tcPr>
          <w:p>
            <w:pPr>
              <w:widowControl w:val="0"/>
              <w:spacing w:after="200" w:line="360" w:lineRule="auto"/>
              <w:jc w:val="center"/>
              <w:rPr>
                <w:rFonts w:ascii="宋体" w:hAnsi="宋体" w:cs="宋体"/>
              </w:rPr>
            </w:pPr>
            <w:r>
              <w:rPr>
                <w:rFonts w:hint="eastAsia" w:ascii="宋体" w:hAnsi="宋体" w:cs="宋体"/>
              </w:rPr>
              <w:t>报价</w:t>
            </w:r>
          </w:p>
          <w:p>
            <w:pPr>
              <w:widowControl w:val="0"/>
              <w:spacing w:after="200" w:line="360" w:lineRule="auto"/>
              <w:jc w:val="center"/>
              <w:rPr>
                <w:rFonts w:ascii="宋体" w:hAnsi="宋体" w:cs="宋体"/>
              </w:rPr>
            </w:pPr>
            <w:r>
              <w:rPr>
                <w:rFonts w:hint="eastAsia" w:ascii="宋体" w:hAnsi="宋体" w:cs="宋体"/>
              </w:rPr>
              <w:t>评审</w:t>
            </w:r>
          </w:p>
        </w:tc>
        <w:tc>
          <w:tcPr>
            <w:tcW w:w="6208" w:type="dxa"/>
            <w:vAlign w:val="center"/>
          </w:tcPr>
          <w:p>
            <w:pPr>
              <w:widowControl w:val="0"/>
              <w:spacing w:after="200" w:line="360" w:lineRule="exact"/>
              <w:jc w:val="both"/>
              <w:rPr>
                <w:rFonts w:ascii="宋体" w:hAnsi="宋体"/>
              </w:rPr>
            </w:pPr>
            <w:r>
              <w:rPr>
                <w:rFonts w:hint="eastAsia" w:ascii="宋体" w:hAnsi="宋体"/>
              </w:rPr>
              <w:t>1、经磋商小组评审，响应文件满足磋商文件最低要求，且最后报价最低的供应商的报价作为磋商基准价；</w:t>
            </w:r>
          </w:p>
          <w:p>
            <w:pPr>
              <w:widowControl w:val="0"/>
              <w:spacing w:after="200" w:line="276" w:lineRule="auto"/>
              <w:jc w:val="both"/>
              <w:rPr>
                <w:rFonts w:ascii="宋体" w:hAnsi="宋体" w:cs="宋体"/>
              </w:rPr>
            </w:pPr>
            <w:r>
              <w:rPr>
                <w:rFonts w:hint="eastAsia" w:ascii="宋体" w:hAnsi="宋体"/>
              </w:rPr>
              <w:t>2、报价得分=(磋商基准价／最后报价)×10。</w:t>
            </w:r>
          </w:p>
        </w:tc>
        <w:tc>
          <w:tcPr>
            <w:tcW w:w="850" w:type="dxa"/>
            <w:vAlign w:val="center"/>
          </w:tcPr>
          <w:p>
            <w:pPr>
              <w:widowControl w:val="0"/>
              <w:spacing w:after="200" w:line="276" w:lineRule="auto"/>
              <w:jc w:val="center"/>
              <w:rPr>
                <w:rFonts w:ascii="宋体" w:hAnsi="宋体" w:cs="宋体"/>
              </w:rPr>
            </w:pPr>
            <w:r>
              <w:rPr>
                <w:rFonts w:hint="eastAsia" w:ascii="宋体" w:hAnsi="宋体" w:cs="宋体"/>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134" w:type="dxa"/>
            <w:vAlign w:val="center"/>
          </w:tcPr>
          <w:p>
            <w:pPr>
              <w:widowControl w:val="0"/>
              <w:spacing w:after="200" w:line="360" w:lineRule="exact"/>
              <w:jc w:val="center"/>
              <w:rPr>
                <w:rFonts w:ascii="宋体" w:hAnsi="宋体" w:cs="宋体"/>
                <w:b/>
              </w:rPr>
            </w:pPr>
            <w:r>
              <w:rPr>
                <w:rFonts w:hint="eastAsia" w:ascii="宋体" w:hAnsi="宋体" w:cs="宋体"/>
                <w:b/>
              </w:rPr>
              <w:t>磋商小组成员</w:t>
            </w:r>
          </w:p>
        </w:tc>
        <w:tc>
          <w:tcPr>
            <w:tcW w:w="1589" w:type="dxa"/>
            <w:gridSpan w:val="2"/>
            <w:vAlign w:val="center"/>
          </w:tcPr>
          <w:p>
            <w:pPr>
              <w:widowControl w:val="0"/>
              <w:spacing w:line="360" w:lineRule="auto"/>
              <w:jc w:val="center"/>
              <w:rPr>
                <w:rFonts w:ascii="宋体" w:hAnsi="宋体" w:cs="宋体"/>
              </w:rPr>
            </w:pPr>
            <w:r>
              <w:rPr>
                <w:rFonts w:hint="eastAsia" w:ascii="宋体" w:hAnsi="宋体" w:cs="宋体"/>
              </w:rPr>
              <w:t>人员</w:t>
            </w:r>
          </w:p>
          <w:p>
            <w:pPr>
              <w:widowControl w:val="0"/>
              <w:spacing w:line="360" w:lineRule="auto"/>
              <w:jc w:val="center"/>
              <w:rPr>
                <w:rFonts w:ascii="宋体" w:hAnsi="宋体"/>
                <w:b/>
              </w:rPr>
            </w:pPr>
            <w:r>
              <w:rPr>
                <w:rFonts w:hint="eastAsia" w:ascii="宋体" w:hAnsi="宋体" w:cs="宋体"/>
              </w:rPr>
              <w:t>配置</w:t>
            </w:r>
          </w:p>
        </w:tc>
        <w:tc>
          <w:tcPr>
            <w:tcW w:w="6208" w:type="dxa"/>
          </w:tcPr>
          <w:p>
            <w:pPr>
              <w:widowControl w:val="0"/>
              <w:spacing w:line="360" w:lineRule="auto"/>
              <w:jc w:val="both"/>
            </w:pPr>
            <w:r>
              <w:rPr>
                <w:rFonts w:hint="eastAsia"/>
              </w:rPr>
              <w:t>1、供应商拟派遣项目经理同时具有中级或中级以上职称、本科或本科及以上学历和从业时间5年以上的，得2分</w:t>
            </w:r>
            <w:r>
              <w:rPr>
                <w:rFonts w:hint="eastAsia"/>
                <w:b/>
                <w:bCs/>
              </w:rPr>
              <w:t>（注：供应商需提供相关人员清单、毕业证证书复印件和具有相关职称的承诺函原件并均加盖供应商公章，未提供的不得分）</w:t>
            </w:r>
            <w:r>
              <w:rPr>
                <w:rFonts w:hint="eastAsia"/>
              </w:rPr>
              <w:t>。</w:t>
            </w:r>
          </w:p>
          <w:p>
            <w:pPr>
              <w:widowControl w:val="0"/>
              <w:spacing w:line="360" w:lineRule="auto"/>
              <w:jc w:val="both"/>
            </w:pPr>
            <w:r>
              <w:rPr>
                <w:rFonts w:hint="eastAsia"/>
              </w:rPr>
              <w:t>2、供应商拟派遣项目经理具有成都市物业服务项目经理证书或注册物业管理师执业资格证书的，得2分</w:t>
            </w:r>
            <w:r>
              <w:rPr>
                <w:rFonts w:hint="eastAsia"/>
                <w:b/>
                <w:bCs/>
              </w:rPr>
              <w:t>（注：供应商需提供相关人员清单及相关证书复印件并加盖供应商公章，未提供的不得分）</w:t>
            </w:r>
            <w:r>
              <w:rPr>
                <w:rFonts w:hint="eastAsia"/>
              </w:rPr>
              <w:t>。</w:t>
            </w:r>
          </w:p>
          <w:p>
            <w:pPr>
              <w:widowControl w:val="0"/>
              <w:numPr>
                <w:ilvl w:val="0"/>
                <w:numId w:val="48"/>
              </w:numPr>
              <w:spacing w:line="360" w:lineRule="auto"/>
              <w:jc w:val="both"/>
            </w:pPr>
            <w:r>
              <w:rPr>
                <w:rFonts w:hint="eastAsia"/>
              </w:rPr>
              <w:t>项目其他管理人员需具有物业管理相关从业经验的，每提供1人得1分，最多得2分。</w:t>
            </w:r>
            <w:r>
              <w:rPr>
                <w:rFonts w:hint="eastAsia"/>
                <w:b/>
                <w:bCs/>
              </w:rPr>
              <w:t>（注：1、供应商需提供相关人员清单及相关人员工作简历（需体现从事物业管理相关工作的工作经历）并加盖供应商公章；2、同一人员不重复计分。）</w:t>
            </w:r>
          </w:p>
          <w:p>
            <w:pPr>
              <w:pStyle w:val="2"/>
              <w:widowControl w:val="0"/>
              <w:numPr>
                <w:ilvl w:val="0"/>
                <w:numId w:val="48"/>
              </w:numPr>
              <w:jc w:val="both"/>
            </w:pPr>
            <w:r>
              <w:rPr>
                <w:rFonts w:hint="eastAsia" w:ascii="Times New Roman" w:hAnsi="Times New Roman" w:eastAsia="宋体" w:cs="Times New Roman"/>
                <w:kern w:val="0"/>
              </w:rPr>
              <w:t>项目其他管理人员需应纳入成都市物业服务信用信息档案管理系统并同时持有执业名册证书的，</w:t>
            </w:r>
            <w:r>
              <w:rPr>
                <w:rFonts w:hint="eastAsia"/>
              </w:rPr>
              <w:t>每提供1人得1分，最多得2分</w:t>
            </w:r>
            <w:r>
              <w:rPr>
                <w:rFonts w:hint="eastAsia" w:ascii="Times New Roman" w:hAnsi="Times New Roman" w:eastAsia="宋体" w:cs="Times New Roman"/>
                <w:kern w:val="0"/>
              </w:rPr>
              <w:t>。</w:t>
            </w:r>
            <w:r>
              <w:rPr>
                <w:rFonts w:hint="eastAsia" w:ascii="Times New Roman" w:hAnsi="Times New Roman" w:eastAsia="宋体" w:cs="Times New Roman"/>
                <w:b/>
                <w:bCs/>
                <w:kern w:val="0"/>
              </w:rPr>
              <w:t>（注：1、供应商需提供相关人员清单、相关网站查询截图、相关证书复印件并加盖供应商公章；2、同一人员不重复计分。）</w:t>
            </w:r>
          </w:p>
        </w:tc>
        <w:tc>
          <w:tcPr>
            <w:tcW w:w="850" w:type="dxa"/>
            <w:vAlign w:val="center"/>
          </w:tcPr>
          <w:p>
            <w:pPr>
              <w:widowControl w:val="0"/>
              <w:spacing w:after="200" w:line="600" w:lineRule="exact"/>
              <w:jc w:val="center"/>
              <w:rPr>
                <w:rFonts w:ascii="宋体" w:hAnsi="宋体"/>
              </w:rPr>
            </w:pPr>
            <w:r>
              <w:rPr>
                <w:rFonts w:hint="eastAsia" w:ascii="宋体" w:hAnsi="宋体"/>
              </w:rPr>
              <w:t>8</w:t>
            </w:r>
            <w:r>
              <w:rPr>
                <w:rFonts w:ascii="宋体" w:hAnsi="宋体"/>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4" w:hRule="atLeast"/>
        </w:trPr>
        <w:tc>
          <w:tcPr>
            <w:tcW w:w="1134" w:type="dxa"/>
            <w:vAlign w:val="center"/>
          </w:tcPr>
          <w:p>
            <w:pPr>
              <w:widowControl w:val="0"/>
              <w:spacing w:after="200" w:line="276" w:lineRule="auto"/>
              <w:jc w:val="center"/>
              <w:rPr>
                <w:rFonts w:ascii="宋体" w:hAnsi="宋体" w:cs="宋体"/>
              </w:rPr>
            </w:pPr>
            <w:r>
              <w:rPr>
                <w:rFonts w:hint="eastAsia" w:ascii="宋体" w:hAnsi="宋体" w:cs="宋体"/>
                <w:b/>
              </w:rPr>
              <w:t>磋商小组成员</w:t>
            </w:r>
          </w:p>
        </w:tc>
        <w:tc>
          <w:tcPr>
            <w:tcW w:w="1589" w:type="dxa"/>
            <w:gridSpan w:val="2"/>
            <w:vAlign w:val="center"/>
          </w:tcPr>
          <w:p>
            <w:pPr>
              <w:widowControl w:val="0"/>
              <w:spacing w:after="200" w:line="360" w:lineRule="auto"/>
              <w:jc w:val="center"/>
              <w:rPr>
                <w:rFonts w:ascii="宋体" w:hAnsi="宋体" w:cs="宋体"/>
              </w:rPr>
            </w:pPr>
            <w:r>
              <w:rPr>
                <w:rFonts w:hint="eastAsia" w:ascii="宋体" w:hAnsi="宋体" w:cs="宋体"/>
              </w:rPr>
              <w:t>履约</w:t>
            </w:r>
          </w:p>
          <w:p>
            <w:pPr>
              <w:widowControl w:val="0"/>
              <w:spacing w:after="200" w:line="360" w:lineRule="auto"/>
              <w:jc w:val="center"/>
              <w:rPr>
                <w:rFonts w:ascii="宋体" w:hAnsi="宋体" w:cs="宋体"/>
              </w:rPr>
            </w:pPr>
            <w:r>
              <w:rPr>
                <w:rFonts w:hint="eastAsia" w:ascii="宋体" w:hAnsi="宋体" w:cs="宋体"/>
              </w:rPr>
              <w:t>能力</w:t>
            </w:r>
          </w:p>
        </w:tc>
        <w:tc>
          <w:tcPr>
            <w:tcW w:w="6208" w:type="dxa"/>
          </w:tcPr>
          <w:p>
            <w:pPr>
              <w:widowControl w:val="0"/>
              <w:numPr>
                <w:ilvl w:val="0"/>
                <w:numId w:val="49"/>
              </w:numPr>
              <w:spacing w:line="360" w:lineRule="auto"/>
              <w:jc w:val="left"/>
              <w:rPr>
                <w:rFonts w:ascii="宋体" w:hAnsi="宋体"/>
              </w:rPr>
            </w:pPr>
            <w:r>
              <w:rPr>
                <w:rFonts w:hint="eastAsia" w:ascii="宋体" w:hAnsi="宋体"/>
              </w:rPr>
              <w:t>供应商自2017年1月1日（含1日)以来，每提供一个物业管理相关业绩得2分，本项最多得6分，未提供的不得分。</w:t>
            </w:r>
            <w:r>
              <w:rPr>
                <w:rFonts w:hint="eastAsia" w:ascii="宋体" w:hAnsi="宋体"/>
                <w:b/>
                <w:bCs/>
              </w:rPr>
              <w:t>（注：1、同一项目签订的多个合同只计算为一次，不重复计分；2、供应商需提供合同（协议）复印件复印件并加盖公章，未提供证明材料的不得分）</w:t>
            </w:r>
          </w:p>
          <w:p>
            <w:pPr>
              <w:widowControl w:val="0"/>
              <w:numPr>
                <w:ilvl w:val="0"/>
                <w:numId w:val="49"/>
              </w:numPr>
              <w:spacing w:line="360" w:lineRule="auto"/>
              <w:jc w:val="left"/>
              <w:rPr>
                <w:rFonts w:ascii="宋体" w:hAnsi="宋体" w:cs="宋体"/>
              </w:rPr>
            </w:pPr>
            <w:r>
              <w:rPr>
                <w:rFonts w:hint="eastAsia" w:ascii="宋体" w:hAnsi="宋体"/>
              </w:rPr>
              <w:t>供应商具有质量体系认证证书的，得4分。未提供的不得分。【注：提供相关证书的复印件等证明材料加盖供应商公章。】</w:t>
            </w:r>
          </w:p>
        </w:tc>
        <w:tc>
          <w:tcPr>
            <w:tcW w:w="850" w:type="dxa"/>
            <w:vAlign w:val="center"/>
          </w:tcPr>
          <w:p>
            <w:pPr>
              <w:widowControl w:val="0"/>
              <w:spacing w:after="200" w:line="360" w:lineRule="auto"/>
              <w:jc w:val="center"/>
              <w:rPr>
                <w:rFonts w:ascii="宋体" w:hAnsi="宋体" w:cs="宋体"/>
              </w:rPr>
            </w:pPr>
            <w:r>
              <w:rPr>
                <w:rFonts w:hint="eastAsia" w:ascii="宋体" w:hAnsi="宋体" w:cs="宋体"/>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1134" w:type="dxa"/>
            <w:vMerge w:val="restart"/>
            <w:vAlign w:val="center"/>
          </w:tcPr>
          <w:p>
            <w:pPr>
              <w:widowControl w:val="0"/>
              <w:spacing w:after="200" w:line="276" w:lineRule="auto"/>
              <w:jc w:val="center"/>
              <w:rPr>
                <w:rFonts w:ascii="宋体" w:hAnsi="宋体" w:cs="宋体"/>
                <w:b/>
              </w:rPr>
            </w:pPr>
            <w:r>
              <w:rPr>
                <w:rFonts w:hint="eastAsia" w:ascii="宋体" w:hAnsi="宋体" w:cs="宋体"/>
                <w:b/>
              </w:rPr>
              <w:t>技术类评委</w:t>
            </w:r>
          </w:p>
        </w:tc>
        <w:tc>
          <w:tcPr>
            <w:tcW w:w="489" w:type="dxa"/>
            <w:vMerge w:val="restart"/>
            <w:vAlign w:val="center"/>
          </w:tcPr>
          <w:p>
            <w:pPr>
              <w:widowControl w:val="0"/>
              <w:spacing w:after="200" w:line="360" w:lineRule="auto"/>
              <w:jc w:val="center"/>
              <w:rPr>
                <w:rFonts w:ascii="宋体" w:hAnsi="宋体" w:cs="宋体"/>
              </w:rPr>
            </w:pPr>
            <w:r>
              <w:rPr>
                <w:rFonts w:hint="eastAsia" w:ascii="宋体" w:hAnsi="宋体" w:cs="宋体"/>
              </w:rPr>
              <w:t>服务方案</w:t>
            </w:r>
          </w:p>
        </w:tc>
        <w:tc>
          <w:tcPr>
            <w:tcW w:w="1100" w:type="dxa"/>
            <w:vAlign w:val="center"/>
          </w:tcPr>
          <w:p>
            <w:pPr>
              <w:widowControl w:val="0"/>
              <w:spacing w:line="360" w:lineRule="auto"/>
              <w:jc w:val="center"/>
              <w:rPr>
                <w:rFonts w:ascii="宋体" w:hAnsi="宋体"/>
              </w:rPr>
            </w:pPr>
            <w:r>
              <w:rPr>
                <w:rFonts w:hint="eastAsia" w:ascii="宋体" w:hAnsi="宋体"/>
              </w:rPr>
              <w:t>物业管理服务方案</w:t>
            </w:r>
          </w:p>
        </w:tc>
        <w:tc>
          <w:tcPr>
            <w:tcW w:w="6208" w:type="dxa"/>
          </w:tcPr>
          <w:p>
            <w:pPr>
              <w:widowControl w:val="0"/>
              <w:spacing w:line="360" w:lineRule="auto"/>
              <w:jc w:val="both"/>
              <w:rPr>
                <w:rFonts w:ascii="宋体" w:hAnsi="宋体" w:cs="宋体"/>
              </w:rPr>
            </w:pPr>
            <w:r>
              <w:rPr>
                <w:rFonts w:hint="eastAsia" w:ascii="宋体" w:hAnsi="宋体"/>
              </w:rPr>
              <w:t>供应商结合本项目特点及实际情况，提供物业管理服务方案包括但不限于①安置房及保障房管理方案；②物业服务整体方案；③项目整体设想和策划服务方案；④项目入驻和承接查验方案。本项共12分，每有一项内容缺失的扣3分；每有一项内容不符合本项目采购需求或不切实可行的扣1.5分。</w:t>
            </w:r>
          </w:p>
        </w:tc>
        <w:tc>
          <w:tcPr>
            <w:tcW w:w="850" w:type="dxa"/>
            <w:vAlign w:val="center"/>
          </w:tcPr>
          <w:p>
            <w:pPr>
              <w:widowControl w:val="0"/>
              <w:spacing w:after="200" w:line="360" w:lineRule="auto"/>
              <w:jc w:val="center"/>
              <w:rPr>
                <w:rFonts w:ascii="宋体" w:hAnsi="宋体" w:cs="宋体"/>
              </w:rPr>
            </w:pPr>
            <w:r>
              <w:rPr>
                <w:rFonts w:hint="eastAsia" w:ascii="宋体" w:hAnsi="宋体" w:cs="宋体"/>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1134" w:type="dxa"/>
            <w:vMerge w:val="continue"/>
            <w:vAlign w:val="center"/>
          </w:tcPr>
          <w:p>
            <w:pPr>
              <w:widowControl w:val="0"/>
              <w:spacing w:after="200" w:line="276" w:lineRule="auto"/>
              <w:jc w:val="left"/>
            </w:pPr>
          </w:p>
        </w:tc>
        <w:tc>
          <w:tcPr>
            <w:tcW w:w="489" w:type="dxa"/>
            <w:vMerge w:val="continue"/>
            <w:vAlign w:val="center"/>
          </w:tcPr>
          <w:p>
            <w:pPr>
              <w:widowControl w:val="0"/>
              <w:spacing w:after="200" w:line="276" w:lineRule="auto"/>
              <w:jc w:val="left"/>
            </w:pPr>
          </w:p>
        </w:tc>
        <w:tc>
          <w:tcPr>
            <w:tcW w:w="1100" w:type="dxa"/>
            <w:vAlign w:val="center"/>
          </w:tcPr>
          <w:p>
            <w:pPr>
              <w:widowControl w:val="0"/>
              <w:spacing w:line="360" w:lineRule="auto"/>
              <w:jc w:val="center"/>
              <w:rPr>
                <w:rFonts w:ascii="宋体" w:hAnsi="宋体"/>
              </w:rPr>
            </w:pPr>
            <w:r>
              <w:rPr>
                <w:rFonts w:hint="eastAsia" w:ascii="宋体" w:hAnsi="宋体"/>
              </w:rPr>
              <w:t>项目管理机构运作方法及管理制度方案</w:t>
            </w:r>
          </w:p>
        </w:tc>
        <w:tc>
          <w:tcPr>
            <w:tcW w:w="6208" w:type="dxa"/>
          </w:tcPr>
          <w:p>
            <w:pPr>
              <w:pStyle w:val="80"/>
              <w:widowControl w:val="0"/>
              <w:spacing w:line="360" w:lineRule="auto"/>
              <w:ind w:firstLine="0" w:firstLineChars="0"/>
              <w:jc w:val="both"/>
              <w:rPr>
                <w:rFonts w:ascii="宋体" w:hAnsi="宋体"/>
              </w:rPr>
            </w:pPr>
            <w:r>
              <w:rPr>
                <w:rFonts w:hint="eastAsia" w:ascii="宋体" w:hAnsi="宋体"/>
              </w:rPr>
              <w:t>供应商结合本项目特点及实际情况，提供项目管理机构运作方法及管理制度方案包括但不限于①项目管理机构方案；②工作职能组织运行图（至少具有项目经理职责、内部管理职责分工描述）；③管理制度方案；④员工考核办法及工作奖惩制度方案；⑤内部管理职能分工方案。本项共10分，每有一项内容缺失的扣2分；每有一项内容不符合本项目采购需求或不切实可行的扣1分。</w:t>
            </w:r>
          </w:p>
        </w:tc>
        <w:tc>
          <w:tcPr>
            <w:tcW w:w="850" w:type="dxa"/>
            <w:vAlign w:val="center"/>
          </w:tcPr>
          <w:p>
            <w:pPr>
              <w:widowControl w:val="0"/>
              <w:spacing w:after="200" w:line="276" w:lineRule="auto"/>
              <w:jc w:val="center"/>
              <w:rPr>
                <w:rFonts w:ascii="宋体" w:hAnsi="宋体" w:cs="宋体"/>
              </w:rPr>
            </w:pPr>
            <w:r>
              <w:rPr>
                <w:rFonts w:hint="eastAsia" w:ascii="宋体" w:hAnsi="宋体" w:cs="宋体"/>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6" w:hRule="atLeast"/>
        </w:trPr>
        <w:tc>
          <w:tcPr>
            <w:tcW w:w="1134" w:type="dxa"/>
            <w:vMerge w:val="continue"/>
            <w:vAlign w:val="center"/>
          </w:tcPr>
          <w:p>
            <w:pPr>
              <w:widowControl w:val="0"/>
              <w:spacing w:after="200" w:line="276" w:lineRule="auto"/>
              <w:jc w:val="left"/>
              <w:rPr>
                <w:rFonts w:ascii="宋体" w:hAnsi="宋体" w:cs="宋体"/>
              </w:rPr>
            </w:pPr>
          </w:p>
        </w:tc>
        <w:tc>
          <w:tcPr>
            <w:tcW w:w="489" w:type="dxa"/>
            <w:vMerge w:val="continue"/>
            <w:vAlign w:val="center"/>
          </w:tcPr>
          <w:p>
            <w:pPr>
              <w:widowControl w:val="0"/>
              <w:spacing w:after="200" w:line="276" w:lineRule="auto"/>
              <w:jc w:val="left"/>
              <w:rPr>
                <w:rFonts w:ascii="宋体" w:hAnsi="宋体" w:cs="宋体"/>
              </w:rPr>
            </w:pPr>
          </w:p>
        </w:tc>
        <w:tc>
          <w:tcPr>
            <w:tcW w:w="1100" w:type="dxa"/>
            <w:vAlign w:val="center"/>
          </w:tcPr>
          <w:p>
            <w:pPr>
              <w:widowControl w:val="0"/>
              <w:spacing w:line="360" w:lineRule="auto"/>
              <w:jc w:val="center"/>
              <w:rPr>
                <w:rFonts w:ascii="宋体" w:hAnsi="宋体"/>
              </w:rPr>
            </w:pPr>
            <w:r>
              <w:rPr>
                <w:rFonts w:hint="eastAsia" w:ascii="宋体" w:hAnsi="宋体"/>
              </w:rPr>
              <w:t>客户服务方案</w:t>
            </w:r>
          </w:p>
        </w:tc>
        <w:tc>
          <w:tcPr>
            <w:tcW w:w="6208" w:type="dxa"/>
            <w:vAlign w:val="center"/>
          </w:tcPr>
          <w:p>
            <w:pPr>
              <w:widowControl w:val="0"/>
              <w:spacing w:after="200" w:line="276" w:lineRule="auto"/>
              <w:jc w:val="left"/>
              <w:rPr>
                <w:rFonts w:ascii="宋体" w:hAnsi="宋体" w:cs="宋体"/>
              </w:rPr>
            </w:pPr>
            <w:r>
              <w:rPr>
                <w:rFonts w:hint="eastAsia" w:ascii="宋体" w:hAnsi="宋体"/>
              </w:rPr>
              <w:t>供应商结合本项目特点及实际情况，提供客户服务方案包括但不限于①管理制度方案；②人员配置方案；③岗位职责和服务内容方案；④考核标准方案。本项共10分，每有一项内容缺失的扣2.5分；每有一项内容不符合本项目采购需求或不切实可行的扣1.5分。</w:t>
            </w:r>
          </w:p>
        </w:tc>
        <w:tc>
          <w:tcPr>
            <w:tcW w:w="850" w:type="dxa"/>
            <w:vAlign w:val="center"/>
          </w:tcPr>
          <w:p>
            <w:pPr>
              <w:widowControl w:val="0"/>
              <w:spacing w:after="200" w:line="276" w:lineRule="auto"/>
              <w:jc w:val="center"/>
              <w:rPr>
                <w:rFonts w:ascii="宋体" w:hAnsi="宋体" w:cs="宋体"/>
              </w:rPr>
            </w:pPr>
            <w:r>
              <w:rPr>
                <w:rFonts w:hint="eastAsia" w:ascii="宋体" w:hAnsi="宋体" w:cs="宋体"/>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1134" w:type="dxa"/>
            <w:vMerge w:val="continue"/>
            <w:vAlign w:val="center"/>
          </w:tcPr>
          <w:p>
            <w:pPr>
              <w:widowControl w:val="0"/>
              <w:spacing w:after="200" w:line="276" w:lineRule="auto"/>
              <w:jc w:val="left"/>
              <w:rPr>
                <w:rFonts w:ascii="宋体" w:hAnsi="宋体" w:cs="宋体"/>
              </w:rPr>
            </w:pPr>
          </w:p>
        </w:tc>
        <w:tc>
          <w:tcPr>
            <w:tcW w:w="489" w:type="dxa"/>
            <w:vMerge w:val="continue"/>
            <w:vAlign w:val="center"/>
          </w:tcPr>
          <w:p>
            <w:pPr>
              <w:widowControl w:val="0"/>
              <w:spacing w:after="200" w:line="276" w:lineRule="auto"/>
              <w:jc w:val="left"/>
              <w:rPr>
                <w:rFonts w:ascii="宋体" w:hAnsi="宋体" w:cs="宋体"/>
              </w:rPr>
            </w:pPr>
          </w:p>
        </w:tc>
        <w:tc>
          <w:tcPr>
            <w:tcW w:w="1100" w:type="dxa"/>
            <w:vAlign w:val="center"/>
          </w:tcPr>
          <w:p>
            <w:pPr>
              <w:widowControl w:val="0"/>
              <w:spacing w:line="360" w:lineRule="auto"/>
              <w:jc w:val="center"/>
              <w:rPr>
                <w:rFonts w:ascii="宋体" w:hAnsi="宋体"/>
              </w:rPr>
            </w:pPr>
            <w:r>
              <w:rPr>
                <w:rFonts w:hint="eastAsia" w:ascii="宋体" w:hAnsi="宋体"/>
              </w:rPr>
              <w:t>应急处理方案</w:t>
            </w:r>
          </w:p>
        </w:tc>
        <w:tc>
          <w:tcPr>
            <w:tcW w:w="6208" w:type="dxa"/>
          </w:tcPr>
          <w:p>
            <w:pPr>
              <w:widowControl w:val="0"/>
              <w:spacing w:line="360" w:lineRule="auto"/>
              <w:jc w:val="both"/>
              <w:rPr>
                <w:rFonts w:ascii="宋体" w:hAnsi="宋体"/>
              </w:rPr>
            </w:pPr>
            <w:r>
              <w:rPr>
                <w:rFonts w:hint="eastAsia" w:ascii="宋体" w:hAnsi="宋体"/>
              </w:rPr>
              <w:t>供应商结合本项目特点及实际情况，提供应急处理方案包括但不限于①应急管理机构；②应急传达机制；③应急机具配置；④疫情防控措施；⑤应急处理流程（至少包含重大迎检、抗震救灾、突发事件等应急处理流程方案）。本项共10分，每有一项内容缺失的扣2分；每有一项内容不符合本项目采购需求或不切实可行的扣1分。</w:t>
            </w:r>
          </w:p>
        </w:tc>
        <w:tc>
          <w:tcPr>
            <w:tcW w:w="850" w:type="dxa"/>
            <w:vAlign w:val="center"/>
          </w:tcPr>
          <w:p>
            <w:pPr>
              <w:widowControl w:val="0"/>
              <w:spacing w:after="200" w:line="276" w:lineRule="auto"/>
              <w:jc w:val="center"/>
              <w:rPr>
                <w:rFonts w:ascii="宋体" w:hAnsi="宋体" w:cs="宋体"/>
              </w:rPr>
            </w:pPr>
            <w:r>
              <w:rPr>
                <w:rFonts w:hint="eastAsia" w:ascii="宋体" w:hAnsi="宋体" w:cs="宋体"/>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1134" w:type="dxa"/>
            <w:vMerge w:val="continue"/>
            <w:vAlign w:val="center"/>
          </w:tcPr>
          <w:p>
            <w:pPr>
              <w:widowControl w:val="0"/>
              <w:spacing w:after="200" w:line="276" w:lineRule="auto"/>
              <w:jc w:val="left"/>
              <w:rPr>
                <w:rFonts w:ascii="宋体" w:hAnsi="宋体" w:cs="宋体"/>
              </w:rPr>
            </w:pPr>
          </w:p>
        </w:tc>
        <w:tc>
          <w:tcPr>
            <w:tcW w:w="489" w:type="dxa"/>
            <w:vMerge w:val="continue"/>
            <w:vAlign w:val="center"/>
          </w:tcPr>
          <w:p>
            <w:pPr>
              <w:widowControl w:val="0"/>
              <w:spacing w:after="200" w:line="276" w:lineRule="auto"/>
              <w:jc w:val="left"/>
              <w:rPr>
                <w:rFonts w:ascii="宋体" w:hAnsi="宋体" w:cs="宋体"/>
              </w:rPr>
            </w:pPr>
          </w:p>
        </w:tc>
        <w:tc>
          <w:tcPr>
            <w:tcW w:w="1100" w:type="dxa"/>
            <w:vAlign w:val="center"/>
          </w:tcPr>
          <w:p>
            <w:pPr>
              <w:widowControl w:val="0"/>
              <w:spacing w:line="360" w:lineRule="auto"/>
              <w:jc w:val="center"/>
              <w:rPr>
                <w:rFonts w:ascii="宋体" w:hAnsi="宋体"/>
              </w:rPr>
            </w:pPr>
            <w:r>
              <w:rPr>
                <w:rFonts w:hint="eastAsia" w:ascii="宋体" w:hAnsi="宋体"/>
              </w:rPr>
              <w:t>秩序维护方案</w:t>
            </w:r>
          </w:p>
        </w:tc>
        <w:tc>
          <w:tcPr>
            <w:tcW w:w="6208" w:type="dxa"/>
          </w:tcPr>
          <w:p>
            <w:pPr>
              <w:widowControl w:val="0"/>
              <w:spacing w:line="360" w:lineRule="auto"/>
              <w:jc w:val="both"/>
              <w:rPr>
                <w:rFonts w:ascii="宋体" w:hAnsi="宋体"/>
              </w:rPr>
            </w:pPr>
            <w:r>
              <w:rPr>
                <w:rFonts w:hint="eastAsia" w:ascii="宋体" w:hAnsi="宋体"/>
              </w:rPr>
              <w:t>供应商结合本项目特点及实际情况，提供秩序维护方案包括但不限于①管理目标方案；②管理流程方案；③对关键部位、重要部位管理的分析方案。本项共9分，每有一项内容缺失的扣3分；每有一项内容不符合本项目采购需求或不切实可行的扣1.5分。</w:t>
            </w:r>
          </w:p>
        </w:tc>
        <w:tc>
          <w:tcPr>
            <w:tcW w:w="850" w:type="dxa"/>
            <w:vAlign w:val="center"/>
          </w:tcPr>
          <w:p>
            <w:pPr>
              <w:widowControl w:val="0"/>
              <w:spacing w:after="200" w:line="276" w:lineRule="auto"/>
              <w:jc w:val="center"/>
              <w:rPr>
                <w:rFonts w:ascii="宋体" w:hAnsi="宋体" w:cs="宋体"/>
              </w:rPr>
            </w:pPr>
            <w:r>
              <w:rPr>
                <w:rFonts w:hint="eastAsia" w:ascii="宋体" w:hAnsi="宋体" w:cs="宋体"/>
              </w:rPr>
              <w:t>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1134" w:type="dxa"/>
            <w:vMerge w:val="continue"/>
            <w:vAlign w:val="center"/>
          </w:tcPr>
          <w:p>
            <w:pPr>
              <w:widowControl w:val="0"/>
              <w:spacing w:after="200" w:line="276" w:lineRule="auto"/>
              <w:jc w:val="left"/>
              <w:rPr>
                <w:rFonts w:ascii="宋体" w:hAnsi="宋体" w:cs="宋体"/>
              </w:rPr>
            </w:pPr>
          </w:p>
        </w:tc>
        <w:tc>
          <w:tcPr>
            <w:tcW w:w="489" w:type="dxa"/>
            <w:vMerge w:val="continue"/>
            <w:vAlign w:val="center"/>
          </w:tcPr>
          <w:p>
            <w:pPr>
              <w:widowControl w:val="0"/>
              <w:spacing w:after="200" w:line="276" w:lineRule="auto"/>
              <w:jc w:val="left"/>
              <w:rPr>
                <w:rFonts w:ascii="宋体" w:hAnsi="宋体" w:cs="宋体"/>
              </w:rPr>
            </w:pPr>
          </w:p>
        </w:tc>
        <w:tc>
          <w:tcPr>
            <w:tcW w:w="1100" w:type="dxa"/>
            <w:vAlign w:val="center"/>
          </w:tcPr>
          <w:p>
            <w:pPr>
              <w:widowControl w:val="0"/>
              <w:spacing w:line="360" w:lineRule="auto"/>
              <w:jc w:val="center"/>
              <w:rPr>
                <w:rFonts w:ascii="宋体" w:hAnsi="宋体"/>
              </w:rPr>
            </w:pPr>
            <w:r>
              <w:rPr>
                <w:rFonts w:hint="eastAsia" w:ascii="宋体" w:hAnsi="宋体"/>
              </w:rPr>
              <w:t>环境维护和绿化维护方案</w:t>
            </w:r>
          </w:p>
        </w:tc>
        <w:tc>
          <w:tcPr>
            <w:tcW w:w="6208" w:type="dxa"/>
          </w:tcPr>
          <w:p>
            <w:pPr>
              <w:widowControl w:val="0"/>
              <w:spacing w:line="360" w:lineRule="auto"/>
              <w:jc w:val="both"/>
              <w:rPr>
                <w:rFonts w:ascii="宋体" w:hAnsi="宋体"/>
              </w:rPr>
            </w:pPr>
            <w:r>
              <w:rPr>
                <w:rFonts w:hint="eastAsia" w:ascii="宋体" w:hAnsi="宋体"/>
              </w:rPr>
              <w:t>供应商结合本项目特点及实际情况，提供环境维护和绿化维护方案包括但不限于①作业时间、频次方案；②作业流程方案；③对关键部位、重要部位的分析方案。本项共9分，每有一项内容缺失的扣3分；每有一项内容不符合本项目采购需求或不切实可行的扣1.5分。</w:t>
            </w:r>
          </w:p>
        </w:tc>
        <w:tc>
          <w:tcPr>
            <w:tcW w:w="850" w:type="dxa"/>
            <w:vAlign w:val="center"/>
          </w:tcPr>
          <w:p>
            <w:pPr>
              <w:widowControl w:val="0"/>
              <w:spacing w:after="200" w:line="276" w:lineRule="auto"/>
              <w:jc w:val="center"/>
              <w:rPr>
                <w:rFonts w:ascii="宋体" w:hAnsi="宋体" w:cs="宋体"/>
              </w:rPr>
            </w:pPr>
            <w:r>
              <w:rPr>
                <w:rFonts w:hint="eastAsia" w:ascii="宋体" w:hAnsi="宋体" w:cs="宋体"/>
              </w:rPr>
              <w:t>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1134" w:type="dxa"/>
            <w:vMerge w:val="continue"/>
            <w:vAlign w:val="center"/>
          </w:tcPr>
          <w:p>
            <w:pPr>
              <w:widowControl w:val="0"/>
              <w:spacing w:after="200" w:line="276" w:lineRule="auto"/>
              <w:jc w:val="left"/>
              <w:rPr>
                <w:rFonts w:ascii="宋体" w:hAnsi="宋体" w:cs="宋体"/>
              </w:rPr>
            </w:pPr>
          </w:p>
        </w:tc>
        <w:tc>
          <w:tcPr>
            <w:tcW w:w="489" w:type="dxa"/>
            <w:vMerge w:val="continue"/>
            <w:vAlign w:val="center"/>
          </w:tcPr>
          <w:p>
            <w:pPr>
              <w:widowControl w:val="0"/>
              <w:spacing w:after="200" w:line="276" w:lineRule="auto"/>
              <w:jc w:val="left"/>
              <w:rPr>
                <w:rFonts w:ascii="宋体" w:hAnsi="宋体" w:cs="宋体"/>
              </w:rPr>
            </w:pPr>
          </w:p>
        </w:tc>
        <w:tc>
          <w:tcPr>
            <w:tcW w:w="1100" w:type="dxa"/>
            <w:vAlign w:val="center"/>
          </w:tcPr>
          <w:p>
            <w:pPr>
              <w:widowControl w:val="0"/>
              <w:spacing w:line="360" w:lineRule="auto"/>
              <w:jc w:val="center"/>
              <w:rPr>
                <w:rFonts w:ascii="宋体" w:hAnsi="宋体"/>
              </w:rPr>
            </w:pPr>
            <w:r>
              <w:rPr>
                <w:rFonts w:hint="eastAsia" w:ascii="宋体" w:hAnsi="宋体"/>
              </w:rPr>
              <w:t>设施设备运行维护方案</w:t>
            </w:r>
          </w:p>
        </w:tc>
        <w:tc>
          <w:tcPr>
            <w:tcW w:w="6208" w:type="dxa"/>
          </w:tcPr>
          <w:p>
            <w:pPr>
              <w:widowControl w:val="0"/>
              <w:spacing w:line="360" w:lineRule="auto"/>
              <w:jc w:val="both"/>
              <w:rPr>
                <w:rFonts w:ascii="宋体" w:hAnsi="宋体"/>
              </w:rPr>
            </w:pPr>
            <w:r>
              <w:rPr>
                <w:rFonts w:hint="eastAsia" w:ascii="宋体" w:hAnsi="宋体"/>
              </w:rPr>
              <w:t>供应商结合本项目特点及实际情况，提供设施设备运行维护方案包括但不限于①管理制度方案、②人员配置方案、③岗位职责方案、④服务内容、⑤应急处理方案。本项共5分，每有一项内容缺失的扣1分；每有一项内容不符合本项目采购需求或不切实可行的扣0.5分。</w:t>
            </w:r>
          </w:p>
        </w:tc>
        <w:tc>
          <w:tcPr>
            <w:tcW w:w="850" w:type="dxa"/>
            <w:vAlign w:val="center"/>
          </w:tcPr>
          <w:p>
            <w:pPr>
              <w:widowControl w:val="0"/>
              <w:spacing w:after="200" w:line="276" w:lineRule="auto"/>
              <w:jc w:val="center"/>
              <w:rPr>
                <w:rFonts w:ascii="宋体" w:hAnsi="宋体" w:cs="宋体"/>
              </w:rPr>
            </w:pPr>
            <w:r>
              <w:rPr>
                <w:rFonts w:hint="eastAsia" w:ascii="宋体" w:hAnsi="宋体" w:cs="宋体"/>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1134" w:type="dxa"/>
            <w:vMerge w:val="continue"/>
            <w:vAlign w:val="center"/>
          </w:tcPr>
          <w:p>
            <w:pPr>
              <w:widowControl w:val="0"/>
              <w:spacing w:after="200" w:line="276" w:lineRule="auto"/>
              <w:jc w:val="left"/>
              <w:rPr>
                <w:rFonts w:ascii="宋体" w:hAnsi="宋体" w:cs="宋体"/>
              </w:rPr>
            </w:pPr>
          </w:p>
        </w:tc>
        <w:tc>
          <w:tcPr>
            <w:tcW w:w="489" w:type="dxa"/>
            <w:vMerge w:val="continue"/>
            <w:vAlign w:val="center"/>
          </w:tcPr>
          <w:p>
            <w:pPr>
              <w:widowControl w:val="0"/>
              <w:spacing w:after="200" w:line="276" w:lineRule="auto"/>
              <w:jc w:val="left"/>
              <w:rPr>
                <w:rFonts w:ascii="宋体" w:hAnsi="宋体" w:cs="宋体"/>
              </w:rPr>
            </w:pPr>
          </w:p>
        </w:tc>
        <w:tc>
          <w:tcPr>
            <w:tcW w:w="1100" w:type="dxa"/>
            <w:vAlign w:val="center"/>
          </w:tcPr>
          <w:p>
            <w:pPr>
              <w:widowControl w:val="0"/>
              <w:spacing w:line="360" w:lineRule="auto"/>
              <w:jc w:val="center"/>
              <w:rPr>
                <w:rFonts w:ascii="宋体" w:hAnsi="宋体"/>
              </w:rPr>
            </w:pPr>
            <w:r>
              <w:rPr>
                <w:rFonts w:hint="eastAsia" w:ascii="宋体" w:hAnsi="宋体"/>
              </w:rPr>
              <w:t>社区文化建设方案</w:t>
            </w:r>
          </w:p>
        </w:tc>
        <w:tc>
          <w:tcPr>
            <w:tcW w:w="6208" w:type="dxa"/>
          </w:tcPr>
          <w:p>
            <w:pPr>
              <w:widowControl w:val="0"/>
              <w:spacing w:line="360" w:lineRule="auto"/>
              <w:jc w:val="both"/>
              <w:rPr>
                <w:rFonts w:ascii="宋体" w:hAnsi="宋体"/>
              </w:rPr>
            </w:pPr>
            <w:r>
              <w:rPr>
                <w:rFonts w:hint="eastAsia" w:ascii="宋体" w:hAnsi="宋体"/>
              </w:rPr>
              <w:t>供应商结合本项目特点及实际情况，提供社区文化建设方案包括但不限于①社区文化建设方案、②社区文化实施方案。本项共4分，每有一项内容缺失的扣2分；每有一项内容不符合本项目采购需求或不切实可行的扣1分。</w:t>
            </w:r>
          </w:p>
        </w:tc>
        <w:tc>
          <w:tcPr>
            <w:tcW w:w="850" w:type="dxa"/>
            <w:vAlign w:val="center"/>
          </w:tcPr>
          <w:p>
            <w:pPr>
              <w:widowControl w:val="0"/>
              <w:spacing w:after="200" w:line="276" w:lineRule="auto"/>
              <w:jc w:val="center"/>
              <w:rPr>
                <w:rFonts w:ascii="宋体" w:hAnsi="宋体" w:cs="宋体"/>
              </w:rPr>
            </w:pPr>
            <w:r>
              <w:rPr>
                <w:rFonts w:hint="eastAsia" w:ascii="宋体" w:hAnsi="宋体" w:cs="宋体"/>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1134" w:type="dxa"/>
            <w:vAlign w:val="center"/>
          </w:tcPr>
          <w:p>
            <w:pPr>
              <w:widowControl w:val="0"/>
              <w:spacing w:after="200" w:line="276" w:lineRule="auto"/>
              <w:jc w:val="center"/>
              <w:rPr>
                <w:rFonts w:ascii="宋体" w:hAnsi="宋体" w:cs="宋体"/>
                <w:b/>
              </w:rPr>
            </w:pPr>
            <w:r>
              <w:rPr>
                <w:rFonts w:hint="eastAsia" w:ascii="宋体" w:hAnsi="宋体" w:cs="宋体"/>
                <w:b/>
              </w:rPr>
              <w:t>磋商小组成员</w:t>
            </w:r>
          </w:p>
        </w:tc>
        <w:tc>
          <w:tcPr>
            <w:tcW w:w="1589" w:type="dxa"/>
            <w:gridSpan w:val="2"/>
            <w:vAlign w:val="center"/>
          </w:tcPr>
          <w:p>
            <w:pPr>
              <w:widowControl w:val="0"/>
              <w:spacing w:after="200" w:line="360" w:lineRule="auto"/>
              <w:jc w:val="center"/>
              <w:rPr>
                <w:rFonts w:ascii="宋体" w:hAnsi="宋体"/>
                <w:b/>
              </w:rPr>
            </w:pPr>
            <w:r>
              <w:rPr>
                <w:rFonts w:ascii="宋体" w:hAnsi="宋体" w:cs="宋体"/>
              </w:rPr>
              <w:t>扶持少数民族或不发达地区</w:t>
            </w:r>
          </w:p>
        </w:tc>
        <w:tc>
          <w:tcPr>
            <w:tcW w:w="6208" w:type="dxa"/>
            <w:vAlign w:val="center"/>
          </w:tcPr>
          <w:p>
            <w:pPr>
              <w:widowControl w:val="0"/>
              <w:spacing w:after="200" w:line="360" w:lineRule="exact"/>
              <w:jc w:val="both"/>
              <w:rPr>
                <w:rFonts w:ascii="宋体" w:hAnsi="宋体"/>
              </w:rPr>
            </w:pPr>
            <w:r>
              <w:rPr>
                <w:rFonts w:hint="eastAsia" w:ascii="宋体" w:hAnsi="宋体"/>
              </w:rPr>
              <w:t>供应商</w:t>
            </w:r>
            <w:r>
              <w:rPr>
                <w:rFonts w:ascii="宋体" w:hAnsi="宋体"/>
              </w:rPr>
              <w:t>承诺其</w:t>
            </w:r>
            <w:r>
              <w:rPr>
                <w:rFonts w:hint="eastAsia" w:ascii="宋体" w:hAnsi="宋体"/>
              </w:rPr>
              <w:t>注册地</w:t>
            </w:r>
            <w:r>
              <w:rPr>
                <w:rFonts w:ascii="宋体" w:hAnsi="宋体"/>
              </w:rPr>
              <w:t>为不发达地区或少数民族地区企业的，得1分。（说明：</w:t>
            </w:r>
            <w:r>
              <w:rPr>
                <w:rFonts w:hint="eastAsia" w:ascii="宋体" w:hAnsi="宋体"/>
              </w:rPr>
              <w:t>提供加盖供应商</w:t>
            </w:r>
            <w:r>
              <w:rPr>
                <w:rFonts w:ascii="宋体" w:hAnsi="宋体"/>
              </w:rPr>
              <w:t>公章的不发达地区或少数民族地区</w:t>
            </w:r>
            <w:r>
              <w:rPr>
                <w:rFonts w:hint="eastAsia" w:ascii="宋体" w:hAnsi="宋体"/>
              </w:rPr>
              <w:t>注册地</w:t>
            </w:r>
            <w:r>
              <w:rPr>
                <w:rFonts w:ascii="宋体" w:hAnsi="宋体"/>
              </w:rPr>
              <w:t>企业承诺函</w:t>
            </w:r>
            <w:r>
              <w:rPr>
                <w:rFonts w:hint="eastAsia" w:ascii="宋体" w:hAnsi="宋体"/>
              </w:rPr>
              <w:t>原件</w:t>
            </w:r>
            <w:r>
              <w:rPr>
                <w:rFonts w:ascii="宋体" w:hAnsi="宋体"/>
              </w:rPr>
              <w:t>。）</w:t>
            </w:r>
          </w:p>
        </w:tc>
        <w:tc>
          <w:tcPr>
            <w:tcW w:w="850" w:type="dxa"/>
            <w:vAlign w:val="center"/>
          </w:tcPr>
          <w:p>
            <w:pPr>
              <w:widowControl w:val="0"/>
              <w:spacing w:after="200" w:line="360" w:lineRule="auto"/>
              <w:jc w:val="center"/>
              <w:rPr>
                <w:rFonts w:ascii="宋体" w:hAnsi="宋体" w:cs="宋体"/>
              </w:rPr>
            </w:pPr>
            <w:r>
              <w:rPr>
                <w:rFonts w:ascii="宋体" w:hAnsi="宋体" w:cs="宋体"/>
              </w:rPr>
              <w:t>1</w:t>
            </w:r>
            <w:r>
              <w:rPr>
                <w:rFonts w:hint="eastAsia" w:ascii="宋体" w:hAnsi="宋体" w:cs="宋体"/>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1134" w:type="dxa"/>
            <w:vAlign w:val="center"/>
          </w:tcPr>
          <w:p>
            <w:pPr>
              <w:widowControl w:val="0"/>
              <w:spacing w:after="200" w:line="276" w:lineRule="auto"/>
              <w:jc w:val="center"/>
              <w:rPr>
                <w:rFonts w:ascii="宋体" w:hAnsi="宋体" w:cs="宋体"/>
                <w:b/>
              </w:rPr>
            </w:pPr>
            <w:r>
              <w:rPr>
                <w:rFonts w:hint="eastAsia" w:ascii="宋体" w:hAnsi="宋体" w:cs="宋体"/>
                <w:b/>
              </w:rPr>
              <w:t>磋商小组成员</w:t>
            </w:r>
          </w:p>
        </w:tc>
        <w:tc>
          <w:tcPr>
            <w:tcW w:w="1589" w:type="dxa"/>
            <w:gridSpan w:val="2"/>
            <w:vAlign w:val="center"/>
          </w:tcPr>
          <w:p>
            <w:pPr>
              <w:widowControl w:val="0"/>
              <w:spacing w:line="360" w:lineRule="auto"/>
              <w:jc w:val="center"/>
              <w:rPr>
                <w:rFonts w:ascii="宋体" w:hAnsi="宋体" w:cs="宋体"/>
              </w:rPr>
            </w:pPr>
            <w:r>
              <w:rPr>
                <w:rFonts w:hint="eastAsia" w:ascii="宋体" w:hAnsi="宋体"/>
              </w:rPr>
              <w:t>响应文件的规范性</w:t>
            </w:r>
          </w:p>
        </w:tc>
        <w:tc>
          <w:tcPr>
            <w:tcW w:w="6208" w:type="dxa"/>
          </w:tcPr>
          <w:p>
            <w:pPr>
              <w:widowControl w:val="0"/>
              <w:spacing w:line="360" w:lineRule="auto"/>
              <w:jc w:val="both"/>
              <w:rPr>
                <w:rFonts w:ascii="宋体" w:hAnsi="宋体"/>
              </w:rPr>
            </w:pPr>
            <w:r>
              <w:rPr>
                <w:rFonts w:hint="eastAsia" w:ascii="宋体" w:hAnsi="宋体"/>
              </w:rPr>
              <w:t>响应文件格式和内容严格按照磋商文件要求编制；文字清晰、应答规范、装订整齐、目录清晰等。全部满足得2分，每有一项不满足扣0.5分，直至该项分值扣完为止。</w:t>
            </w:r>
          </w:p>
        </w:tc>
        <w:tc>
          <w:tcPr>
            <w:tcW w:w="850" w:type="dxa"/>
            <w:vAlign w:val="center"/>
          </w:tcPr>
          <w:p>
            <w:pPr>
              <w:widowControl w:val="0"/>
              <w:spacing w:after="200" w:line="360" w:lineRule="auto"/>
              <w:jc w:val="center"/>
              <w:rPr>
                <w:rFonts w:ascii="宋体" w:hAnsi="宋体" w:cs="宋体"/>
              </w:rPr>
            </w:pPr>
            <w:r>
              <w:rPr>
                <w:rFonts w:hint="eastAsia" w:ascii="宋体" w:hAnsi="宋体" w:cs="宋体"/>
              </w:rPr>
              <w:t>2分</w:t>
            </w:r>
          </w:p>
        </w:tc>
      </w:tr>
    </w:tbl>
    <w:p>
      <w:pPr>
        <w:spacing w:line="360" w:lineRule="auto"/>
        <w:ind w:firstLine="565" w:firstLineChars="202"/>
        <w:rPr>
          <w:rFonts w:ascii="宋体" w:hAnsi="宋体"/>
          <w:sz w:val="28"/>
        </w:rPr>
      </w:pPr>
      <w:r>
        <w:rPr>
          <w:rFonts w:hint="eastAsia" w:ascii="宋体" w:hAnsi="宋体"/>
          <w:sz w:val="28"/>
        </w:rPr>
        <w:t>说明：</w:t>
      </w:r>
    </w:p>
    <w:p>
      <w:pPr>
        <w:spacing w:line="360" w:lineRule="auto"/>
        <w:ind w:firstLine="565" w:firstLineChars="202"/>
        <w:rPr>
          <w:rFonts w:ascii="宋体" w:hAnsi="宋体"/>
          <w:sz w:val="28"/>
        </w:rPr>
      </w:pPr>
      <w:r>
        <w:rPr>
          <w:rFonts w:hint="eastAsia" w:ascii="宋体" w:hAnsi="宋体"/>
          <w:sz w:val="28"/>
        </w:rPr>
        <w:t>1、评分的取值按四舍五入法，保留小数点后两位；</w:t>
      </w:r>
    </w:p>
    <w:p>
      <w:pPr>
        <w:spacing w:line="360" w:lineRule="auto"/>
        <w:ind w:firstLine="565" w:firstLineChars="202"/>
        <w:rPr>
          <w:rFonts w:ascii="宋体" w:hAnsi="宋体"/>
          <w:sz w:val="28"/>
        </w:rPr>
      </w:pPr>
      <w:r>
        <w:rPr>
          <w:rFonts w:hint="eastAsia" w:ascii="宋体" w:hAnsi="宋体"/>
          <w:sz w:val="28"/>
        </w:rPr>
        <w:t>2、评分标准中要求提供复印件的证明材料须清晰可辨。</w:t>
      </w:r>
    </w:p>
    <w:p>
      <w:pPr>
        <w:pStyle w:val="4"/>
        <w:numPr>
          <w:ilvl w:val="1"/>
          <w:numId w:val="44"/>
        </w:numPr>
        <w:spacing w:after="200"/>
        <w:ind w:left="1985" w:hanging="1985"/>
      </w:pPr>
      <w:bookmarkStart w:id="109" w:name="_Toc494357029"/>
      <w:bookmarkEnd w:id="109"/>
      <w:bookmarkStart w:id="110" w:name="_Toc494357032"/>
      <w:bookmarkEnd w:id="110"/>
      <w:bookmarkStart w:id="111" w:name="_Toc494357027"/>
      <w:bookmarkEnd w:id="111"/>
      <w:bookmarkStart w:id="112" w:name="_Toc494095673"/>
      <w:bookmarkEnd w:id="112"/>
      <w:bookmarkStart w:id="113" w:name="_Toc494095670"/>
      <w:bookmarkEnd w:id="113"/>
      <w:bookmarkStart w:id="114" w:name="_Toc494095682"/>
      <w:bookmarkEnd w:id="114"/>
      <w:bookmarkStart w:id="115" w:name="_Toc494095680"/>
      <w:bookmarkEnd w:id="115"/>
      <w:bookmarkStart w:id="116" w:name="_Toc494095672"/>
      <w:bookmarkEnd w:id="116"/>
      <w:bookmarkStart w:id="117" w:name="_Toc494357025"/>
      <w:bookmarkEnd w:id="117"/>
      <w:bookmarkStart w:id="118" w:name="_Toc494095669"/>
      <w:bookmarkEnd w:id="118"/>
      <w:bookmarkStart w:id="119" w:name="_Toc494357034"/>
      <w:bookmarkEnd w:id="119"/>
      <w:bookmarkStart w:id="120" w:name="_Toc494357031"/>
      <w:bookmarkEnd w:id="120"/>
      <w:bookmarkStart w:id="121" w:name="_Toc494095677"/>
      <w:bookmarkEnd w:id="121"/>
      <w:bookmarkStart w:id="122" w:name="_Toc494095678"/>
      <w:bookmarkEnd w:id="122"/>
      <w:bookmarkStart w:id="123" w:name="_Toc494357030"/>
      <w:bookmarkEnd w:id="123"/>
      <w:bookmarkStart w:id="124" w:name="_Toc494095675"/>
      <w:bookmarkEnd w:id="124"/>
      <w:bookmarkStart w:id="125" w:name="_Toc494095681"/>
      <w:bookmarkEnd w:id="125"/>
      <w:bookmarkStart w:id="126" w:name="_Toc494095676"/>
      <w:bookmarkEnd w:id="126"/>
      <w:bookmarkStart w:id="127" w:name="_Toc494095679"/>
      <w:bookmarkEnd w:id="127"/>
      <w:bookmarkStart w:id="128" w:name="_Toc494357022"/>
      <w:bookmarkEnd w:id="128"/>
      <w:bookmarkStart w:id="129" w:name="_Toc494095671"/>
      <w:bookmarkEnd w:id="129"/>
      <w:bookmarkStart w:id="130" w:name="_Toc494357024"/>
      <w:bookmarkEnd w:id="130"/>
      <w:bookmarkStart w:id="131" w:name="_Toc494357035"/>
      <w:bookmarkEnd w:id="131"/>
      <w:bookmarkStart w:id="132" w:name="_Toc494357021"/>
      <w:bookmarkEnd w:id="132"/>
      <w:bookmarkStart w:id="133" w:name="_Toc494357033"/>
      <w:bookmarkEnd w:id="133"/>
      <w:bookmarkStart w:id="134" w:name="_Toc494357026"/>
      <w:bookmarkEnd w:id="134"/>
      <w:bookmarkStart w:id="135" w:name="_Toc494095668"/>
      <w:bookmarkEnd w:id="135"/>
      <w:bookmarkStart w:id="136" w:name="_Toc494357023"/>
      <w:bookmarkEnd w:id="136"/>
      <w:bookmarkStart w:id="137" w:name="_Toc494095674"/>
      <w:bookmarkEnd w:id="137"/>
      <w:bookmarkStart w:id="138" w:name="_Toc494357028"/>
      <w:bookmarkEnd w:id="138"/>
      <w:bookmarkStart w:id="139" w:name="_Toc28462"/>
      <w:bookmarkStart w:id="140" w:name="_Toc58943349"/>
      <w:r>
        <w:rPr>
          <w:rFonts w:hint="eastAsia"/>
        </w:rPr>
        <w:t>采购失败情形</w:t>
      </w:r>
      <w:bookmarkEnd w:id="139"/>
      <w:bookmarkEnd w:id="140"/>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一、因情况变化，不再符合规定的竞争性磋商采购方式适用情形的；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不足二家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六、提交最后报价的供应商不足二家的；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七、通过最后报价审查的供应商不足二家的。</w:t>
      </w:r>
    </w:p>
    <w:p>
      <w:pPr>
        <w:pStyle w:val="4"/>
        <w:numPr>
          <w:ilvl w:val="1"/>
          <w:numId w:val="44"/>
        </w:numPr>
        <w:spacing w:after="200"/>
        <w:ind w:left="1985" w:hanging="1985"/>
      </w:pPr>
      <w:bookmarkStart w:id="141" w:name="_Toc22676"/>
      <w:bookmarkStart w:id="142" w:name="_Toc58943350"/>
      <w:r>
        <w:rPr>
          <w:rFonts w:hint="eastAsia"/>
        </w:rPr>
        <w:t>确定成交供应商</w:t>
      </w:r>
      <w:bookmarkEnd w:id="141"/>
      <w:bookmarkEnd w:id="142"/>
    </w:p>
    <w:p>
      <w:pPr>
        <w:numPr>
          <w:ilvl w:val="0"/>
          <w:numId w:val="50"/>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采购人根据磋商小组推荐的成交候选供应商名单，按顺序确定1名成交供应商。成交候选供应商并列的，采购人采取随机抽取的方式确定。</w:t>
      </w:r>
    </w:p>
    <w:p>
      <w:pPr>
        <w:numPr>
          <w:ilvl w:val="0"/>
          <w:numId w:val="50"/>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w:t>
      </w:r>
      <w:r>
        <w:rPr>
          <w:rFonts w:ascii="宋体" w:hAnsi="宋体" w:cs="宋体"/>
          <w:sz w:val="28"/>
          <w:szCs w:val="28"/>
        </w:rPr>
        <w:t>https://wenshu.court.gov.cn</w:t>
      </w:r>
      <w:r>
        <w:rPr>
          <w:rFonts w:hint="eastAsia" w:ascii="宋体" w:hAnsi="宋体" w:cs="宋体"/>
          <w:sz w:val="28"/>
          <w:szCs w:val="28"/>
        </w:rPr>
        <w:t>）查询成交候选供应商及其现任法定代表人、主要负责人是否存在行贿犯罪记录。</w:t>
      </w:r>
    </w:p>
    <w:p>
      <w:pPr>
        <w:numPr>
          <w:ilvl w:val="0"/>
          <w:numId w:val="50"/>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50"/>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51"/>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143" w:name="_Toc287623649"/>
      <w:r>
        <w:rPr>
          <w:rFonts w:hint="eastAsia" w:ascii="宋体" w:hAnsi="宋体" w:cs="宋体"/>
          <w:sz w:val="28"/>
          <w:szCs w:val="28"/>
        </w:rPr>
        <w:t>成交候选供应商存在违法、违纪行为的；</w:t>
      </w:r>
    </w:p>
    <w:p>
      <w:pPr>
        <w:numPr>
          <w:ilvl w:val="1"/>
          <w:numId w:val="51"/>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numPr>
          <w:ilvl w:val="1"/>
          <w:numId w:val="51"/>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成交候选供应商未按竞争性磋商文件要求，按时足额缴纳履约保证金的。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50"/>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采购人、成都东部新区党工委管委会（成都市东部新城办）综合部不解释成交或未成交原因，不退回响应文件和其他磋商资料。</w:t>
      </w:r>
      <w:bookmarkEnd w:id="143"/>
    </w:p>
    <w:p>
      <w:pPr>
        <w:pStyle w:val="4"/>
        <w:numPr>
          <w:ilvl w:val="1"/>
          <w:numId w:val="44"/>
        </w:numPr>
        <w:spacing w:after="200"/>
        <w:ind w:left="1985" w:hanging="1985"/>
      </w:pPr>
      <w:bookmarkStart w:id="144" w:name="_Toc58943351"/>
      <w:bookmarkStart w:id="145" w:name="_Toc16174"/>
      <w:r>
        <w:rPr>
          <w:rFonts w:hint="eastAsia"/>
        </w:rPr>
        <w:t>磋商小组成员义务</w:t>
      </w:r>
      <w:bookmarkEnd w:id="144"/>
      <w:bookmarkEnd w:id="145"/>
    </w:p>
    <w:p>
      <w:pPr>
        <w:snapToGrid w:val="0"/>
        <w:spacing w:line="360" w:lineRule="auto"/>
        <w:ind w:firstLine="560" w:firstLineChars="200"/>
        <w:rPr>
          <w:sz w:val="28"/>
          <w:szCs w:val="28"/>
        </w:rPr>
      </w:pPr>
      <w:r>
        <w:rPr>
          <w:rFonts w:hint="eastAsia"/>
          <w:sz w:val="28"/>
          <w:szCs w:val="28"/>
        </w:rPr>
        <w:t>磋商小组成员在政府采购活动中承担以下义务：</w:t>
      </w:r>
    </w:p>
    <w:p>
      <w:pPr>
        <w:numPr>
          <w:ilvl w:val="0"/>
          <w:numId w:val="52"/>
        </w:numPr>
        <w:tabs>
          <w:tab w:val="left" w:pos="1155"/>
        </w:tabs>
        <w:spacing w:after="200" w:line="360" w:lineRule="auto"/>
        <w:ind w:left="0" w:firstLine="525"/>
        <w:rPr>
          <w:rFonts w:ascii="宋体" w:hAnsi="宋体"/>
          <w:sz w:val="28"/>
          <w:szCs w:val="28"/>
        </w:rPr>
      </w:pPr>
      <w:r>
        <w:rPr>
          <w:rFonts w:hint="eastAsia" w:ascii="宋体" w:hAnsi="宋体"/>
          <w:sz w:val="28"/>
          <w:szCs w:val="28"/>
        </w:rPr>
        <w:t>遵纪守法，客观、公正、廉洁地履行职责。</w:t>
      </w:r>
    </w:p>
    <w:p>
      <w:pPr>
        <w:numPr>
          <w:ilvl w:val="0"/>
          <w:numId w:val="52"/>
        </w:numPr>
        <w:tabs>
          <w:tab w:val="left" w:pos="1155"/>
        </w:tabs>
        <w:spacing w:after="200" w:line="360" w:lineRule="auto"/>
        <w:ind w:left="0" w:firstLine="525"/>
        <w:rPr>
          <w:rFonts w:ascii="宋体" w:hAnsi="宋体"/>
          <w:sz w:val="28"/>
          <w:szCs w:val="28"/>
        </w:rPr>
      </w:pPr>
      <w:r>
        <w:rPr>
          <w:rFonts w:hint="eastAsia" w:ascii="宋体" w:hAnsi="宋体"/>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numPr>
          <w:ilvl w:val="0"/>
          <w:numId w:val="52"/>
        </w:numPr>
        <w:tabs>
          <w:tab w:val="left" w:pos="1155"/>
        </w:tabs>
        <w:spacing w:after="200" w:line="360" w:lineRule="auto"/>
        <w:ind w:left="0" w:firstLine="525"/>
        <w:rPr>
          <w:rFonts w:ascii="宋体" w:hAnsi="宋体"/>
          <w:sz w:val="28"/>
          <w:szCs w:val="28"/>
        </w:rPr>
      </w:pPr>
      <w:r>
        <w:rPr>
          <w:rFonts w:hint="eastAsia" w:ascii="宋体" w:hAnsi="宋体"/>
          <w:sz w:val="28"/>
          <w:szCs w:val="28"/>
        </w:rPr>
        <w:t>保守秘密。不得泄漏供应商的磋商文件及知悉的商业秘密，不得向供应商透露评审情况。</w:t>
      </w:r>
    </w:p>
    <w:p>
      <w:pPr>
        <w:numPr>
          <w:ilvl w:val="0"/>
          <w:numId w:val="52"/>
        </w:numPr>
        <w:tabs>
          <w:tab w:val="left" w:pos="1155"/>
        </w:tabs>
        <w:spacing w:after="200" w:line="360" w:lineRule="auto"/>
        <w:ind w:left="0" w:firstLine="525"/>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numPr>
          <w:ilvl w:val="0"/>
          <w:numId w:val="52"/>
        </w:numPr>
        <w:tabs>
          <w:tab w:val="left" w:pos="1155"/>
        </w:tabs>
        <w:spacing w:after="200" w:line="360" w:lineRule="auto"/>
        <w:ind w:left="0" w:firstLine="525"/>
        <w:rPr>
          <w:rFonts w:ascii="宋体" w:hAnsi="宋体"/>
          <w:sz w:val="28"/>
          <w:szCs w:val="28"/>
        </w:rPr>
      </w:pPr>
      <w:r>
        <w:rPr>
          <w:rFonts w:hint="eastAsia" w:ascii="宋体" w:hAnsi="宋体"/>
          <w:sz w:val="28"/>
          <w:szCs w:val="28"/>
        </w:rPr>
        <w:t>发现采购人、成都东部新区党工委管委会（成都市东部新城办）综合部及其工作人员在政府采购活动中有干预评审、发表倾向性和歧视性言论、受贿或者接受供应商的其他好处及其他违法违规行为，及时向财政部门报告。</w:t>
      </w:r>
    </w:p>
    <w:p>
      <w:pPr>
        <w:numPr>
          <w:ilvl w:val="0"/>
          <w:numId w:val="52"/>
        </w:numPr>
        <w:tabs>
          <w:tab w:val="left" w:pos="1155"/>
        </w:tabs>
        <w:spacing w:after="200" w:line="360" w:lineRule="auto"/>
        <w:ind w:left="0" w:firstLine="525"/>
        <w:rPr>
          <w:rFonts w:ascii="宋体" w:hAnsi="宋体"/>
          <w:sz w:val="28"/>
          <w:szCs w:val="28"/>
        </w:rPr>
      </w:pPr>
      <w:r>
        <w:rPr>
          <w:rFonts w:hint="eastAsia" w:ascii="宋体" w:hAnsi="宋体"/>
          <w:sz w:val="28"/>
          <w:szCs w:val="28"/>
        </w:rPr>
        <w:t>解答有关方面对政府采购评审工作中有关问题的询问，配合采购人或者成都东部新区党工委管委会（成都市东部新城办）综合部答复供应商的询问、质疑，配合财政部门的投诉处理工作等事宜。</w:t>
      </w:r>
    </w:p>
    <w:p>
      <w:pPr>
        <w:numPr>
          <w:ilvl w:val="0"/>
          <w:numId w:val="52"/>
        </w:numPr>
        <w:tabs>
          <w:tab w:val="left" w:pos="1155"/>
        </w:tabs>
        <w:spacing w:after="200" w:line="360" w:lineRule="auto"/>
        <w:ind w:left="0" w:firstLine="525"/>
        <w:rPr>
          <w:rFonts w:ascii="宋体" w:hAnsi="宋体"/>
          <w:sz w:val="28"/>
          <w:szCs w:val="28"/>
        </w:rPr>
      </w:pPr>
      <w:r>
        <w:rPr>
          <w:rFonts w:hint="eastAsia" w:ascii="宋体" w:hAnsi="宋体"/>
          <w:sz w:val="28"/>
          <w:szCs w:val="28"/>
        </w:rPr>
        <w:t>法律、法规和规章规定的其他义务。</w:t>
      </w:r>
    </w:p>
    <w:p>
      <w:pPr>
        <w:pStyle w:val="4"/>
        <w:numPr>
          <w:ilvl w:val="1"/>
          <w:numId w:val="44"/>
        </w:numPr>
        <w:spacing w:after="200"/>
        <w:ind w:left="1985" w:hanging="1985"/>
      </w:pPr>
      <w:bookmarkStart w:id="146" w:name="_Toc58943352"/>
      <w:bookmarkStart w:id="147" w:name="_Toc7212"/>
      <w:r>
        <w:rPr>
          <w:rFonts w:hint="eastAsia"/>
        </w:rPr>
        <w:t>磋商小组及其成员不得有下列行为</w:t>
      </w:r>
      <w:bookmarkEnd w:id="146"/>
      <w:bookmarkEnd w:id="147"/>
    </w:p>
    <w:p>
      <w:pPr>
        <w:numPr>
          <w:ilvl w:val="0"/>
          <w:numId w:val="53"/>
        </w:numPr>
        <w:spacing w:after="200" w:line="360" w:lineRule="auto"/>
        <w:ind w:left="0" w:firstLine="567"/>
        <w:rPr>
          <w:rFonts w:ascii="宋体" w:hAnsi="宋体"/>
          <w:sz w:val="28"/>
          <w:szCs w:val="28"/>
        </w:rPr>
      </w:pPr>
      <w:r>
        <w:rPr>
          <w:rFonts w:hint="eastAsia" w:ascii="宋体" w:hAnsi="宋体"/>
          <w:sz w:val="28"/>
          <w:szCs w:val="28"/>
        </w:rPr>
        <w:t>确定参与磋商后，至递交响应文件截止时间前私自接触供应商；</w:t>
      </w:r>
    </w:p>
    <w:p>
      <w:pPr>
        <w:numPr>
          <w:ilvl w:val="0"/>
          <w:numId w:val="53"/>
        </w:numPr>
        <w:tabs>
          <w:tab w:val="left" w:pos="1155"/>
        </w:tabs>
        <w:spacing w:after="200" w:line="360" w:lineRule="auto"/>
        <w:ind w:left="0" w:firstLine="525"/>
        <w:rPr>
          <w:rFonts w:ascii="宋体" w:hAnsi="宋体"/>
          <w:sz w:val="28"/>
          <w:szCs w:val="28"/>
        </w:rPr>
      </w:pPr>
      <w:r>
        <w:rPr>
          <w:rFonts w:hint="eastAsia" w:ascii="宋体" w:hAnsi="宋体"/>
          <w:sz w:val="28"/>
          <w:szCs w:val="28"/>
        </w:rPr>
        <w:t>违反评审纪律发表倾向性意见或者征询采购人的倾向性意见；</w:t>
      </w:r>
    </w:p>
    <w:p>
      <w:pPr>
        <w:numPr>
          <w:ilvl w:val="0"/>
          <w:numId w:val="53"/>
        </w:numPr>
        <w:tabs>
          <w:tab w:val="left" w:pos="1155"/>
        </w:tabs>
        <w:spacing w:after="200" w:line="360" w:lineRule="auto"/>
        <w:ind w:left="0" w:firstLine="525"/>
        <w:rPr>
          <w:rFonts w:ascii="宋体" w:hAnsi="宋体"/>
          <w:sz w:val="28"/>
          <w:szCs w:val="28"/>
        </w:rPr>
      </w:pPr>
      <w:r>
        <w:rPr>
          <w:rFonts w:hint="eastAsia" w:ascii="宋体" w:hAnsi="宋体"/>
          <w:sz w:val="28"/>
          <w:szCs w:val="28"/>
        </w:rPr>
        <w:t>对需要专业判断的主观评审因素协商评分；</w:t>
      </w:r>
    </w:p>
    <w:p>
      <w:pPr>
        <w:numPr>
          <w:ilvl w:val="0"/>
          <w:numId w:val="53"/>
        </w:numPr>
        <w:tabs>
          <w:tab w:val="left" w:pos="1155"/>
        </w:tabs>
        <w:spacing w:after="200" w:line="360" w:lineRule="auto"/>
        <w:ind w:left="0" w:firstLine="525"/>
        <w:rPr>
          <w:rFonts w:ascii="宋体" w:hAnsi="宋体"/>
          <w:sz w:val="28"/>
          <w:szCs w:val="28"/>
        </w:rPr>
      </w:pPr>
      <w:r>
        <w:rPr>
          <w:rFonts w:hint="eastAsia" w:ascii="宋体" w:hAnsi="宋体"/>
          <w:sz w:val="28"/>
          <w:szCs w:val="28"/>
        </w:rPr>
        <w:t>在评审过程中擅离职守，影响磋商程序正常进行的；</w:t>
      </w:r>
    </w:p>
    <w:p>
      <w:pPr>
        <w:numPr>
          <w:ilvl w:val="0"/>
          <w:numId w:val="53"/>
        </w:numPr>
        <w:tabs>
          <w:tab w:val="left" w:pos="1155"/>
        </w:tabs>
        <w:spacing w:after="200" w:line="360" w:lineRule="auto"/>
        <w:ind w:left="0" w:firstLine="525"/>
        <w:rPr>
          <w:rFonts w:ascii="宋体" w:hAnsi="宋体"/>
          <w:sz w:val="28"/>
          <w:szCs w:val="28"/>
        </w:rPr>
      </w:pPr>
      <w:r>
        <w:rPr>
          <w:rFonts w:hint="eastAsia" w:ascii="宋体" w:hAnsi="宋体"/>
          <w:sz w:val="28"/>
          <w:szCs w:val="28"/>
        </w:rPr>
        <w:t>记录、复制或者带走任何评审资料；</w:t>
      </w:r>
    </w:p>
    <w:p>
      <w:pPr>
        <w:numPr>
          <w:ilvl w:val="0"/>
          <w:numId w:val="53"/>
        </w:numPr>
        <w:tabs>
          <w:tab w:val="left" w:pos="1155"/>
        </w:tabs>
        <w:spacing w:after="200" w:line="360" w:lineRule="auto"/>
        <w:ind w:left="0" w:firstLine="525"/>
        <w:rPr>
          <w:rFonts w:ascii="宋体" w:hAnsi="宋体"/>
          <w:sz w:val="28"/>
          <w:szCs w:val="28"/>
        </w:rPr>
      </w:pPr>
      <w:r>
        <w:rPr>
          <w:rFonts w:hint="eastAsia" w:ascii="宋体" w:hAnsi="宋体"/>
          <w:sz w:val="28"/>
          <w:szCs w:val="28"/>
        </w:rPr>
        <w:t>其他不遵守评审纪律的行为。</w:t>
      </w:r>
    </w:p>
    <w:p>
      <w:pPr>
        <w:spacing w:line="360" w:lineRule="auto"/>
        <w:ind w:firstLine="560" w:firstLineChars="200"/>
        <w:rPr>
          <w:sz w:val="28"/>
          <w:szCs w:val="28"/>
        </w:rPr>
      </w:pPr>
      <w:r>
        <w:rPr>
          <w:rFonts w:hint="eastAsia"/>
          <w:sz w:val="28"/>
          <w:szCs w:val="28"/>
        </w:rPr>
        <w:t>磋商有前款第一至四项行为之一的，其评审意见无效，并不得获取评审劳务报酬和报销异地评审差旅费。</w:t>
      </w:r>
    </w:p>
    <w:p>
      <w:pPr>
        <w:pStyle w:val="4"/>
        <w:numPr>
          <w:ilvl w:val="1"/>
          <w:numId w:val="44"/>
        </w:numPr>
        <w:spacing w:after="200"/>
        <w:ind w:left="1985" w:hanging="1985"/>
      </w:pPr>
      <w:bookmarkStart w:id="148" w:name="_Toc10052"/>
      <w:bookmarkStart w:id="149" w:name="_Toc58943353"/>
      <w:r>
        <w:rPr>
          <w:rFonts w:hint="eastAsia"/>
        </w:rPr>
        <w:t>磋商纪律</w:t>
      </w:r>
      <w:bookmarkEnd w:id="148"/>
      <w:bookmarkEnd w:id="149"/>
    </w:p>
    <w:p>
      <w:pPr>
        <w:snapToGrid w:val="0"/>
        <w:spacing w:line="360" w:lineRule="auto"/>
        <w:ind w:firstLine="560" w:firstLineChars="200"/>
        <w:rPr>
          <w:sz w:val="28"/>
          <w:szCs w:val="28"/>
        </w:rPr>
      </w:pPr>
      <w:r>
        <w:rPr>
          <w:rFonts w:hint="eastAsia"/>
          <w:sz w:val="28"/>
          <w:szCs w:val="28"/>
        </w:rPr>
        <w:t>磋商小组成员在政府采购活动中应当遵守以下工作纪律：</w:t>
      </w:r>
    </w:p>
    <w:p>
      <w:pPr>
        <w:numPr>
          <w:ilvl w:val="0"/>
          <w:numId w:val="54"/>
        </w:numPr>
        <w:tabs>
          <w:tab w:val="left" w:pos="1155"/>
        </w:tabs>
        <w:spacing w:after="200" w:line="360" w:lineRule="auto"/>
        <w:ind w:left="0" w:firstLine="527"/>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numPr>
          <w:ilvl w:val="0"/>
          <w:numId w:val="54"/>
        </w:numPr>
        <w:tabs>
          <w:tab w:val="left" w:pos="1155"/>
        </w:tabs>
        <w:spacing w:after="200" w:line="360" w:lineRule="auto"/>
        <w:ind w:left="0" w:firstLine="527"/>
        <w:rPr>
          <w:rFonts w:ascii="宋体" w:hAnsi="宋体"/>
          <w:sz w:val="28"/>
          <w:szCs w:val="28"/>
        </w:rPr>
      </w:pPr>
      <w:r>
        <w:rPr>
          <w:rFonts w:hint="eastAsia" w:ascii="宋体" w:hAnsi="宋体"/>
          <w:sz w:val="28"/>
          <w:szCs w:val="28"/>
        </w:rPr>
        <w:t>应邀按时参加评审和咨询活动，遵守评标区管理规定。</w:t>
      </w:r>
    </w:p>
    <w:p>
      <w:pPr>
        <w:numPr>
          <w:ilvl w:val="0"/>
          <w:numId w:val="54"/>
        </w:numPr>
        <w:tabs>
          <w:tab w:val="left" w:pos="1155"/>
        </w:tabs>
        <w:spacing w:after="200" w:line="360" w:lineRule="auto"/>
        <w:ind w:left="0" w:firstLine="527"/>
        <w:rPr>
          <w:rFonts w:ascii="宋体" w:hAnsi="宋体"/>
          <w:sz w:val="28"/>
          <w:szCs w:val="28"/>
        </w:rPr>
      </w:pPr>
      <w:r>
        <w:rPr>
          <w:rFonts w:hint="eastAsia" w:ascii="宋体" w:hAnsi="宋体"/>
          <w:sz w:val="28"/>
          <w:szCs w:val="28"/>
        </w:rPr>
        <w:t>进入评标区之前应将所有的通信设备存入交易中心指定的存放处。评审专家不得以任何方式将通信设备带入评标区，否则将被取消其当次项目的评审资格。遇特殊情况不能出席或途中遇阻不能按时参加评审或咨询的，应及时告知财政部门或者采购人或者成都东部新区党工委管委会（成都市东部新城办）综合部，不得私自转托他人。</w:t>
      </w:r>
    </w:p>
    <w:p>
      <w:pPr>
        <w:numPr>
          <w:ilvl w:val="0"/>
          <w:numId w:val="54"/>
        </w:numPr>
        <w:tabs>
          <w:tab w:val="left" w:pos="1155"/>
        </w:tabs>
        <w:spacing w:after="200" w:line="360" w:lineRule="auto"/>
        <w:ind w:left="0" w:firstLine="527"/>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成都东部新区党工委管委会（成都市东部新城办）综合部也可要求该评审专家回避。</w:t>
      </w:r>
    </w:p>
    <w:p>
      <w:pPr>
        <w:numPr>
          <w:ilvl w:val="0"/>
          <w:numId w:val="54"/>
        </w:numPr>
        <w:tabs>
          <w:tab w:val="left" w:pos="1155"/>
        </w:tabs>
        <w:spacing w:after="200" w:line="360" w:lineRule="auto"/>
        <w:ind w:left="0" w:firstLine="527"/>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评审过程中关闭通讯设备，不得与外界联系。因发生不可预见情况，确实需要与外界联系的，应告知评标区值守人员，使用评标区内由交易中心提供的通信设备，在监督人员监督之下办理。</w:t>
      </w:r>
    </w:p>
    <w:p>
      <w:pPr>
        <w:numPr>
          <w:ilvl w:val="0"/>
          <w:numId w:val="54"/>
        </w:numPr>
        <w:tabs>
          <w:tab w:val="left" w:pos="1155"/>
        </w:tabs>
        <w:spacing w:after="200" w:line="360" w:lineRule="auto"/>
        <w:ind w:left="0" w:firstLine="527"/>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numPr>
          <w:ilvl w:val="0"/>
          <w:numId w:val="54"/>
        </w:numPr>
        <w:tabs>
          <w:tab w:val="left" w:pos="1155"/>
        </w:tabs>
        <w:spacing w:after="200" w:line="360" w:lineRule="auto"/>
        <w:ind w:left="0" w:firstLine="527"/>
        <w:rPr>
          <w:rFonts w:ascii="宋体" w:hAnsi="宋体"/>
          <w:sz w:val="28"/>
          <w:szCs w:val="28"/>
        </w:rPr>
      </w:pPr>
      <w:r>
        <w:rPr>
          <w:rFonts w:hint="eastAsia" w:ascii="宋体" w:hAnsi="宋体"/>
          <w:sz w:val="28"/>
          <w:szCs w:val="28"/>
        </w:rPr>
        <w:t>在磋商过程中和磋商结束后，不得记录、复制或带走任何评审资料，除因规定的义务外，不得向外界透露评审内容。</w:t>
      </w:r>
    </w:p>
    <w:p>
      <w:pPr>
        <w:numPr>
          <w:ilvl w:val="0"/>
          <w:numId w:val="54"/>
        </w:numPr>
        <w:tabs>
          <w:tab w:val="left" w:pos="1155"/>
        </w:tabs>
        <w:spacing w:after="200" w:line="360" w:lineRule="auto"/>
        <w:ind w:left="0" w:firstLine="527"/>
        <w:rPr>
          <w:rFonts w:ascii="宋体" w:hAnsi="宋体"/>
          <w:sz w:val="28"/>
          <w:szCs w:val="28"/>
        </w:rPr>
      </w:pPr>
      <w:r>
        <w:rPr>
          <w:rFonts w:hint="eastAsia" w:ascii="宋体" w:hAnsi="宋体"/>
          <w:sz w:val="28"/>
          <w:szCs w:val="28"/>
        </w:rPr>
        <w:t>服从评审现场成都东部新区党工委管委会（成都市东部新城办）综合部的现场秩序管理，接受评审现场监督人员的合法监督。</w:t>
      </w:r>
    </w:p>
    <w:p>
      <w:pPr>
        <w:numPr>
          <w:ilvl w:val="0"/>
          <w:numId w:val="54"/>
        </w:numPr>
        <w:tabs>
          <w:tab w:val="left" w:pos="1155"/>
        </w:tabs>
        <w:spacing w:after="200" w:line="360" w:lineRule="auto"/>
        <w:ind w:left="0" w:firstLine="527"/>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numPr>
          <w:ilvl w:val="0"/>
          <w:numId w:val="54"/>
        </w:numPr>
        <w:tabs>
          <w:tab w:val="left" w:pos="1155"/>
        </w:tabs>
        <w:spacing w:after="200" w:line="360" w:lineRule="auto"/>
        <w:ind w:left="0" w:firstLine="527"/>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十一、有关部门（机构）制定的其他评审工作纪律。</w:t>
      </w:r>
    </w:p>
    <w:p>
      <w:pPr>
        <w:tabs>
          <w:tab w:val="left" w:pos="1155"/>
        </w:tabs>
        <w:spacing w:line="360" w:lineRule="auto"/>
        <w:ind w:firstLine="523" w:firstLineChars="187"/>
        <w:rPr>
          <w:rFonts w:ascii="宋体" w:hAnsi="宋体"/>
          <w:sz w:val="28"/>
          <w:szCs w:val="28"/>
        </w:rPr>
        <w:sectPr>
          <w:footerReference r:id="rId7" w:type="default"/>
          <w:pgSz w:w="11906" w:h="16838"/>
          <w:pgMar w:top="1440" w:right="1800" w:bottom="1440" w:left="1800" w:header="851" w:footer="992" w:gutter="0"/>
          <w:cols w:space="425" w:num="1"/>
          <w:docGrid w:type="lines" w:linePitch="312" w:charSpace="0"/>
        </w:sectPr>
      </w:pPr>
    </w:p>
    <w:p>
      <w:pPr>
        <w:pStyle w:val="3"/>
        <w:numPr>
          <w:ilvl w:val="0"/>
          <w:numId w:val="1"/>
        </w:numPr>
        <w:spacing w:before="0" w:after="0"/>
        <w:ind w:left="0" w:firstLine="0"/>
      </w:pPr>
      <w:bookmarkStart w:id="150" w:name="_Toc25209"/>
      <w:r>
        <w:rPr>
          <w:rFonts w:hint="eastAsia"/>
        </w:rPr>
        <w:t>政府</w:t>
      </w:r>
      <w:r>
        <w:t>采购</w:t>
      </w:r>
      <w:r>
        <w:rPr>
          <w:rFonts w:hint="eastAsia"/>
        </w:rPr>
        <w:t>合同草案</w:t>
      </w:r>
      <w:bookmarkEnd w:id="150"/>
    </w:p>
    <w:p>
      <w:pPr>
        <w:spacing w:line="360" w:lineRule="auto"/>
        <w:ind w:firstLine="560" w:firstLineChars="200"/>
        <w:rPr>
          <w:rFonts w:ascii="仿宋" w:hAnsi="仿宋" w:eastAsia="仿宋" w:cs="仿宋"/>
          <w:sz w:val="28"/>
          <w:szCs w:val="28"/>
        </w:rPr>
      </w:pPr>
      <w:bookmarkStart w:id="151" w:name="_Toc337558811"/>
      <w:bookmarkStart w:id="152" w:name="_Toc296503113"/>
      <w:bookmarkStart w:id="153" w:name="_Toc296346614"/>
      <w:r>
        <w:rPr>
          <w:rFonts w:hint="eastAsia" w:ascii="仿宋" w:hAnsi="仿宋" w:eastAsia="仿宋" w:cs="仿宋"/>
          <w:sz w:val="28"/>
          <w:szCs w:val="28"/>
        </w:rPr>
        <w:t>合同编号：XXXX。</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签订地点：XXXX。</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签订时间：XXXX年XX月XX日。</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采购人（甲方）：</w:t>
      </w:r>
      <w:r>
        <w:rPr>
          <w:rFonts w:hint="eastAsia" w:ascii="仿宋" w:hAnsi="仿宋" w:eastAsia="仿宋" w:cs="仿宋"/>
          <w:sz w:val="28"/>
          <w:szCs w:val="28"/>
          <w:u w:val="single"/>
        </w:rPr>
        <w:t xml:space="preserve">                              </w:t>
      </w:r>
    </w:p>
    <w:p>
      <w:pPr>
        <w:spacing w:line="360" w:lineRule="auto"/>
        <w:ind w:firstLine="560" w:firstLineChars="200"/>
        <w:rPr>
          <w:rFonts w:ascii="仿宋" w:hAnsi="仿宋" w:eastAsia="仿宋" w:cs="仿宋"/>
          <w:sz w:val="28"/>
          <w:szCs w:val="28"/>
          <w:u w:val="single"/>
        </w:rPr>
      </w:pPr>
      <w:r>
        <w:rPr>
          <w:rFonts w:hint="eastAsia" w:ascii="仿宋" w:hAnsi="仿宋" w:eastAsia="仿宋" w:cs="仿宋"/>
          <w:sz w:val="28"/>
          <w:szCs w:val="28"/>
        </w:rPr>
        <w:t>供应商（乙方）：</w:t>
      </w:r>
      <w:r>
        <w:rPr>
          <w:rFonts w:hint="eastAsia" w:ascii="仿宋" w:hAnsi="仿宋" w:eastAsia="仿宋" w:cs="仿宋"/>
          <w:sz w:val="28"/>
          <w:szCs w:val="28"/>
          <w:u w:val="single"/>
        </w:rPr>
        <w:t xml:space="preserve">                              </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 xml:space="preserve">依据《中华人民共和国合同法》、《中华人民共和国政府采购法》与项目行业有关的法律法规，以及XXXX项目（项目编号：XXXX）的《竞争性磋商文件》，乙方的《响应文件》及《成交通知书》，甲、乙双方同意签订本合同。详细技术说明及其他有关合同项目的特定信息由合同附件予以说明，合同附件及本项目的《竞争性磋商文件》、《响应文件》、《成交通知书》等均为本合同的组成部分。 </w:t>
      </w:r>
    </w:p>
    <w:p>
      <w:pPr>
        <w:numPr>
          <w:ilvl w:val="0"/>
          <w:numId w:val="55"/>
        </w:numPr>
        <w:spacing w:line="360" w:lineRule="auto"/>
        <w:rPr>
          <w:rFonts w:ascii="仿宋" w:hAnsi="仿宋" w:eastAsia="仿宋" w:cs="仿宋"/>
          <w:b/>
          <w:sz w:val="28"/>
          <w:szCs w:val="28"/>
        </w:rPr>
      </w:pPr>
      <w:r>
        <w:rPr>
          <w:rFonts w:hint="eastAsia" w:ascii="仿宋" w:hAnsi="仿宋" w:eastAsia="仿宋" w:cs="仿宋"/>
          <w:b/>
          <w:sz w:val="28"/>
          <w:szCs w:val="28"/>
        </w:rPr>
        <w:t>项目基本情况</w:t>
      </w:r>
    </w:p>
    <w:p>
      <w:pPr>
        <w:spacing w:line="360" w:lineRule="auto"/>
        <w:ind w:firstLine="630"/>
        <w:rPr>
          <w:rFonts w:ascii="仿宋" w:hAnsi="仿宋" w:eastAsia="仿宋" w:cs="仿宋"/>
          <w:b/>
          <w:sz w:val="28"/>
          <w:szCs w:val="28"/>
        </w:rPr>
      </w:pPr>
    </w:p>
    <w:p>
      <w:pPr>
        <w:numPr>
          <w:ilvl w:val="0"/>
          <w:numId w:val="55"/>
        </w:numPr>
        <w:spacing w:line="360" w:lineRule="auto"/>
        <w:rPr>
          <w:rFonts w:ascii="仿宋" w:hAnsi="仿宋" w:eastAsia="仿宋" w:cs="仿宋"/>
          <w:b/>
          <w:sz w:val="28"/>
          <w:szCs w:val="28"/>
        </w:rPr>
      </w:pPr>
      <w:r>
        <w:rPr>
          <w:rFonts w:hint="eastAsia" w:ascii="仿宋" w:hAnsi="仿宋" w:eastAsia="仿宋" w:cs="仿宋"/>
          <w:b/>
          <w:sz w:val="28"/>
          <w:szCs w:val="28"/>
        </w:rPr>
        <w:t>合同期限</w:t>
      </w:r>
    </w:p>
    <w:p>
      <w:pPr>
        <w:spacing w:line="360" w:lineRule="auto"/>
        <w:ind w:firstLine="560" w:firstLineChars="200"/>
        <w:rPr>
          <w:rFonts w:ascii="仿宋" w:hAnsi="仿宋" w:eastAsia="仿宋" w:cs="仿宋"/>
          <w:sz w:val="28"/>
          <w:szCs w:val="28"/>
        </w:rPr>
      </w:pPr>
    </w:p>
    <w:p>
      <w:pPr>
        <w:numPr>
          <w:ilvl w:val="0"/>
          <w:numId w:val="55"/>
        </w:numPr>
        <w:spacing w:line="360" w:lineRule="auto"/>
        <w:rPr>
          <w:rFonts w:ascii="仿宋" w:hAnsi="仿宋" w:eastAsia="仿宋" w:cs="仿宋"/>
          <w:b/>
          <w:sz w:val="28"/>
          <w:szCs w:val="28"/>
        </w:rPr>
      </w:pPr>
      <w:bookmarkStart w:id="154" w:name="_Toc211854449"/>
      <w:bookmarkStart w:id="155" w:name="_Toc225654644"/>
      <w:bookmarkStart w:id="156" w:name="_Toc185395249"/>
      <w:bookmarkStart w:id="157" w:name="_Toc238984975"/>
      <w:bookmarkStart w:id="158" w:name="_Toc225244852"/>
      <w:bookmarkStart w:id="159" w:name="_Toc237145406"/>
      <w:bookmarkStart w:id="160" w:name="_Toc212019594"/>
      <w:bookmarkStart w:id="161" w:name="_Toc239568418"/>
      <w:bookmarkStart w:id="162" w:name="_Toc232492928"/>
      <w:bookmarkStart w:id="163" w:name="_Toc241833903"/>
      <w:bookmarkStart w:id="164" w:name="_Toc247334841"/>
      <w:bookmarkStart w:id="165" w:name="_Toc283019214"/>
      <w:bookmarkStart w:id="166" w:name="_Toc211911348"/>
      <w:bookmarkStart w:id="167" w:name="_Toc239233914"/>
      <w:bookmarkStart w:id="168" w:name="_Toc286993786"/>
      <w:bookmarkStart w:id="169" w:name="_Toc251768862"/>
      <w:bookmarkStart w:id="170" w:name="_Toc225670751"/>
      <w:bookmarkStart w:id="171" w:name="_Toc282696226"/>
      <w:r>
        <w:rPr>
          <w:rFonts w:hint="eastAsia" w:ascii="仿宋" w:hAnsi="仿宋" w:eastAsia="仿宋" w:cs="仿宋"/>
          <w:b/>
          <w:sz w:val="28"/>
          <w:szCs w:val="28"/>
        </w:rPr>
        <w:t>服务内容与质量标准</w:t>
      </w:r>
    </w:p>
    <w:p>
      <w:pPr>
        <w:spacing w:line="360" w:lineRule="auto"/>
        <w:ind w:left="567"/>
        <w:rPr>
          <w:rFonts w:ascii="仿宋" w:hAnsi="仿宋" w:eastAsia="仿宋" w:cs="仿宋"/>
          <w:sz w:val="28"/>
          <w:szCs w:val="28"/>
        </w:rPr>
      </w:pPr>
      <w:r>
        <w:rPr>
          <w:rFonts w:hint="eastAsia" w:ascii="仿宋" w:hAnsi="仿宋" w:eastAsia="仿宋" w:cs="仿宋"/>
          <w:sz w:val="28"/>
          <w:szCs w:val="28"/>
        </w:rPr>
        <w:t>1、XXXX；</w:t>
      </w:r>
    </w:p>
    <w:p>
      <w:pPr>
        <w:spacing w:line="360" w:lineRule="auto"/>
        <w:ind w:left="567"/>
        <w:rPr>
          <w:rFonts w:ascii="仿宋" w:hAnsi="仿宋" w:eastAsia="仿宋" w:cs="仿宋"/>
          <w:sz w:val="28"/>
          <w:szCs w:val="28"/>
        </w:rPr>
      </w:pPr>
      <w:r>
        <w:rPr>
          <w:rFonts w:hint="eastAsia" w:ascii="仿宋" w:hAnsi="仿宋" w:eastAsia="仿宋" w:cs="仿宋"/>
          <w:sz w:val="28"/>
          <w:szCs w:val="28"/>
        </w:rPr>
        <w:t>2、XXXX；</w:t>
      </w:r>
    </w:p>
    <w:p>
      <w:pPr>
        <w:spacing w:line="360" w:lineRule="auto"/>
        <w:ind w:left="567"/>
        <w:rPr>
          <w:rFonts w:ascii="仿宋" w:hAnsi="仿宋" w:eastAsia="仿宋" w:cs="仿宋"/>
          <w:sz w:val="28"/>
          <w:szCs w:val="28"/>
        </w:rPr>
      </w:pPr>
      <w:r>
        <w:rPr>
          <w:rFonts w:hint="eastAsia" w:ascii="仿宋" w:hAnsi="仿宋" w:eastAsia="仿宋" w:cs="仿宋"/>
          <w:sz w:val="28"/>
          <w:szCs w:val="28"/>
        </w:rPr>
        <w:t>3、XXXX．</w:t>
      </w:r>
    </w:p>
    <w:p>
      <w:pPr>
        <w:spacing w:line="360" w:lineRule="auto"/>
        <w:ind w:firstLine="630"/>
        <w:rPr>
          <w:rFonts w:ascii="仿宋" w:hAnsi="仿宋" w:eastAsia="仿宋" w:cs="仿宋"/>
          <w:sz w:val="28"/>
          <w:szCs w:val="28"/>
        </w:rPr>
      </w:pPr>
      <w:r>
        <w:rPr>
          <w:rFonts w:hint="eastAsia" w:ascii="仿宋" w:hAnsi="仿宋" w:eastAsia="仿宋" w:cs="仿宋"/>
          <w:sz w:val="28"/>
          <w:szCs w:val="28"/>
        </w:rPr>
        <w:t>…</w:t>
      </w:r>
    </w:p>
    <w:p>
      <w:pPr>
        <w:numPr>
          <w:ilvl w:val="0"/>
          <w:numId w:val="55"/>
        </w:numPr>
        <w:spacing w:line="360" w:lineRule="auto"/>
        <w:rPr>
          <w:rFonts w:ascii="仿宋" w:hAnsi="仿宋" w:eastAsia="仿宋" w:cs="仿宋"/>
          <w:b/>
          <w:sz w:val="28"/>
          <w:szCs w:val="28"/>
        </w:rPr>
      </w:pPr>
      <w:r>
        <w:rPr>
          <w:rFonts w:hint="eastAsia" w:ascii="仿宋" w:hAnsi="仿宋" w:eastAsia="仿宋" w:cs="仿宋"/>
          <w:b/>
          <w:sz w:val="28"/>
          <w:szCs w:val="28"/>
        </w:rPr>
        <w:t>服务费用及支付方式</w:t>
      </w:r>
    </w:p>
    <w:p>
      <w:pPr>
        <w:numPr>
          <w:ilvl w:val="0"/>
          <w:numId w:val="56"/>
        </w:numPr>
        <w:spacing w:line="360" w:lineRule="auto"/>
        <w:ind w:left="0" w:firstLine="567"/>
        <w:rPr>
          <w:rFonts w:ascii="仿宋" w:hAnsi="仿宋" w:eastAsia="仿宋" w:cs="仿宋"/>
          <w:b/>
          <w:sz w:val="28"/>
          <w:szCs w:val="28"/>
        </w:rPr>
      </w:pPr>
      <w:r>
        <w:rPr>
          <w:rFonts w:hint="eastAsia" w:ascii="仿宋" w:hAnsi="仿宋" w:eastAsia="仿宋" w:cs="仿宋"/>
          <w:b/>
          <w:sz w:val="28"/>
          <w:szCs w:val="28"/>
        </w:rPr>
        <w:t>本项目服务费用由以下组成：</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1、XX万元；</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2、XX万元；</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3、XX万元。</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w:t>
      </w:r>
    </w:p>
    <w:p>
      <w:pPr>
        <w:numPr>
          <w:ilvl w:val="0"/>
          <w:numId w:val="56"/>
        </w:numPr>
        <w:tabs>
          <w:tab w:val="left" w:pos="780"/>
        </w:tabs>
        <w:spacing w:line="360" w:lineRule="auto"/>
        <w:ind w:left="0" w:firstLine="567"/>
        <w:rPr>
          <w:rFonts w:ascii="仿宋" w:hAnsi="仿宋" w:eastAsia="仿宋" w:cs="仿宋"/>
          <w:b/>
          <w:sz w:val="28"/>
          <w:szCs w:val="28"/>
        </w:rPr>
      </w:pPr>
      <w:r>
        <w:rPr>
          <w:rFonts w:hint="eastAsia" w:ascii="仿宋" w:hAnsi="仿宋" w:eastAsia="仿宋" w:cs="仿宋"/>
          <w:b/>
          <w:sz w:val="28"/>
          <w:szCs w:val="28"/>
        </w:rPr>
        <w:t xml:space="preserve">服务费支付方式： </w:t>
      </w:r>
    </w:p>
    <w:p>
      <w:pPr>
        <w:numPr>
          <w:ilvl w:val="0"/>
          <w:numId w:val="55"/>
        </w:numPr>
        <w:spacing w:line="360" w:lineRule="auto"/>
        <w:rPr>
          <w:rFonts w:ascii="仿宋" w:hAnsi="仿宋" w:eastAsia="仿宋" w:cs="仿宋"/>
          <w:b/>
          <w:sz w:val="28"/>
          <w:szCs w:val="28"/>
        </w:rPr>
      </w:pPr>
      <w:r>
        <w:rPr>
          <w:rFonts w:hint="eastAsia" w:ascii="仿宋" w:hAnsi="仿宋" w:eastAsia="仿宋" w:cs="仿宋"/>
          <w:b/>
          <w:sz w:val="28"/>
          <w:szCs w:val="28"/>
        </w:rPr>
        <w:t>知识产权</w:t>
      </w:r>
    </w:p>
    <w:p>
      <w:pPr>
        <w:tabs>
          <w:tab w:val="left" w:pos="1440"/>
        </w:tabs>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乙方应保证所提供的服务或其任何一部分均不会侵犯任何第三方的专利权、商标权或著作权。</w:t>
      </w:r>
    </w:p>
    <w:p>
      <w:pPr>
        <w:numPr>
          <w:ilvl w:val="0"/>
          <w:numId w:val="55"/>
        </w:numPr>
        <w:spacing w:line="360" w:lineRule="auto"/>
        <w:rPr>
          <w:rFonts w:ascii="仿宋" w:hAnsi="仿宋" w:eastAsia="仿宋" w:cs="仿宋"/>
          <w:b/>
          <w:sz w:val="28"/>
          <w:szCs w:val="28"/>
        </w:rPr>
      </w:pPr>
      <w:r>
        <w:rPr>
          <w:rFonts w:hint="eastAsia" w:ascii="仿宋" w:hAnsi="仿宋" w:eastAsia="仿宋" w:cs="仿宋"/>
          <w:b/>
          <w:sz w:val="28"/>
          <w:szCs w:val="28"/>
        </w:rPr>
        <w:t>无产权瑕疵条款</w:t>
      </w:r>
    </w:p>
    <w:p>
      <w:pPr>
        <w:tabs>
          <w:tab w:val="left" w:pos="1440"/>
        </w:tabs>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乙方保证所提供的服务的所有权完全属于乙方且无任何抵押、查封等产权瑕疵。如有产权瑕疵的，视为乙方违约。乙方应负担由此而产生的一切损失。</w:t>
      </w:r>
    </w:p>
    <w:p>
      <w:pPr>
        <w:numPr>
          <w:ilvl w:val="0"/>
          <w:numId w:val="55"/>
        </w:numPr>
        <w:spacing w:line="360" w:lineRule="auto"/>
        <w:rPr>
          <w:rFonts w:ascii="仿宋" w:hAnsi="仿宋" w:eastAsia="仿宋" w:cs="仿宋"/>
          <w:b/>
          <w:sz w:val="28"/>
          <w:szCs w:val="28"/>
        </w:rPr>
      </w:pPr>
      <w:r>
        <w:rPr>
          <w:rFonts w:hint="eastAsia" w:ascii="仿宋" w:hAnsi="仿宋" w:eastAsia="仿宋" w:cs="仿宋"/>
          <w:b/>
          <w:sz w:val="28"/>
          <w:szCs w:val="28"/>
        </w:rPr>
        <w:t>甲方的权利和义务</w:t>
      </w:r>
    </w:p>
    <w:p>
      <w:pPr>
        <w:spacing w:line="360" w:lineRule="auto"/>
        <w:ind w:firstLine="560" w:firstLineChars="200"/>
        <w:textAlignment w:val="baseline"/>
        <w:rPr>
          <w:rFonts w:ascii="仿宋" w:hAnsi="仿宋" w:eastAsia="仿宋" w:cs="仿宋"/>
          <w:bCs/>
          <w:sz w:val="28"/>
          <w:szCs w:val="28"/>
        </w:rPr>
      </w:pPr>
      <w:r>
        <w:rPr>
          <w:rFonts w:hint="eastAsia" w:ascii="仿宋" w:hAnsi="仿宋" w:eastAsia="仿宋" w:cs="仿宋"/>
          <w:bCs/>
          <w:sz w:val="28"/>
          <w:szCs w:val="28"/>
        </w:rPr>
        <w:t>1、甲方有权对合同规定范围内乙方的服务行为进行监督和检查，拥有监管权。有权定期核对乙方提供服务所配备的人员数量。对甲方认为不合理的部分有权下达整改通知书，并要求乙方限期整改。</w:t>
      </w:r>
    </w:p>
    <w:p>
      <w:pPr>
        <w:spacing w:line="360" w:lineRule="auto"/>
        <w:ind w:firstLine="560" w:firstLineChars="200"/>
        <w:textAlignment w:val="baseline"/>
        <w:rPr>
          <w:rFonts w:ascii="仿宋" w:hAnsi="仿宋" w:eastAsia="仿宋" w:cs="仿宋"/>
          <w:bCs/>
          <w:sz w:val="28"/>
          <w:szCs w:val="28"/>
        </w:rPr>
      </w:pPr>
      <w:r>
        <w:rPr>
          <w:rFonts w:hint="eastAsia" w:ascii="仿宋" w:hAnsi="仿宋" w:eastAsia="仿宋" w:cs="仿宋"/>
          <w:bCs/>
          <w:sz w:val="28"/>
          <w:szCs w:val="28"/>
        </w:rPr>
        <w:t>2、负责检查监督乙方管理工作的实施及制度的执行情况。</w:t>
      </w:r>
    </w:p>
    <w:p>
      <w:pPr>
        <w:spacing w:line="360" w:lineRule="auto"/>
        <w:ind w:firstLine="560" w:firstLineChars="200"/>
        <w:textAlignment w:val="baseline"/>
        <w:rPr>
          <w:rFonts w:ascii="仿宋" w:hAnsi="仿宋" w:eastAsia="仿宋" w:cs="仿宋"/>
          <w:bCs/>
          <w:sz w:val="28"/>
          <w:szCs w:val="28"/>
        </w:rPr>
      </w:pPr>
      <w:r>
        <w:rPr>
          <w:rFonts w:hint="eastAsia" w:ascii="仿宋" w:hAnsi="仿宋" w:eastAsia="仿宋" w:cs="仿宋"/>
          <w:bCs/>
          <w:sz w:val="28"/>
          <w:szCs w:val="28"/>
        </w:rPr>
        <w:t>3、根据本合同规定，按时向乙方支付应付服务费用。</w:t>
      </w:r>
    </w:p>
    <w:p>
      <w:pPr>
        <w:spacing w:line="360" w:lineRule="auto"/>
        <w:ind w:firstLine="560" w:firstLineChars="200"/>
        <w:textAlignment w:val="baseline"/>
        <w:rPr>
          <w:rFonts w:ascii="仿宋" w:hAnsi="仿宋" w:eastAsia="仿宋" w:cs="仿宋"/>
          <w:bCs/>
          <w:sz w:val="28"/>
          <w:szCs w:val="28"/>
        </w:rPr>
      </w:pPr>
      <w:r>
        <w:rPr>
          <w:rFonts w:hint="eastAsia" w:ascii="仿宋" w:hAnsi="仿宋" w:eastAsia="仿宋" w:cs="仿宋"/>
          <w:bCs/>
          <w:sz w:val="28"/>
          <w:szCs w:val="28"/>
        </w:rPr>
        <w:t>4、国家法律、法规所规定由甲方承担的其它责任。</w:t>
      </w:r>
    </w:p>
    <w:p>
      <w:pPr>
        <w:numPr>
          <w:ilvl w:val="0"/>
          <w:numId w:val="55"/>
        </w:numPr>
        <w:spacing w:line="360" w:lineRule="auto"/>
        <w:rPr>
          <w:rFonts w:ascii="仿宋" w:hAnsi="仿宋" w:eastAsia="仿宋" w:cs="仿宋"/>
          <w:b/>
          <w:sz w:val="28"/>
          <w:szCs w:val="28"/>
        </w:rPr>
      </w:pPr>
      <w:r>
        <w:rPr>
          <w:rFonts w:hint="eastAsia" w:ascii="仿宋" w:hAnsi="仿宋" w:eastAsia="仿宋" w:cs="仿宋"/>
          <w:b/>
          <w:sz w:val="28"/>
          <w:szCs w:val="28"/>
        </w:rPr>
        <w:t>乙方的权利和义务</w:t>
      </w:r>
    </w:p>
    <w:p>
      <w:pPr>
        <w:spacing w:line="360" w:lineRule="auto"/>
        <w:ind w:firstLine="560" w:firstLineChars="200"/>
        <w:textAlignment w:val="baseline"/>
        <w:rPr>
          <w:rFonts w:ascii="仿宋" w:hAnsi="仿宋" w:eastAsia="仿宋" w:cs="仿宋"/>
          <w:bCs/>
          <w:sz w:val="28"/>
          <w:szCs w:val="28"/>
        </w:rPr>
      </w:pPr>
      <w:r>
        <w:rPr>
          <w:rFonts w:hint="eastAsia" w:ascii="仿宋" w:hAnsi="仿宋" w:eastAsia="仿宋" w:cs="仿宋"/>
          <w:bCs/>
          <w:sz w:val="28"/>
          <w:szCs w:val="28"/>
        </w:rPr>
        <w:t>1、对本合同规定的委托服务范围内的项目享有管理权及服务义务。</w:t>
      </w:r>
    </w:p>
    <w:p>
      <w:pPr>
        <w:spacing w:line="360" w:lineRule="auto"/>
        <w:ind w:firstLine="560" w:firstLineChars="200"/>
        <w:textAlignment w:val="baseline"/>
        <w:rPr>
          <w:rFonts w:ascii="仿宋" w:hAnsi="仿宋" w:eastAsia="仿宋" w:cs="仿宋"/>
          <w:bCs/>
          <w:sz w:val="28"/>
          <w:szCs w:val="28"/>
        </w:rPr>
      </w:pPr>
      <w:r>
        <w:rPr>
          <w:rFonts w:hint="eastAsia" w:ascii="仿宋" w:hAnsi="仿宋" w:eastAsia="仿宋" w:cs="仿宋"/>
          <w:bCs/>
          <w:sz w:val="28"/>
          <w:szCs w:val="28"/>
        </w:rPr>
        <w:t>2、根据本合同的规定向甲方收取相关服务费用，并有权在本项目管理范围内管理及合理使用。</w:t>
      </w:r>
    </w:p>
    <w:p>
      <w:pPr>
        <w:spacing w:line="360" w:lineRule="auto"/>
        <w:ind w:firstLine="560" w:firstLineChars="200"/>
        <w:textAlignment w:val="baseline"/>
        <w:rPr>
          <w:rFonts w:ascii="仿宋" w:hAnsi="仿宋" w:eastAsia="仿宋" w:cs="仿宋"/>
          <w:sz w:val="28"/>
          <w:szCs w:val="28"/>
        </w:rPr>
      </w:pPr>
      <w:r>
        <w:rPr>
          <w:rFonts w:hint="eastAsia" w:ascii="仿宋" w:hAnsi="仿宋" w:eastAsia="仿宋" w:cs="仿宋"/>
          <w:sz w:val="28"/>
          <w:szCs w:val="28"/>
        </w:rPr>
        <w:t>3、及时向甲方通告本项目服务范围内有关服务的重大事项，及时配合处理投诉。</w:t>
      </w:r>
    </w:p>
    <w:p>
      <w:pPr>
        <w:spacing w:line="360" w:lineRule="auto"/>
        <w:ind w:firstLine="560" w:firstLineChars="200"/>
        <w:textAlignment w:val="baseline"/>
        <w:rPr>
          <w:rFonts w:ascii="仿宋" w:hAnsi="仿宋" w:eastAsia="仿宋" w:cs="仿宋"/>
          <w:bCs/>
          <w:sz w:val="28"/>
          <w:szCs w:val="28"/>
        </w:rPr>
      </w:pPr>
      <w:r>
        <w:rPr>
          <w:rFonts w:hint="eastAsia" w:ascii="仿宋" w:hAnsi="仿宋" w:eastAsia="仿宋" w:cs="仿宋"/>
          <w:sz w:val="28"/>
          <w:szCs w:val="28"/>
        </w:rPr>
        <w:t>4、</w:t>
      </w:r>
      <w:r>
        <w:rPr>
          <w:rFonts w:hint="eastAsia" w:ascii="仿宋" w:hAnsi="仿宋" w:eastAsia="仿宋" w:cs="仿宋"/>
          <w:bCs/>
          <w:sz w:val="28"/>
          <w:szCs w:val="28"/>
        </w:rPr>
        <w:t>接受项目行业管理部门及政府有关部门的指导，接受甲方的监督。</w:t>
      </w:r>
    </w:p>
    <w:p>
      <w:pPr>
        <w:spacing w:line="360" w:lineRule="auto"/>
        <w:ind w:firstLine="560" w:firstLineChars="200"/>
        <w:textAlignment w:val="baseline"/>
        <w:rPr>
          <w:rFonts w:ascii="仿宋" w:hAnsi="仿宋" w:eastAsia="仿宋" w:cs="仿宋"/>
          <w:bCs/>
          <w:sz w:val="28"/>
          <w:szCs w:val="28"/>
        </w:rPr>
      </w:pPr>
      <w:r>
        <w:rPr>
          <w:rFonts w:hint="eastAsia" w:ascii="仿宋" w:hAnsi="仿宋" w:eastAsia="仿宋" w:cs="仿宋"/>
          <w:bCs/>
          <w:sz w:val="28"/>
          <w:szCs w:val="28"/>
        </w:rPr>
        <w:t>5、国家法律、法规所规定由乙方承担的其它责任。</w:t>
      </w:r>
    </w:p>
    <w:p>
      <w:pPr>
        <w:numPr>
          <w:ilvl w:val="0"/>
          <w:numId w:val="55"/>
        </w:numPr>
        <w:spacing w:line="360" w:lineRule="auto"/>
        <w:rPr>
          <w:rFonts w:ascii="仿宋" w:hAnsi="仿宋" w:eastAsia="仿宋" w:cs="仿宋"/>
          <w:b/>
          <w:sz w:val="28"/>
          <w:szCs w:val="28"/>
        </w:rPr>
      </w:pPr>
      <w:r>
        <w:rPr>
          <w:rFonts w:hint="eastAsia" w:ascii="仿宋" w:hAnsi="仿宋" w:eastAsia="仿宋" w:cs="仿宋"/>
          <w:b/>
          <w:sz w:val="28"/>
          <w:szCs w:val="28"/>
        </w:rPr>
        <w:t>违约责任</w:t>
      </w:r>
    </w:p>
    <w:p>
      <w:pPr>
        <w:pStyle w:val="156"/>
        <w:ind w:firstLine="560"/>
        <w:rPr>
          <w:rFonts w:ascii="仿宋" w:hAnsi="仿宋" w:eastAsia="仿宋" w:cs="仿宋"/>
          <w:sz w:val="28"/>
          <w:szCs w:val="28"/>
        </w:rPr>
      </w:pPr>
      <w:r>
        <w:rPr>
          <w:rFonts w:hint="eastAsia" w:ascii="仿宋" w:hAnsi="仿宋" w:eastAsia="仿宋" w:cs="仿宋"/>
          <w:bCs/>
          <w:sz w:val="28"/>
          <w:szCs w:val="28"/>
        </w:rPr>
        <w:t>1、甲乙双方必须遵守本合同并执行合同中的各项规定，保证本合同的正常履行。</w:t>
      </w:r>
      <w:r>
        <w:rPr>
          <w:rFonts w:hint="eastAsia" w:ascii="仿宋" w:hAnsi="仿宋" w:eastAsia="仿宋" w:cs="仿宋"/>
          <w:sz w:val="28"/>
          <w:szCs w:val="28"/>
        </w:rPr>
        <w:t>如有未尽事宜，由双方依法订立补充合同。</w:t>
      </w:r>
    </w:p>
    <w:p>
      <w:pPr>
        <w:spacing w:line="360" w:lineRule="auto"/>
        <w:ind w:firstLine="560" w:firstLineChars="200"/>
        <w:textAlignment w:val="baseline"/>
        <w:rPr>
          <w:rFonts w:ascii="仿宋" w:hAnsi="仿宋" w:eastAsia="仿宋" w:cs="仿宋"/>
          <w:bCs/>
          <w:sz w:val="28"/>
          <w:szCs w:val="28"/>
        </w:rPr>
      </w:pPr>
      <w:r>
        <w:rPr>
          <w:rFonts w:hint="eastAsia" w:ascii="仿宋" w:hAnsi="仿宋" w:eastAsia="仿宋" w:cs="仿宋"/>
          <w:bCs/>
          <w:sz w:val="28"/>
          <w:szCs w:val="28"/>
        </w:rPr>
        <w:t>2、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pPr>
        <w:numPr>
          <w:ilvl w:val="0"/>
          <w:numId w:val="55"/>
        </w:numPr>
        <w:spacing w:line="360" w:lineRule="auto"/>
        <w:rPr>
          <w:rFonts w:ascii="仿宋" w:hAnsi="仿宋" w:eastAsia="仿宋" w:cs="仿宋"/>
          <w:b/>
          <w:sz w:val="28"/>
          <w:szCs w:val="28"/>
        </w:rPr>
      </w:pPr>
      <w:r>
        <w:rPr>
          <w:rFonts w:hint="eastAsia" w:ascii="仿宋" w:hAnsi="仿宋" w:eastAsia="仿宋" w:cs="仿宋"/>
          <w:b/>
          <w:sz w:val="28"/>
          <w:szCs w:val="28"/>
        </w:rPr>
        <w:t>不可抗力事件处理</w:t>
      </w:r>
    </w:p>
    <w:p>
      <w:pPr>
        <w:tabs>
          <w:tab w:val="left" w:pos="0"/>
        </w:tabs>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1、在合同有效期内，任何一方因不可抗力事件导致不能履行合同，则合同履行期可延长，其延长期与不可抗力影响期相同。</w:t>
      </w:r>
    </w:p>
    <w:p>
      <w:pPr>
        <w:tabs>
          <w:tab w:val="left" w:pos="0"/>
        </w:tabs>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2、不可抗力事件发生后，应立即通知对方，并寄送有关权威机构出具的证明。</w:t>
      </w:r>
    </w:p>
    <w:p>
      <w:pPr>
        <w:tabs>
          <w:tab w:val="left" w:pos="0"/>
        </w:tabs>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3、不可抗力事件延续XX天以上，双方应通过友好协商，确定是否继续履行合同。</w:t>
      </w:r>
    </w:p>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Pr>
        <w:numPr>
          <w:ilvl w:val="0"/>
          <w:numId w:val="55"/>
        </w:numPr>
        <w:spacing w:line="360" w:lineRule="auto"/>
        <w:rPr>
          <w:rFonts w:ascii="仿宋" w:hAnsi="仿宋" w:eastAsia="仿宋" w:cs="仿宋"/>
          <w:b/>
          <w:sz w:val="28"/>
          <w:szCs w:val="28"/>
        </w:rPr>
      </w:pPr>
      <w:bookmarkStart w:id="172" w:name="_Toc251768867"/>
      <w:bookmarkStart w:id="173" w:name="_Toc237145411"/>
      <w:bookmarkStart w:id="174" w:name="_Toc239233919"/>
      <w:bookmarkStart w:id="175" w:name="_Toc225244857"/>
      <w:bookmarkStart w:id="176" w:name="_Toc225654649"/>
      <w:bookmarkStart w:id="177" w:name="_Toc211911353"/>
      <w:bookmarkStart w:id="178" w:name="_Toc211854454"/>
      <w:bookmarkStart w:id="179" w:name="_Toc185395254"/>
      <w:bookmarkStart w:id="180" w:name="_Toc241833908"/>
      <w:bookmarkStart w:id="181" w:name="_Toc232492933"/>
      <w:bookmarkStart w:id="182" w:name="_Toc286993792"/>
      <w:bookmarkStart w:id="183" w:name="_Toc225670756"/>
      <w:bookmarkStart w:id="184" w:name="_Toc239568423"/>
      <w:bookmarkStart w:id="185" w:name="_Toc238984980"/>
      <w:bookmarkStart w:id="186" w:name="_Toc212019599"/>
      <w:bookmarkStart w:id="187" w:name="_Toc247334846"/>
      <w:r>
        <w:rPr>
          <w:rFonts w:hint="eastAsia" w:ascii="仿宋" w:hAnsi="仿宋" w:eastAsia="仿宋" w:cs="仿宋"/>
          <w:b/>
          <w:sz w:val="28"/>
          <w:szCs w:val="28"/>
        </w:rPr>
        <w:t>解决合同纠纷的方式</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pPr>
        <w:tabs>
          <w:tab w:val="left" w:pos="0"/>
        </w:tabs>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1、在执行本合同中发生的或与本合同有关的争端，双方应通过友好协商解决，经协商在XX天内不能达成协议时，应提交成都仲裁委员会仲裁。</w:t>
      </w:r>
    </w:p>
    <w:p>
      <w:pPr>
        <w:tabs>
          <w:tab w:val="left" w:pos="0"/>
        </w:tabs>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2、仲裁裁决应为最终决定，并对双方具有约束力。</w:t>
      </w:r>
    </w:p>
    <w:p>
      <w:pPr>
        <w:tabs>
          <w:tab w:val="left" w:pos="0"/>
        </w:tabs>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 xml:space="preserve">3、除另有裁决外，仲裁费应由败诉方负担。 </w:t>
      </w:r>
    </w:p>
    <w:p>
      <w:pPr>
        <w:tabs>
          <w:tab w:val="left" w:pos="0"/>
        </w:tabs>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 xml:space="preserve">4、在仲裁期间，除正在进行仲裁部分外，合同其他部分继续执行。  </w:t>
      </w:r>
    </w:p>
    <w:p>
      <w:pPr>
        <w:numPr>
          <w:ilvl w:val="0"/>
          <w:numId w:val="55"/>
        </w:numPr>
        <w:spacing w:line="360" w:lineRule="auto"/>
        <w:rPr>
          <w:rFonts w:ascii="仿宋" w:hAnsi="仿宋" w:eastAsia="仿宋" w:cs="仿宋"/>
          <w:b/>
          <w:sz w:val="28"/>
          <w:szCs w:val="28"/>
        </w:rPr>
      </w:pPr>
      <w:bookmarkStart w:id="188" w:name="_Toc238984981"/>
      <w:bookmarkStart w:id="189" w:name="_Toc239233920"/>
      <w:bookmarkStart w:id="190" w:name="_Toc185395255"/>
      <w:bookmarkStart w:id="191" w:name="_Toc251768868"/>
      <w:bookmarkStart w:id="192" w:name="_Toc211854455"/>
      <w:bookmarkStart w:id="193" w:name="_Toc241833909"/>
      <w:bookmarkStart w:id="194" w:name="_Toc283019219"/>
      <w:bookmarkStart w:id="195" w:name="_Toc239568424"/>
      <w:bookmarkStart w:id="196" w:name="_Toc211911354"/>
      <w:bookmarkStart w:id="197" w:name="_Toc212019600"/>
      <w:bookmarkStart w:id="198" w:name="_Toc247334847"/>
      <w:bookmarkStart w:id="199" w:name="_Toc225670757"/>
      <w:bookmarkStart w:id="200" w:name="_Toc225244858"/>
      <w:bookmarkStart w:id="201" w:name="_Toc282696231"/>
      <w:bookmarkStart w:id="202" w:name="_Toc237145412"/>
      <w:bookmarkStart w:id="203" w:name="_Toc286993793"/>
      <w:bookmarkStart w:id="204" w:name="_Toc232492934"/>
      <w:bookmarkStart w:id="205" w:name="_Toc225654650"/>
      <w:r>
        <w:rPr>
          <w:rFonts w:hint="eastAsia" w:ascii="仿宋" w:hAnsi="仿宋" w:eastAsia="仿宋" w:cs="仿宋"/>
          <w:b/>
          <w:sz w:val="28"/>
          <w:szCs w:val="28"/>
        </w:rPr>
        <w:t>合同</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Pr>
          <w:rFonts w:hint="eastAsia" w:ascii="仿宋" w:hAnsi="仿宋" w:eastAsia="仿宋" w:cs="仿宋"/>
          <w:b/>
          <w:sz w:val="28"/>
          <w:szCs w:val="28"/>
        </w:rPr>
        <w:t>生效及其他</w:t>
      </w:r>
    </w:p>
    <w:p>
      <w:pPr>
        <w:pStyle w:val="80"/>
        <w:spacing w:line="360" w:lineRule="auto"/>
        <w:ind w:firstLine="560"/>
        <w:rPr>
          <w:rFonts w:ascii="仿宋" w:hAnsi="仿宋" w:eastAsia="仿宋" w:cs="仿宋"/>
          <w:sz w:val="28"/>
          <w:szCs w:val="28"/>
        </w:rPr>
      </w:pPr>
      <w:r>
        <w:rPr>
          <w:rFonts w:hint="eastAsia" w:ascii="仿宋" w:hAnsi="仿宋" w:eastAsia="仿宋" w:cs="仿宋"/>
          <w:sz w:val="28"/>
          <w:szCs w:val="28"/>
        </w:rPr>
        <w:t>1、合同经双方法定代表人或授权委托代理人签字并加盖单位公章后生效。</w:t>
      </w:r>
    </w:p>
    <w:p>
      <w:pPr>
        <w:pStyle w:val="80"/>
        <w:spacing w:line="360" w:lineRule="auto"/>
        <w:ind w:firstLine="560"/>
        <w:rPr>
          <w:rFonts w:ascii="仿宋" w:hAnsi="仿宋" w:eastAsia="仿宋" w:cs="仿宋"/>
          <w:sz w:val="28"/>
          <w:szCs w:val="28"/>
        </w:rPr>
      </w:pPr>
      <w:r>
        <w:rPr>
          <w:rFonts w:hint="eastAsia" w:ascii="仿宋" w:hAnsi="仿宋" w:eastAsia="仿宋" w:cs="仿宋"/>
          <w:sz w:val="28"/>
          <w:szCs w:val="28"/>
        </w:rPr>
        <w:t>2、合同执行中涉及采购资金和采购内容修改或补充的，须经政府采购监管部门审批，并签书面补充协议报政府采购监督管理部门备案，方可作为主合同不可分割的一部分。</w:t>
      </w:r>
    </w:p>
    <w:p>
      <w:pPr>
        <w:pStyle w:val="80"/>
        <w:spacing w:line="360" w:lineRule="auto"/>
        <w:ind w:firstLine="560"/>
        <w:rPr>
          <w:rFonts w:ascii="仿宋" w:hAnsi="仿宋" w:eastAsia="仿宋" w:cs="仿宋"/>
          <w:sz w:val="28"/>
          <w:szCs w:val="28"/>
        </w:rPr>
      </w:pPr>
      <w:r>
        <w:rPr>
          <w:rFonts w:hint="eastAsia" w:ascii="仿宋" w:hAnsi="仿宋" w:eastAsia="仿宋" w:cs="仿宋"/>
          <w:sz w:val="28"/>
          <w:szCs w:val="28"/>
        </w:rPr>
        <w:t>3、本合同一式XX份，自双方签章之日起起效。甲方XX份，乙方XX份，同级财政部门备案XX份，具有同等法律效力。</w:t>
      </w:r>
    </w:p>
    <w:p>
      <w:pPr>
        <w:numPr>
          <w:ilvl w:val="0"/>
          <w:numId w:val="55"/>
        </w:numPr>
        <w:spacing w:line="360" w:lineRule="auto"/>
        <w:rPr>
          <w:rFonts w:ascii="仿宋" w:hAnsi="仿宋" w:eastAsia="仿宋" w:cs="仿宋"/>
          <w:b/>
          <w:sz w:val="28"/>
          <w:szCs w:val="28"/>
        </w:rPr>
      </w:pPr>
      <w:r>
        <w:rPr>
          <w:rFonts w:hint="eastAsia" w:ascii="仿宋" w:hAnsi="仿宋" w:eastAsia="仿宋" w:cs="仿宋"/>
          <w:b/>
          <w:sz w:val="28"/>
          <w:szCs w:val="28"/>
        </w:rPr>
        <w:t>附件</w:t>
      </w:r>
    </w:p>
    <w:p>
      <w:pPr>
        <w:pStyle w:val="80"/>
        <w:spacing w:line="360" w:lineRule="auto"/>
        <w:ind w:firstLine="560"/>
        <w:rPr>
          <w:rFonts w:ascii="仿宋" w:hAnsi="仿宋" w:eastAsia="仿宋" w:cs="仿宋"/>
          <w:sz w:val="28"/>
          <w:szCs w:val="28"/>
        </w:rPr>
      </w:pPr>
      <w:r>
        <w:rPr>
          <w:rFonts w:hint="eastAsia" w:ascii="仿宋" w:hAnsi="仿宋" w:eastAsia="仿宋" w:cs="仿宋"/>
          <w:sz w:val="28"/>
          <w:szCs w:val="28"/>
        </w:rPr>
        <w:t>1、项目竞争性磋商文件</w:t>
      </w:r>
    </w:p>
    <w:p>
      <w:pPr>
        <w:pStyle w:val="80"/>
        <w:spacing w:line="360" w:lineRule="auto"/>
        <w:ind w:firstLine="560"/>
        <w:rPr>
          <w:rFonts w:ascii="仿宋" w:hAnsi="仿宋" w:eastAsia="仿宋" w:cs="仿宋"/>
          <w:sz w:val="28"/>
          <w:szCs w:val="28"/>
        </w:rPr>
      </w:pPr>
      <w:r>
        <w:rPr>
          <w:rFonts w:hint="eastAsia" w:ascii="仿宋" w:hAnsi="仿宋" w:eastAsia="仿宋" w:cs="仿宋"/>
          <w:sz w:val="28"/>
          <w:szCs w:val="28"/>
        </w:rPr>
        <w:t>2、项目修改澄清文件</w:t>
      </w:r>
    </w:p>
    <w:p>
      <w:pPr>
        <w:pStyle w:val="80"/>
        <w:spacing w:line="360" w:lineRule="auto"/>
        <w:ind w:firstLine="560"/>
        <w:rPr>
          <w:rFonts w:ascii="仿宋" w:hAnsi="仿宋" w:eastAsia="仿宋" w:cs="仿宋"/>
          <w:sz w:val="28"/>
          <w:szCs w:val="28"/>
        </w:rPr>
      </w:pPr>
      <w:r>
        <w:rPr>
          <w:rFonts w:hint="eastAsia" w:ascii="仿宋" w:hAnsi="仿宋" w:eastAsia="仿宋" w:cs="仿宋"/>
          <w:sz w:val="28"/>
          <w:szCs w:val="28"/>
        </w:rPr>
        <w:t>3、项目响应文件</w:t>
      </w:r>
    </w:p>
    <w:p>
      <w:pPr>
        <w:pStyle w:val="80"/>
        <w:spacing w:line="360" w:lineRule="auto"/>
        <w:ind w:firstLine="560"/>
        <w:rPr>
          <w:rFonts w:ascii="仿宋" w:hAnsi="仿宋" w:eastAsia="仿宋" w:cs="仿宋"/>
          <w:sz w:val="28"/>
          <w:szCs w:val="28"/>
        </w:rPr>
      </w:pPr>
      <w:r>
        <w:rPr>
          <w:rFonts w:hint="eastAsia" w:ascii="仿宋" w:hAnsi="仿宋" w:eastAsia="仿宋" w:cs="仿宋"/>
          <w:sz w:val="28"/>
          <w:szCs w:val="28"/>
        </w:rPr>
        <w:t>4、成交通知书</w:t>
      </w:r>
    </w:p>
    <w:p>
      <w:pPr>
        <w:pStyle w:val="80"/>
        <w:spacing w:line="360" w:lineRule="auto"/>
        <w:ind w:firstLine="560"/>
        <w:rPr>
          <w:rFonts w:ascii="仿宋" w:hAnsi="仿宋" w:eastAsia="仿宋" w:cs="仿宋"/>
          <w:sz w:val="28"/>
          <w:szCs w:val="28"/>
        </w:rPr>
      </w:pPr>
      <w:r>
        <w:rPr>
          <w:rFonts w:hint="eastAsia" w:ascii="仿宋" w:hAnsi="仿宋" w:eastAsia="仿宋" w:cs="仿宋"/>
          <w:sz w:val="28"/>
          <w:szCs w:val="28"/>
        </w:rPr>
        <w:t>5、其他</w:t>
      </w:r>
    </w:p>
    <w:p>
      <w:pPr>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甲方：   （盖章）   </w:t>
      </w:r>
      <w:r>
        <w:rPr>
          <w:rFonts w:hint="eastAsia" w:ascii="仿宋" w:hAnsi="仿宋" w:eastAsia="仿宋" w:cs="仿宋"/>
          <w:sz w:val="28"/>
          <w:szCs w:val="28"/>
        </w:rPr>
        <w:tab/>
      </w:r>
      <w:r>
        <w:rPr>
          <w:rFonts w:hint="eastAsia" w:ascii="仿宋" w:hAnsi="仿宋" w:eastAsia="仿宋" w:cs="仿宋"/>
          <w:sz w:val="28"/>
          <w:szCs w:val="28"/>
        </w:rPr>
        <w:tab/>
      </w:r>
      <w:r>
        <w:rPr>
          <w:rFonts w:hint="eastAsia" w:ascii="仿宋" w:hAnsi="仿宋" w:eastAsia="仿宋" w:cs="仿宋"/>
          <w:sz w:val="28"/>
          <w:szCs w:val="28"/>
        </w:rPr>
        <w:tab/>
      </w:r>
      <w:r>
        <w:rPr>
          <w:rFonts w:hint="eastAsia" w:ascii="仿宋" w:hAnsi="仿宋" w:eastAsia="仿宋" w:cs="仿宋"/>
          <w:sz w:val="28"/>
          <w:szCs w:val="28"/>
        </w:rPr>
        <w:t xml:space="preserve">       乙方：   （盖章）</w:t>
      </w:r>
    </w:p>
    <w:p>
      <w:pPr>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法定代表人（授权代表）：            法定代表人（授权代表）：</w:t>
      </w:r>
    </w:p>
    <w:p>
      <w:pPr>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地    址：                         地    址：</w:t>
      </w:r>
    </w:p>
    <w:p>
      <w:pPr>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开户银行：                         开户银行：</w:t>
      </w:r>
    </w:p>
    <w:p>
      <w:pPr>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账号：                             账号：</w:t>
      </w:r>
    </w:p>
    <w:p>
      <w:pPr>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电    话：                         电    话：</w:t>
      </w:r>
    </w:p>
    <w:p>
      <w:pPr>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传    真：                         传    真：</w:t>
      </w:r>
    </w:p>
    <w:p>
      <w:pPr>
        <w:spacing w:line="400" w:lineRule="exact"/>
        <w:ind w:firstLine="560" w:firstLineChars="200"/>
        <w:rPr>
          <w:rFonts w:ascii="仿宋" w:hAnsi="仿宋" w:eastAsia="仿宋" w:cs="仿宋"/>
          <w:sz w:val="28"/>
          <w:szCs w:val="28"/>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sz w:val="28"/>
          <w:szCs w:val="28"/>
        </w:rPr>
        <w:t xml:space="preserve">签约日期：XX年XX月XX日 </w:t>
      </w:r>
      <w:r>
        <w:rPr>
          <w:rFonts w:hint="eastAsia" w:ascii="仿宋" w:hAnsi="仿宋" w:eastAsia="仿宋" w:cs="仿宋"/>
          <w:sz w:val="28"/>
          <w:szCs w:val="28"/>
        </w:rPr>
        <w:tab/>
      </w:r>
      <w:r>
        <w:rPr>
          <w:rFonts w:hint="eastAsia" w:ascii="仿宋" w:hAnsi="仿宋" w:eastAsia="仿宋" w:cs="仿宋"/>
          <w:sz w:val="28"/>
          <w:szCs w:val="28"/>
        </w:rPr>
        <w:tab/>
      </w:r>
      <w:r>
        <w:rPr>
          <w:rFonts w:hint="eastAsia" w:ascii="仿宋" w:hAnsi="仿宋" w:eastAsia="仿宋" w:cs="仿宋"/>
          <w:sz w:val="28"/>
          <w:szCs w:val="28"/>
        </w:rPr>
        <w:tab/>
      </w:r>
      <w:r>
        <w:rPr>
          <w:rFonts w:hint="eastAsia" w:ascii="仿宋" w:hAnsi="仿宋" w:eastAsia="仿宋" w:cs="仿宋"/>
          <w:sz w:val="28"/>
          <w:szCs w:val="28"/>
        </w:rPr>
        <w:t>签约日期：XX年XX月XX日</w:t>
      </w:r>
    </w:p>
    <w:bookmarkEnd w:id="151"/>
    <w:bookmarkEnd w:id="152"/>
    <w:bookmarkEnd w:id="153"/>
    <w:p>
      <w:pPr>
        <w:pStyle w:val="2"/>
      </w:pPr>
      <w:r>
        <w:rPr>
          <w:rFonts w:hint="eastAsia"/>
        </w:rPr>
        <w:t>附件</w:t>
      </w:r>
    </w:p>
    <w:bookmarkEnd w:id="83"/>
    <w:bookmarkEnd w:id="84"/>
    <w:bookmarkEnd w:id="85"/>
    <w:bookmarkEnd w:id="86"/>
    <w:p>
      <w: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pPr>
        <w:jc w:val="center"/>
      </w:pPr>
      <w: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a:stretch>
                      <a:fillRect/>
                    </a:stretch>
                  </pic:blipFill>
                  <pic:spPr>
                    <a:xfrm>
                      <a:off x="0" y="0"/>
                      <a:ext cx="4907705" cy="6797629"/>
                    </a:xfrm>
                    <a:prstGeom prst="rect">
                      <a:avLst/>
                    </a:prstGeom>
                  </pic:spPr>
                </pic:pic>
              </a:graphicData>
            </a:graphic>
          </wp:inline>
        </w:drawing>
      </w:r>
    </w:p>
    <w:p>
      <w:pPr>
        <w:jc w:val="center"/>
      </w:pPr>
      <w:r>
        <w:drawing>
          <wp:inline distT="0" distB="0" distL="0" distR="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a:stretch>
                      <a:fillRect/>
                    </a:stretch>
                  </pic:blipFill>
                  <pic:spPr>
                    <a:xfrm>
                      <a:off x="0" y="0"/>
                      <a:ext cx="4991533" cy="6675698"/>
                    </a:xfrm>
                    <a:prstGeom prst="rect">
                      <a:avLst/>
                    </a:prstGeom>
                  </pic:spPr>
                </pic:pic>
              </a:graphicData>
            </a:graphic>
          </wp:inline>
        </w:drawing>
      </w:r>
    </w:p>
    <w:p/>
    <w:p/>
    <w:p>
      <w:pPr>
        <w:jc w:val="center"/>
        <w:sectPr>
          <w:pgSz w:w="11906" w:h="16838"/>
          <w:pgMar w:top="1440" w:right="1800" w:bottom="1440" w:left="1800" w:header="851" w:footer="992" w:gutter="0"/>
          <w:cols w:space="425" w:num="1"/>
          <w:docGrid w:type="lines" w:linePitch="312" w:charSpace="0"/>
        </w:sectPr>
      </w:pPr>
    </w:p>
    <w:p>
      <w:pPr>
        <w:jc w:val="center"/>
        <w:sectPr>
          <w:pgSz w:w="16838" w:h="11906" w:orient="landscape"/>
          <w:pgMar w:top="1800" w:right="1440" w:bottom="1800" w:left="1440" w:header="851" w:footer="992" w:gutter="0"/>
          <w:cols w:space="425" w:num="1"/>
          <w:docGrid w:type="lines" w:linePitch="312" w:charSpace="0"/>
        </w:sectPr>
      </w:pPr>
      <w:r>
        <w:drawing>
          <wp:inline distT="0" distB="0" distL="0" distR="0">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a:stretch>
                      <a:fillRect/>
                    </a:stretch>
                  </pic:blipFill>
                  <pic:spPr>
                    <a:xfrm>
                      <a:off x="0" y="0"/>
                      <a:ext cx="7559695" cy="4877223"/>
                    </a:xfrm>
                    <a:prstGeom prst="rect">
                      <a:avLst/>
                    </a:prstGeom>
                  </pic:spPr>
                </pic:pic>
              </a:graphicData>
            </a:graphic>
          </wp:inline>
        </w:drawing>
      </w:r>
    </w:p>
    <w:p>
      <w:r>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a:stretch>
                      <a:fillRect/>
                    </a:stretch>
                  </pic:blipFill>
                  <pic:spPr>
                    <a:xfrm>
                      <a:off x="0" y="0"/>
                      <a:ext cx="5105842" cy="6530906"/>
                    </a:xfrm>
                    <a:prstGeom prst="rect">
                      <a:avLst/>
                    </a:prstGeom>
                  </pic:spPr>
                </pic:pic>
              </a:graphicData>
            </a:graphic>
          </wp:inline>
        </w:drawing>
      </w:r>
    </w:p>
    <w:p>
      <w:pPr>
        <w:tabs>
          <w:tab w:val="left" w:pos="937"/>
        </w:tabs>
        <w:adjustRightInd w:val="0"/>
        <w:snapToGrid w:val="0"/>
        <w:spacing w:line="560" w:lineRule="exact"/>
      </w:pPr>
    </w:p>
    <w:p/>
    <w:p/>
    <w:p/>
    <w:p/>
    <w:p>
      <w:r>
        <w:drawing>
          <wp:inline distT="0" distB="0" distL="0" distR="0">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
        <w:drawing>
          <wp:inline distT="0" distB="0" distL="0" distR="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
        <w:drawing>
          <wp:inline distT="0" distB="0" distL="0" distR="0">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r>
        <w:drawing>
          <wp:inline distT="0" distB="0" distL="0" distR="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p/>
    <w:p/>
    <w:p/>
    <w:p>
      <w:r>
        <w:drawing>
          <wp:inline distT="0" distB="0" distL="0" distR="0">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footerReference r:id="rId11" w:type="first"/>
      <w:headerReference r:id="rId8" w:type="default"/>
      <w:footerReference r:id="rId9" w:type="default"/>
      <w:footerReference r:id="rId10"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Times New (W1)">
    <w:altName w:val="Courier New"/>
    <w:panose1 w:val="00000000000000000000"/>
    <w:charset w:val="00"/>
    <w:family w:val="roman"/>
    <w:pitch w:val="default"/>
    <w:sig w:usb0="00000000" w:usb1="00000000" w:usb2="00000000" w:usb3="00000000" w:csb0="00000001" w:csb1="00000000"/>
  </w:font>
  <w:font w:name="方正仿宋">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8CF3C52"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华文中宋">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22</w:t>
    </w:r>
    <w:r>
      <w:fldChar w:fldCharType="end"/>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sdtPr>
    <w:sdtContent>
      <w:p>
        <w:pPr>
          <w:pStyle w:val="29"/>
          <w:jc w:val="center"/>
        </w:pPr>
        <w:r>
          <w:fldChar w:fldCharType="begin"/>
        </w:r>
        <w:r>
          <w:instrText xml:space="preserve">PAGE   \* MERGEFORMAT</w:instrText>
        </w:r>
        <w:r>
          <w:fldChar w:fldCharType="separate"/>
        </w:r>
        <w:r>
          <w:rPr>
            <w:lang w:val="zh-CN"/>
          </w:rPr>
          <w:t>8</w:t>
        </w:r>
        <w:r>
          <w:fldChar w:fldCharType="end"/>
        </w:r>
      </w:p>
    </w:sdtContent>
  </w:sdt>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640"/>
      <w:jc w:val="center"/>
    </w:pPr>
    <w:r>
      <w:fldChar w:fldCharType="begin"/>
    </w:r>
    <w:r>
      <w:instrText xml:space="preserve">PAGE   \* MERGEFORMAT</w:instrText>
    </w:r>
    <w:r>
      <w:fldChar w:fldCharType="separate"/>
    </w:r>
    <w:r>
      <w:rPr>
        <w:lang w:val="zh-CN"/>
      </w:rPr>
      <w:t>117</w:t>
    </w:r>
    <w:r>
      <w:rPr>
        <w:lang w:val="zh-CN"/>
      </w:rPr>
      <w:fldChar w:fldCharType="end"/>
    </w:r>
  </w:p>
  <w:p>
    <w:pPr>
      <w:pStyle w:val="29"/>
      <w:ind w:firstLine="6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123</w:t>
    </w:r>
    <w:r>
      <w:fldChar w:fldCharType="end"/>
    </w:r>
  </w:p>
  <w:p>
    <w:pPr>
      <w:pStyle w:val="2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7</w:t>
    </w:r>
    <w:r>
      <w:rPr>
        <w:lang w:val="zh-CN"/>
      </w:rPr>
      <w:fldChar w:fldCharType="end"/>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EBFCE9"/>
    <w:multiLevelType w:val="singleLevel"/>
    <w:tmpl w:val="A8EBFCE9"/>
    <w:lvl w:ilvl="0" w:tentative="0">
      <w:start w:val="3"/>
      <w:numFmt w:val="decimal"/>
      <w:suff w:val="nothing"/>
      <w:lvlText w:val="%1、"/>
      <w:lvlJc w:val="left"/>
    </w:lvl>
  </w:abstractNum>
  <w:abstractNum w:abstractNumId="1">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6">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7">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10">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11">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3ED47AD"/>
    <w:multiLevelType w:val="multilevel"/>
    <w:tmpl w:val="03ED47AD"/>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3">
    <w:nsid w:val="0A807349"/>
    <w:multiLevelType w:val="multilevel"/>
    <w:tmpl w:val="0A807349"/>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4">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5">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6">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7">
    <w:nsid w:val="1C5C2941"/>
    <w:multiLevelType w:val="multilevel"/>
    <w:tmpl w:val="1C5C2941"/>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lowerRoman"/>
      <w:lvlText w:val="%3."/>
      <w:lvlJc w:val="right"/>
      <w:pPr>
        <w:ind w:left="2540" w:hanging="420"/>
      </w:p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18">
    <w:nsid w:val="1D9C2199"/>
    <w:multiLevelType w:val="multilevel"/>
    <w:tmpl w:val="1D9C2199"/>
    <w:lvl w:ilvl="0" w:tentative="0">
      <w:start w:val="1"/>
      <w:numFmt w:val="chineseCountingThousand"/>
      <w:suff w:val="nothing"/>
      <w:lvlText w:val="(%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1F400039"/>
    <w:multiLevelType w:val="multilevel"/>
    <w:tmpl w:val="1F400039"/>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0">
    <w:nsid w:val="25653CE8"/>
    <w:multiLevelType w:val="multilevel"/>
    <w:tmpl w:val="25653CE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22">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3">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4">
    <w:nsid w:val="2C2C4B8D"/>
    <w:multiLevelType w:val="singleLevel"/>
    <w:tmpl w:val="2C2C4B8D"/>
    <w:lvl w:ilvl="0" w:tentative="0">
      <w:start w:val="1"/>
      <w:numFmt w:val="japaneseCounting"/>
      <w:lvlText w:val="第%1条"/>
      <w:lvlJc w:val="left"/>
      <w:pPr>
        <w:tabs>
          <w:tab w:val="left" w:pos="1521"/>
        </w:tabs>
        <w:ind w:left="1521" w:hanging="1095"/>
      </w:pPr>
      <w:rPr>
        <w:rFonts w:hint="eastAsia"/>
      </w:rPr>
    </w:lvl>
  </w:abstractNum>
  <w:abstractNum w:abstractNumId="25">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6">
    <w:nsid w:val="32E06660"/>
    <w:multiLevelType w:val="multilevel"/>
    <w:tmpl w:val="32E06660"/>
    <w:lvl w:ilvl="0" w:tentative="0">
      <w:start w:val="1"/>
      <w:numFmt w:val="chineseCountingThousand"/>
      <w:lvlText w:val="%1、"/>
      <w:lvlJc w:val="left"/>
      <w:pPr>
        <w:ind w:left="1413" w:hanging="420"/>
      </w:pPr>
    </w:lvl>
    <w:lvl w:ilvl="1" w:tentative="0">
      <w:start w:val="1"/>
      <w:numFmt w:val="lowerLetter"/>
      <w:lvlText w:val="%2)"/>
      <w:lvlJc w:val="left"/>
      <w:pPr>
        <w:ind w:left="1528" w:hanging="420"/>
      </w:pPr>
    </w:lvl>
    <w:lvl w:ilvl="2" w:tentative="0">
      <w:start w:val="1"/>
      <w:numFmt w:val="lowerRoman"/>
      <w:lvlText w:val="%3."/>
      <w:lvlJc w:val="right"/>
      <w:pPr>
        <w:ind w:left="1948" w:hanging="420"/>
      </w:pPr>
    </w:lvl>
    <w:lvl w:ilvl="3" w:tentative="0">
      <w:start w:val="1"/>
      <w:numFmt w:val="decimal"/>
      <w:lvlText w:val="%4."/>
      <w:lvlJc w:val="left"/>
      <w:pPr>
        <w:ind w:left="2368" w:hanging="420"/>
      </w:pPr>
    </w:lvl>
    <w:lvl w:ilvl="4" w:tentative="0">
      <w:start w:val="1"/>
      <w:numFmt w:val="lowerLetter"/>
      <w:lvlText w:val="%5)"/>
      <w:lvlJc w:val="left"/>
      <w:pPr>
        <w:ind w:left="2788" w:hanging="420"/>
      </w:pPr>
    </w:lvl>
    <w:lvl w:ilvl="5" w:tentative="0">
      <w:start w:val="1"/>
      <w:numFmt w:val="lowerRoman"/>
      <w:lvlText w:val="%6."/>
      <w:lvlJc w:val="right"/>
      <w:pPr>
        <w:ind w:left="3208" w:hanging="420"/>
      </w:pPr>
    </w:lvl>
    <w:lvl w:ilvl="6" w:tentative="0">
      <w:start w:val="1"/>
      <w:numFmt w:val="decimal"/>
      <w:lvlText w:val="%7."/>
      <w:lvlJc w:val="left"/>
      <w:pPr>
        <w:ind w:left="3628" w:hanging="420"/>
      </w:pPr>
    </w:lvl>
    <w:lvl w:ilvl="7" w:tentative="0">
      <w:start w:val="1"/>
      <w:numFmt w:val="lowerLetter"/>
      <w:lvlText w:val="%8)"/>
      <w:lvlJc w:val="left"/>
      <w:pPr>
        <w:ind w:left="4048" w:hanging="420"/>
      </w:pPr>
    </w:lvl>
    <w:lvl w:ilvl="8" w:tentative="0">
      <w:start w:val="1"/>
      <w:numFmt w:val="lowerRoman"/>
      <w:lvlText w:val="%9."/>
      <w:lvlJc w:val="right"/>
      <w:pPr>
        <w:ind w:left="4468" w:hanging="420"/>
      </w:pPr>
    </w:lvl>
  </w:abstractNum>
  <w:abstractNum w:abstractNumId="27">
    <w:nsid w:val="361F7C4C"/>
    <w:multiLevelType w:val="multilevel"/>
    <w:tmpl w:val="361F7C4C"/>
    <w:lvl w:ilvl="0" w:tentative="0">
      <w:start w:val="1"/>
      <w:numFmt w:val="decimal"/>
      <w:lvlText w:val="%1."/>
      <w:lvlJc w:val="left"/>
      <w:pPr>
        <w:ind w:left="138" w:hanging="420"/>
      </w:pPr>
    </w:lvl>
    <w:lvl w:ilvl="1" w:tentative="0">
      <w:start w:val="1"/>
      <w:numFmt w:val="lowerLetter"/>
      <w:lvlText w:val="%2)"/>
      <w:lvlJc w:val="left"/>
      <w:pPr>
        <w:ind w:left="558" w:hanging="420"/>
      </w:pPr>
    </w:lvl>
    <w:lvl w:ilvl="2" w:tentative="0">
      <w:start w:val="1"/>
      <w:numFmt w:val="chineseCountingThousand"/>
      <w:lvlText w:val="%3、"/>
      <w:lvlJc w:val="left"/>
      <w:pPr>
        <w:ind w:left="848" w:hanging="420"/>
      </w:pPr>
      <w:rPr>
        <w:b w:val="0"/>
        <w:sz w:val="28"/>
        <w:szCs w:val="28"/>
      </w:rPr>
    </w:lvl>
    <w:lvl w:ilvl="3" w:tentative="0">
      <w:start w:val="1"/>
      <w:numFmt w:val="decimal"/>
      <w:lvlText w:val="%4."/>
      <w:lvlJc w:val="left"/>
      <w:pPr>
        <w:ind w:left="1398" w:hanging="420"/>
      </w:pPr>
    </w:lvl>
    <w:lvl w:ilvl="4" w:tentative="0">
      <w:start w:val="1"/>
      <w:numFmt w:val="lowerLetter"/>
      <w:lvlText w:val="%5)"/>
      <w:lvlJc w:val="left"/>
      <w:pPr>
        <w:ind w:left="1818" w:hanging="420"/>
      </w:pPr>
    </w:lvl>
    <w:lvl w:ilvl="5" w:tentative="0">
      <w:start w:val="1"/>
      <w:numFmt w:val="lowerRoman"/>
      <w:lvlText w:val="%6."/>
      <w:lvlJc w:val="right"/>
      <w:pPr>
        <w:ind w:left="2238" w:hanging="420"/>
      </w:pPr>
    </w:lvl>
    <w:lvl w:ilvl="6" w:tentative="0">
      <w:start w:val="1"/>
      <w:numFmt w:val="decimal"/>
      <w:lvlText w:val="%7."/>
      <w:lvlJc w:val="left"/>
      <w:pPr>
        <w:ind w:left="2658" w:hanging="420"/>
      </w:pPr>
    </w:lvl>
    <w:lvl w:ilvl="7" w:tentative="0">
      <w:start w:val="1"/>
      <w:numFmt w:val="lowerLetter"/>
      <w:lvlText w:val="%8)"/>
      <w:lvlJc w:val="left"/>
      <w:pPr>
        <w:ind w:left="3078" w:hanging="420"/>
      </w:pPr>
    </w:lvl>
    <w:lvl w:ilvl="8" w:tentative="0">
      <w:start w:val="1"/>
      <w:numFmt w:val="lowerRoman"/>
      <w:lvlText w:val="%9."/>
      <w:lvlJc w:val="right"/>
      <w:pPr>
        <w:ind w:left="3498" w:hanging="420"/>
      </w:pPr>
    </w:lvl>
  </w:abstractNum>
  <w:abstractNum w:abstractNumId="28">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0">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1">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2">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3">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4">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5">
    <w:nsid w:val="4D2C586C"/>
    <w:multiLevelType w:val="multilevel"/>
    <w:tmpl w:val="4D2C586C"/>
    <w:lvl w:ilvl="0" w:tentative="0">
      <w:start w:val="1"/>
      <w:numFmt w:val="chineseCountingThousand"/>
      <w:lvlText w:val="%1、"/>
      <w:lvlJc w:val="left"/>
      <w:pPr>
        <w:ind w:left="1272" w:hanging="420"/>
      </w:pPr>
      <w:rPr>
        <w:rFonts w:hint="eastAsia"/>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6">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7">
    <w:nsid w:val="4E5A0637"/>
    <w:multiLevelType w:val="multilevel"/>
    <w:tmpl w:val="4E5A0637"/>
    <w:lvl w:ilvl="0" w:tentative="0">
      <w:start w:val="1"/>
      <w:numFmt w:val="chineseCountingThousand"/>
      <w:lvlText w:val="%1、"/>
      <w:lvlJc w:val="left"/>
      <w:pPr>
        <w:ind w:left="960" w:hanging="420"/>
      </w:p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8">
    <w:nsid w:val="4FC6300F"/>
    <w:multiLevelType w:val="multilevel"/>
    <w:tmpl w:val="4FC6300F"/>
    <w:lvl w:ilvl="0" w:tentative="0">
      <w:start w:val="1"/>
      <w:numFmt w:val="chineseCountingThousand"/>
      <w:lvlText w:val="%1、"/>
      <w:lvlJc w:val="left"/>
      <w:pPr>
        <w:ind w:left="113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0">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1">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2">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3">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4">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5">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6">
    <w:nsid w:val="687526DB"/>
    <w:multiLevelType w:val="multilevel"/>
    <w:tmpl w:val="687526DB"/>
    <w:lvl w:ilvl="0" w:tentative="0">
      <w:start w:val="1"/>
      <w:numFmt w:val="chineseCountingThousand"/>
      <w:lvlText w:val="%1、"/>
      <w:lvlJc w:val="left"/>
      <w:pPr>
        <w:ind w:left="5780" w:hanging="960"/>
      </w:pPr>
      <w:rPr>
        <w:rFonts w:hint="default"/>
        <w:b w:val="0"/>
      </w:rPr>
    </w:lvl>
    <w:lvl w:ilvl="1" w:tentative="0">
      <w:start w:val="1"/>
      <w:numFmt w:val="lowerLetter"/>
      <w:lvlText w:val="%2)"/>
      <w:lvlJc w:val="left"/>
      <w:pPr>
        <w:ind w:left="5518" w:hanging="420"/>
      </w:pPr>
    </w:lvl>
    <w:lvl w:ilvl="2" w:tentative="0">
      <w:start w:val="1"/>
      <w:numFmt w:val="lowerRoman"/>
      <w:lvlText w:val="%3."/>
      <w:lvlJc w:val="right"/>
      <w:pPr>
        <w:ind w:left="5938" w:hanging="420"/>
      </w:pPr>
    </w:lvl>
    <w:lvl w:ilvl="3" w:tentative="0">
      <w:start w:val="1"/>
      <w:numFmt w:val="decimal"/>
      <w:lvlText w:val="%4."/>
      <w:lvlJc w:val="left"/>
      <w:pPr>
        <w:ind w:left="6358" w:hanging="420"/>
      </w:pPr>
    </w:lvl>
    <w:lvl w:ilvl="4" w:tentative="0">
      <w:start w:val="1"/>
      <w:numFmt w:val="lowerLetter"/>
      <w:lvlText w:val="%5)"/>
      <w:lvlJc w:val="left"/>
      <w:pPr>
        <w:ind w:left="6778" w:hanging="420"/>
      </w:pPr>
    </w:lvl>
    <w:lvl w:ilvl="5" w:tentative="0">
      <w:start w:val="1"/>
      <w:numFmt w:val="lowerRoman"/>
      <w:lvlText w:val="%6."/>
      <w:lvlJc w:val="right"/>
      <w:pPr>
        <w:ind w:left="7198" w:hanging="420"/>
      </w:pPr>
    </w:lvl>
    <w:lvl w:ilvl="6" w:tentative="0">
      <w:start w:val="1"/>
      <w:numFmt w:val="decimal"/>
      <w:lvlText w:val="%7."/>
      <w:lvlJc w:val="left"/>
      <w:pPr>
        <w:ind w:left="7618" w:hanging="420"/>
      </w:pPr>
    </w:lvl>
    <w:lvl w:ilvl="7" w:tentative="0">
      <w:start w:val="1"/>
      <w:numFmt w:val="lowerLetter"/>
      <w:lvlText w:val="%8)"/>
      <w:lvlJc w:val="left"/>
      <w:pPr>
        <w:ind w:left="8038" w:hanging="420"/>
      </w:pPr>
    </w:lvl>
    <w:lvl w:ilvl="8" w:tentative="0">
      <w:start w:val="1"/>
      <w:numFmt w:val="lowerRoman"/>
      <w:lvlText w:val="%9."/>
      <w:lvlJc w:val="right"/>
      <w:pPr>
        <w:ind w:left="8458" w:hanging="420"/>
      </w:pPr>
    </w:lvl>
  </w:abstractNum>
  <w:abstractNum w:abstractNumId="47">
    <w:nsid w:val="721A25D2"/>
    <w:multiLevelType w:val="multilevel"/>
    <w:tmpl w:val="721A25D2"/>
    <w:lvl w:ilvl="0" w:tentative="0">
      <w:start w:val="1"/>
      <w:numFmt w:val="chineseCountingThousand"/>
      <w:lvlText w:val="%1、"/>
      <w:lvlJc w:val="left"/>
      <w:pPr>
        <w:ind w:left="988"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48">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9">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50">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1">
    <w:nsid w:val="78645AC5"/>
    <w:multiLevelType w:val="multilevel"/>
    <w:tmpl w:val="78645AC5"/>
    <w:lvl w:ilvl="0" w:tentative="0">
      <w:start w:val="2"/>
      <w:numFmt w:val="japaneseCounting"/>
      <w:lvlText w:val="%1、"/>
      <w:lvlJc w:val="left"/>
      <w:pPr>
        <w:ind w:left="1280" w:hanging="720"/>
      </w:pPr>
    </w:lvl>
    <w:lvl w:ilvl="1" w:tentative="0">
      <w:start w:val="1"/>
      <w:numFmt w:val="japaneseCounting"/>
      <w:lvlText w:val="（%2）"/>
      <w:lvlJc w:val="left"/>
      <w:pPr>
        <w:ind w:left="1820" w:hanging="84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2">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9"/>
  </w:num>
  <w:num w:numId="2">
    <w:abstractNumId w:val="22"/>
  </w:num>
  <w:num w:numId="3">
    <w:abstractNumId w:val="49"/>
  </w:num>
  <w:num w:numId="4">
    <w:abstractNumId w:val="42"/>
  </w:num>
  <w:num w:numId="5">
    <w:abstractNumId w:val="40"/>
  </w:num>
  <w:num w:numId="6">
    <w:abstractNumId w:val="8"/>
  </w:num>
  <w:num w:numId="7">
    <w:abstractNumId w:val="28"/>
  </w:num>
  <w:num w:numId="8">
    <w:abstractNumId w:val="50"/>
  </w:num>
  <w:num w:numId="9">
    <w:abstractNumId w:val="41"/>
  </w:num>
  <w:num w:numId="10">
    <w:abstractNumId w:val="4"/>
  </w:num>
  <w:num w:numId="11">
    <w:abstractNumId w:val="15"/>
  </w:num>
  <w:num w:numId="12">
    <w:abstractNumId w:val="16"/>
  </w:num>
  <w:num w:numId="13">
    <w:abstractNumId w:val="25"/>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48"/>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31"/>
  </w:num>
  <w:num w:numId="27">
    <w:abstractNumId w:val="2"/>
  </w:num>
  <w:num w:numId="28">
    <w:abstractNumId w:val="5"/>
  </w:num>
  <w:num w:numId="29">
    <w:abstractNumId w:val="1"/>
  </w:num>
  <w:num w:numId="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11"/>
  </w:num>
  <w:num w:numId="36">
    <w:abstractNumId w:val="39"/>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num>
  <w:num w:numId="49">
    <w:abstractNumId w:val="20"/>
  </w:num>
  <w:num w:numId="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num>
  <w:num w:numId="5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2B42"/>
    <w:rsid w:val="00025699"/>
    <w:rsid w:val="00033760"/>
    <w:rsid w:val="000434B1"/>
    <w:rsid w:val="000443A3"/>
    <w:rsid w:val="00055B3A"/>
    <w:rsid w:val="000800EF"/>
    <w:rsid w:val="00081AAB"/>
    <w:rsid w:val="00090BA6"/>
    <w:rsid w:val="000B2FA4"/>
    <w:rsid w:val="000B6395"/>
    <w:rsid w:val="000C4C74"/>
    <w:rsid w:val="000C5490"/>
    <w:rsid w:val="000C6CE2"/>
    <w:rsid w:val="000E422D"/>
    <w:rsid w:val="000E65EA"/>
    <w:rsid w:val="000F38F7"/>
    <w:rsid w:val="000F4809"/>
    <w:rsid w:val="000F6B7C"/>
    <w:rsid w:val="00114B69"/>
    <w:rsid w:val="00134EB4"/>
    <w:rsid w:val="00136C02"/>
    <w:rsid w:val="00136D53"/>
    <w:rsid w:val="001415FC"/>
    <w:rsid w:val="00154EA1"/>
    <w:rsid w:val="00180241"/>
    <w:rsid w:val="00194146"/>
    <w:rsid w:val="00197B45"/>
    <w:rsid w:val="001A07E3"/>
    <w:rsid w:val="001C66BE"/>
    <w:rsid w:val="001D1EAF"/>
    <w:rsid w:val="001F2DA3"/>
    <w:rsid w:val="00205A63"/>
    <w:rsid w:val="00210774"/>
    <w:rsid w:val="00211D04"/>
    <w:rsid w:val="002134BF"/>
    <w:rsid w:val="0023687E"/>
    <w:rsid w:val="002415DD"/>
    <w:rsid w:val="002619C0"/>
    <w:rsid w:val="00262C45"/>
    <w:rsid w:val="0028699C"/>
    <w:rsid w:val="002C09C5"/>
    <w:rsid w:val="002D0C65"/>
    <w:rsid w:val="002D160A"/>
    <w:rsid w:val="002D5D94"/>
    <w:rsid w:val="002E56D2"/>
    <w:rsid w:val="0030638A"/>
    <w:rsid w:val="0031657A"/>
    <w:rsid w:val="003444DB"/>
    <w:rsid w:val="003641A2"/>
    <w:rsid w:val="00365C5B"/>
    <w:rsid w:val="00366676"/>
    <w:rsid w:val="003701E2"/>
    <w:rsid w:val="0037555F"/>
    <w:rsid w:val="00394685"/>
    <w:rsid w:val="0039751D"/>
    <w:rsid w:val="003A549F"/>
    <w:rsid w:val="003C0D99"/>
    <w:rsid w:val="003C1B31"/>
    <w:rsid w:val="003D590F"/>
    <w:rsid w:val="003D798F"/>
    <w:rsid w:val="0040670A"/>
    <w:rsid w:val="004212EA"/>
    <w:rsid w:val="00423109"/>
    <w:rsid w:val="00424C12"/>
    <w:rsid w:val="00430AB2"/>
    <w:rsid w:val="00453C58"/>
    <w:rsid w:val="0045562D"/>
    <w:rsid w:val="004614C0"/>
    <w:rsid w:val="0047395B"/>
    <w:rsid w:val="00475776"/>
    <w:rsid w:val="00495E22"/>
    <w:rsid w:val="00495E4F"/>
    <w:rsid w:val="00497260"/>
    <w:rsid w:val="004B053A"/>
    <w:rsid w:val="004B4C27"/>
    <w:rsid w:val="004B77FE"/>
    <w:rsid w:val="004C5C1A"/>
    <w:rsid w:val="004D56B9"/>
    <w:rsid w:val="004E66B6"/>
    <w:rsid w:val="004F508C"/>
    <w:rsid w:val="004F7EE8"/>
    <w:rsid w:val="00534A7E"/>
    <w:rsid w:val="0054488D"/>
    <w:rsid w:val="00545DE6"/>
    <w:rsid w:val="00550B07"/>
    <w:rsid w:val="00554B7E"/>
    <w:rsid w:val="00576299"/>
    <w:rsid w:val="0058079A"/>
    <w:rsid w:val="00584E99"/>
    <w:rsid w:val="00590589"/>
    <w:rsid w:val="005A3991"/>
    <w:rsid w:val="005A427B"/>
    <w:rsid w:val="005A53A8"/>
    <w:rsid w:val="005B4FD3"/>
    <w:rsid w:val="005D0E78"/>
    <w:rsid w:val="005E1BD1"/>
    <w:rsid w:val="005E3AFD"/>
    <w:rsid w:val="005F320F"/>
    <w:rsid w:val="00611BF3"/>
    <w:rsid w:val="006126A5"/>
    <w:rsid w:val="00612FCB"/>
    <w:rsid w:val="00635038"/>
    <w:rsid w:val="00641F64"/>
    <w:rsid w:val="006455C8"/>
    <w:rsid w:val="006616C4"/>
    <w:rsid w:val="0066449E"/>
    <w:rsid w:val="00667360"/>
    <w:rsid w:val="00670CDC"/>
    <w:rsid w:val="00675A16"/>
    <w:rsid w:val="00676040"/>
    <w:rsid w:val="00694460"/>
    <w:rsid w:val="006A2EF7"/>
    <w:rsid w:val="006B1261"/>
    <w:rsid w:val="006E517A"/>
    <w:rsid w:val="00727809"/>
    <w:rsid w:val="0075399D"/>
    <w:rsid w:val="00760F65"/>
    <w:rsid w:val="007627EB"/>
    <w:rsid w:val="00767686"/>
    <w:rsid w:val="0077444D"/>
    <w:rsid w:val="00780349"/>
    <w:rsid w:val="007B16B7"/>
    <w:rsid w:val="007B2356"/>
    <w:rsid w:val="007B7306"/>
    <w:rsid w:val="007C73FF"/>
    <w:rsid w:val="007D38CA"/>
    <w:rsid w:val="007D6A85"/>
    <w:rsid w:val="007F64EC"/>
    <w:rsid w:val="00843959"/>
    <w:rsid w:val="00853161"/>
    <w:rsid w:val="008535E1"/>
    <w:rsid w:val="00862422"/>
    <w:rsid w:val="00871E3A"/>
    <w:rsid w:val="00875944"/>
    <w:rsid w:val="008827A4"/>
    <w:rsid w:val="00887F2C"/>
    <w:rsid w:val="008A65FB"/>
    <w:rsid w:val="008B032E"/>
    <w:rsid w:val="008B472D"/>
    <w:rsid w:val="008C76D8"/>
    <w:rsid w:val="0092448C"/>
    <w:rsid w:val="00924EB7"/>
    <w:rsid w:val="00946DC1"/>
    <w:rsid w:val="009623F1"/>
    <w:rsid w:val="00981D11"/>
    <w:rsid w:val="00984181"/>
    <w:rsid w:val="009A20E4"/>
    <w:rsid w:val="009A69BC"/>
    <w:rsid w:val="009B2BA5"/>
    <w:rsid w:val="009B533B"/>
    <w:rsid w:val="009F0A01"/>
    <w:rsid w:val="009F58F0"/>
    <w:rsid w:val="00A126F3"/>
    <w:rsid w:val="00A33CE8"/>
    <w:rsid w:val="00A3552C"/>
    <w:rsid w:val="00A44299"/>
    <w:rsid w:val="00A71DAA"/>
    <w:rsid w:val="00A768B6"/>
    <w:rsid w:val="00AA10B5"/>
    <w:rsid w:val="00AB2F81"/>
    <w:rsid w:val="00AB6DFB"/>
    <w:rsid w:val="00AC1469"/>
    <w:rsid w:val="00AE0A0F"/>
    <w:rsid w:val="00AF3B32"/>
    <w:rsid w:val="00AF7B4C"/>
    <w:rsid w:val="00B06C14"/>
    <w:rsid w:val="00B35130"/>
    <w:rsid w:val="00B4323E"/>
    <w:rsid w:val="00B57B42"/>
    <w:rsid w:val="00B60851"/>
    <w:rsid w:val="00B9216B"/>
    <w:rsid w:val="00BA35A6"/>
    <w:rsid w:val="00BB28E3"/>
    <w:rsid w:val="00BC0D5E"/>
    <w:rsid w:val="00BC6F31"/>
    <w:rsid w:val="00BE0185"/>
    <w:rsid w:val="00C03D13"/>
    <w:rsid w:val="00C132B4"/>
    <w:rsid w:val="00C166A8"/>
    <w:rsid w:val="00C16790"/>
    <w:rsid w:val="00C22BD9"/>
    <w:rsid w:val="00C22EF9"/>
    <w:rsid w:val="00C263D0"/>
    <w:rsid w:val="00C352B9"/>
    <w:rsid w:val="00C51479"/>
    <w:rsid w:val="00C52705"/>
    <w:rsid w:val="00C52767"/>
    <w:rsid w:val="00C60594"/>
    <w:rsid w:val="00C72A1B"/>
    <w:rsid w:val="00C76D6E"/>
    <w:rsid w:val="00C86D71"/>
    <w:rsid w:val="00C9048A"/>
    <w:rsid w:val="00C91C5E"/>
    <w:rsid w:val="00C92F1D"/>
    <w:rsid w:val="00CA0302"/>
    <w:rsid w:val="00CA26A2"/>
    <w:rsid w:val="00CD2A58"/>
    <w:rsid w:val="00CF1154"/>
    <w:rsid w:val="00CF5080"/>
    <w:rsid w:val="00CF713C"/>
    <w:rsid w:val="00D00193"/>
    <w:rsid w:val="00D21D44"/>
    <w:rsid w:val="00D32ED4"/>
    <w:rsid w:val="00D367AB"/>
    <w:rsid w:val="00D47C21"/>
    <w:rsid w:val="00D55E69"/>
    <w:rsid w:val="00D72C15"/>
    <w:rsid w:val="00D81A05"/>
    <w:rsid w:val="00D83A60"/>
    <w:rsid w:val="00DA16DE"/>
    <w:rsid w:val="00DA3C93"/>
    <w:rsid w:val="00DB2AC4"/>
    <w:rsid w:val="00DB3BD1"/>
    <w:rsid w:val="00DB4C4B"/>
    <w:rsid w:val="00DB6B28"/>
    <w:rsid w:val="00DB76EA"/>
    <w:rsid w:val="00DB7AB0"/>
    <w:rsid w:val="00DC0F33"/>
    <w:rsid w:val="00DC6B3E"/>
    <w:rsid w:val="00DD022E"/>
    <w:rsid w:val="00DD1089"/>
    <w:rsid w:val="00DD341F"/>
    <w:rsid w:val="00DE2BE2"/>
    <w:rsid w:val="00DF6235"/>
    <w:rsid w:val="00E218AF"/>
    <w:rsid w:val="00E4415E"/>
    <w:rsid w:val="00E52268"/>
    <w:rsid w:val="00E551CD"/>
    <w:rsid w:val="00E61631"/>
    <w:rsid w:val="00E81FCF"/>
    <w:rsid w:val="00E861E3"/>
    <w:rsid w:val="00E93215"/>
    <w:rsid w:val="00E94E24"/>
    <w:rsid w:val="00EB1C8B"/>
    <w:rsid w:val="00EB7EF3"/>
    <w:rsid w:val="00EC51CF"/>
    <w:rsid w:val="00ED500E"/>
    <w:rsid w:val="00EE32D9"/>
    <w:rsid w:val="00EE4AB3"/>
    <w:rsid w:val="00EF419C"/>
    <w:rsid w:val="00EF65F2"/>
    <w:rsid w:val="00F020A9"/>
    <w:rsid w:val="00F201D2"/>
    <w:rsid w:val="00F334EB"/>
    <w:rsid w:val="00F442D2"/>
    <w:rsid w:val="00F71F71"/>
    <w:rsid w:val="00F73616"/>
    <w:rsid w:val="00F76C83"/>
    <w:rsid w:val="00F810D4"/>
    <w:rsid w:val="00F9261F"/>
    <w:rsid w:val="00F95C0B"/>
    <w:rsid w:val="00FB5009"/>
    <w:rsid w:val="00FB501F"/>
    <w:rsid w:val="00FB54A0"/>
    <w:rsid w:val="00FB7591"/>
    <w:rsid w:val="00FC1A76"/>
    <w:rsid w:val="00FC3782"/>
    <w:rsid w:val="00FC524D"/>
    <w:rsid w:val="00FD421E"/>
    <w:rsid w:val="00FD4483"/>
    <w:rsid w:val="00FE64E1"/>
    <w:rsid w:val="00FF43F7"/>
    <w:rsid w:val="00FF5F08"/>
    <w:rsid w:val="04B80369"/>
    <w:rsid w:val="052B016B"/>
    <w:rsid w:val="06452890"/>
    <w:rsid w:val="0C1614E3"/>
    <w:rsid w:val="0C6D75FC"/>
    <w:rsid w:val="0D4916E5"/>
    <w:rsid w:val="0FE75C95"/>
    <w:rsid w:val="1F881FFC"/>
    <w:rsid w:val="206E3282"/>
    <w:rsid w:val="21B7572E"/>
    <w:rsid w:val="23A56F5A"/>
    <w:rsid w:val="24A24C01"/>
    <w:rsid w:val="308E68FF"/>
    <w:rsid w:val="3E3B439E"/>
    <w:rsid w:val="41D067BD"/>
    <w:rsid w:val="483F4751"/>
    <w:rsid w:val="4A47633C"/>
    <w:rsid w:val="4A520CB7"/>
    <w:rsid w:val="4CD87776"/>
    <w:rsid w:val="4FFB267D"/>
    <w:rsid w:val="50F113DD"/>
    <w:rsid w:val="53160B4D"/>
    <w:rsid w:val="56E916F3"/>
    <w:rsid w:val="5C647F54"/>
    <w:rsid w:val="64090A31"/>
    <w:rsid w:val="681F4C5A"/>
    <w:rsid w:val="6B75311F"/>
    <w:rsid w:val="72F55BE7"/>
    <w:rsid w:val="7504505A"/>
    <w:rsid w:val="781430ED"/>
    <w:rsid w:val="783322EE"/>
    <w:rsid w:val="7D3A4CF3"/>
    <w:rsid w:val="7E101D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62"/>
    <w:qFormat/>
    <w:uiPriority w:val="0"/>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3"/>
    <w:qFormat/>
    <w:uiPriority w:val="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4"/>
    <w:qFormat/>
    <w:uiPriority w:val="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5"/>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6"/>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7"/>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8"/>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69"/>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0"/>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8">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98"/>
    <w:qFormat/>
    <w:uiPriority w:val="0"/>
    <w:pPr>
      <w:spacing w:after="120"/>
    </w:pPr>
    <w:rPr>
      <w:rFonts w:asciiTheme="minorHAnsi" w:hAnsiTheme="minorHAnsi" w:eastAsiaTheme="minorEastAsia" w:cstheme="minorBidi"/>
      <w:kern w:val="2"/>
    </w:rPr>
  </w:style>
  <w:style w:type="paragraph" w:styleId="12">
    <w:name w:val="toc 7"/>
    <w:basedOn w:val="1"/>
    <w:next w:val="1"/>
    <w:qFormat/>
    <w:uiPriority w:val="39"/>
    <w:pPr>
      <w:widowControl w:val="0"/>
      <w:ind w:left="1080"/>
    </w:pPr>
    <w:rPr>
      <w:kern w:val="2"/>
      <w:sz w:val="18"/>
      <w:szCs w:val="20"/>
    </w:rPr>
  </w:style>
  <w:style w:type="paragraph" w:styleId="13">
    <w:name w:val="Normal Indent"/>
    <w:basedOn w:val="1"/>
    <w:link w:val="96"/>
    <w:qFormat/>
    <w:uiPriority w:val="99"/>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4">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5">
    <w:name w:val="Document Map"/>
    <w:basedOn w:val="1"/>
    <w:link w:val="90"/>
    <w:unhideWhenUsed/>
    <w:qFormat/>
    <w:uiPriority w:val="0"/>
    <w:rPr>
      <w:rFonts w:ascii="宋体" w:hAnsiTheme="minorHAnsi" w:eastAsiaTheme="minorEastAsia" w:cstheme="minorBidi"/>
      <w:kern w:val="2"/>
      <w:sz w:val="18"/>
      <w:szCs w:val="18"/>
    </w:rPr>
  </w:style>
  <w:style w:type="paragraph" w:styleId="16">
    <w:name w:val="annotation text"/>
    <w:basedOn w:val="1"/>
    <w:link w:val="73"/>
    <w:qFormat/>
    <w:uiPriority w:val="99"/>
    <w:pPr>
      <w:widowControl w:val="0"/>
    </w:pPr>
    <w:rPr>
      <w:rFonts w:asciiTheme="minorHAnsi" w:hAnsiTheme="minorHAnsi" w:eastAsiaTheme="minorEastAsia" w:cstheme="minorBidi"/>
      <w:kern w:val="2"/>
      <w:sz w:val="18"/>
      <w:szCs w:val="22"/>
    </w:rPr>
  </w:style>
  <w:style w:type="paragraph" w:styleId="17">
    <w:name w:val="Salutation"/>
    <w:basedOn w:val="1"/>
    <w:next w:val="1"/>
    <w:link w:val="97"/>
    <w:qFormat/>
    <w:uiPriority w:val="0"/>
    <w:pPr>
      <w:widowControl w:val="0"/>
      <w:jc w:val="both"/>
    </w:pPr>
    <w:rPr>
      <w:rFonts w:eastAsia="黑体" w:asciiTheme="minorHAnsi" w:hAnsiTheme="minorHAnsi" w:cstheme="minorBidi"/>
      <w:kern w:val="2"/>
      <w:szCs w:val="22"/>
    </w:rPr>
  </w:style>
  <w:style w:type="paragraph" w:styleId="18">
    <w:name w:val="Body Text 3"/>
    <w:basedOn w:val="1"/>
    <w:link w:val="106"/>
    <w:qFormat/>
    <w:uiPriority w:val="0"/>
    <w:pPr>
      <w:spacing w:after="120"/>
    </w:pPr>
    <w:rPr>
      <w:rFonts w:asciiTheme="minorHAnsi" w:hAnsiTheme="minorHAnsi" w:eastAsiaTheme="minorEastAsia" w:cstheme="minorBidi"/>
      <w:kern w:val="2"/>
      <w:sz w:val="16"/>
      <w:szCs w:val="16"/>
    </w:rPr>
  </w:style>
  <w:style w:type="paragraph" w:styleId="19">
    <w:name w:val="Body Text Indent"/>
    <w:basedOn w:val="1"/>
    <w:link w:val="94"/>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0">
    <w:name w:val="Block Text"/>
    <w:basedOn w:val="1"/>
    <w:qFormat/>
    <w:uiPriority w:val="0"/>
    <w:pPr>
      <w:widowControl w:val="0"/>
      <w:ind w:left="-540" w:leftChars="-257" w:right="-334" w:rightChars="-159" w:firstLine="540" w:firstLineChars="180"/>
      <w:jc w:val="both"/>
    </w:pPr>
    <w:rPr>
      <w:kern w:val="2"/>
      <w:sz w:val="30"/>
    </w:rPr>
  </w:style>
  <w:style w:type="paragraph" w:styleId="21">
    <w:name w:val="index 4"/>
    <w:basedOn w:val="1"/>
    <w:next w:val="1"/>
    <w:qFormat/>
    <w:uiPriority w:val="0"/>
    <w:pPr>
      <w:widowControl w:val="0"/>
      <w:ind w:left="600" w:leftChars="600"/>
      <w:jc w:val="both"/>
    </w:pPr>
    <w:rPr>
      <w:kern w:val="2"/>
      <w:sz w:val="21"/>
    </w:rPr>
  </w:style>
  <w:style w:type="paragraph" w:styleId="22">
    <w:name w:val="toc 5"/>
    <w:basedOn w:val="1"/>
    <w:next w:val="1"/>
    <w:qFormat/>
    <w:uiPriority w:val="39"/>
    <w:pPr>
      <w:widowControl w:val="0"/>
      <w:ind w:left="720"/>
    </w:pPr>
    <w:rPr>
      <w:kern w:val="2"/>
      <w:sz w:val="18"/>
      <w:szCs w:val="20"/>
    </w:rPr>
  </w:style>
  <w:style w:type="paragraph" w:styleId="23">
    <w:name w:val="toc 3"/>
    <w:basedOn w:val="1"/>
    <w:next w:val="1"/>
    <w:qFormat/>
    <w:uiPriority w:val="39"/>
    <w:pPr>
      <w:widowControl w:val="0"/>
      <w:ind w:left="360"/>
    </w:pPr>
    <w:rPr>
      <w:i/>
      <w:kern w:val="2"/>
      <w:sz w:val="20"/>
      <w:szCs w:val="20"/>
    </w:rPr>
  </w:style>
  <w:style w:type="paragraph" w:styleId="24">
    <w:name w:val="Plain Text"/>
    <w:basedOn w:val="1"/>
    <w:link w:val="109"/>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5">
    <w:name w:val="toc 8"/>
    <w:basedOn w:val="1"/>
    <w:next w:val="1"/>
    <w:qFormat/>
    <w:uiPriority w:val="39"/>
    <w:pPr>
      <w:widowControl w:val="0"/>
      <w:ind w:left="1260"/>
    </w:pPr>
    <w:rPr>
      <w:kern w:val="2"/>
      <w:sz w:val="18"/>
      <w:szCs w:val="20"/>
    </w:rPr>
  </w:style>
  <w:style w:type="paragraph" w:styleId="26">
    <w:name w:val="Date"/>
    <w:basedOn w:val="1"/>
    <w:next w:val="1"/>
    <w:link w:val="91"/>
    <w:qFormat/>
    <w:uiPriority w:val="0"/>
    <w:pPr>
      <w:ind w:left="100" w:leftChars="2500"/>
    </w:pPr>
    <w:rPr>
      <w:rFonts w:asciiTheme="minorHAnsi" w:hAnsiTheme="minorHAnsi" w:eastAsiaTheme="minorEastAsia" w:cstheme="minorBidi"/>
      <w:kern w:val="2"/>
    </w:rPr>
  </w:style>
  <w:style w:type="paragraph" w:styleId="27">
    <w:name w:val="Body Text Indent 2"/>
    <w:basedOn w:val="1"/>
    <w:link w:val="105"/>
    <w:qFormat/>
    <w:uiPriority w:val="0"/>
    <w:pPr>
      <w:widowControl w:val="0"/>
      <w:ind w:firstLine="540" w:firstLineChars="257"/>
      <w:jc w:val="both"/>
    </w:pPr>
    <w:rPr>
      <w:rFonts w:asciiTheme="minorHAnsi" w:hAnsiTheme="minorHAnsi" w:eastAsiaTheme="minorEastAsia" w:cstheme="minorBidi"/>
      <w:kern w:val="2"/>
      <w:sz w:val="21"/>
    </w:rPr>
  </w:style>
  <w:style w:type="paragraph" w:styleId="28">
    <w:name w:val="Balloon Text"/>
    <w:basedOn w:val="1"/>
    <w:link w:val="100"/>
    <w:qFormat/>
    <w:uiPriority w:val="0"/>
    <w:rPr>
      <w:rFonts w:asciiTheme="minorHAnsi" w:hAnsiTheme="minorHAnsi" w:eastAsiaTheme="minorEastAsia" w:cstheme="minorBidi"/>
      <w:kern w:val="2"/>
      <w:sz w:val="18"/>
      <w:szCs w:val="18"/>
    </w:rPr>
  </w:style>
  <w:style w:type="paragraph" w:styleId="29">
    <w:name w:val="footer"/>
    <w:basedOn w:val="1"/>
    <w:link w:val="88"/>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0">
    <w:name w:val="header"/>
    <w:basedOn w:val="1"/>
    <w:link w:val="104"/>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1">
    <w:name w:val="toc 1"/>
    <w:basedOn w:val="1"/>
    <w:next w:val="1"/>
    <w:qFormat/>
    <w:uiPriority w:val="39"/>
    <w:pPr>
      <w:tabs>
        <w:tab w:val="left" w:pos="840"/>
        <w:tab w:val="right" w:leader="dot" w:pos="9204"/>
      </w:tabs>
      <w:spacing w:before="120" w:after="120"/>
    </w:pPr>
    <w:rPr>
      <w:b/>
      <w:bCs/>
      <w:caps/>
      <w:szCs w:val="20"/>
    </w:rPr>
  </w:style>
  <w:style w:type="paragraph" w:styleId="32">
    <w:name w:val="toc 4"/>
    <w:basedOn w:val="1"/>
    <w:next w:val="1"/>
    <w:qFormat/>
    <w:uiPriority w:val="39"/>
    <w:pPr>
      <w:widowControl w:val="0"/>
      <w:ind w:left="540"/>
    </w:pPr>
    <w:rPr>
      <w:kern w:val="2"/>
      <w:sz w:val="18"/>
      <w:szCs w:val="20"/>
    </w:rPr>
  </w:style>
  <w:style w:type="paragraph" w:styleId="33">
    <w:name w:val="Subtitle"/>
    <w:basedOn w:val="1"/>
    <w:next w:val="1"/>
    <w:link w:val="249"/>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4">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5">
    <w:name w:val="toc 6"/>
    <w:basedOn w:val="1"/>
    <w:next w:val="1"/>
    <w:qFormat/>
    <w:uiPriority w:val="39"/>
    <w:pPr>
      <w:ind w:left="1200"/>
    </w:pPr>
    <w:rPr>
      <w:sz w:val="18"/>
      <w:szCs w:val="18"/>
    </w:rPr>
  </w:style>
  <w:style w:type="paragraph" w:styleId="36">
    <w:name w:val="Body Text Indent 3"/>
    <w:basedOn w:val="1"/>
    <w:link w:val="93"/>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7">
    <w:name w:val="index 7"/>
    <w:basedOn w:val="1"/>
    <w:next w:val="1"/>
    <w:semiHidden/>
    <w:unhideWhenUsed/>
    <w:qFormat/>
    <w:uiPriority w:val="99"/>
    <w:pPr>
      <w:widowControl w:val="0"/>
      <w:ind w:left="1200" w:leftChars="1200"/>
      <w:jc w:val="both"/>
    </w:pPr>
    <w:rPr>
      <w:kern w:val="2"/>
      <w:sz w:val="21"/>
      <w:szCs w:val="20"/>
    </w:rPr>
  </w:style>
  <w:style w:type="paragraph" w:styleId="38">
    <w:name w:val="toc 2"/>
    <w:basedOn w:val="1"/>
    <w:next w:val="1"/>
    <w:qFormat/>
    <w:uiPriority w:val="39"/>
    <w:pPr>
      <w:ind w:left="240"/>
    </w:pPr>
    <w:rPr>
      <w:smallCaps/>
      <w:szCs w:val="20"/>
    </w:rPr>
  </w:style>
  <w:style w:type="paragraph" w:styleId="39">
    <w:name w:val="toc 9"/>
    <w:basedOn w:val="1"/>
    <w:next w:val="1"/>
    <w:qFormat/>
    <w:uiPriority w:val="39"/>
    <w:pPr>
      <w:widowControl w:val="0"/>
      <w:ind w:left="1440"/>
    </w:pPr>
    <w:rPr>
      <w:kern w:val="2"/>
      <w:sz w:val="18"/>
      <w:szCs w:val="20"/>
    </w:rPr>
  </w:style>
  <w:style w:type="paragraph" w:styleId="40">
    <w:name w:val="Body Text 2"/>
    <w:basedOn w:val="1"/>
    <w:link w:val="84"/>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1">
    <w:name w:val="Normal (Web)"/>
    <w:basedOn w:val="1"/>
    <w:qFormat/>
    <w:uiPriority w:val="0"/>
    <w:pPr>
      <w:spacing w:before="100" w:beforeAutospacing="1" w:after="100" w:afterAutospacing="1"/>
    </w:pPr>
    <w:rPr>
      <w:rFonts w:ascii="宋体" w:hAnsi="宋体"/>
    </w:rPr>
  </w:style>
  <w:style w:type="paragraph" w:styleId="42">
    <w:name w:val="Title"/>
    <w:basedOn w:val="1"/>
    <w:next w:val="1"/>
    <w:link w:val="108"/>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3">
    <w:name w:val="annotation subject"/>
    <w:basedOn w:val="16"/>
    <w:next w:val="16"/>
    <w:link w:val="71"/>
    <w:qFormat/>
    <w:uiPriority w:val="99"/>
    <w:rPr>
      <w:b/>
    </w:rPr>
  </w:style>
  <w:style w:type="paragraph" w:styleId="44">
    <w:name w:val="Body Text First Indent"/>
    <w:basedOn w:val="2"/>
    <w:link w:val="95"/>
    <w:qFormat/>
    <w:uiPriority w:val="0"/>
    <w:pPr>
      <w:widowControl w:val="0"/>
      <w:ind w:firstLine="420" w:firstLineChars="100"/>
      <w:jc w:val="both"/>
    </w:pPr>
    <w:rPr>
      <w:rFonts w:ascii="宋体" w:hAnsi="宋体"/>
      <w:sz w:val="21"/>
    </w:rPr>
  </w:style>
  <w:style w:type="table" w:styleId="46">
    <w:name w:val="Table Grid"/>
    <w:basedOn w:val="4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7">
    <w:name w:val="Table Elegant"/>
    <w:basedOn w:val="4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49">
    <w:name w:val="Strong"/>
    <w:qFormat/>
    <w:uiPriority w:val="0"/>
    <w:rPr>
      <w:b/>
    </w:rPr>
  </w:style>
  <w:style w:type="character" w:styleId="50">
    <w:name w:val="page number"/>
    <w:basedOn w:val="48"/>
    <w:qFormat/>
    <w:uiPriority w:val="0"/>
  </w:style>
  <w:style w:type="character" w:styleId="51">
    <w:name w:val="FollowedHyperlink"/>
    <w:unhideWhenUsed/>
    <w:qFormat/>
    <w:uiPriority w:val="0"/>
    <w:rPr>
      <w:color w:val="800080"/>
      <w:u w:val="single"/>
    </w:rPr>
  </w:style>
  <w:style w:type="character" w:styleId="52">
    <w:name w:val="Emphasis"/>
    <w:qFormat/>
    <w:uiPriority w:val="0"/>
    <w:rPr>
      <w:i/>
      <w:iCs/>
    </w:rPr>
  </w:style>
  <w:style w:type="character" w:styleId="53">
    <w:name w:val="HTML Definition"/>
    <w:unhideWhenUsed/>
    <w:qFormat/>
    <w:uiPriority w:val="99"/>
    <w:rPr>
      <w:b/>
      <w:i/>
      <w:color w:val="FFFFFF"/>
      <w:sz w:val="15"/>
      <w:szCs w:val="15"/>
      <w:shd w:val="clear" w:color="auto" w:fill="777777"/>
      <w:vertAlign w:val="baseline"/>
    </w:rPr>
  </w:style>
  <w:style w:type="character" w:styleId="54">
    <w:name w:val="HTML Variable"/>
    <w:basedOn w:val="48"/>
    <w:unhideWhenUsed/>
    <w:qFormat/>
    <w:uiPriority w:val="99"/>
  </w:style>
  <w:style w:type="character" w:styleId="55">
    <w:name w:val="Hyperlink"/>
    <w:qFormat/>
    <w:uiPriority w:val="99"/>
    <w:rPr>
      <w:color w:val="0000FF"/>
      <w:u w:val="single"/>
    </w:rPr>
  </w:style>
  <w:style w:type="character" w:styleId="56">
    <w:name w:val="HTML Code"/>
    <w:unhideWhenUsed/>
    <w:qFormat/>
    <w:uiPriority w:val="99"/>
    <w:rPr>
      <w:rFonts w:hint="default" w:ascii="Consolas" w:hAnsi="Consolas" w:eastAsia="Consolas" w:cs="Consolas"/>
      <w:color w:val="C7254E"/>
      <w:sz w:val="21"/>
      <w:szCs w:val="21"/>
      <w:shd w:val="clear" w:color="auto" w:fill="F9F2F4"/>
    </w:rPr>
  </w:style>
  <w:style w:type="character" w:styleId="57">
    <w:name w:val="annotation reference"/>
    <w:qFormat/>
    <w:uiPriority w:val="99"/>
    <w:rPr>
      <w:sz w:val="21"/>
    </w:rPr>
  </w:style>
  <w:style w:type="character" w:styleId="58">
    <w:name w:val="HTML Cite"/>
    <w:basedOn w:val="48"/>
    <w:unhideWhenUsed/>
    <w:qFormat/>
    <w:uiPriority w:val="99"/>
  </w:style>
  <w:style w:type="character" w:styleId="59">
    <w:name w:val="footnote reference"/>
    <w:unhideWhenUsed/>
    <w:qFormat/>
    <w:uiPriority w:val="0"/>
    <w:rPr>
      <w:vertAlign w:val="superscript"/>
    </w:rPr>
  </w:style>
  <w:style w:type="character" w:styleId="60">
    <w:name w:val="HTML Keyboard"/>
    <w:unhideWhenUsed/>
    <w:qFormat/>
    <w:uiPriority w:val="99"/>
    <w:rPr>
      <w:rFonts w:hint="default" w:ascii="Consolas" w:hAnsi="Consolas" w:eastAsia="Consolas" w:cs="Consolas"/>
      <w:color w:val="FFFFFF"/>
      <w:sz w:val="21"/>
      <w:szCs w:val="21"/>
      <w:shd w:val="clear" w:color="auto" w:fill="333333"/>
    </w:rPr>
  </w:style>
  <w:style w:type="character" w:styleId="61">
    <w:name w:val="HTML Sample"/>
    <w:unhideWhenUsed/>
    <w:qFormat/>
    <w:uiPriority w:val="99"/>
    <w:rPr>
      <w:rFonts w:ascii="Consolas" w:hAnsi="Consolas" w:eastAsia="Consolas" w:cs="Consolas"/>
      <w:sz w:val="21"/>
      <w:szCs w:val="21"/>
    </w:rPr>
  </w:style>
  <w:style w:type="character" w:customStyle="1" w:styleId="62">
    <w:name w:val="标题 1 字符"/>
    <w:basedOn w:val="48"/>
    <w:link w:val="3"/>
    <w:qFormat/>
    <w:uiPriority w:val="0"/>
    <w:rPr>
      <w:rFonts w:ascii="宋体" w:hAnsi="宋体" w:eastAsia="宋体" w:cs="Times New Roman"/>
      <w:b/>
      <w:bCs/>
      <w:kern w:val="44"/>
      <w:sz w:val="32"/>
      <w:szCs w:val="32"/>
    </w:rPr>
  </w:style>
  <w:style w:type="character" w:customStyle="1" w:styleId="63">
    <w:name w:val="标题 2 字符"/>
    <w:basedOn w:val="48"/>
    <w:link w:val="4"/>
    <w:qFormat/>
    <w:uiPriority w:val="0"/>
    <w:rPr>
      <w:rFonts w:ascii="宋体" w:hAnsi="宋体" w:eastAsia="宋体" w:cs="Times New Roman"/>
      <w:b/>
      <w:bCs/>
      <w:iCs/>
      <w:kern w:val="0"/>
      <w:sz w:val="28"/>
      <w:szCs w:val="28"/>
    </w:rPr>
  </w:style>
  <w:style w:type="character" w:customStyle="1" w:styleId="64">
    <w:name w:val="标题 3 字符"/>
    <w:basedOn w:val="48"/>
    <w:link w:val="5"/>
    <w:qFormat/>
    <w:uiPriority w:val="0"/>
    <w:rPr>
      <w:rFonts w:ascii="宋体" w:hAnsi="宋体" w:eastAsia="宋体" w:cs="Times New Roman"/>
      <w:b/>
      <w:bCs/>
      <w:color w:val="000000"/>
      <w:sz w:val="28"/>
      <w:szCs w:val="28"/>
    </w:rPr>
  </w:style>
  <w:style w:type="character" w:customStyle="1" w:styleId="65">
    <w:name w:val="标题 4 字符"/>
    <w:basedOn w:val="48"/>
    <w:link w:val="6"/>
    <w:qFormat/>
    <w:uiPriority w:val="0"/>
    <w:rPr>
      <w:rFonts w:ascii="宋体" w:hAnsi="宋体" w:eastAsia="宋体" w:cs="Times New Roman"/>
      <w:b/>
      <w:bCs/>
      <w:kern w:val="0"/>
      <w:sz w:val="28"/>
      <w:szCs w:val="28"/>
    </w:rPr>
  </w:style>
  <w:style w:type="character" w:customStyle="1" w:styleId="66">
    <w:name w:val="标题 5 字符"/>
    <w:basedOn w:val="48"/>
    <w:link w:val="7"/>
    <w:qFormat/>
    <w:uiPriority w:val="0"/>
    <w:rPr>
      <w:rFonts w:ascii="Times New Roman" w:hAnsi="Times New Roman" w:eastAsia="宋体" w:cs="Times New Roman"/>
      <w:b/>
      <w:bCs/>
      <w:kern w:val="0"/>
      <w:sz w:val="28"/>
      <w:szCs w:val="28"/>
    </w:rPr>
  </w:style>
  <w:style w:type="character" w:customStyle="1" w:styleId="67">
    <w:name w:val="标题 6 字符"/>
    <w:basedOn w:val="48"/>
    <w:link w:val="8"/>
    <w:qFormat/>
    <w:uiPriority w:val="0"/>
    <w:rPr>
      <w:rFonts w:ascii="Arial" w:hAnsi="Arial" w:eastAsia="黑体" w:cs="Times New Roman"/>
      <w:b/>
      <w:bCs/>
      <w:sz w:val="24"/>
      <w:szCs w:val="24"/>
    </w:rPr>
  </w:style>
  <w:style w:type="character" w:customStyle="1" w:styleId="68">
    <w:name w:val="标题 7 字符"/>
    <w:basedOn w:val="48"/>
    <w:link w:val="9"/>
    <w:qFormat/>
    <w:uiPriority w:val="0"/>
    <w:rPr>
      <w:rFonts w:ascii="Arial Narrow" w:hAnsi="Arial Narrow" w:eastAsia="宋体" w:cs="Times New Roman"/>
      <w:b/>
      <w:kern w:val="0"/>
      <w:sz w:val="20"/>
      <w:szCs w:val="20"/>
      <w:lang w:eastAsia="en-US"/>
    </w:rPr>
  </w:style>
  <w:style w:type="character" w:customStyle="1" w:styleId="69">
    <w:name w:val="标题 8 字符"/>
    <w:basedOn w:val="48"/>
    <w:link w:val="10"/>
    <w:qFormat/>
    <w:uiPriority w:val="0"/>
    <w:rPr>
      <w:rFonts w:ascii="Arial" w:hAnsi="Arial" w:eastAsia="黑体" w:cs="Times New Roman"/>
      <w:sz w:val="24"/>
      <w:szCs w:val="20"/>
    </w:rPr>
  </w:style>
  <w:style w:type="character" w:customStyle="1" w:styleId="70">
    <w:name w:val="标题 9 字符"/>
    <w:basedOn w:val="48"/>
    <w:link w:val="11"/>
    <w:qFormat/>
    <w:uiPriority w:val="0"/>
    <w:rPr>
      <w:rFonts w:ascii="Arial" w:hAnsi="Arial" w:eastAsia="黑体" w:cs="Times New Roman"/>
      <w:szCs w:val="20"/>
    </w:rPr>
  </w:style>
  <w:style w:type="character" w:customStyle="1" w:styleId="71">
    <w:name w:val="批注主题 字符"/>
    <w:link w:val="43"/>
    <w:qFormat/>
    <w:uiPriority w:val="99"/>
    <w:rPr>
      <w:b/>
      <w:sz w:val="18"/>
    </w:rPr>
  </w:style>
  <w:style w:type="character" w:customStyle="1" w:styleId="72">
    <w:name w:val="访问过的超链接1"/>
    <w:qFormat/>
    <w:uiPriority w:val="0"/>
    <w:rPr>
      <w:color w:val="800080"/>
      <w:u w:val="single"/>
    </w:rPr>
  </w:style>
  <w:style w:type="character" w:customStyle="1" w:styleId="73">
    <w:name w:val="批注文字 字符"/>
    <w:link w:val="16"/>
    <w:qFormat/>
    <w:uiPriority w:val="0"/>
    <w:rPr>
      <w:sz w:val="18"/>
    </w:rPr>
  </w:style>
  <w:style w:type="character" w:customStyle="1" w:styleId="74">
    <w:name w:val="fontblank12"/>
    <w:basedOn w:val="48"/>
    <w:qFormat/>
    <w:uiPriority w:val="0"/>
  </w:style>
  <w:style w:type="character" w:customStyle="1" w:styleId="75">
    <w:name w:val="标书（正文） Char"/>
    <w:link w:val="76"/>
    <w:qFormat/>
    <w:uiPriority w:val="0"/>
    <w:rPr>
      <w:rFonts w:ascii="宋体" w:hAnsi="宋体"/>
      <w:b/>
      <w:kern w:val="10"/>
    </w:rPr>
  </w:style>
  <w:style w:type="paragraph" w:customStyle="1" w:styleId="76">
    <w:name w:val="标书（正文）"/>
    <w:basedOn w:val="1"/>
    <w:link w:val="75"/>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7">
    <w:name w:val="Char Char4"/>
    <w:qFormat/>
    <w:uiPriority w:val="0"/>
    <w:rPr>
      <w:rFonts w:ascii="宋体" w:hAnsi="Courier New" w:eastAsia="宋体"/>
      <w:kern w:val="2"/>
      <w:sz w:val="21"/>
      <w:lang w:val="en-US" w:eastAsia="zh-CN"/>
    </w:rPr>
  </w:style>
  <w:style w:type="character" w:customStyle="1" w:styleId="78">
    <w:name w:val="textnormchn1"/>
    <w:basedOn w:val="48"/>
    <w:qFormat/>
    <w:uiPriority w:val="0"/>
  </w:style>
  <w:style w:type="character" w:customStyle="1" w:styleId="79">
    <w:name w:val="列表段落 字符"/>
    <w:link w:val="80"/>
    <w:qFormat/>
    <w:uiPriority w:val="0"/>
    <w:rPr>
      <w:sz w:val="24"/>
      <w:szCs w:val="24"/>
    </w:rPr>
  </w:style>
  <w:style w:type="paragraph" w:styleId="80">
    <w:name w:val="List Paragraph"/>
    <w:basedOn w:val="1"/>
    <w:link w:val="79"/>
    <w:qFormat/>
    <w:uiPriority w:val="0"/>
    <w:pPr>
      <w:ind w:firstLine="420" w:firstLineChars="200"/>
    </w:pPr>
    <w:rPr>
      <w:rFonts w:asciiTheme="minorHAnsi" w:hAnsiTheme="minorHAnsi" w:eastAsiaTheme="minorEastAsia" w:cstheme="minorBidi"/>
      <w:kern w:val="2"/>
    </w:rPr>
  </w:style>
  <w:style w:type="character" w:customStyle="1" w:styleId="81">
    <w:name w:val="CD正文 Char"/>
    <w:link w:val="82"/>
    <w:qFormat/>
    <w:uiPriority w:val="0"/>
    <w:rPr>
      <w:sz w:val="30"/>
      <w:szCs w:val="28"/>
    </w:rPr>
  </w:style>
  <w:style w:type="paragraph" w:customStyle="1" w:styleId="82">
    <w:name w:val="CD正文"/>
    <w:basedOn w:val="83"/>
    <w:link w:val="81"/>
    <w:qFormat/>
    <w:uiPriority w:val="99"/>
    <w:pPr>
      <w:ind w:firstLine="493"/>
    </w:pPr>
    <w:rPr>
      <w:sz w:val="30"/>
      <w:szCs w:val="28"/>
    </w:rPr>
  </w:style>
  <w:style w:type="paragraph" w:customStyle="1" w:styleId="83">
    <w:name w:val="文章正文"/>
    <w:basedOn w:val="1"/>
    <w:link w:val="92"/>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84">
    <w:name w:val="正文文本 2 字符"/>
    <w:link w:val="40"/>
    <w:qFormat/>
    <w:uiPriority w:val="0"/>
    <w:rPr>
      <w:szCs w:val="21"/>
    </w:rPr>
  </w:style>
  <w:style w:type="character" w:customStyle="1" w:styleId="85">
    <w:name w:val="（符号）三标题1.1 Char Char"/>
    <w:link w:val="86"/>
    <w:qFormat/>
    <w:uiPriority w:val="0"/>
    <w:rPr>
      <w:rFonts w:ascii="宋体" w:hAnsi="宋体"/>
      <w:sz w:val="24"/>
      <w:szCs w:val="24"/>
    </w:rPr>
  </w:style>
  <w:style w:type="paragraph" w:customStyle="1" w:styleId="86">
    <w:name w:val="（符号）三标题1.1"/>
    <w:basedOn w:val="1"/>
    <w:link w:val="85"/>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7">
    <w:name w:val="grame"/>
    <w:basedOn w:val="48"/>
    <w:qFormat/>
    <w:uiPriority w:val="0"/>
  </w:style>
  <w:style w:type="character" w:customStyle="1" w:styleId="88">
    <w:name w:val="页脚 字符"/>
    <w:link w:val="29"/>
    <w:qFormat/>
    <w:uiPriority w:val="99"/>
    <w:rPr>
      <w:sz w:val="18"/>
      <w:szCs w:val="18"/>
    </w:rPr>
  </w:style>
  <w:style w:type="character" w:customStyle="1" w:styleId="89">
    <w:name w:val="keyword"/>
    <w:basedOn w:val="48"/>
    <w:qFormat/>
    <w:uiPriority w:val="0"/>
  </w:style>
  <w:style w:type="character" w:customStyle="1" w:styleId="90">
    <w:name w:val="文档结构图 字符"/>
    <w:link w:val="15"/>
    <w:qFormat/>
    <w:uiPriority w:val="0"/>
    <w:rPr>
      <w:rFonts w:ascii="宋体"/>
      <w:sz w:val="18"/>
      <w:szCs w:val="18"/>
    </w:rPr>
  </w:style>
  <w:style w:type="character" w:customStyle="1" w:styleId="91">
    <w:name w:val="日期 字符"/>
    <w:link w:val="26"/>
    <w:qFormat/>
    <w:uiPriority w:val="0"/>
    <w:rPr>
      <w:sz w:val="24"/>
      <w:szCs w:val="24"/>
    </w:rPr>
  </w:style>
  <w:style w:type="character" w:customStyle="1" w:styleId="92">
    <w:name w:val="文章正文 Char"/>
    <w:link w:val="83"/>
    <w:qFormat/>
    <w:uiPriority w:val="0"/>
    <w:rPr>
      <w:sz w:val="24"/>
      <w:szCs w:val="24"/>
    </w:rPr>
  </w:style>
  <w:style w:type="character" w:customStyle="1" w:styleId="93">
    <w:name w:val="正文文本缩进 3 字符"/>
    <w:link w:val="36"/>
    <w:qFormat/>
    <w:uiPriority w:val="0"/>
    <w:rPr>
      <w:sz w:val="16"/>
      <w:szCs w:val="16"/>
    </w:rPr>
  </w:style>
  <w:style w:type="character" w:customStyle="1" w:styleId="94">
    <w:name w:val="正文文本缩进 字符"/>
    <w:link w:val="19"/>
    <w:qFormat/>
    <w:uiPriority w:val="0"/>
    <w:rPr>
      <w:rFonts w:ascii="宋体"/>
      <w:sz w:val="30"/>
      <w:szCs w:val="24"/>
    </w:rPr>
  </w:style>
  <w:style w:type="character" w:customStyle="1" w:styleId="95">
    <w:name w:val="正文文本首行缩进 字符"/>
    <w:link w:val="44"/>
    <w:qFormat/>
    <w:uiPriority w:val="0"/>
    <w:rPr>
      <w:rFonts w:ascii="宋体" w:hAnsi="宋体"/>
      <w:szCs w:val="24"/>
    </w:rPr>
  </w:style>
  <w:style w:type="character" w:customStyle="1" w:styleId="96">
    <w:name w:val="正文缩进 字符"/>
    <w:link w:val="13"/>
    <w:qFormat/>
    <w:uiPriority w:val="99"/>
    <w:rPr>
      <w:szCs w:val="24"/>
    </w:rPr>
  </w:style>
  <w:style w:type="character" w:customStyle="1" w:styleId="97">
    <w:name w:val="称呼 字符"/>
    <w:link w:val="17"/>
    <w:qFormat/>
    <w:uiPriority w:val="0"/>
    <w:rPr>
      <w:rFonts w:eastAsia="黑体"/>
      <w:sz w:val="24"/>
    </w:rPr>
  </w:style>
  <w:style w:type="character" w:customStyle="1" w:styleId="98">
    <w:name w:val="正文文本 字符"/>
    <w:link w:val="2"/>
    <w:qFormat/>
    <w:uiPriority w:val="0"/>
    <w:rPr>
      <w:sz w:val="24"/>
      <w:szCs w:val="24"/>
    </w:rPr>
  </w:style>
  <w:style w:type="character" w:customStyle="1" w:styleId="99">
    <w:name w:val="Char Char40"/>
    <w:qFormat/>
    <w:uiPriority w:val="0"/>
    <w:rPr>
      <w:kern w:val="2"/>
      <w:sz w:val="24"/>
      <w:szCs w:val="24"/>
    </w:rPr>
  </w:style>
  <w:style w:type="character" w:customStyle="1" w:styleId="100">
    <w:name w:val="批注框文本 字符"/>
    <w:link w:val="28"/>
    <w:qFormat/>
    <w:uiPriority w:val="0"/>
    <w:rPr>
      <w:sz w:val="18"/>
      <w:szCs w:val="18"/>
    </w:rPr>
  </w:style>
  <w:style w:type="character" w:customStyle="1" w:styleId="101">
    <w:name w:val="WW8Num9z0"/>
    <w:qFormat/>
    <w:uiPriority w:val="0"/>
    <w:rPr>
      <w:rFonts w:ascii="Wingdings" w:hAnsi="Wingdings"/>
    </w:rPr>
  </w:style>
  <w:style w:type="character" w:customStyle="1" w:styleId="102">
    <w:name w:val="magic-list1"/>
    <w:qFormat/>
    <w:uiPriority w:val="0"/>
    <w:rPr>
      <w:rFonts w:hint="default" w:ascii="ˎ̥" w:hAnsi="ˎ̥"/>
      <w:color w:val="000000"/>
      <w:sz w:val="20"/>
      <w:u w:val="none"/>
    </w:rPr>
  </w:style>
  <w:style w:type="character" w:customStyle="1" w:styleId="103">
    <w:name w:val="small"/>
    <w:basedOn w:val="48"/>
    <w:qFormat/>
    <w:uiPriority w:val="0"/>
  </w:style>
  <w:style w:type="character" w:customStyle="1" w:styleId="104">
    <w:name w:val="页眉 字符"/>
    <w:link w:val="30"/>
    <w:qFormat/>
    <w:uiPriority w:val="0"/>
    <w:rPr>
      <w:sz w:val="18"/>
      <w:szCs w:val="18"/>
    </w:rPr>
  </w:style>
  <w:style w:type="character" w:customStyle="1" w:styleId="105">
    <w:name w:val="正文文本缩进 2 字符"/>
    <w:link w:val="27"/>
    <w:qFormat/>
    <w:uiPriority w:val="0"/>
    <w:rPr>
      <w:szCs w:val="24"/>
    </w:rPr>
  </w:style>
  <w:style w:type="character" w:customStyle="1" w:styleId="106">
    <w:name w:val="正文文本 3 字符"/>
    <w:link w:val="18"/>
    <w:qFormat/>
    <w:uiPriority w:val="0"/>
    <w:rPr>
      <w:sz w:val="16"/>
      <w:szCs w:val="16"/>
    </w:rPr>
  </w:style>
  <w:style w:type="character" w:customStyle="1" w:styleId="107">
    <w:name w:val="纯文本 Char1"/>
    <w:unhideWhenUsed/>
    <w:qFormat/>
    <w:uiPriority w:val="99"/>
    <w:rPr>
      <w:rFonts w:hint="eastAsia" w:ascii="宋体" w:hAnsi="Tms Rmn" w:eastAsia="宋体"/>
      <w:sz w:val="21"/>
      <w:lang w:val="en-US" w:eastAsia="zh-CN"/>
    </w:rPr>
  </w:style>
  <w:style w:type="character" w:customStyle="1" w:styleId="108">
    <w:name w:val="标题 字符"/>
    <w:link w:val="42"/>
    <w:qFormat/>
    <w:uiPriority w:val="0"/>
    <w:rPr>
      <w:rFonts w:ascii="Cambria" w:hAnsi="Cambria"/>
      <w:b/>
      <w:bCs/>
      <w:sz w:val="32"/>
      <w:szCs w:val="32"/>
    </w:rPr>
  </w:style>
  <w:style w:type="character" w:customStyle="1" w:styleId="109">
    <w:name w:val="纯文本 字符"/>
    <w:link w:val="24"/>
    <w:qFormat/>
    <w:uiPriority w:val="0"/>
    <w:rPr>
      <w:rFonts w:ascii="宋体" w:hAnsi="Tms Rmn" w:cs="宋体"/>
      <w:szCs w:val="21"/>
    </w:rPr>
  </w:style>
  <w:style w:type="character" w:customStyle="1" w:styleId="110">
    <w:name w:val="H4 Char"/>
    <w:qFormat/>
    <w:uiPriority w:val="0"/>
    <w:rPr>
      <w:rFonts w:ascii="Arial" w:hAnsi="Arial" w:eastAsia="宋体"/>
      <w:b/>
      <w:kern w:val="2"/>
      <w:sz w:val="28"/>
      <w:lang w:val="en-US" w:eastAsia="zh-CN"/>
    </w:rPr>
  </w:style>
  <w:style w:type="character" w:customStyle="1" w:styleId="111">
    <w:name w:val="正文缩进 Char1"/>
    <w:qFormat/>
    <w:uiPriority w:val="0"/>
    <w:rPr>
      <w:kern w:val="2"/>
      <w:sz w:val="21"/>
      <w:szCs w:val="24"/>
    </w:rPr>
  </w:style>
  <w:style w:type="paragraph" w:customStyle="1" w:styleId="112">
    <w:name w:val="MM Topic 9"/>
    <w:basedOn w:val="11"/>
    <w:qFormat/>
    <w:uiPriority w:val="0"/>
    <w:pPr>
      <w:tabs>
        <w:tab w:val="left" w:pos="5102"/>
      </w:tabs>
    </w:pPr>
  </w:style>
  <w:style w:type="paragraph" w:customStyle="1" w:styleId="113">
    <w:name w:val="默认段落字体 Para Char Char Char Char Char Char Char Char Char Char Char Char Char Char Char Char"/>
    <w:basedOn w:val="15"/>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4">
    <w:name w:val="强调2"/>
    <w:basedOn w:val="115"/>
    <w:qFormat/>
    <w:uiPriority w:val="0"/>
    <w:pPr>
      <w:tabs>
        <w:tab w:val="left" w:pos="360"/>
        <w:tab w:val="left" w:pos="1918"/>
      </w:tabs>
      <w:ind w:left="1918" w:hanging="420"/>
    </w:pPr>
  </w:style>
  <w:style w:type="paragraph" w:customStyle="1" w:styleId="115">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6">
    <w:name w:val="Char Char Char Char"/>
    <w:basedOn w:val="1"/>
    <w:next w:val="1"/>
    <w:qFormat/>
    <w:uiPriority w:val="0"/>
    <w:pPr>
      <w:widowControl w:val="0"/>
      <w:spacing w:line="240" w:lineRule="atLeast"/>
      <w:ind w:left="420" w:firstLine="420"/>
    </w:pPr>
    <w:rPr>
      <w:sz w:val="21"/>
      <w:szCs w:val="21"/>
    </w:rPr>
  </w:style>
  <w:style w:type="paragraph" w:customStyle="1" w:styleId="117">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8">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19">
    <w:name w:val="默认段落字体 Para Char Char Char Char"/>
    <w:basedOn w:val="1"/>
    <w:qFormat/>
    <w:uiPriority w:val="0"/>
    <w:pPr>
      <w:widowControl w:val="0"/>
      <w:jc w:val="both"/>
    </w:pPr>
    <w:rPr>
      <w:kern w:val="2"/>
      <w:sz w:val="21"/>
    </w:rPr>
  </w:style>
  <w:style w:type="character" w:customStyle="1" w:styleId="120">
    <w:name w:val="纯文本 Char2"/>
    <w:basedOn w:val="48"/>
    <w:qFormat/>
    <w:uiPriority w:val="0"/>
    <w:rPr>
      <w:rFonts w:ascii="宋体" w:hAnsi="Courier New" w:eastAsia="宋体" w:cs="Courier New"/>
      <w:kern w:val="0"/>
      <w:szCs w:val="21"/>
    </w:rPr>
  </w:style>
  <w:style w:type="paragraph" w:customStyle="1" w:styleId="121">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2">
    <w:name w:val="页眉 Char1"/>
    <w:basedOn w:val="48"/>
    <w:semiHidden/>
    <w:qFormat/>
    <w:uiPriority w:val="99"/>
    <w:rPr>
      <w:rFonts w:ascii="Times New Roman" w:hAnsi="Times New Roman" w:eastAsia="宋体" w:cs="Times New Roman"/>
      <w:kern w:val="0"/>
      <w:sz w:val="18"/>
      <w:szCs w:val="18"/>
    </w:rPr>
  </w:style>
  <w:style w:type="character" w:customStyle="1" w:styleId="123">
    <w:name w:val="正文文本 Char1"/>
    <w:basedOn w:val="48"/>
    <w:qFormat/>
    <w:uiPriority w:val="0"/>
    <w:rPr>
      <w:rFonts w:ascii="Times New Roman" w:hAnsi="Times New Roman" w:eastAsia="宋体" w:cs="Times New Roman"/>
      <w:kern w:val="0"/>
      <w:sz w:val="24"/>
      <w:szCs w:val="24"/>
    </w:rPr>
  </w:style>
  <w:style w:type="character" w:customStyle="1" w:styleId="124">
    <w:name w:val="批注框文本 Char1"/>
    <w:basedOn w:val="48"/>
    <w:qFormat/>
    <w:uiPriority w:val="0"/>
    <w:rPr>
      <w:rFonts w:ascii="Times New Roman" w:hAnsi="Times New Roman" w:eastAsia="宋体" w:cs="Times New Roman"/>
      <w:kern w:val="0"/>
      <w:sz w:val="18"/>
      <w:szCs w:val="18"/>
    </w:rPr>
  </w:style>
  <w:style w:type="character" w:customStyle="1" w:styleId="125">
    <w:name w:val="称呼 Char1"/>
    <w:basedOn w:val="48"/>
    <w:semiHidden/>
    <w:qFormat/>
    <w:uiPriority w:val="99"/>
    <w:rPr>
      <w:rFonts w:ascii="Times New Roman" w:hAnsi="Times New Roman" w:eastAsia="宋体" w:cs="Times New Roman"/>
      <w:kern w:val="0"/>
      <w:sz w:val="24"/>
      <w:szCs w:val="24"/>
    </w:rPr>
  </w:style>
  <w:style w:type="character" w:customStyle="1" w:styleId="126">
    <w:name w:val="批注文字 Char1"/>
    <w:basedOn w:val="48"/>
    <w:semiHidden/>
    <w:qFormat/>
    <w:uiPriority w:val="0"/>
    <w:rPr>
      <w:rFonts w:ascii="Times New Roman" w:hAnsi="Times New Roman" w:eastAsia="宋体" w:cs="Times New Roman"/>
      <w:kern w:val="0"/>
      <w:sz w:val="24"/>
      <w:szCs w:val="24"/>
    </w:rPr>
  </w:style>
  <w:style w:type="paragraph" w:customStyle="1" w:styleId="127">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8">
    <w:name w:val="正文文本缩进 Char1"/>
    <w:basedOn w:val="48"/>
    <w:qFormat/>
    <w:uiPriority w:val="99"/>
    <w:rPr>
      <w:rFonts w:ascii="Times New Roman" w:hAnsi="Times New Roman" w:eastAsia="宋体" w:cs="Times New Roman"/>
      <w:kern w:val="0"/>
      <w:sz w:val="24"/>
      <w:szCs w:val="24"/>
    </w:rPr>
  </w:style>
  <w:style w:type="character" w:customStyle="1" w:styleId="129">
    <w:name w:val="页脚 Char1"/>
    <w:basedOn w:val="48"/>
    <w:qFormat/>
    <w:uiPriority w:val="99"/>
    <w:rPr>
      <w:rFonts w:ascii="Times New Roman" w:hAnsi="Times New Roman" w:eastAsia="宋体" w:cs="Times New Roman"/>
      <w:kern w:val="0"/>
      <w:sz w:val="18"/>
      <w:szCs w:val="18"/>
    </w:rPr>
  </w:style>
  <w:style w:type="character" w:customStyle="1" w:styleId="130">
    <w:name w:val="正文文本 3 Char1"/>
    <w:basedOn w:val="48"/>
    <w:qFormat/>
    <w:uiPriority w:val="0"/>
    <w:rPr>
      <w:rFonts w:ascii="Times New Roman" w:hAnsi="Times New Roman" w:eastAsia="宋体" w:cs="Times New Roman"/>
      <w:kern w:val="0"/>
      <w:sz w:val="16"/>
      <w:szCs w:val="16"/>
    </w:rPr>
  </w:style>
  <w:style w:type="character" w:customStyle="1" w:styleId="131">
    <w:name w:val="批注主题 Char1"/>
    <w:basedOn w:val="126"/>
    <w:qFormat/>
    <w:uiPriority w:val="0"/>
    <w:rPr>
      <w:rFonts w:ascii="Times New Roman" w:hAnsi="Times New Roman" w:eastAsia="宋体" w:cs="Times New Roman"/>
      <w:b/>
      <w:bCs/>
      <w:kern w:val="0"/>
      <w:sz w:val="24"/>
      <w:szCs w:val="24"/>
    </w:rPr>
  </w:style>
  <w:style w:type="character" w:customStyle="1" w:styleId="132">
    <w:name w:val="正文首行缩进 Char1"/>
    <w:basedOn w:val="123"/>
    <w:qFormat/>
    <w:uiPriority w:val="0"/>
    <w:rPr>
      <w:rFonts w:ascii="Times New Roman" w:hAnsi="Times New Roman" w:eastAsia="宋体" w:cs="Times New Roman"/>
      <w:kern w:val="0"/>
      <w:sz w:val="24"/>
      <w:szCs w:val="24"/>
    </w:rPr>
  </w:style>
  <w:style w:type="character" w:customStyle="1" w:styleId="133">
    <w:name w:val="文档结构图 Char1"/>
    <w:basedOn w:val="48"/>
    <w:qFormat/>
    <w:uiPriority w:val="0"/>
    <w:rPr>
      <w:rFonts w:ascii="宋体" w:hAnsi="Times New Roman" w:eastAsia="宋体" w:cs="Times New Roman"/>
      <w:kern w:val="0"/>
      <w:sz w:val="18"/>
      <w:szCs w:val="18"/>
    </w:rPr>
  </w:style>
  <w:style w:type="paragraph" w:customStyle="1" w:styleId="134">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5">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6">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7">
    <w:name w:val="日期 Char1"/>
    <w:basedOn w:val="48"/>
    <w:qFormat/>
    <w:uiPriority w:val="0"/>
    <w:rPr>
      <w:rFonts w:ascii="Times New Roman" w:hAnsi="Times New Roman" w:eastAsia="宋体" w:cs="Times New Roman"/>
      <w:kern w:val="0"/>
      <w:sz w:val="24"/>
      <w:szCs w:val="24"/>
    </w:rPr>
  </w:style>
  <w:style w:type="character" w:customStyle="1" w:styleId="138">
    <w:name w:val="正文文本缩进 2 Char1"/>
    <w:basedOn w:val="48"/>
    <w:semiHidden/>
    <w:qFormat/>
    <w:uiPriority w:val="0"/>
    <w:rPr>
      <w:rFonts w:ascii="Times New Roman" w:hAnsi="Times New Roman" w:eastAsia="宋体" w:cs="Times New Roman"/>
      <w:kern w:val="0"/>
      <w:sz w:val="24"/>
      <w:szCs w:val="24"/>
    </w:rPr>
  </w:style>
  <w:style w:type="paragraph" w:customStyle="1" w:styleId="139">
    <w:name w:val="MM Topic 6"/>
    <w:basedOn w:val="8"/>
    <w:qFormat/>
    <w:uiPriority w:val="0"/>
    <w:pPr>
      <w:tabs>
        <w:tab w:val="left" w:pos="3260"/>
      </w:tabs>
      <w:spacing w:line="317" w:lineRule="auto"/>
      <w:ind w:left="0" w:firstLine="0"/>
    </w:pPr>
    <w:rPr>
      <w:bCs w:val="0"/>
      <w:sz w:val="28"/>
      <w:szCs w:val="20"/>
    </w:rPr>
  </w:style>
  <w:style w:type="character" w:customStyle="1" w:styleId="140">
    <w:name w:val="正文文本缩进 3 Char1"/>
    <w:basedOn w:val="48"/>
    <w:qFormat/>
    <w:uiPriority w:val="0"/>
    <w:rPr>
      <w:rFonts w:ascii="Times New Roman" w:hAnsi="Times New Roman" w:eastAsia="宋体" w:cs="Times New Roman"/>
      <w:kern w:val="0"/>
      <w:sz w:val="16"/>
      <w:szCs w:val="16"/>
    </w:rPr>
  </w:style>
  <w:style w:type="character" w:customStyle="1" w:styleId="141">
    <w:name w:val="正文文本 2 Char1"/>
    <w:basedOn w:val="48"/>
    <w:qFormat/>
    <w:uiPriority w:val="0"/>
    <w:rPr>
      <w:rFonts w:ascii="Times New Roman" w:hAnsi="Times New Roman" w:eastAsia="宋体" w:cs="Times New Roman"/>
      <w:kern w:val="0"/>
      <w:sz w:val="24"/>
      <w:szCs w:val="24"/>
    </w:rPr>
  </w:style>
  <w:style w:type="character" w:customStyle="1" w:styleId="142">
    <w:name w:val="标题 Char1"/>
    <w:basedOn w:val="48"/>
    <w:qFormat/>
    <w:uiPriority w:val="10"/>
    <w:rPr>
      <w:rFonts w:eastAsia="宋体" w:asciiTheme="majorHAnsi" w:hAnsiTheme="majorHAnsi" w:cstheme="majorBidi"/>
      <w:b/>
      <w:bCs/>
      <w:kern w:val="0"/>
      <w:sz w:val="32"/>
      <w:szCs w:val="32"/>
    </w:rPr>
  </w:style>
  <w:style w:type="paragraph" w:customStyle="1" w:styleId="143">
    <w:name w:val="Default"/>
    <w:qFormat/>
    <w:uiPriority w:val="0"/>
    <w:pPr>
      <w:widowControl w:val="0"/>
      <w:autoSpaceDE w:val="0"/>
      <w:autoSpaceDN w:val="0"/>
      <w:adjustRightInd w:val="0"/>
    </w:pPr>
    <w:rPr>
      <w:rFonts w:ascii="楷体à.ā" w:hAnsi="Times New Roman" w:eastAsia="楷体à.ā" w:cs="Times New Roman"/>
      <w:color w:val="000000"/>
      <w:sz w:val="24"/>
      <w:lang w:val="en-US" w:eastAsia="zh-CN" w:bidi="ar-SA"/>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149">
    <w:name w:val="Char11"/>
    <w:basedOn w:val="1"/>
    <w:next w:val="1"/>
    <w:qFormat/>
    <w:uiPriority w:val="0"/>
    <w:pPr>
      <w:widowControl w:val="0"/>
      <w:spacing w:line="240" w:lineRule="atLeast"/>
      <w:ind w:left="420" w:firstLine="420"/>
    </w:pPr>
    <w:rPr>
      <w:sz w:val="21"/>
      <w:szCs w:val="21"/>
    </w:rPr>
  </w:style>
  <w:style w:type="paragraph" w:customStyle="1" w:styleId="150">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qFormat/>
    <w:uiPriority w:val="0"/>
    <w:pPr>
      <w:widowControl w:val="0"/>
      <w:jc w:val="both"/>
    </w:pPr>
    <w:rPr>
      <w:rFonts w:ascii="Tahoma" w:hAnsi="Tahoma"/>
      <w:kern w:val="2"/>
      <w:szCs w:val="20"/>
    </w:rPr>
  </w:style>
  <w:style w:type="paragraph" w:customStyle="1" w:styleId="152">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lang w:val="en-US" w:eastAsia="zh-CN" w:bidi="ar-SA"/>
    </w:rPr>
  </w:style>
  <w:style w:type="paragraph" w:customStyle="1" w:styleId="153">
    <w:name w:val="样式2"/>
    <w:basedOn w:val="1"/>
    <w:qFormat/>
    <w:uiPriority w:val="0"/>
    <w:pPr>
      <w:widowControl w:val="0"/>
      <w:adjustRightInd w:val="0"/>
      <w:spacing w:line="410" w:lineRule="atLeast"/>
      <w:jc w:val="both"/>
      <w:textAlignment w:val="baseline"/>
    </w:pPr>
    <w:rPr>
      <w:szCs w:val="20"/>
    </w:rPr>
  </w:style>
  <w:style w:type="paragraph" w:customStyle="1" w:styleId="154">
    <w:name w:val="列出段落1"/>
    <w:basedOn w:val="1"/>
    <w:qFormat/>
    <w:uiPriority w:val="34"/>
    <w:pPr>
      <w:ind w:firstLine="420" w:firstLineChars="200"/>
    </w:pPr>
    <w:rPr>
      <w:lang w:val="zh-CN"/>
    </w:rPr>
  </w:style>
  <w:style w:type="paragraph" w:customStyle="1" w:styleId="155">
    <w:name w:val="p4"/>
    <w:basedOn w:val="1"/>
    <w:qFormat/>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qFormat/>
    <w:uiPriority w:val="99"/>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0"/>
    <w:pPr>
      <w:widowControl w:val="0"/>
      <w:spacing w:line="240" w:lineRule="atLeast"/>
      <w:ind w:left="420" w:firstLine="420"/>
    </w:pPr>
    <w:rPr>
      <w:sz w:val="21"/>
      <w:szCs w:val="20"/>
    </w:rPr>
  </w:style>
  <w:style w:type="paragraph" w:customStyle="1" w:styleId="159">
    <w:name w:val="表格题注"/>
    <w:next w:val="1"/>
    <w:qFormat/>
    <w:uiPriority w:val="0"/>
    <w:pPr>
      <w:keepLines/>
      <w:tabs>
        <w:tab w:val="left" w:pos="1559"/>
      </w:tabs>
      <w:spacing w:beforeLines="100"/>
      <w:ind w:left="1559" w:hanging="1559"/>
      <w:jc w:val="center"/>
    </w:pPr>
    <w:rPr>
      <w:rFonts w:ascii="Arial" w:hAnsi="Arial" w:eastAsia="宋体" w:cs="Times New Roman"/>
      <w:sz w:val="18"/>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10"/>
    <w:qFormat/>
    <w:uiPriority w:val="0"/>
    <w:pPr>
      <w:tabs>
        <w:tab w:val="left" w:pos="4394"/>
      </w:tabs>
    </w:pPr>
  </w:style>
  <w:style w:type="paragraph" w:customStyle="1" w:styleId="162">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4">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qFormat/>
    <w:uiPriority w:val="0"/>
    <w:pPr>
      <w:widowControl w:val="0"/>
      <w:spacing w:line="300" w:lineRule="auto"/>
      <w:ind w:firstLine="510"/>
      <w:jc w:val="both"/>
    </w:pPr>
    <w:rPr>
      <w:kern w:val="2"/>
      <w:szCs w:val="20"/>
    </w:rPr>
  </w:style>
  <w:style w:type="paragraph" w:customStyle="1" w:styleId="170">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0"/>
    <w:pPr>
      <w:widowControl w:val="0"/>
      <w:spacing w:line="240" w:lineRule="atLeast"/>
      <w:ind w:left="420" w:firstLine="420"/>
    </w:pPr>
    <w:rPr>
      <w:sz w:val="21"/>
      <w:szCs w:val="21"/>
    </w:rPr>
  </w:style>
  <w:style w:type="paragraph" w:customStyle="1" w:styleId="174">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5">
    <w:name w:val="文章正文 Char Char1 Char"/>
    <w:basedOn w:val="1"/>
    <w:qFormat/>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qFormat/>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0">
    <w:name w:val="p0"/>
    <w:basedOn w:val="1"/>
    <w:qFormat/>
    <w:uiPriority w:val="0"/>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0"/>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3"/>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sz w:val="18"/>
      <w:lang w:val="en-US" w:eastAsia="zh-CN" w:bidi="ar-SA"/>
    </w:rPr>
  </w:style>
  <w:style w:type="paragraph" w:customStyle="1" w:styleId="193">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5"/>
    <w:qFormat/>
    <w:uiPriority w:val="0"/>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qFormat/>
    <w:uiPriority w:val="0"/>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修订1"/>
    <w:hidden/>
    <w:unhideWhenUsed/>
    <w:qFormat/>
    <w:uiPriority w:val="0"/>
    <w:rPr>
      <w:rFonts w:ascii="Times New Roman" w:hAnsi="Times New Roman" w:eastAsia="宋体" w:cs="Times New Roman"/>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字符"/>
    <w:link w:val="34"/>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0"/>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0"/>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8"/>
    <w:qFormat/>
    <w:uiPriority w:val="0"/>
  </w:style>
  <w:style w:type="character" w:customStyle="1" w:styleId="225">
    <w:name w:val="正文文本 Char"/>
    <w:qFormat/>
    <w:uiPriority w:val="0"/>
    <w:rPr>
      <w:rFonts w:ascii="Calibri" w:hAnsi="Calibri" w:eastAsia="宋体" w:cs="Times New Roman"/>
    </w:rPr>
  </w:style>
  <w:style w:type="character" w:customStyle="1" w:styleId="226">
    <w:name w:val="apple-converted-space"/>
    <w:basedOn w:val="48"/>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8"/>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8"/>
    <w:qFormat/>
    <w:uiPriority w:val="0"/>
  </w:style>
  <w:style w:type="character" w:customStyle="1" w:styleId="234">
    <w:name w:val="批注文字 Char"/>
    <w:qFormat/>
    <w:uiPriority w:val="99"/>
    <w:rPr>
      <w:rFonts w:ascii="Times New Roman" w:hAnsi="Times New Roman" w:eastAsia="宋体" w:cs="Times New Roman"/>
      <w:kern w:val="0"/>
      <w:sz w:val="18"/>
      <w:szCs w:val="18"/>
    </w:rPr>
  </w:style>
  <w:style w:type="character" w:customStyle="1" w:styleId="235">
    <w:name w:val="Char Char Char"/>
    <w:qFormat/>
    <w:uiPriority w:val="0"/>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0"/>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99"/>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11"/>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0"/>
    <w:rPr>
      <w:rFonts w:hint="eastAsia" w:ascii="黑体" w:hAnsi="黑体" w:eastAsia="黑体"/>
      <w:b/>
      <w:bCs/>
      <w:sz w:val="24"/>
    </w:rPr>
  </w:style>
  <w:style w:type="character" w:customStyle="1" w:styleId="249">
    <w:name w:val="副标题 字符"/>
    <w:link w:val="33"/>
    <w:qFormat/>
    <w:uiPriority w:val="0"/>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0"/>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8"/>
    <w:qFormat/>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sz w:val="21"/>
      <w:lang w:val="en-US" w:eastAsia="zh-CN" w:bidi="ar-SA"/>
    </w:rPr>
  </w:style>
  <w:style w:type="character" w:customStyle="1" w:styleId="260">
    <w:name w:val="正文文本缩进 2 字符1"/>
    <w:basedOn w:val="48"/>
    <w:semiHidden/>
    <w:qFormat/>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8"/>
    <w:semiHidden/>
    <w:qFormat/>
    <w:uiPriority w:val="99"/>
    <w:rPr>
      <w:rFonts w:ascii="Calibri" w:hAnsi="Calibri" w:eastAsia="宋体" w:cs="Times New Roman"/>
      <w:sz w:val="16"/>
      <w:szCs w:val="16"/>
    </w:rPr>
  </w:style>
  <w:style w:type="character" w:customStyle="1" w:styleId="264">
    <w:name w:val="批注文字 字符1"/>
    <w:basedOn w:val="48"/>
    <w:semiHidden/>
    <w:qFormat/>
    <w:uiPriority w:val="99"/>
    <w:rPr>
      <w:rFonts w:ascii="Calibri" w:hAnsi="Calibri" w:eastAsia="宋体" w:cs="Times New Roman"/>
    </w:rPr>
  </w:style>
  <w:style w:type="character" w:customStyle="1" w:styleId="265">
    <w:name w:val="正文文本 2 字符1"/>
    <w:basedOn w:val="48"/>
    <w:semiHidden/>
    <w:qFormat/>
    <w:uiPriority w:val="99"/>
    <w:rPr>
      <w:rFonts w:ascii="Calibri" w:hAnsi="Calibri" w:eastAsia="宋体" w:cs="Times New Roman"/>
    </w:rPr>
  </w:style>
  <w:style w:type="character" w:customStyle="1" w:styleId="266">
    <w:name w:val="正文文本缩进 字符1"/>
    <w:basedOn w:val="48"/>
    <w:semiHidden/>
    <w:qFormat/>
    <w:uiPriority w:val="99"/>
    <w:rPr>
      <w:rFonts w:ascii="Calibri" w:hAnsi="Calibri" w:eastAsia="宋体" w:cs="Times New Roman"/>
    </w:rPr>
  </w:style>
  <w:style w:type="character" w:customStyle="1" w:styleId="267">
    <w:name w:val="批注框文本 字符1"/>
    <w:basedOn w:val="48"/>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8"/>
    <w:semiHidden/>
    <w:qFormat/>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8"/>
    <w:semiHidden/>
    <w:qFormat/>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qFormat/>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sz w:val="22"/>
      <w:szCs w:val="22"/>
      <w:lang w:val="ru-RU" w:eastAsia="en-US" w:bidi="ar-SA"/>
    </w:rPr>
  </w:style>
  <w:style w:type="character" w:customStyle="1" w:styleId="276">
    <w:name w:val="日期 字符1"/>
    <w:basedOn w:val="48"/>
    <w:semiHidden/>
    <w:qFormat/>
    <w:uiPriority w:val="99"/>
    <w:rPr>
      <w:rFonts w:ascii="Calibri" w:hAnsi="Calibri" w:eastAsia="宋体" w:cs="Times New Roman"/>
    </w:rPr>
  </w:style>
  <w:style w:type="character" w:customStyle="1" w:styleId="277">
    <w:name w:val="正文文本 3 字符1"/>
    <w:basedOn w:val="48"/>
    <w:semiHidden/>
    <w:qFormat/>
    <w:uiPriority w:val="99"/>
    <w:rPr>
      <w:rFonts w:ascii="Calibri" w:hAnsi="Calibri" w:eastAsia="宋体" w:cs="Times New Roman"/>
      <w:sz w:val="16"/>
      <w:szCs w:val="16"/>
    </w:rPr>
  </w:style>
  <w:style w:type="character" w:customStyle="1" w:styleId="278">
    <w:name w:val="文档结构图 字符1"/>
    <w:basedOn w:val="48"/>
    <w:semiHidden/>
    <w:qFormat/>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8"/>
    <w:semiHidden/>
    <w:qFormat/>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8"/>
    <w:semiHidden/>
    <w:qFormat/>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8"/>
    <w:semiHidden/>
    <w:qFormat/>
    <w:uiPriority w:val="99"/>
    <w:rPr>
      <w:rFonts w:ascii="Calibri" w:hAnsi="Calibri" w:eastAsia="宋体" w:cs="Times New Roman"/>
      <w:sz w:val="18"/>
      <w:szCs w:val="18"/>
    </w:rPr>
  </w:style>
  <w:style w:type="character" w:customStyle="1" w:styleId="290">
    <w:name w:val="正文文本首行缩进 字符1"/>
    <w:basedOn w:val="272"/>
    <w:semiHidden/>
    <w:qFormat/>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4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1">
    <w:name w:val="标题 5 + 首行缩进:"/>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8"/>
    <w:qFormat/>
    <w:uiPriority w:val="0"/>
  </w:style>
  <w:style w:type="paragraph" w:customStyle="1" w:styleId="326">
    <w:name w:val="Plain Text1"/>
    <w:basedOn w:val="1"/>
    <w:qFormat/>
    <w:uiPriority w:val="99"/>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0">
    <w:name w:val="font31"/>
    <w:basedOn w:val="48"/>
    <w:qFormat/>
    <w:uiPriority w:val="0"/>
    <w:rPr>
      <w:rFonts w:hint="eastAsia" w:ascii="宋体" w:hAnsi="宋体" w:eastAsia="宋体" w:cs="宋体"/>
      <w:color w:val="000000"/>
      <w:sz w:val="21"/>
      <w:szCs w:val="21"/>
      <w:u w:val="none"/>
    </w:rPr>
  </w:style>
  <w:style w:type="character" w:customStyle="1" w:styleId="331">
    <w:name w:val="无间距字符"/>
    <w:link w:val="332"/>
    <w:qFormat/>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qFormat/>
    <w:uiPriority w:val="0"/>
    <w:rPr>
      <w:sz w:val="22"/>
    </w:rPr>
  </w:style>
  <w:style w:type="paragraph" w:customStyle="1" w:styleId="334">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6">
    <w:name w:val="bf.1"/>
    <w:basedOn w:val="13"/>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99"/>
    <w:pPr>
      <w:spacing w:before="100" w:beforeAutospacing="1" w:after="100" w:afterAutospacing="1"/>
      <w:jc w:val="both"/>
    </w:pPr>
    <w:rPr>
      <w:rFonts w:ascii="宋体" w:hAnsi="宋体"/>
      <w:szCs w:val="20"/>
    </w:rPr>
  </w:style>
  <w:style w:type="paragraph" w:customStyle="1" w:styleId="339">
    <w:name w:val="Char Char1 Char"/>
    <w:basedOn w:val="1"/>
    <w:qFormat/>
    <w:uiPriority w:val="0"/>
    <w:pPr>
      <w:widowControl w:val="0"/>
      <w:jc w:val="both"/>
    </w:pPr>
    <w:rPr>
      <w:kern w:val="2"/>
      <w:sz w:val="21"/>
      <w:szCs w:val="20"/>
    </w:rPr>
  </w:style>
  <w:style w:type="paragraph" w:customStyle="1" w:styleId="340">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1">
    <w:name w:val="明显引用 字符"/>
    <w:link w:val="342"/>
    <w:qFormat/>
    <w:uiPriority w:val="0"/>
    <w:rPr>
      <w:b/>
      <w:bCs/>
      <w:i/>
      <w:iCs/>
      <w:color w:val="4F81BD"/>
    </w:rPr>
  </w:style>
  <w:style w:type="paragraph"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不明显强调1"/>
    <w:qFormat/>
    <w:uiPriority w:val="0"/>
    <w:rPr>
      <w:i/>
      <w:iCs/>
      <w:color w:val="808080"/>
    </w:rPr>
  </w:style>
  <w:style w:type="character" w:customStyle="1" w:styleId="344">
    <w:name w:val="标题4 Char Char"/>
    <w:qFormat/>
    <w:uiPriority w:val="0"/>
    <w:rPr>
      <w:rFonts w:ascii="Arial" w:hAnsi="Arial"/>
      <w:b/>
      <w:bCs/>
      <w:sz w:val="24"/>
      <w:szCs w:val="32"/>
    </w:rPr>
  </w:style>
  <w:style w:type="character" w:customStyle="1" w:styleId="345">
    <w:name w:val="标题5 Char Char"/>
    <w:link w:val="346"/>
    <w:qFormat/>
    <w:uiPriority w:val="0"/>
    <w:rPr>
      <w:rFonts w:ascii="Arial" w:hAnsi="Arial"/>
      <w:b/>
      <w:bCs/>
      <w:sz w:val="24"/>
      <w:szCs w:val="32"/>
    </w:rPr>
  </w:style>
  <w:style w:type="paragraph" w:customStyle="1" w:styleId="346">
    <w:name w:val="标题5"/>
    <w:basedOn w:val="5"/>
    <w:link w:val="345"/>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明显参考1"/>
    <w:qFormat/>
    <w:uiPriority w:val="0"/>
    <w:rPr>
      <w:b/>
      <w:bCs/>
      <w:smallCaps/>
      <w:color w:val="C0504D"/>
      <w:spacing w:val="5"/>
      <w:u w:val="single"/>
    </w:rPr>
  </w:style>
  <w:style w:type="character" w:customStyle="1" w:styleId="348">
    <w:name w:val="书籍标题1"/>
    <w:qFormat/>
    <w:uiPriority w:val="0"/>
    <w:rPr>
      <w:b/>
      <w:bCs/>
      <w:smallCaps/>
      <w:spacing w:val="5"/>
    </w:rPr>
  </w:style>
  <w:style w:type="character" w:customStyle="1" w:styleId="349">
    <w:name w:val="引用 字符"/>
    <w:link w:val="350"/>
    <w:qFormat/>
    <w:uiPriority w:val="0"/>
    <w:rPr>
      <w:i/>
      <w:iCs/>
      <w:color w:val="000000"/>
    </w:rPr>
  </w:style>
  <w:style w:type="paragraph"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明显强调1"/>
    <w:qFormat/>
    <w:uiPriority w:val="0"/>
    <w:rPr>
      <w:b/>
      <w:bCs/>
      <w:i/>
      <w:iCs/>
      <w:color w:val="4F81BD"/>
    </w:rPr>
  </w:style>
  <w:style w:type="character" w:customStyle="1" w:styleId="352">
    <w:name w:val="textcontents"/>
    <w:qFormat/>
    <w:uiPriority w:val="0"/>
    <w:rPr>
      <w:rFonts w:cs="Times New Roman"/>
    </w:rPr>
  </w:style>
  <w:style w:type="character" w:customStyle="1" w:styleId="353">
    <w:name w:val="不明显参考1"/>
    <w:qFormat/>
    <w:uiPriority w:val="0"/>
    <w:rPr>
      <w:smallCaps/>
      <w:color w:val="C0504D"/>
      <w:u w:val="single"/>
    </w:rPr>
  </w:style>
  <w:style w:type="character" w:customStyle="1" w:styleId="354">
    <w:name w:val="批注文字 Char Char"/>
    <w:qFormat/>
    <w:uiPriority w:val="0"/>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标题2"/>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8"/>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8"/>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8"/>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8"/>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paragraph" w:customStyle="1" w:styleId="369">
    <w:name w:val="BodyText1I"/>
    <w:basedOn w:val="1"/>
    <w:qFormat/>
    <w:uiPriority w:val="0"/>
    <w:pPr>
      <w:ind w:firstLine="420" w:firstLineChars="1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08FAC4-A13B-4975-ABAF-D9A358D1136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123</Pages>
  <Words>7008</Words>
  <Characters>39949</Characters>
  <Lines>332</Lines>
  <Paragraphs>93</Paragraphs>
  <TotalTime>41</TotalTime>
  <ScaleCrop>false</ScaleCrop>
  <LinksUpToDate>false</LinksUpToDate>
  <CharactersWithSpaces>46864</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2021-05-26T08:12:00Z</dcterms:created>
  <dc:creator>罗川</dc:creator>
  <cp:lastModifiedBy>Administrator</cp:lastModifiedBy>
  <cp:lastPrinted>2021-07-04T03:32:00Z</cp:lastPrinted>
  <dcterms:modified xsi:type="dcterms:W3CDTF">2021-07-09T02:01:48Z</dcterms:modified>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98DE836AF83E459F876BA3E1AF8C4D7E</vt:lpwstr>
  </property>
</Properties>
</file>