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DF" w:rsidRPr="00E63243" w:rsidRDefault="00272D7C" w:rsidP="00272D7C">
      <w:pPr>
        <w:jc w:val="center"/>
        <w:rPr>
          <w:b/>
          <w:sz w:val="28"/>
          <w:szCs w:val="21"/>
        </w:rPr>
      </w:pPr>
      <w:r w:rsidRPr="00E63243">
        <w:rPr>
          <w:rFonts w:hint="eastAsia"/>
          <w:b/>
          <w:sz w:val="28"/>
          <w:szCs w:val="21"/>
        </w:rPr>
        <w:t>“四川音乐学院及周边环境品质提升整治工程监理服务项目（项目编号：</w:t>
      </w:r>
      <w:r w:rsidRPr="00E63243">
        <w:rPr>
          <w:rFonts w:hint="eastAsia"/>
          <w:b/>
          <w:sz w:val="28"/>
          <w:szCs w:val="21"/>
        </w:rPr>
        <w:t>510107202100046</w:t>
      </w:r>
      <w:r w:rsidRPr="00E63243">
        <w:rPr>
          <w:rFonts w:hint="eastAsia"/>
          <w:b/>
          <w:sz w:val="28"/>
          <w:szCs w:val="21"/>
        </w:rPr>
        <w:t>）”更正公告</w:t>
      </w:r>
    </w:p>
    <w:p w:rsidR="00272D7C" w:rsidRPr="00E63243" w:rsidRDefault="00272D7C" w:rsidP="00501176">
      <w:pPr>
        <w:spacing w:line="360" w:lineRule="auto"/>
        <w:rPr>
          <w:b/>
        </w:rPr>
      </w:pPr>
      <w:r w:rsidRPr="00E63243">
        <w:rPr>
          <w:b/>
        </w:rPr>
        <w:t>致各潜在供应商</w:t>
      </w:r>
      <w:r w:rsidRPr="00E63243">
        <w:rPr>
          <w:rFonts w:hint="eastAsia"/>
          <w:b/>
        </w:rPr>
        <w:t>：</w:t>
      </w:r>
    </w:p>
    <w:p w:rsidR="00272D7C" w:rsidRPr="00E63243" w:rsidRDefault="00272D7C" w:rsidP="00501176">
      <w:pPr>
        <w:spacing w:line="360" w:lineRule="auto"/>
        <w:ind w:firstLine="420"/>
        <w:rPr>
          <w:b/>
        </w:rPr>
      </w:pPr>
      <w:r w:rsidRPr="00E63243">
        <w:rPr>
          <w:rFonts w:hint="eastAsia"/>
          <w:b/>
        </w:rPr>
        <w:t>重庆大正建设工程经济技术有限公司受成都市武侯区公园城市建设和城市更新局委托，拟对“四川音乐学院及周边环境品质提升政治工程监理服务项目”通过国内竞争性磋商方式进行采购。现对本项目做出以下更正：</w:t>
      </w:r>
    </w:p>
    <w:p w:rsidR="00272D7C" w:rsidRPr="00E63243" w:rsidRDefault="00272D7C" w:rsidP="00501176">
      <w:pPr>
        <w:pStyle w:val="a5"/>
        <w:numPr>
          <w:ilvl w:val="0"/>
          <w:numId w:val="1"/>
        </w:numPr>
        <w:spacing w:line="360" w:lineRule="auto"/>
        <w:ind w:firstLineChars="0"/>
        <w:rPr>
          <w:b/>
        </w:rPr>
      </w:pPr>
      <w:r w:rsidRPr="00E63243">
        <w:rPr>
          <w:rFonts w:hint="eastAsia"/>
          <w:b/>
        </w:rPr>
        <w:t>原竞争性磋商文件中第八章</w:t>
      </w:r>
      <w:r w:rsidRPr="00E63243">
        <w:rPr>
          <w:rFonts w:hint="eastAsia"/>
          <w:b/>
        </w:rPr>
        <w:t xml:space="preserve"> </w:t>
      </w:r>
      <w:r w:rsidRPr="00E63243">
        <w:rPr>
          <w:rFonts w:hint="eastAsia"/>
          <w:b/>
        </w:rPr>
        <w:t>评审办法</w:t>
      </w:r>
      <w:r w:rsidRPr="00E63243">
        <w:rPr>
          <w:rFonts w:hint="eastAsia"/>
          <w:b/>
        </w:rPr>
        <w:t xml:space="preserve"> 3.3.2</w:t>
      </w:r>
      <w:r w:rsidRPr="00E63243">
        <w:rPr>
          <w:rFonts w:hint="eastAsia"/>
          <w:b/>
        </w:rPr>
        <w:t>综</w:t>
      </w:r>
      <w:bookmarkStart w:id="0" w:name="_GoBack"/>
      <w:bookmarkEnd w:id="0"/>
      <w:r w:rsidRPr="00E63243">
        <w:rPr>
          <w:rFonts w:hint="eastAsia"/>
          <w:b/>
        </w:rPr>
        <w:t>合评分明细表中</w:t>
      </w:r>
      <w:r w:rsidRPr="00E63243">
        <w:rPr>
          <w:rFonts w:hint="eastAsia"/>
          <w:b/>
        </w:rPr>
        <w:t xml:space="preserve"> 2 </w:t>
      </w:r>
      <w:r w:rsidRPr="00E63243">
        <w:rPr>
          <w:rFonts w:hint="eastAsia"/>
          <w:b/>
        </w:rPr>
        <w:t>类似业绩</w:t>
      </w:r>
    </w:p>
    <w:tbl>
      <w:tblPr>
        <w:tblW w:w="9639" w:type="dxa"/>
        <w:tblInd w:w="108" w:type="dxa"/>
        <w:tblLook w:val="0000" w:firstRow="0" w:lastRow="0" w:firstColumn="0" w:lastColumn="0" w:noHBand="0" w:noVBand="0"/>
      </w:tblPr>
      <w:tblGrid>
        <w:gridCol w:w="426"/>
        <w:gridCol w:w="992"/>
        <w:gridCol w:w="567"/>
        <w:gridCol w:w="6662"/>
        <w:gridCol w:w="992"/>
      </w:tblGrid>
      <w:tr w:rsidR="00501176" w:rsidRPr="00501176" w:rsidTr="00501176">
        <w:trPr>
          <w:trHeight w:val="974"/>
        </w:trPr>
        <w:tc>
          <w:tcPr>
            <w:tcW w:w="426" w:type="dxa"/>
            <w:tcBorders>
              <w:top w:val="single" w:sz="4" w:space="0" w:color="auto"/>
              <w:left w:val="single" w:sz="4" w:space="0" w:color="auto"/>
              <w:bottom w:val="single" w:sz="4" w:space="0" w:color="auto"/>
              <w:right w:val="single" w:sz="4" w:space="0" w:color="auto"/>
            </w:tcBorders>
            <w:vAlign w:val="center"/>
          </w:tcPr>
          <w:p w:rsidR="00272D7C" w:rsidRPr="00501176" w:rsidRDefault="00272D7C" w:rsidP="00501176">
            <w:pPr>
              <w:rPr>
                <w:sz w:val="20"/>
              </w:rPr>
            </w:pPr>
            <w:r w:rsidRPr="00501176">
              <w:rPr>
                <w:rFonts w:hint="eastAsia"/>
                <w:sz w:val="20"/>
              </w:rPr>
              <w:t>2</w:t>
            </w:r>
          </w:p>
        </w:tc>
        <w:tc>
          <w:tcPr>
            <w:tcW w:w="992" w:type="dxa"/>
            <w:tcBorders>
              <w:top w:val="single" w:sz="4" w:space="0" w:color="auto"/>
              <w:left w:val="nil"/>
              <w:bottom w:val="single" w:sz="4" w:space="0" w:color="auto"/>
              <w:right w:val="single" w:sz="4" w:space="0" w:color="auto"/>
            </w:tcBorders>
            <w:vAlign w:val="center"/>
          </w:tcPr>
          <w:p w:rsidR="00272D7C" w:rsidRPr="00501176" w:rsidRDefault="00272D7C" w:rsidP="00501176">
            <w:pPr>
              <w:rPr>
                <w:sz w:val="20"/>
              </w:rPr>
            </w:pPr>
            <w:r w:rsidRPr="00501176">
              <w:rPr>
                <w:rFonts w:hint="eastAsia"/>
                <w:sz w:val="20"/>
              </w:rPr>
              <w:t>类似业绩</w:t>
            </w:r>
            <w:r w:rsidRPr="00501176">
              <w:rPr>
                <w:rFonts w:hint="eastAsia"/>
                <w:sz w:val="20"/>
              </w:rPr>
              <w:t>12</w:t>
            </w:r>
            <w:r w:rsidRPr="00501176">
              <w:rPr>
                <w:sz w:val="20"/>
              </w:rPr>
              <w:t>%</w:t>
            </w:r>
          </w:p>
        </w:tc>
        <w:tc>
          <w:tcPr>
            <w:tcW w:w="567" w:type="dxa"/>
            <w:tcBorders>
              <w:top w:val="single" w:sz="4" w:space="0" w:color="auto"/>
              <w:left w:val="nil"/>
              <w:bottom w:val="single" w:sz="4" w:space="0" w:color="auto"/>
              <w:right w:val="single" w:sz="4" w:space="0" w:color="auto"/>
            </w:tcBorders>
            <w:vAlign w:val="center"/>
          </w:tcPr>
          <w:p w:rsidR="00272D7C" w:rsidRPr="00501176" w:rsidRDefault="00272D7C" w:rsidP="00501176">
            <w:pPr>
              <w:jc w:val="center"/>
              <w:rPr>
                <w:sz w:val="20"/>
              </w:rPr>
            </w:pPr>
            <w:r w:rsidRPr="00501176">
              <w:rPr>
                <w:rFonts w:hint="eastAsia"/>
                <w:sz w:val="20"/>
              </w:rPr>
              <w:t>12</w:t>
            </w:r>
          </w:p>
        </w:tc>
        <w:tc>
          <w:tcPr>
            <w:tcW w:w="6662" w:type="dxa"/>
            <w:tcBorders>
              <w:top w:val="single" w:sz="4" w:space="0" w:color="auto"/>
              <w:left w:val="nil"/>
              <w:bottom w:val="single" w:sz="4" w:space="0" w:color="auto"/>
              <w:right w:val="single" w:sz="4" w:space="0" w:color="auto"/>
            </w:tcBorders>
            <w:vAlign w:val="center"/>
          </w:tcPr>
          <w:p w:rsidR="00272D7C" w:rsidRPr="00501176" w:rsidRDefault="00272D7C" w:rsidP="00501176">
            <w:pPr>
              <w:rPr>
                <w:sz w:val="20"/>
              </w:rPr>
            </w:pPr>
            <w:r w:rsidRPr="00501176">
              <w:rPr>
                <w:rFonts w:hint="eastAsia"/>
                <w:sz w:val="20"/>
              </w:rPr>
              <w:t>供应商</w:t>
            </w:r>
            <w:r w:rsidRPr="00501176">
              <w:rPr>
                <w:rFonts w:hint="eastAsia"/>
                <w:sz w:val="20"/>
              </w:rPr>
              <w:t>2018</w:t>
            </w:r>
            <w:r w:rsidRPr="00501176">
              <w:rPr>
                <w:rFonts w:hint="eastAsia"/>
                <w:sz w:val="20"/>
              </w:rPr>
              <w:t>年</w:t>
            </w:r>
            <w:r w:rsidRPr="00501176">
              <w:rPr>
                <w:rFonts w:hint="eastAsia"/>
                <w:sz w:val="20"/>
              </w:rPr>
              <w:t>1</w:t>
            </w:r>
            <w:r w:rsidRPr="00501176">
              <w:rPr>
                <w:rFonts w:hint="eastAsia"/>
                <w:sz w:val="20"/>
              </w:rPr>
              <w:t>月</w:t>
            </w:r>
            <w:r w:rsidRPr="00501176">
              <w:rPr>
                <w:rFonts w:hint="eastAsia"/>
                <w:sz w:val="20"/>
              </w:rPr>
              <w:t>1</w:t>
            </w:r>
            <w:r w:rsidRPr="00501176">
              <w:rPr>
                <w:rFonts w:hint="eastAsia"/>
                <w:sz w:val="20"/>
              </w:rPr>
              <w:t>日以来每有一个已完成的房屋建筑工程项目或装饰装修工程或维修工程监理业绩，每有一个得</w:t>
            </w:r>
            <w:r w:rsidRPr="00501176">
              <w:rPr>
                <w:rFonts w:hint="eastAsia"/>
                <w:sz w:val="20"/>
              </w:rPr>
              <w:t>4</w:t>
            </w:r>
            <w:r w:rsidRPr="00501176">
              <w:rPr>
                <w:sz w:val="20"/>
              </w:rPr>
              <w:t>分，最高得</w:t>
            </w:r>
            <w:r w:rsidRPr="00501176">
              <w:rPr>
                <w:rFonts w:hint="eastAsia"/>
                <w:sz w:val="20"/>
              </w:rPr>
              <w:t>12</w:t>
            </w:r>
            <w:r w:rsidRPr="00501176">
              <w:rPr>
                <w:sz w:val="20"/>
              </w:rPr>
              <w:t>分。</w:t>
            </w:r>
            <w:r w:rsidRPr="00501176">
              <w:rPr>
                <w:rFonts w:hint="eastAsia"/>
                <w:sz w:val="20"/>
              </w:rPr>
              <w:t>（说明：</w:t>
            </w:r>
            <w:r w:rsidRPr="00501176">
              <w:rPr>
                <w:sz w:val="20"/>
              </w:rPr>
              <w:t>提供中标（选）通知书、监理合同及竣工验收报告的复印件，以竣工验收报告时间为准</w:t>
            </w:r>
            <w:r w:rsidRPr="00501176">
              <w:rPr>
                <w:rFonts w:hint="eastAsia"/>
                <w:sz w:val="20"/>
              </w:rPr>
              <w:t>，并加盖鲜章。）</w:t>
            </w:r>
          </w:p>
        </w:tc>
        <w:tc>
          <w:tcPr>
            <w:tcW w:w="992" w:type="dxa"/>
            <w:tcBorders>
              <w:top w:val="single" w:sz="4" w:space="0" w:color="auto"/>
              <w:left w:val="nil"/>
              <w:bottom w:val="single" w:sz="4" w:space="0" w:color="auto"/>
              <w:right w:val="single" w:sz="4" w:space="0" w:color="auto"/>
            </w:tcBorders>
            <w:vAlign w:val="center"/>
          </w:tcPr>
          <w:p w:rsidR="00272D7C" w:rsidRPr="00501176" w:rsidRDefault="00272D7C" w:rsidP="00501176">
            <w:pPr>
              <w:ind w:firstLine="420"/>
              <w:rPr>
                <w:sz w:val="20"/>
              </w:rPr>
            </w:pPr>
            <w:r w:rsidRPr="00501176">
              <w:rPr>
                <w:rFonts w:hint="eastAsia"/>
                <w:sz w:val="20"/>
              </w:rPr>
              <w:t xml:space="preserve">　</w:t>
            </w:r>
          </w:p>
        </w:tc>
      </w:tr>
    </w:tbl>
    <w:p w:rsidR="00272D7C" w:rsidRDefault="00501176" w:rsidP="00501176">
      <w:pPr>
        <w:pStyle w:val="a5"/>
        <w:spacing w:line="360" w:lineRule="auto"/>
        <w:ind w:left="780" w:firstLineChars="0" w:firstLine="0"/>
        <w:rPr>
          <w:b/>
        </w:rPr>
      </w:pPr>
      <w:r>
        <w:rPr>
          <w:b/>
        </w:rPr>
        <w:t>现</w:t>
      </w:r>
      <w:r>
        <w:rPr>
          <w:rFonts w:hint="eastAsia"/>
          <w:b/>
        </w:rPr>
        <w:t>更正</w:t>
      </w:r>
      <w:r w:rsidRPr="00501176">
        <w:rPr>
          <w:b/>
        </w:rPr>
        <w:t>为</w:t>
      </w:r>
    </w:p>
    <w:tbl>
      <w:tblPr>
        <w:tblW w:w="9639" w:type="dxa"/>
        <w:tblInd w:w="108" w:type="dxa"/>
        <w:tblLook w:val="0000" w:firstRow="0" w:lastRow="0" w:firstColumn="0" w:lastColumn="0" w:noHBand="0" w:noVBand="0"/>
      </w:tblPr>
      <w:tblGrid>
        <w:gridCol w:w="426"/>
        <w:gridCol w:w="992"/>
        <w:gridCol w:w="567"/>
        <w:gridCol w:w="6662"/>
        <w:gridCol w:w="992"/>
      </w:tblGrid>
      <w:tr w:rsidR="00501176" w:rsidRPr="00501176" w:rsidTr="00501176">
        <w:trPr>
          <w:trHeight w:val="974"/>
        </w:trPr>
        <w:tc>
          <w:tcPr>
            <w:tcW w:w="426" w:type="dxa"/>
            <w:tcBorders>
              <w:top w:val="single" w:sz="4" w:space="0" w:color="auto"/>
              <w:left w:val="single" w:sz="4" w:space="0" w:color="auto"/>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2</w:t>
            </w:r>
          </w:p>
        </w:tc>
        <w:tc>
          <w:tcPr>
            <w:tcW w:w="992"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类似业绩</w:t>
            </w:r>
            <w:r w:rsidRPr="00501176">
              <w:rPr>
                <w:rFonts w:hint="eastAsia"/>
                <w:sz w:val="20"/>
              </w:rPr>
              <w:t>15</w:t>
            </w:r>
            <w:r w:rsidRPr="00501176">
              <w:rPr>
                <w:sz w:val="20"/>
              </w:rPr>
              <w:t>%</w:t>
            </w:r>
          </w:p>
        </w:tc>
        <w:tc>
          <w:tcPr>
            <w:tcW w:w="567"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1</w:t>
            </w:r>
            <w:r>
              <w:rPr>
                <w:rFonts w:hint="eastAsia"/>
                <w:sz w:val="20"/>
              </w:rPr>
              <w:t>5</w:t>
            </w:r>
          </w:p>
        </w:tc>
        <w:tc>
          <w:tcPr>
            <w:tcW w:w="6662"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供应商</w:t>
            </w:r>
            <w:r w:rsidRPr="00501176">
              <w:rPr>
                <w:rFonts w:hint="eastAsia"/>
                <w:sz w:val="20"/>
              </w:rPr>
              <w:t>2018</w:t>
            </w:r>
            <w:r w:rsidRPr="00501176">
              <w:rPr>
                <w:rFonts w:hint="eastAsia"/>
                <w:sz w:val="20"/>
              </w:rPr>
              <w:t>年</w:t>
            </w:r>
            <w:r w:rsidRPr="00501176">
              <w:rPr>
                <w:rFonts w:hint="eastAsia"/>
                <w:sz w:val="20"/>
              </w:rPr>
              <w:t>1</w:t>
            </w:r>
            <w:r w:rsidRPr="00501176">
              <w:rPr>
                <w:rFonts w:hint="eastAsia"/>
                <w:sz w:val="20"/>
              </w:rPr>
              <w:t>月</w:t>
            </w:r>
            <w:r w:rsidRPr="00501176">
              <w:rPr>
                <w:rFonts w:hint="eastAsia"/>
                <w:sz w:val="20"/>
              </w:rPr>
              <w:t>1</w:t>
            </w:r>
            <w:r w:rsidRPr="00501176">
              <w:rPr>
                <w:rFonts w:hint="eastAsia"/>
                <w:sz w:val="20"/>
              </w:rPr>
              <w:t>日以来每有一个已完成的房屋建筑工程项目或装饰装修工程或维修工程监理业绩，每有一个得</w:t>
            </w:r>
            <w:r w:rsidRPr="00501176">
              <w:rPr>
                <w:rFonts w:hint="eastAsia"/>
                <w:sz w:val="20"/>
              </w:rPr>
              <w:t>5</w:t>
            </w:r>
            <w:r w:rsidRPr="00501176">
              <w:rPr>
                <w:sz w:val="20"/>
              </w:rPr>
              <w:t>分，最高得</w:t>
            </w:r>
            <w:r w:rsidRPr="00501176">
              <w:rPr>
                <w:rFonts w:hint="eastAsia"/>
                <w:sz w:val="20"/>
              </w:rPr>
              <w:t>15</w:t>
            </w:r>
            <w:r w:rsidRPr="00501176">
              <w:rPr>
                <w:sz w:val="20"/>
              </w:rPr>
              <w:t>分。</w:t>
            </w:r>
            <w:r w:rsidRPr="00501176">
              <w:rPr>
                <w:rFonts w:hint="eastAsia"/>
                <w:sz w:val="20"/>
              </w:rPr>
              <w:t>（说明：</w:t>
            </w:r>
            <w:r w:rsidRPr="00501176">
              <w:rPr>
                <w:sz w:val="20"/>
              </w:rPr>
              <w:t>提供中标（选）通知书</w:t>
            </w:r>
            <w:r w:rsidRPr="00501176">
              <w:rPr>
                <w:rFonts w:hint="eastAsia"/>
                <w:sz w:val="20"/>
              </w:rPr>
              <w:t>或</w:t>
            </w:r>
            <w:r w:rsidRPr="00501176">
              <w:rPr>
                <w:sz w:val="20"/>
              </w:rPr>
              <w:t>监理合同或竣工验收报告的复印件</w:t>
            </w:r>
            <w:r w:rsidRPr="00501176">
              <w:rPr>
                <w:rFonts w:hint="eastAsia"/>
                <w:sz w:val="20"/>
              </w:rPr>
              <w:t>并加盖鲜章。）</w:t>
            </w:r>
          </w:p>
        </w:tc>
        <w:tc>
          <w:tcPr>
            <w:tcW w:w="992"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 xml:space="preserve">　</w:t>
            </w:r>
          </w:p>
        </w:tc>
      </w:tr>
    </w:tbl>
    <w:p w:rsidR="00501176" w:rsidRPr="00E63243" w:rsidRDefault="00501176" w:rsidP="00501176">
      <w:pPr>
        <w:pStyle w:val="a5"/>
        <w:numPr>
          <w:ilvl w:val="0"/>
          <w:numId w:val="1"/>
        </w:numPr>
        <w:spacing w:line="360" w:lineRule="auto"/>
        <w:ind w:firstLineChars="0"/>
        <w:rPr>
          <w:b/>
        </w:rPr>
      </w:pPr>
      <w:r w:rsidRPr="00E63243">
        <w:rPr>
          <w:b/>
        </w:rPr>
        <w:t>原竞争性磋商文件中</w:t>
      </w:r>
      <w:r w:rsidRPr="00E63243">
        <w:rPr>
          <w:rFonts w:hint="eastAsia"/>
          <w:b/>
        </w:rPr>
        <w:t>第八章</w:t>
      </w:r>
      <w:r w:rsidRPr="00E63243">
        <w:rPr>
          <w:rFonts w:hint="eastAsia"/>
          <w:b/>
        </w:rPr>
        <w:t xml:space="preserve"> </w:t>
      </w:r>
      <w:r w:rsidRPr="00E63243">
        <w:rPr>
          <w:rFonts w:hint="eastAsia"/>
          <w:b/>
        </w:rPr>
        <w:t>评审办法</w:t>
      </w:r>
      <w:r w:rsidRPr="00E63243">
        <w:rPr>
          <w:rFonts w:hint="eastAsia"/>
          <w:b/>
        </w:rPr>
        <w:t xml:space="preserve"> 3.3.2</w:t>
      </w:r>
      <w:r w:rsidRPr="00E63243">
        <w:rPr>
          <w:rFonts w:hint="eastAsia"/>
          <w:b/>
        </w:rPr>
        <w:t>综合评分明细表中</w:t>
      </w:r>
      <w:r w:rsidRPr="00E63243">
        <w:rPr>
          <w:rFonts w:hint="eastAsia"/>
          <w:b/>
        </w:rPr>
        <w:t xml:space="preserve"> 3 </w:t>
      </w:r>
      <w:r w:rsidRPr="00E63243">
        <w:rPr>
          <w:rFonts w:hint="eastAsia"/>
          <w:b/>
        </w:rPr>
        <w:t>项目负责人资质、能力</w:t>
      </w:r>
      <w:r w:rsidRPr="00E63243">
        <w:rPr>
          <w:rFonts w:hint="eastAsia"/>
          <w:b/>
        </w:rPr>
        <w:t xml:space="preserve"> </w:t>
      </w:r>
      <w:r w:rsidRPr="00E63243">
        <w:rPr>
          <w:rFonts w:hint="eastAsia"/>
          <w:b/>
        </w:rPr>
        <w:t>和</w:t>
      </w:r>
      <w:r w:rsidRPr="00E63243">
        <w:rPr>
          <w:rFonts w:hint="eastAsia"/>
          <w:b/>
        </w:rPr>
        <w:t xml:space="preserve"> </w:t>
      </w:r>
      <w:r w:rsidRPr="00E63243">
        <w:rPr>
          <w:rFonts w:hint="eastAsia"/>
          <w:b/>
        </w:rPr>
        <w:t>专业人员配备情况</w:t>
      </w:r>
    </w:p>
    <w:tbl>
      <w:tblPr>
        <w:tblW w:w="9639" w:type="dxa"/>
        <w:tblInd w:w="108" w:type="dxa"/>
        <w:tblLook w:val="0000" w:firstRow="0" w:lastRow="0" w:firstColumn="0" w:lastColumn="0" w:noHBand="0" w:noVBand="0"/>
      </w:tblPr>
      <w:tblGrid>
        <w:gridCol w:w="426"/>
        <w:gridCol w:w="992"/>
        <w:gridCol w:w="567"/>
        <w:gridCol w:w="6662"/>
        <w:gridCol w:w="992"/>
      </w:tblGrid>
      <w:tr w:rsidR="00501176" w:rsidRPr="00501176" w:rsidTr="00501176">
        <w:trPr>
          <w:trHeight w:val="544"/>
        </w:trPr>
        <w:tc>
          <w:tcPr>
            <w:tcW w:w="426" w:type="dxa"/>
            <w:vMerge w:val="restart"/>
            <w:tcBorders>
              <w:top w:val="single" w:sz="4" w:space="0" w:color="auto"/>
              <w:left w:val="single" w:sz="4" w:space="0" w:color="auto"/>
              <w:right w:val="single" w:sz="4" w:space="0" w:color="auto"/>
            </w:tcBorders>
            <w:vAlign w:val="center"/>
          </w:tcPr>
          <w:p w:rsidR="00501176" w:rsidRPr="00501176" w:rsidRDefault="00501176" w:rsidP="00501176">
            <w:pPr>
              <w:rPr>
                <w:sz w:val="20"/>
              </w:rPr>
            </w:pPr>
            <w:r>
              <w:rPr>
                <w:rFonts w:hint="eastAsia"/>
              </w:rPr>
              <w:t xml:space="preserve">  </w:t>
            </w:r>
            <w:r w:rsidRPr="00501176">
              <w:rPr>
                <w:rFonts w:hint="eastAsia"/>
                <w:sz w:val="20"/>
              </w:rPr>
              <w:t>3</w:t>
            </w:r>
          </w:p>
        </w:tc>
        <w:tc>
          <w:tcPr>
            <w:tcW w:w="992"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项目负责人资质、能力</w:t>
            </w:r>
            <w:r w:rsidRPr="00501176">
              <w:rPr>
                <w:rFonts w:hint="eastAsia"/>
                <w:sz w:val="20"/>
              </w:rPr>
              <w:t>4%</w:t>
            </w:r>
          </w:p>
        </w:tc>
        <w:tc>
          <w:tcPr>
            <w:tcW w:w="567"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4</w:t>
            </w:r>
          </w:p>
        </w:tc>
        <w:tc>
          <w:tcPr>
            <w:tcW w:w="6662"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总监理工程师：具有全国注册监理工程师（注册专业为房屋建筑工程）资格得</w:t>
            </w:r>
            <w:r w:rsidRPr="00501176">
              <w:rPr>
                <w:rFonts w:hint="eastAsia"/>
                <w:sz w:val="20"/>
              </w:rPr>
              <w:t>3</w:t>
            </w:r>
            <w:r w:rsidRPr="00501176">
              <w:rPr>
                <w:rFonts w:hint="eastAsia"/>
                <w:sz w:val="20"/>
              </w:rPr>
              <w:t>分，具有中级工程师及以上职称加</w:t>
            </w:r>
            <w:r w:rsidRPr="00501176">
              <w:rPr>
                <w:rFonts w:hint="eastAsia"/>
                <w:sz w:val="20"/>
              </w:rPr>
              <w:t>1</w:t>
            </w:r>
            <w:r w:rsidRPr="00501176">
              <w:rPr>
                <w:rFonts w:hint="eastAsia"/>
                <w:sz w:val="20"/>
              </w:rPr>
              <w:t>分，本项最多得</w:t>
            </w:r>
            <w:r w:rsidRPr="00501176">
              <w:rPr>
                <w:rFonts w:hint="eastAsia"/>
                <w:sz w:val="20"/>
              </w:rPr>
              <w:t>4</w:t>
            </w:r>
            <w:r w:rsidRPr="00501176">
              <w:rPr>
                <w:rFonts w:hint="eastAsia"/>
                <w:sz w:val="20"/>
              </w:rPr>
              <w:t>分。</w:t>
            </w:r>
          </w:p>
        </w:tc>
        <w:tc>
          <w:tcPr>
            <w:tcW w:w="992"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 xml:space="preserve">　</w:t>
            </w:r>
          </w:p>
        </w:tc>
      </w:tr>
      <w:tr w:rsidR="00501176" w:rsidRPr="00501176" w:rsidTr="00501176">
        <w:trPr>
          <w:trHeight w:val="2967"/>
        </w:trPr>
        <w:tc>
          <w:tcPr>
            <w:tcW w:w="426" w:type="dxa"/>
            <w:vMerge/>
            <w:tcBorders>
              <w:left w:val="single" w:sz="4" w:space="0" w:color="auto"/>
              <w:bottom w:val="single" w:sz="4" w:space="0" w:color="auto"/>
              <w:right w:val="single" w:sz="4" w:space="0" w:color="auto"/>
            </w:tcBorders>
            <w:vAlign w:val="center"/>
          </w:tcPr>
          <w:p w:rsidR="00501176" w:rsidRPr="00501176" w:rsidRDefault="00501176" w:rsidP="00501176">
            <w:pPr>
              <w:rPr>
                <w:sz w:val="20"/>
              </w:rPr>
            </w:pPr>
          </w:p>
        </w:tc>
        <w:tc>
          <w:tcPr>
            <w:tcW w:w="992" w:type="dxa"/>
            <w:tcBorders>
              <w:top w:val="nil"/>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专业人员配备情况</w:t>
            </w:r>
            <w:r w:rsidRPr="00501176">
              <w:rPr>
                <w:rFonts w:hint="eastAsia"/>
                <w:sz w:val="20"/>
              </w:rPr>
              <w:t>10%</w:t>
            </w:r>
          </w:p>
        </w:tc>
        <w:tc>
          <w:tcPr>
            <w:tcW w:w="567" w:type="dxa"/>
            <w:tcBorders>
              <w:top w:val="nil"/>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10</w:t>
            </w:r>
          </w:p>
        </w:tc>
        <w:tc>
          <w:tcPr>
            <w:tcW w:w="6662" w:type="dxa"/>
            <w:tcBorders>
              <w:top w:val="nil"/>
              <w:left w:val="nil"/>
              <w:bottom w:val="single" w:sz="4" w:space="0" w:color="auto"/>
              <w:right w:val="single" w:sz="4" w:space="0" w:color="auto"/>
            </w:tcBorders>
            <w:vAlign w:val="center"/>
          </w:tcPr>
          <w:p w:rsidR="00501176" w:rsidRPr="00501176" w:rsidRDefault="00501176" w:rsidP="00501176">
            <w:pPr>
              <w:rPr>
                <w:sz w:val="20"/>
              </w:rPr>
            </w:pPr>
            <w:r w:rsidRPr="00501176">
              <w:rPr>
                <w:sz w:val="20"/>
              </w:rPr>
              <w:t>1</w:t>
            </w:r>
            <w:r w:rsidRPr="00501176">
              <w:rPr>
                <w:sz w:val="20"/>
              </w:rPr>
              <w:t>、专业监理工程师（</w:t>
            </w:r>
            <w:r w:rsidRPr="00501176">
              <w:rPr>
                <w:sz w:val="20"/>
              </w:rPr>
              <w:t>1</w:t>
            </w:r>
            <w:r w:rsidRPr="00501176">
              <w:rPr>
                <w:sz w:val="20"/>
              </w:rPr>
              <w:t>名）：具有全国注册监理工程师（注册专业为房屋建筑工程）的得</w:t>
            </w:r>
            <w:r w:rsidRPr="00501176">
              <w:rPr>
                <w:rFonts w:hint="eastAsia"/>
                <w:sz w:val="20"/>
              </w:rPr>
              <w:t>2</w:t>
            </w:r>
            <w:r w:rsidRPr="00501176">
              <w:rPr>
                <w:sz w:val="20"/>
              </w:rPr>
              <w:t>分；</w:t>
            </w:r>
          </w:p>
          <w:p w:rsidR="00501176" w:rsidRPr="00501176" w:rsidRDefault="00501176" w:rsidP="00501176">
            <w:pPr>
              <w:rPr>
                <w:sz w:val="20"/>
              </w:rPr>
            </w:pPr>
            <w:r w:rsidRPr="00501176">
              <w:rPr>
                <w:sz w:val="20"/>
              </w:rPr>
              <w:t>2</w:t>
            </w:r>
            <w:r w:rsidRPr="00501176">
              <w:rPr>
                <w:sz w:val="20"/>
              </w:rPr>
              <w:t>、造价专业监理工程师（</w:t>
            </w:r>
            <w:r w:rsidRPr="00501176">
              <w:rPr>
                <w:sz w:val="20"/>
              </w:rPr>
              <w:t>1</w:t>
            </w:r>
            <w:r w:rsidRPr="00501176">
              <w:rPr>
                <w:sz w:val="20"/>
              </w:rPr>
              <w:t>名）：具有全国注册</w:t>
            </w:r>
            <w:r w:rsidRPr="00501176">
              <w:rPr>
                <w:rFonts w:hint="eastAsia"/>
                <w:sz w:val="20"/>
              </w:rPr>
              <w:t>造价</w:t>
            </w:r>
            <w:r w:rsidRPr="00501176">
              <w:rPr>
                <w:sz w:val="20"/>
              </w:rPr>
              <w:t>工程师（</w:t>
            </w:r>
            <w:r w:rsidRPr="00501176">
              <w:rPr>
                <w:rFonts w:hint="eastAsia"/>
                <w:sz w:val="20"/>
              </w:rPr>
              <w:t>土建专业</w:t>
            </w:r>
            <w:r w:rsidRPr="00501176">
              <w:rPr>
                <w:sz w:val="20"/>
              </w:rPr>
              <w:t>）的得</w:t>
            </w:r>
            <w:r w:rsidRPr="00501176">
              <w:rPr>
                <w:rFonts w:hint="eastAsia"/>
                <w:sz w:val="20"/>
              </w:rPr>
              <w:t>2</w:t>
            </w:r>
            <w:r w:rsidRPr="00501176">
              <w:rPr>
                <w:sz w:val="20"/>
              </w:rPr>
              <w:t>分</w:t>
            </w:r>
            <w:r w:rsidRPr="00501176">
              <w:rPr>
                <w:rFonts w:hint="eastAsia"/>
                <w:sz w:val="20"/>
              </w:rPr>
              <w:t>；</w:t>
            </w:r>
          </w:p>
          <w:p w:rsidR="00501176" w:rsidRPr="00501176" w:rsidRDefault="00501176" w:rsidP="00501176">
            <w:pPr>
              <w:rPr>
                <w:sz w:val="20"/>
              </w:rPr>
            </w:pPr>
            <w:r w:rsidRPr="00501176">
              <w:rPr>
                <w:sz w:val="20"/>
              </w:rPr>
              <w:t>3</w:t>
            </w:r>
            <w:r w:rsidRPr="00501176">
              <w:rPr>
                <w:sz w:val="20"/>
              </w:rPr>
              <w:t>、安全专业监理工程师（</w:t>
            </w:r>
            <w:r w:rsidRPr="00501176">
              <w:rPr>
                <w:rFonts w:hint="eastAsia"/>
                <w:sz w:val="20"/>
              </w:rPr>
              <w:t>1</w:t>
            </w:r>
            <w:r w:rsidRPr="00501176">
              <w:rPr>
                <w:sz w:val="20"/>
              </w:rPr>
              <w:t>名）：</w:t>
            </w:r>
            <w:proofErr w:type="gramStart"/>
            <w:r w:rsidRPr="00501176">
              <w:rPr>
                <w:rFonts w:hint="eastAsia"/>
                <w:sz w:val="20"/>
              </w:rPr>
              <w:t>每具有</w:t>
            </w:r>
            <w:proofErr w:type="gramEnd"/>
            <w:r w:rsidRPr="00501176">
              <w:rPr>
                <w:sz w:val="20"/>
              </w:rPr>
              <w:t xml:space="preserve"> 1 </w:t>
            </w:r>
            <w:r w:rsidRPr="00501176">
              <w:rPr>
                <w:sz w:val="20"/>
              </w:rPr>
              <w:t>名全国注册安</w:t>
            </w:r>
            <w:r w:rsidRPr="00501176">
              <w:rPr>
                <w:rFonts w:hint="eastAsia"/>
                <w:sz w:val="20"/>
              </w:rPr>
              <w:t>全工程师（建筑施工安全）的</w:t>
            </w:r>
            <w:r w:rsidRPr="00501176">
              <w:rPr>
                <w:sz w:val="20"/>
              </w:rPr>
              <w:t>得</w:t>
            </w:r>
            <w:r w:rsidRPr="00501176">
              <w:rPr>
                <w:rFonts w:hint="eastAsia"/>
                <w:sz w:val="20"/>
              </w:rPr>
              <w:t>2</w:t>
            </w:r>
            <w:r w:rsidRPr="00501176">
              <w:rPr>
                <w:sz w:val="20"/>
              </w:rPr>
              <w:t>分</w:t>
            </w:r>
            <w:r w:rsidRPr="00501176">
              <w:rPr>
                <w:rFonts w:hint="eastAsia"/>
                <w:sz w:val="20"/>
              </w:rPr>
              <w:t>。</w:t>
            </w:r>
          </w:p>
          <w:p w:rsidR="00501176" w:rsidRPr="00501176" w:rsidRDefault="00501176" w:rsidP="00501176">
            <w:pPr>
              <w:rPr>
                <w:sz w:val="20"/>
              </w:rPr>
            </w:pPr>
            <w:r w:rsidRPr="00501176">
              <w:rPr>
                <w:sz w:val="20"/>
              </w:rPr>
              <w:t>4</w:t>
            </w:r>
            <w:r w:rsidRPr="00501176">
              <w:rPr>
                <w:sz w:val="20"/>
              </w:rPr>
              <w:t>、监理员（</w:t>
            </w:r>
            <w:r w:rsidRPr="00501176">
              <w:rPr>
                <w:sz w:val="20"/>
              </w:rPr>
              <w:t>2</w:t>
            </w:r>
            <w:r w:rsidRPr="00501176">
              <w:rPr>
                <w:sz w:val="20"/>
              </w:rPr>
              <w:t>名）：具有四川省监理从业证明材料的，得</w:t>
            </w:r>
            <w:r w:rsidRPr="00501176">
              <w:rPr>
                <w:sz w:val="20"/>
              </w:rPr>
              <w:t>2</w:t>
            </w:r>
            <w:r w:rsidRPr="00501176">
              <w:rPr>
                <w:sz w:val="20"/>
              </w:rPr>
              <w:t>分。本项目满分</w:t>
            </w:r>
            <w:r w:rsidRPr="00501176">
              <w:rPr>
                <w:sz w:val="20"/>
              </w:rPr>
              <w:t>4</w:t>
            </w:r>
            <w:r w:rsidRPr="00501176">
              <w:rPr>
                <w:sz w:val="20"/>
              </w:rPr>
              <w:t>分。</w:t>
            </w:r>
          </w:p>
          <w:p w:rsidR="00501176" w:rsidRPr="00501176" w:rsidRDefault="00501176" w:rsidP="00501176">
            <w:pPr>
              <w:rPr>
                <w:sz w:val="20"/>
              </w:rPr>
            </w:pPr>
            <w:r w:rsidRPr="00501176">
              <w:rPr>
                <w:rFonts w:hint="eastAsia"/>
                <w:sz w:val="20"/>
              </w:rPr>
              <w:t>说明：磋商申请人为本项目配置的人员应为本单位的人员，须提供相应有效的身份证、注册证书或资格证书、职称证书（如有），并加盖磋商申请人公章，以上资料不提供不得分。</w:t>
            </w:r>
          </w:p>
        </w:tc>
        <w:tc>
          <w:tcPr>
            <w:tcW w:w="992" w:type="dxa"/>
            <w:tcBorders>
              <w:top w:val="nil"/>
              <w:left w:val="nil"/>
              <w:bottom w:val="single" w:sz="4" w:space="0" w:color="auto"/>
              <w:right w:val="single" w:sz="4" w:space="0" w:color="auto"/>
            </w:tcBorders>
            <w:vAlign w:val="center"/>
          </w:tcPr>
          <w:p w:rsidR="00501176" w:rsidRPr="00501176" w:rsidRDefault="00501176" w:rsidP="00501176">
            <w:pPr>
              <w:rPr>
                <w:sz w:val="20"/>
              </w:rPr>
            </w:pPr>
          </w:p>
        </w:tc>
      </w:tr>
    </w:tbl>
    <w:p w:rsidR="00501176" w:rsidRDefault="00501176" w:rsidP="00501176">
      <w:pPr>
        <w:pStyle w:val="a5"/>
        <w:spacing w:line="360" w:lineRule="auto"/>
        <w:ind w:left="780" w:firstLineChars="0" w:firstLine="0"/>
        <w:rPr>
          <w:b/>
        </w:rPr>
      </w:pPr>
      <w:r>
        <w:rPr>
          <w:b/>
        </w:rPr>
        <w:t>现</w:t>
      </w:r>
      <w:r>
        <w:rPr>
          <w:rFonts w:hint="eastAsia"/>
          <w:b/>
        </w:rPr>
        <w:t>更正</w:t>
      </w:r>
      <w:r w:rsidRPr="00501176">
        <w:rPr>
          <w:b/>
        </w:rPr>
        <w:t>为</w:t>
      </w:r>
    </w:p>
    <w:p w:rsidR="00501176" w:rsidRDefault="00501176">
      <w:pPr>
        <w:widowControl/>
        <w:jc w:val="left"/>
        <w:rPr>
          <w:b/>
        </w:rPr>
      </w:pPr>
      <w:r>
        <w:rPr>
          <w:b/>
        </w:rPr>
        <w:br w:type="page"/>
      </w:r>
    </w:p>
    <w:tbl>
      <w:tblPr>
        <w:tblW w:w="9639" w:type="dxa"/>
        <w:tblInd w:w="108" w:type="dxa"/>
        <w:tblLook w:val="0000" w:firstRow="0" w:lastRow="0" w:firstColumn="0" w:lastColumn="0" w:noHBand="0" w:noVBand="0"/>
      </w:tblPr>
      <w:tblGrid>
        <w:gridCol w:w="602"/>
        <w:gridCol w:w="1099"/>
        <w:gridCol w:w="426"/>
        <w:gridCol w:w="6520"/>
        <w:gridCol w:w="992"/>
      </w:tblGrid>
      <w:tr w:rsidR="00501176" w:rsidRPr="00501176" w:rsidTr="00501176">
        <w:trPr>
          <w:trHeight w:val="544"/>
        </w:trPr>
        <w:tc>
          <w:tcPr>
            <w:tcW w:w="602" w:type="dxa"/>
            <w:vMerge w:val="restart"/>
            <w:tcBorders>
              <w:top w:val="single" w:sz="4" w:space="0" w:color="auto"/>
              <w:left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lastRenderedPageBreak/>
              <w:t>3</w:t>
            </w:r>
          </w:p>
        </w:tc>
        <w:tc>
          <w:tcPr>
            <w:tcW w:w="1099"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项目负责人资质、能力</w:t>
            </w:r>
            <w:r w:rsidRPr="00501176">
              <w:rPr>
                <w:rFonts w:hint="eastAsia"/>
                <w:sz w:val="20"/>
              </w:rPr>
              <w:t>5%</w:t>
            </w:r>
          </w:p>
        </w:tc>
        <w:tc>
          <w:tcPr>
            <w:tcW w:w="426"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5</w:t>
            </w:r>
          </w:p>
        </w:tc>
        <w:tc>
          <w:tcPr>
            <w:tcW w:w="6520"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总监理工程师：具有全国注册监理工程师（注册专业为房屋建筑工程）资格得</w:t>
            </w:r>
            <w:r w:rsidRPr="00501176">
              <w:rPr>
                <w:rFonts w:hint="eastAsia"/>
                <w:sz w:val="20"/>
              </w:rPr>
              <w:t>4</w:t>
            </w:r>
            <w:r w:rsidRPr="00501176">
              <w:rPr>
                <w:rFonts w:hint="eastAsia"/>
                <w:sz w:val="20"/>
              </w:rPr>
              <w:t>分，具有中级工程师及以上职称加</w:t>
            </w:r>
            <w:r w:rsidRPr="00501176">
              <w:rPr>
                <w:rFonts w:hint="eastAsia"/>
                <w:sz w:val="20"/>
              </w:rPr>
              <w:t>1</w:t>
            </w:r>
            <w:r w:rsidRPr="00501176">
              <w:rPr>
                <w:rFonts w:hint="eastAsia"/>
                <w:sz w:val="20"/>
              </w:rPr>
              <w:t>分，本项最多得</w:t>
            </w:r>
            <w:r w:rsidRPr="00501176">
              <w:rPr>
                <w:rFonts w:hint="eastAsia"/>
                <w:sz w:val="20"/>
              </w:rPr>
              <w:t>5</w:t>
            </w:r>
            <w:r w:rsidRPr="00501176">
              <w:rPr>
                <w:rFonts w:hint="eastAsia"/>
                <w:sz w:val="20"/>
              </w:rPr>
              <w:t>分。</w:t>
            </w:r>
          </w:p>
        </w:tc>
        <w:tc>
          <w:tcPr>
            <w:tcW w:w="992"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 xml:space="preserve">　</w:t>
            </w:r>
          </w:p>
        </w:tc>
      </w:tr>
      <w:tr w:rsidR="00501176" w:rsidRPr="00501176" w:rsidTr="00501176">
        <w:trPr>
          <w:trHeight w:val="2713"/>
        </w:trPr>
        <w:tc>
          <w:tcPr>
            <w:tcW w:w="602" w:type="dxa"/>
            <w:vMerge/>
            <w:tcBorders>
              <w:left w:val="single" w:sz="4" w:space="0" w:color="auto"/>
              <w:bottom w:val="single" w:sz="4" w:space="0" w:color="auto"/>
              <w:right w:val="single" w:sz="4" w:space="0" w:color="auto"/>
            </w:tcBorders>
            <w:vAlign w:val="center"/>
          </w:tcPr>
          <w:p w:rsidR="00501176" w:rsidRPr="00501176" w:rsidRDefault="00501176" w:rsidP="00501176">
            <w:pPr>
              <w:rPr>
                <w:sz w:val="20"/>
              </w:rPr>
            </w:pPr>
          </w:p>
        </w:tc>
        <w:tc>
          <w:tcPr>
            <w:tcW w:w="1099" w:type="dxa"/>
            <w:tcBorders>
              <w:top w:val="nil"/>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专业人员配备情况</w:t>
            </w:r>
            <w:r w:rsidRPr="00501176">
              <w:rPr>
                <w:rFonts w:hint="eastAsia"/>
                <w:sz w:val="20"/>
              </w:rPr>
              <w:t>20%</w:t>
            </w:r>
          </w:p>
        </w:tc>
        <w:tc>
          <w:tcPr>
            <w:tcW w:w="426" w:type="dxa"/>
            <w:tcBorders>
              <w:top w:val="nil"/>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21</w:t>
            </w:r>
          </w:p>
        </w:tc>
        <w:tc>
          <w:tcPr>
            <w:tcW w:w="6520" w:type="dxa"/>
            <w:tcBorders>
              <w:top w:val="nil"/>
              <w:left w:val="nil"/>
              <w:bottom w:val="single" w:sz="4" w:space="0" w:color="auto"/>
              <w:right w:val="single" w:sz="4" w:space="0" w:color="auto"/>
            </w:tcBorders>
            <w:vAlign w:val="center"/>
          </w:tcPr>
          <w:p w:rsidR="00501176" w:rsidRPr="00501176" w:rsidRDefault="00501176" w:rsidP="00501176">
            <w:pPr>
              <w:rPr>
                <w:sz w:val="20"/>
              </w:rPr>
            </w:pPr>
            <w:r w:rsidRPr="00501176">
              <w:rPr>
                <w:sz w:val="20"/>
              </w:rPr>
              <w:t>1</w:t>
            </w:r>
            <w:r w:rsidRPr="00501176">
              <w:rPr>
                <w:sz w:val="20"/>
              </w:rPr>
              <w:t>、专业监理工程师（</w:t>
            </w:r>
            <w:r w:rsidRPr="00501176">
              <w:rPr>
                <w:rFonts w:hint="eastAsia"/>
                <w:sz w:val="20"/>
              </w:rPr>
              <w:t>2</w:t>
            </w:r>
            <w:r w:rsidRPr="00501176">
              <w:rPr>
                <w:sz w:val="20"/>
              </w:rPr>
              <w:t>名）：</w:t>
            </w:r>
            <w:proofErr w:type="gramStart"/>
            <w:r w:rsidRPr="00501176">
              <w:rPr>
                <w:rFonts w:hint="eastAsia"/>
                <w:sz w:val="20"/>
              </w:rPr>
              <w:t>每</w:t>
            </w:r>
            <w:r w:rsidRPr="00501176">
              <w:rPr>
                <w:sz w:val="20"/>
              </w:rPr>
              <w:t>具有</w:t>
            </w:r>
            <w:proofErr w:type="gramEnd"/>
            <w:r w:rsidRPr="00501176">
              <w:rPr>
                <w:rFonts w:hint="eastAsia"/>
                <w:sz w:val="20"/>
              </w:rPr>
              <w:t>1</w:t>
            </w:r>
            <w:r w:rsidRPr="00501176">
              <w:rPr>
                <w:rFonts w:hint="eastAsia"/>
                <w:sz w:val="20"/>
              </w:rPr>
              <w:t>名</w:t>
            </w:r>
            <w:r w:rsidRPr="00501176">
              <w:rPr>
                <w:sz w:val="20"/>
              </w:rPr>
              <w:t>全国注册监理工程师（注册专业为房屋建筑工程）的得</w:t>
            </w:r>
            <w:r w:rsidRPr="00501176">
              <w:rPr>
                <w:rFonts w:hint="eastAsia"/>
                <w:sz w:val="20"/>
              </w:rPr>
              <w:t>4</w:t>
            </w:r>
            <w:r w:rsidRPr="00501176">
              <w:rPr>
                <w:sz w:val="20"/>
              </w:rPr>
              <w:t>分</w:t>
            </w:r>
            <w:r w:rsidRPr="00501176">
              <w:rPr>
                <w:rFonts w:hint="eastAsia"/>
                <w:sz w:val="20"/>
              </w:rPr>
              <w:t>，</w:t>
            </w:r>
            <w:r w:rsidRPr="00501176">
              <w:rPr>
                <w:sz w:val="20"/>
              </w:rPr>
              <w:t>本项最多得</w:t>
            </w:r>
            <w:r w:rsidRPr="00501176">
              <w:rPr>
                <w:rFonts w:hint="eastAsia"/>
                <w:sz w:val="20"/>
              </w:rPr>
              <w:t>8</w:t>
            </w:r>
            <w:r w:rsidRPr="00501176">
              <w:rPr>
                <w:rFonts w:hint="eastAsia"/>
                <w:sz w:val="20"/>
              </w:rPr>
              <w:t>分</w:t>
            </w:r>
            <w:r w:rsidRPr="00501176">
              <w:rPr>
                <w:sz w:val="20"/>
              </w:rPr>
              <w:t>；</w:t>
            </w:r>
          </w:p>
          <w:p w:rsidR="00501176" w:rsidRPr="00501176" w:rsidRDefault="00501176" w:rsidP="00501176">
            <w:pPr>
              <w:rPr>
                <w:sz w:val="20"/>
              </w:rPr>
            </w:pPr>
            <w:r w:rsidRPr="00501176">
              <w:rPr>
                <w:sz w:val="20"/>
              </w:rPr>
              <w:t>2</w:t>
            </w:r>
            <w:r w:rsidRPr="00501176">
              <w:rPr>
                <w:sz w:val="20"/>
              </w:rPr>
              <w:t>、造价专业监理工程师（</w:t>
            </w:r>
            <w:r w:rsidRPr="00501176">
              <w:rPr>
                <w:sz w:val="20"/>
              </w:rPr>
              <w:t>1</w:t>
            </w:r>
            <w:r w:rsidRPr="00501176">
              <w:rPr>
                <w:sz w:val="20"/>
              </w:rPr>
              <w:t>名）：具有全国注册</w:t>
            </w:r>
            <w:r w:rsidRPr="00501176">
              <w:rPr>
                <w:rFonts w:hint="eastAsia"/>
                <w:sz w:val="20"/>
              </w:rPr>
              <w:t>造价</w:t>
            </w:r>
            <w:r w:rsidRPr="00501176">
              <w:rPr>
                <w:sz w:val="20"/>
              </w:rPr>
              <w:t>工程师（</w:t>
            </w:r>
            <w:r w:rsidRPr="00501176">
              <w:rPr>
                <w:rFonts w:hint="eastAsia"/>
                <w:sz w:val="20"/>
              </w:rPr>
              <w:t>土建专业</w:t>
            </w:r>
            <w:r w:rsidRPr="00501176">
              <w:rPr>
                <w:sz w:val="20"/>
              </w:rPr>
              <w:t>）的得</w:t>
            </w:r>
            <w:r w:rsidRPr="00501176">
              <w:rPr>
                <w:rFonts w:hint="eastAsia"/>
                <w:sz w:val="20"/>
              </w:rPr>
              <w:t>4</w:t>
            </w:r>
            <w:r w:rsidRPr="00501176">
              <w:rPr>
                <w:sz w:val="20"/>
              </w:rPr>
              <w:t>分</w:t>
            </w:r>
            <w:r w:rsidRPr="00501176">
              <w:rPr>
                <w:rFonts w:hint="eastAsia"/>
                <w:sz w:val="20"/>
              </w:rPr>
              <w:t>；</w:t>
            </w:r>
          </w:p>
          <w:p w:rsidR="00501176" w:rsidRPr="00501176" w:rsidRDefault="00501176" w:rsidP="00501176">
            <w:pPr>
              <w:rPr>
                <w:sz w:val="20"/>
              </w:rPr>
            </w:pPr>
            <w:r w:rsidRPr="00501176">
              <w:rPr>
                <w:rFonts w:hint="eastAsia"/>
                <w:sz w:val="20"/>
              </w:rPr>
              <w:t>3</w:t>
            </w:r>
            <w:r w:rsidRPr="00501176">
              <w:rPr>
                <w:sz w:val="20"/>
              </w:rPr>
              <w:t>、监理员（</w:t>
            </w:r>
            <w:r w:rsidRPr="00501176">
              <w:rPr>
                <w:rFonts w:hint="eastAsia"/>
                <w:sz w:val="20"/>
              </w:rPr>
              <w:t>3</w:t>
            </w:r>
            <w:r w:rsidRPr="00501176">
              <w:rPr>
                <w:sz w:val="20"/>
              </w:rPr>
              <w:t>名）：具有四川省监理从业证明材料的，得</w:t>
            </w:r>
            <w:r w:rsidRPr="00501176">
              <w:rPr>
                <w:rFonts w:hint="eastAsia"/>
                <w:sz w:val="20"/>
              </w:rPr>
              <w:t>3</w:t>
            </w:r>
            <w:r w:rsidRPr="00501176">
              <w:rPr>
                <w:sz w:val="20"/>
              </w:rPr>
              <w:t>分。本项目满分</w:t>
            </w:r>
            <w:r w:rsidRPr="00501176">
              <w:rPr>
                <w:rFonts w:hint="eastAsia"/>
                <w:sz w:val="20"/>
              </w:rPr>
              <w:t>9</w:t>
            </w:r>
            <w:r w:rsidRPr="00501176">
              <w:rPr>
                <w:sz w:val="20"/>
              </w:rPr>
              <w:t>分。</w:t>
            </w:r>
          </w:p>
          <w:p w:rsidR="00501176" w:rsidRPr="00501176" w:rsidRDefault="00501176" w:rsidP="00501176">
            <w:pPr>
              <w:rPr>
                <w:sz w:val="20"/>
              </w:rPr>
            </w:pPr>
            <w:r w:rsidRPr="00501176">
              <w:rPr>
                <w:rFonts w:hint="eastAsia"/>
                <w:sz w:val="20"/>
              </w:rPr>
              <w:t>说明：磋商申请人为本项目配置的人员应为本单位的人员，须提供相应有效的身份证、注册证书或资格证书、职称证书（如有），并加盖磋商申请人公章，以上资料不提供不得分。</w:t>
            </w:r>
          </w:p>
        </w:tc>
        <w:tc>
          <w:tcPr>
            <w:tcW w:w="992" w:type="dxa"/>
            <w:tcBorders>
              <w:top w:val="nil"/>
              <w:left w:val="nil"/>
              <w:bottom w:val="single" w:sz="4" w:space="0" w:color="auto"/>
              <w:right w:val="single" w:sz="4" w:space="0" w:color="auto"/>
            </w:tcBorders>
            <w:vAlign w:val="center"/>
          </w:tcPr>
          <w:p w:rsidR="00501176" w:rsidRPr="00501176" w:rsidRDefault="00501176" w:rsidP="00501176">
            <w:pPr>
              <w:rPr>
                <w:sz w:val="20"/>
              </w:rPr>
            </w:pPr>
          </w:p>
        </w:tc>
      </w:tr>
    </w:tbl>
    <w:p w:rsidR="00501176" w:rsidRPr="00E63243" w:rsidRDefault="00501176" w:rsidP="00501176">
      <w:pPr>
        <w:pStyle w:val="a5"/>
        <w:numPr>
          <w:ilvl w:val="0"/>
          <w:numId w:val="1"/>
        </w:numPr>
        <w:spacing w:line="360" w:lineRule="auto"/>
        <w:ind w:firstLineChars="0"/>
        <w:rPr>
          <w:b/>
        </w:rPr>
      </w:pPr>
      <w:r w:rsidRPr="00E63243">
        <w:rPr>
          <w:rFonts w:hint="eastAsia"/>
          <w:b/>
        </w:rPr>
        <w:t>原竞争性磋商文件中第八章</w:t>
      </w:r>
      <w:r w:rsidRPr="00E63243">
        <w:rPr>
          <w:rFonts w:hint="eastAsia"/>
          <w:b/>
        </w:rPr>
        <w:t xml:space="preserve"> </w:t>
      </w:r>
      <w:r w:rsidRPr="00E63243">
        <w:rPr>
          <w:rFonts w:hint="eastAsia"/>
          <w:b/>
        </w:rPr>
        <w:t>评审办法</w:t>
      </w:r>
      <w:r w:rsidRPr="00E63243">
        <w:rPr>
          <w:rFonts w:hint="eastAsia"/>
          <w:b/>
        </w:rPr>
        <w:t xml:space="preserve"> 3.3.2</w:t>
      </w:r>
      <w:r w:rsidRPr="00E63243">
        <w:rPr>
          <w:rFonts w:hint="eastAsia"/>
          <w:b/>
        </w:rPr>
        <w:t>综合评分明细表中</w:t>
      </w:r>
      <w:r w:rsidRPr="00E63243">
        <w:rPr>
          <w:rFonts w:hint="eastAsia"/>
          <w:b/>
        </w:rPr>
        <w:t xml:space="preserve"> 4 </w:t>
      </w:r>
      <w:r w:rsidRPr="00E63243">
        <w:rPr>
          <w:rFonts w:hint="eastAsia"/>
          <w:b/>
        </w:rPr>
        <w:t>服务方案</w:t>
      </w:r>
    </w:p>
    <w:tbl>
      <w:tblPr>
        <w:tblW w:w="9639" w:type="dxa"/>
        <w:tblInd w:w="108" w:type="dxa"/>
        <w:tblLook w:val="0000" w:firstRow="0" w:lastRow="0" w:firstColumn="0" w:lastColumn="0" w:noHBand="0" w:noVBand="0"/>
      </w:tblPr>
      <w:tblGrid>
        <w:gridCol w:w="587"/>
        <w:gridCol w:w="1114"/>
        <w:gridCol w:w="485"/>
        <w:gridCol w:w="6461"/>
        <w:gridCol w:w="992"/>
      </w:tblGrid>
      <w:tr w:rsidR="00501176" w:rsidRPr="00501176" w:rsidTr="00501176">
        <w:trPr>
          <w:trHeight w:val="1575"/>
        </w:trPr>
        <w:tc>
          <w:tcPr>
            <w:tcW w:w="587" w:type="dxa"/>
            <w:tcBorders>
              <w:top w:val="single" w:sz="4" w:space="0" w:color="auto"/>
              <w:left w:val="single" w:sz="4" w:space="0" w:color="auto"/>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4</w:t>
            </w:r>
          </w:p>
        </w:tc>
        <w:tc>
          <w:tcPr>
            <w:tcW w:w="1114"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服务方案</w:t>
            </w:r>
          </w:p>
          <w:p w:rsidR="00501176" w:rsidRPr="00501176" w:rsidRDefault="00501176" w:rsidP="00501176">
            <w:pPr>
              <w:rPr>
                <w:sz w:val="20"/>
              </w:rPr>
            </w:pPr>
            <w:r w:rsidRPr="00501176">
              <w:rPr>
                <w:rFonts w:hint="eastAsia"/>
                <w:sz w:val="20"/>
              </w:rPr>
              <w:t>60%</w:t>
            </w:r>
          </w:p>
        </w:tc>
        <w:tc>
          <w:tcPr>
            <w:tcW w:w="485"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60</w:t>
            </w:r>
          </w:p>
        </w:tc>
        <w:tc>
          <w:tcPr>
            <w:tcW w:w="6461"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服务方案应全面、详细、有针对性、符合项目现状实际。监理大纲应包括但不限于以下内容</w:t>
            </w:r>
            <w:r w:rsidRPr="00501176">
              <w:rPr>
                <w:sz w:val="20"/>
              </w:rPr>
              <w:t>:</w:t>
            </w:r>
          </w:p>
          <w:p w:rsidR="00501176" w:rsidRPr="00501176" w:rsidRDefault="00501176" w:rsidP="00501176">
            <w:pPr>
              <w:rPr>
                <w:sz w:val="20"/>
              </w:rPr>
            </w:pPr>
            <w:r w:rsidRPr="00501176">
              <w:rPr>
                <w:sz w:val="20"/>
              </w:rPr>
              <w:t>1</w:t>
            </w:r>
            <w:r w:rsidRPr="00501176">
              <w:rPr>
                <w:sz w:val="20"/>
              </w:rPr>
              <w:t>、质量控制措施：供应商针对监理质量控制措施（包含但不限于：</w:t>
            </w:r>
            <w:r w:rsidRPr="00501176">
              <w:rPr>
                <w:sz w:val="20"/>
              </w:rPr>
              <w:t>①</w:t>
            </w:r>
            <w:r w:rsidRPr="00501176">
              <w:rPr>
                <w:sz w:val="20"/>
              </w:rPr>
              <w:t>监理质量控制目标</w:t>
            </w:r>
            <w:r w:rsidRPr="00501176">
              <w:rPr>
                <w:sz w:val="20"/>
              </w:rPr>
              <w:t xml:space="preserve"> ②</w:t>
            </w:r>
            <w:r w:rsidRPr="00501176">
              <w:rPr>
                <w:sz w:val="20"/>
              </w:rPr>
              <w:t>监理质量控制方法和内容</w:t>
            </w:r>
            <w:r w:rsidRPr="00501176">
              <w:rPr>
                <w:sz w:val="20"/>
              </w:rPr>
              <w:t>③</w:t>
            </w:r>
            <w:r w:rsidRPr="00501176">
              <w:rPr>
                <w:sz w:val="20"/>
              </w:rPr>
              <w:t>监理质量控制措施）等进行描述，</w:t>
            </w:r>
            <w:r w:rsidRPr="00501176">
              <w:rPr>
                <w:rFonts w:hint="eastAsia"/>
                <w:sz w:val="20"/>
              </w:rPr>
              <w:t>完全满足上诉要求的得</w:t>
            </w:r>
            <w:r w:rsidRPr="00501176">
              <w:rPr>
                <w:rFonts w:hint="eastAsia"/>
                <w:sz w:val="20"/>
              </w:rPr>
              <w:t>12</w:t>
            </w:r>
            <w:r w:rsidRPr="00501176">
              <w:rPr>
                <w:sz w:val="20"/>
              </w:rPr>
              <w:t>分，每缺少一项扣</w:t>
            </w:r>
            <w:r w:rsidRPr="00501176">
              <w:rPr>
                <w:rFonts w:hint="eastAsia"/>
                <w:sz w:val="20"/>
              </w:rPr>
              <w:t>4</w:t>
            </w:r>
            <w:r w:rsidRPr="00501176">
              <w:rPr>
                <w:sz w:val="20"/>
              </w:rPr>
              <w:t>分，每有一项不满足项目要求</w:t>
            </w:r>
            <w:r w:rsidRPr="00501176">
              <w:rPr>
                <w:rFonts w:hint="eastAsia"/>
                <w:sz w:val="20"/>
              </w:rPr>
              <w:t>或不完善</w:t>
            </w:r>
            <w:r w:rsidRPr="00501176">
              <w:rPr>
                <w:sz w:val="20"/>
              </w:rPr>
              <w:t>的扣</w:t>
            </w:r>
            <w:r w:rsidRPr="00501176">
              <w:rPr>
                <w:rFonts w:hint="eastAsia"/>
                <w:sz w:val="20"/>
              </w:rPr>
              <w:t>2</w:t>
            </w:r>
            <w:r w:rsidRPr="00501176">
              <w:rPr>
                <w:sz w:val="20"/>
              </w:rPr>
              <w:t>分，扣完为止。</w:t>
            </w:r>
          </w:p>
          <w:p w:rsidR="00501176" w:rsidRPr="00501176" w:rsidRDefault="00501176" w:rsidP="00501176">
            <w:pPr>
              <w:rPr>
                <w:sz w:val="20"/>
              </w:rPr>
            </w:pPr>
            <w:r w:rsidRPr="00501176">
              <w:rPr>
                <w:sz w:val="20"/>
              </w:rPr>
              <w:t>2</w:t>
            </w:r>
            <w:r w:rsidRPr="00501176">
              <w:rPr>
                <w:sz w:val="20"/>
              </w:rPr>
              <w:t>、进度控制措施：供应商针对监理进度控制措施（包含但不限于：</w:t>
            </w:r>
            <w:r w:rsidRPr="00501176">
              <w:rPr>
                <w:sz w:val="20"/>
              </w:rPr>
              <w:t>①</w:t>
            </w:r>
            <w:r w:rsidRPr="00501176">
              <w:rPr>
                <w:sz w:val="20"/>
              </w:rPr>
              <w:t>监理进度控制目标</w:t>
            </w:r>
            <w:r w:rsidRPr="00501176">
              <w:rPr>
                <w:sz w:val="20"/>
              </w:rPr>
              <w:t>②</w:t>
            </w:r>
            <w:r w:rsidRPr="00501176">
              <w:rPr>
                <w:sz w:val="20"/>
              </w:rPr>
              <w:t>监理进度控制措施</w:t>
            </w:r>
            <w:r w:rsidRPr="00501176">
              <w:rPr>
                <w:sz w:val="20"/>
              </w:rPr>
              <w:t>③</w:t>
            </w:r>
            <w:r w:rsidRPr="00501176">
              <w:rPr>
                <w:sz w:val="20"/>
              </w:rPr>
              <w:t>监理进度控制方案）等进行描述，</w:t>
            </w:r>
            <w:r w:rsidRPr="00501176">
              <w:rPr>
                <w:rFonts w:hint="eastAsia"/>
                <w:sz w:val="20"/>
              </w:rPr>
              <w:t>完全满足上诉要求的得</w:t>
            </w:r>
            <w:r w:rsidRPr="00501176">
              <w:rPr>
                <w:rFonts w:hint="eastAsia"/>
                <w:sz w:val="20"/>
              </w:rPr>
              <w:t>12</w:t>
            </w:r>
            <w:r w:rsidRPr="00501176">
              <w:rPr>
                <w:sz w:val="20"/>
              </w:rPr>
              <w:t>分，每缺少一项扣</w:t>
            </w:r>
            <w:r w:rsidRPr="00501176">
              <w:rPr>
                <w:rFonts w:hint="eastAsia"/>
                <w:sz w:val="20"/>
              </w:rPr>
              <w:t>4</w:t>
            </w:r>
            <w:r w:rsidRPr="00501176">
              <w:rPr>
                <w:sz w:val="20"/>
              </w:rPr>
              <w:t>分，每有一项不满足项目要求</w:t>
            </w:r>
            <w:r w:rsidRPr="00501176">
              <w:rPr>
                <w:rFonts w:hint="eastAsia"/>
                <w:sz w:val="20"/>
              </w:rPr>
              <w:t>或不完善</w:t>
            </w:r>
            <w:r w:rsidRPr="00501176">
              <w:rPr>
                <w:sz w:val="20"/>
              </w:rPr>
              <w:t>的得扣</w:t>
            </w:r>
            <w:r w:rsidRPr="00501176">
              <w:rPr>
                <w:rFonts w:hint="eastAsia"/>
                <w:sz w:val="20"/>
              </w:rPr>
              <w:t>2</w:t>
            </w:r>
            <w:r w:rsidRPr="00501176">
              <w:rPr>
                <w:sz w:val="20"/>
              </w:rPr>
              <w:t>分，扣完为止。</w:t>
            </w:r>
          </w:p>
          <w:p w:rsidR="00501176" w:rsidRPr="00501176" w:rsidRDefault="00501176" w:rsidP="00501176">
            <w:pPr>
              <w:rPr>
                <w:sz w:val="20"/>
              </w:rPr>
            </w:pPr>
            <w:r w:rsidRPr="00501176">
              <w:rPr>
                <w:sz w:val="20"/>
              </w:rPr>
              <w:t>3</w:t>
            </w:r>
            <w:r w:rsidRPr="00501176">
              <w:rPr>
                <w:sz w:val="20"/>
              </w:rPr>
              <w:t>、造价控制措施：供应商针对监理造价控制措施（包含但不限于：</w:t>
            </w:r>
            <w:r w:rsidRPr="00501176">
              <w:rPr>
                <w:sz w:val="20"/>
              </w:rPr>
              <w:t>①</w:t>
            </w:r>
            <w:r w:rsidRPr="00501176">
              <w:rPr>
                <w:sz w:val="20"/>
              </w:rPr>
              <w:t>监理造价控制目标</w:t>
            </w:r>
            <w:r w:rsidRPr="00501176">
              <w:rPr>
                <w:sz w:val="20"/>
              </w:rPr>
              <w:t>②</w:t>
            </w:r>
            <w:r w:rsidRPr="00501176">
              <w:rPr>
                <w:sz w:val="20"/>
              </w:rPr>
              <w:t>监理造价控制措施</w:t>
            </w:r>
            <w:r w:rsidRPr="00501176">
              <w:rPr>
                <w:sz w:val="20"/>
              </w:rPr>
              <w:t>③</w:t>
            </w:r>
            <w:r w:rsidRPr="00501176">
              <w:rPr>
                <w:sz w:val="20"/>
              </w:rPr>
              <w:t>监理造价控制方案）等进行描述，</w:t>
            </w:r>
            <w:r w:rsidRPr="00501176">
              <w:rPr>
                <w:rFonts w:hint="eastAsia"/>
                <w:sz w:val="20"/>
              </w:rPr>
              <w:t>完全满足上诉要求的得</w:t>
            </w:r>
            <w:r w:rsidRPr="00501176">
              <w:rPr>
                <w:rFonts w:hint="eastAsia"/>
                <w:sz w:val="20"/>
              </w:rPr>
              <w:t>12</w:t>
            </w:r>
            <w:r w:rsidRPr="00501176">
              <w:rPr>
                <w:sz w:val="20"/>
              </w:rPr>
              <w:t>分，每缺少一项扣</w:t>
            </w:r>
            <w:r w:rsidRPr="00501176">
              <w:rPr>
                <w:rFonts w:hint="eastAsia"/>
                <w:sz w:val="20"/>
              </w:rPr>
              <w:t>4</w:t>
            </w:r>
            <w:r w:rsidRPr="00501176">
              <w:rPr>
                <w:sz w:val="20"/>
              </w:rPr>
              <w:t>分，每有一项不满足项目要求</w:t>
            </w:r>
            <w:r w:rsidRPr="00501176">
              <w:rPr>
                <w:rFonts w:hint="eastAsia"/>
                <w:sz w:val="20"/>
              </w:rPr>
              <w:t>或不完善</w:t>
            </w:r>
            <w:r w:rsidRPr="00501176">
              <w:rPr>
                <w:sz w:val="20"/>
              </w:rPr>
              <w:t>的得扣</w:t>
            </w:r>
            <w:r w:rsidRPr="00501176">
              <w:rPr>
                <w:rFonts w:hint="eastAsia"/>
                <w:sz w:val="20"/>
              </w:rPr>
              <w:t>2</w:t>
            </w:r>
            <w:r w:rsidRPr="00501176">
              <w:rPr>
                <w:sz w:val="20"/>
              </w:rPr>
              <w:t>分，扣完为止。</w:t>
            </w:r>
          </w:p>
          <w:p w:rsidR="00501176" w:rsidRPr="00501176" w:rsidRDefault="00501176" w:rsidP="00501176">
            <w:pPr>
              <w:rPr>
                <w:sz w:val="20"/>
              </w:rPr>
            </w:pPr>
            <w:r w:rsidRPr="00501176">
              <w:rPr>
                <w:sz w:val="20"/>
              </w:rPr>
              <w:t>4</w:t>
            </w:r>
            <w:r w:rsidRPr="00501176">
              <w:rPr>
                <w:sz w:val="20"/>
              </w:rPr>
              <w:t>、安全文明施工控制措施：供应商针对安全文明施工控制措施（包含但不限于：</w:t>
            </w:r>
            <w:r w:rsidRPr="00501176">
              <w:rPr>
                <w:sz w:val="20"/>
              </w:rPr>
              <w:t>①</w:t>
            </w:r>
            <w:r w:rsidRPr="00501176">
              <w:rPr>
                <w:sz w:val="20"/>
              </w:rPr>
              <w:t>监理安全文明施工控制措施</w:t>
            </w:r>
            <w:r w:rsidRPr="00501176">
              <w:rPr>
                <w:sz w:val="20"/>
              </w:rPr>
              <w:t>②</w:t>
            </w:r>
            <w:r w:rsidRPr="00501176">
              <w:rPr>
                <w:sz w:val="20"/>
              </w:rPr>
              <w:t>监理安全文明施工控制方案）等进行描述，</w:t>
            </w:r>
            <w:r w:rsidRPr="00501176">
              <w:rPr>
                <w:rFonts w:hint="eastAsia"/>
                <w:sz w:val="20"/>
              </w:rPr>
              <w:t>完全满足上诉要求的得</w:t>
            </w:r>
            <w:r w:rsidRPr="00501176">
              <w:rPr>
                <w:rFonts w:hint="eastAsia"/>
                <w:sz w:val="20"/>
              </w:rPr>
              <w:t>8</w:t>
            </w:r>
            <w:r w:rsidRPr="00501176">
              <w:rPr>
                <w:sz w:val="20"/>
              </w:rPr>
              <w:t>分，每缺少一项扣</w:t>
            </w:r>
            <w:r w:rsidRPr="00501176">
              <w:rPr>
                <w:rFonts w:hint="eastAsia"/>
                <w:sz w:val="20"/>
              </w:rPr>
              <w:t>4</w:t>
            </w:r>
            <w:r w:rsidRPr="00501176">
              <w:rPr>
                <w:sz w:val="20"/>
              </w:rPr>
              <w:t>分，每有一项不满足项目要求</w:t>
            </w:r>
            <w:r w:rsidRPr="00501176">
              <w:rPr>
                <w:rFonts w:hint="eastAsia"/>
                <w:sz w:val="20"/>
              </w:rPr>
              <w:t>或不完善</w:t>
            </w:r>
            <w:r w:rsidRPr="00501176">
              <w:rPr>
                <w:sz w:val="20"/>
              </w:rPr>
              <w:t>的得扣</w:t>
            </w:r>
            <w:r w:rsidRPr="00501176">
              <w:rPr>
                <w:rFonts w:hint="eastAsia"/>
                <w:sz w:val="20"/>
              </w:rPr>
              <w:t>2</w:t>
            </w:r>
            <w:r w:rsidRPr="00501176">
              <w:rPr>
                <w:rFonts w:hint="eastAsia"/>
                <w:sz w:val="20"/>
              </w:rPr>
              <w:t>分</w:t>
            </w:r>
            <w:r w:rsidRPr="00501176">
              <w:rPr>
                <w:sz w:val="20"/>
              </w:rPr>
              <w:t>，扣完为止。</w:t>
            </w:r>
          </w:p>
          <w:p w:rsidR="00501176" w:rsidRPr="00501176" w:rsidRDefault="00501176" w:rsidP="00501176">
            <w:pPr>
              <w:rPr>
                <w:sz w:val="20"/>
              </w:rPr>
            </w:pPr>
            <w:r w:rsidRPr="00501176">
              <w:rPr>
                <w:sz w:val="20"/>
              </w:rPr>
              <w:t>5</w:t>
            </w:r>
            <w:r w:rsidRPr="00501176">
              <w:rPr>
                <w:sz w:val="20"/>
              </w:rPr>
              <w:t>、合同、信息管理措施：供应商针对合同、信息管理措施（包含但不限于：</w:t>
            </w:r>
            <w:r w:rsidRPr="00501176">
              <w:rPr>
                <w:sz w:val="20"/>
              </w:rPr>
              <w:t>①</w:t>
            </w:r>
            <w:r w:rsidRPr="00501176">
              <w:rPr>
                <w:sz w:val="20"/>
              </w:rPr>
              <w:t>项目合同管理措施</w:t>
            </w:r>
            <w:r w:rsidRPr="00501176">
              <w:rPr>
                <w:sz w:val="20"/>
              </w:rPr>
              <w:t xml:space="preserve"> ②</w:t>
            </w:r>
            <w:r w:rsidRPr="00501176">
              <w:rPr>
                <w:sz w:val="20"/>
              </w:rPr>
              <w:t>项目信息资料管理措施</w:t>
            </w:r>
            <w:r w:rsidRPr="00501176">
              <w:rPr>
                <w:sz w:val="20"/>
              </w:rPr>
              <w:t>)</w:t>
            </w:r>
            <w:r w:rsidRPr="00501176">
              <w:rPr>
                <w:sz w:val="20"/>
              </w:rPr>
              <w:t>进行描述，</w:t>
            </w:r>
            <w:r w:rsidRPr="00501176">
              <w:rPr>
                <w:rFonts w:hint="eastAsia"/>
                <w:sz w:val="20"/>
              </w:rPr>
              <w:t>完全满足上诉要求的得</w:t>
            </w:r>
            <w:r w:rsidRPr="00501176">
              <w:rPr>
                <w:rFonts w:hint="eastAsia"/>
                <w:sz w:val="20"/>
              </w:rPr>
              <w:t>8</w:t>
            </w:r>
            <w:r w:rsidRPr="00501176">
              <w:rPr>
                <w:sz w:val="20"/>
              </w:rPr>
              <w:t>分，每缺少一项扣</w:t>
            </w:r>
            <w:r w:rsidRPr="00501176">
              <w:rPr>
                <w:rFonts w:hint="eastAsia"/>
                <w:sz w:val="20"/>
              </w:rPr>
              <w:t>4</w:t>
            </w:r>
            <w:r w:rsidRPr="00501176">
              <w:rPr>
                <w:sz w:val="20"/>
              </w:rPr>
              <w:t>分，每有一项不满足项目要求</w:t>
            </w:r>
            <w:r w:rsidRPr="00501176">
              <w:rPr>
                <w:rFonts w:hint="eastAsia"/>
                <w:sz w:val="20"/>
              </w:rPr>
              <w:t>或不完善</w:t>
            </w:r>
            <w:r w:rsidRPr="00501176">
              <w:rPr>
                <w:sz w:val="20"/>
              </w:rPr>
              <w:t>的得扣</w:t>
            </w:r>
            <w:r w:rsidRPr="00501176">
              <w:rPr>
                <w:rFonts w:hint="eastAsia"/>
                <w:sz w:val="20"/>
              </w:rPr>
              <w:t>2</w:t>
            </w:r>
            <w:r w:rsidRPr="00501176">
              <w:rPr>
                <w:sz w:val="20"/>
              </w:rPr>
              <w:t>分，扣完为止。</w:t>
            </w:r>
          </w:p>
          <w:p w:rsidR="00501176" w:rsidRPr="00501176" w:rsidRDefault="00501176" w:rsidP="00501176">
            <w:pPr>
              <w:rPr>
                <w:sz w:val="20"/>
              </w:rPr>
            </w:pPr>
            <w:r w:rsidRPr="00501176">
              <w:rPr>
                <w:sz w:val="20"/>
              </w:rPr>
              <w:t>6</w:t>
            </w:r>
            <w:r w:rsidRPr="00501176">
              <w:rPr>
                <w:sz w:val="20"/>
              </w:rPr>
              <w:t>、组织协调措施：供应商针对组织协调措施（包含但不限于：</w:t>
            </w:r>
            <w:r w:rsidRPr="00501176">
              <w:rPr>
                <w:sz w:val="20"/>
              </w:rPr>
              <w:t>①</w:t>
            </w:r>
            <w:r w:rsidRPr="00501176">
              <w:rPr>
                <w:sz w:val="20"/>
              </w:rPr>
              <w:t>组织协调措施</w:t>
            </w:r>
            <w:r w:rsidRPr="00501176">
              <w:rPr>
                <w:sz w:val="20"/>
              </w:rPr>
              <w:t xml:space="preserve"> ②</w:t>
            </w:r>
            <w:r w:rsidRPr="00501176">
              <w:rPr>
                <w:sz w:val="20"/>
              </w:rPr>
              <w:t>组织协调的内容和方法</w:t>
            </w:r>
            <w:r w:rsidRPr="00501176">
              <w:rPr>
                <w:sz w:val="20"/>
              </w:rPr>
              <w:t>)</w:t>
            </w:r>
            <w:r w:rsidRPr="00501176">
              <w:rPr>
                <w:sz w:val="20"/>
              </w:rPr>
              <w:t>等进行描述，</w:t>
            </w:r>
            <w:r w:rsidRPr="00501176">
              <w:rPr>
                <w:rFonts w:hint="eastAsia"/>
                <w:sz w:val="20"/>
              </w:rPr>
              <w:t>完全满足上诉要求的得</w:t>
            </w:r>
            <w:r w:rsidRPr="00501176">
              <w:rPr>
                <w:rFonts w:hint="eastAsia"/>
                <w:sz w:val="20"/>
              </w:rPr>
              <w:t>8</w:t>
            </w:r>
            <w:r w:rsidRPr="00501176">
              <w:rPr>
                <w:sz w:val="20"/>
              </w:rPr>
              <w:t>分，每缺少一项扣</w:t>
            </w:r>
            <w:r w:rsidRPr="00501176">
              <w:rPr>
                <w:rFonts w:hint="eastAsia"/>
                <w:sz w:val="20"/>
              </w:rPr>
              <w:t>4</w:t>
            </w:r>
            <w:r w:rsidRPr="00501176">
              <w:rPr>
                <w:sz w:val="20"/>
              </w:rPr>
              <w:t>分，每有一项不满足项目要求</w:t>
            </w:r>
            <w:r w:rsidRPr="00501176">
              <w:rPr>
                <w:rFonts w:hint="eastAsia"/>
                <w:sz w:val="20"/>
              </w:rPr>
              <w:t>或不完善</w:t>
            </w:r>
            <w:r w:rsidRPr="00501176">
              <w:rPr>
                <w:sz w:val="20"/>
              </w:rPr>
              <w:t>的得扣</w:t>
            </w:r>
            <w:r w:rsidRPr="00501176">
              <w:rPr>
                <w:rFonts w:hint="eastAsia"/>
                <w:sz w:val="20"/>
              </w:rPr>
              <w:t>2</w:t>
            </w:r>
            <w:r w:rsidRPr="00501176">
              <w:rPr>
                <w:sz w:val="20"/>
              </w:rPr>
              <w:t>分，扣完为止。</w:t>
            </w:r>
          </w:p>
        </w:tc>
        <w:tc>
          <w:tcPr>
            <w:tcW w:w="992"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p>
        </w:tc>
      </w:tr>
    </w:tbl>
    <w:p w:rsidR="00501176" w:rsidRDefault="00501176" w:rsidP="00501176">
      <w:pPr>
        <w:pStyle w:val="a5"/>
        <w:spacing w:line="360" w:lineRule="auto"/>
        <w:ind w:left="780" w:firstLineChars="0" w:firstLine="0"/>
        <w:rPr>
          <w:b/>
        </w:rPr>
      </w:pPr>
      <w:r w:rsidRPr="00501176">
        <w:rPr>
          <w:b/>
        </w:rPr>
        <w:t>现</w:t>
      </w:r>
      <w:r w:rsidRPr="00501176">
        <w:rPr>
          <w:rFonts w:hint="eastAsia"/>
          <w:b/>
        </w:rPr>
        <w:t>更正</w:t>
      </w:r>
      <w:r w:rsidRPr="00501176">
        <w:rPr>
          <w:b/>
        </w:rPr>
        <w:t>为</w:t>
      </w:r>
    </w:p>
    <w:tbl>
      <w:tblPr>
        <w:tblW w:w="9639" w:type="dxa"/>
        <w:tblInd w:w="108" w:type="dxa"/>
        <w:tblLook w:val="0000" w:firstRow="0" w:lastRow="0" w:firstColumn="0" w:lastColumn="0" w:noHBand="0" w:noVBand="0"/>
      </w:tblPr>
      <w:tblGrid>
        <w:gridCol w:w="587"/>
        <w:gridCol w:w="1114"/>
        <w:gridCol w:w="426"/>
        <w:gridCol w:w="6520"/>
        <w:gridCol w:w="992"/>
      </w:tblGrid>
      <w:tr w:rsidR="00501176" w:rsidRPr="00501176" w:rsidTr="00501176">
        <w:trPr>
          <w:trHeight w:val="1575"/>
        </w:trPr>
        <w:tc>
          <w:tcPr>
            <w:tcW w:w="587" w:type="dxa"/>
            <w:tcBorders>
              <w:top w:val="single" w:sz="4" w:space="0" w:color="auto"/>
              <w:left w:val="single" w:sz="4" w:space="0" w:color="auto"/>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4</w:t>
            </w:r>
          </w:p>
        </w:tc>
        <w:tc>
          <w:tcPr>
            <w:tcW w:w="1114"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服务方案</w:t>
            </w:r>
          </w:p>
          <w:p w:rsidR="00501176" w:rsidRPr="00501176" w:rsidRDefault="00501176" w:rsidP="00501176">
            <w:pPr>
              <w:rPr>
                <w:sz w:val="20"/>
              </w:rPr>
            </w:pPr>
            <w:r w:rsidRPr="00501176">
              <w:rPr>
                <w:rFonts w:hint="eastAsia"/>
                <w:sz w:val="20"/>
              </w:rPr>
              <w:t>45%</w:t>
            </w:r>
          </w:p>
        </w:tc>
        <w:tc>
          <w:tcPr>
            <w:tcW w:w="426"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45</w:t>
            </w:r>
          </w:p>
        </w:tc>
        <w:tc>
          <w:tcPr>
            <w:tcW w:w="6520"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r w:rsidRPr="00501176">
              <w:rPr>
                <w:rFonts w:hint="eastAsia"/>
                <w:sz w:val="20"/>
              </w:rPr>
              <w:t>服务方案应全面、详细、有针对性、符合项目现状实际。监理大纲应包括但不限于以下内容</w:t>
            </w:r>
            <w:r w:rsidRPr="00501176">
              <w:rPr>
                <w:sz w:val="20"/>
              </w:rPr>
              <w:t>:</w:t>
            </w:r>
          </w:p>
          <w:p w:rsidR="00501176" w:rsidRPr="00501176" w:rsidRDefault="00501176" w:rsidP="00501176">
            <w:pPr>
              <w:rPr>
                <w:sz w:val="20"/>
              </w:rPr>
            </w:pPr>
            <w:r w:rsidRPr="00501176">
              <w:rPr>
                <w:sz w:val="20"/>
              </w:rPr>
              <w:t>1</w:t>
            </w:r>
            <w:r w:rsidRPr="00501176">
              <w:rPr>
                <w:sz w:val="20"/>
              </w:rPr>
              <w:t>、质量控制措施：供应商针对监理质量控制措施（包含但不限于：</w:t>
            </w:r>
            <w:r w:rsidRPr="00501176">
              <w:rPr>
                <w:sz w:val="20"/>
              </w:rPr>
              <w:t>①</w:t>
            </w:r>
            <w:r w:rsidRPr="00501176">
              <w:rPr>
                <w:sz w:val="20"/>
              </w:rPr>
              <w:t>监理质量控制目标</w:t>
            </w:r>
            <w:r w:rsidRPr="00501176">
              <w:rPr>
                <w:sz w:val="20"/>
              </w:rPr>
              <w:t xml:space="preserve"> ②</w:t>
            </w:r>
            <w:r w:rsidRPr="00501176">
              <w:rPr>
                <w:sz w:val="20"/>
              </w:rPr>
              <w:t>监理质量控制方法和内容</w:t>
            </w:r>
            <w:r w:rsidRPr="00501176">
              <w:rPr>
                <w:sz w:val="20"/>
              </w:rPr>
              <w:t>③</w:t>
            </w:r>
            <w:r w:rsidRPr="00501176">
              <w:rPr>
                <w:sz w:val="20"/>
              </w:rPr>
              <w:t>监理质量控制措施）等进行描述，</w:t>
            </w:r>
            <w:r w:rsidRPr="00501176">
              <w:rPr>
                <w:rFonts w:hint="eastAsia"/>
                <w:sz w:val="20"/>
              </w:rPr>
              <w:t>完全满足上诉要求的得</w:t>
            </w:r>
            <w:r w:rsidRPr="00501176">
              <w:rPr>
                <w:rFonts w:hint="eastAsia"/>
                <w:sz w:val="20"/>
              </w:rPr>
              <w:t>9</w:t>
            </w:r>
            <w:r w:rsidRPr="00501176">
              <w:rPr>
                <w:sz w:val="20"/>
              </w:rPr>
              <w:t>分，每缺少一项扣</w:t>
            </w:r>
            <w:r w:rsidRPr="00501176">
              <w:rPr>
                <w:rFonts w:hint="eastAsia"/>
                <w:sz w:val="20"/>
              </w:rPr>
              <w:t>3</w:t>
            </w:r>
            <w:r w:rsidRPr="00501176">
              <w:rPr>
                <w:sz w:val="20"/>
              </w:rPr>
              <w:t>分，</w:t>
            </w:r>
            <w:r w:rsidRPr="00501176">
              <w:rPr>
                <w:rFonts w:hint="eastAsia"/>
                <w:sz w:val="20"/>
              </w:rPr>
              <w:t>每有一项内</w:t>
            </w:r>
            <w:r w:rsidRPr="00501176">
              <w:rPr>
                <w:rFonts w:hint="eastAsia"/>
                <w:sz w:val="20"/>
              </w:rPr>
              <w:lastRenderedPageBreak/>
              <w:t>容有缺陷的扣</w:t>
            </w:r>
            <w:r w:rsidRPr="00501176">
              <w:rPr>
                <w:rFonts w:hint="eastAsia"/>
                <w:sz w:val="20"/>
              </w:rPr>
              <w:t>1.5</w:t>
            </w:r>
            <w:r w:rsidRPr="00501176">
              <w:rPr>
                <w:sz w:val="20"/>
              </w:rPr>
              <w:t>分</w:t>
            </w:r>
            <w:r w:rsidRPr="00501176">
              <w:rPr>
                <w:rFonts w:hint="eastAsia"/>
                <w:sz w:val="20"/>
              </w:rPr>
              <w:t>，直至</w:t>
            </w:r>
            <w:r w:rsidRPr="00501176">
              <w:rPr>
                <w:sz w:val="20"/>
              </w:rPr>
              <w:t>本项分值扣完为止</w:t>
            </w:r>
            <w:r w:rsidRPr="00501176">
              <w:rPr>
                <w:rFonts w:hint="eastAsia"/>
                <w:sz w:val="20"/>
              </w:rPr>
              <w:t>。</w:t>
            </w:r>
          </w:p>
          <w:p w:rsidR="00501176" w:rsidRPr="00501176" w:rsidRDefault="00501176" w:rsidP="00501176">
            <w:pPr>
              <w:rPr>
                <w:sz w:val="20"/>
              </w:rPr>
            </w:pPr>
            <w:r w:rsidRPr="00501176">
              <w:rPr>
                <w:sz w:val="20"/>
              </w:rPr>
              <w:t>2</w:t>
            </w:r>
            <w:r w:rsidRPr="00501176">
              <w:rPr>
                <w:sz w:val="20"/>
              </w:rPr>
              <w:t>、进度控制措施：供应商针对监理进度控制措施（包含但不限于：</w:t>
            </w:r>
            <w:r w:rsidRPr="00501176">
              <w:rPr>
                <w:sz w:val="20"/>
              </w:rPr>
              <w:t>①</w:t>
            </w:r>
            <w:r w:rsidRPr="00501176">
              <w:rPr>
                <w:sz w:val="20"/>
              </w:rPr>
              <w:t>监理进度控制目标</w:t>
            </w:r>
            <w:r w:rsidRPr="00501176">
              <w:rPr>
                <w:sz w:val="20"/>
              </w:rPr>
              <w:t>②</w:t>
            </w:r>
            <w:r w:rsidRPr="00501176">
              <w:rPr>
                <w:sz w:val="20"/>
              </w:rPr>
              <w:t>监理进度控制措施</w:t>
            </w:r>
            <w:r w:rsidRPr="00501176">
              <w:rPr>
                <w:sz w:val="20"/>
              </w:rPr>
              <w:t>③</w:t>
            </w:r>
            <w:r w:rsidRPr="00501176">
              <w:rPr>
                <w:sz w:val="20"/>
              </w:rPr>
              <w:t>监理进度控制方案）等进行描述，</w:t>
            </w:r>
            <w:r w:rsidRPr="00501176">
              <w:rPr>
                <w:rFonts w:hint="eastAsia"/>
                <w:sz w:val="20"/>
              </w:rPr>
              <w:t>完全满足上诉要求的得</w:t>
            </w:r>
            <w:r w:rsidRPr="00501176">
              <w:rPr>
                <w:rFonts w:hint="eastAsia"/>
                <w:sz w:val="20"/>
              </w:rPr>
              <w:t>9</w:t>
            </w:r>
            <w:r w:rsidRPr="00501176">
              <w:rPr>
                <w:sz w:val="20"/>
              </w:rPr>
              <w:t>分，每缺少一项扣</w:t>
            </w:r>
            <w:r w:rsidRPr="00501176">
              <w:rPr>
                <w:rFonts w:hint="eastAsia"/>
                <w:sz w:val="20"/>
              </w:rPr>
              <w:t>3</w:t>
            </w:r>
            <w:r w:rsidRPr="00501176">
              <w:rPr>
                <w:sz w:val="20"/>
              </w:rPr>
              <w:t>分，</w:t>
            </w:r>
            <w:r w:rsidRPr="00501176">
              <w:rPr>
                <w:rFonts w:hint="eastAsia"/>
                <w:sz w:val="20"/>
              </w:rPr>
              <w:t>每有一项内容有缺陷的扣</w:t>
            </w:r>
            <w:r w:rsidRPr="00501176">
              <w:rPr>
                <w:rFonts w:hint="eastAsia"/>
                <w:sz w:val="20"/>
              </w:rPr>
              <w:t>1.5</w:t>
            </w:r>
            <w:r w:rsidRPr="00501176">
              <w:rPr>
                <w:sz w:val="20"/>
              </w:rPr>
              <w:t>分</w:t>
            </w:r>
            <w:r w:rsidRPr="00501176">
              <w:rPr>
                <w:rFonts w:hint="eastAsia"/>
                <w:sz w:val="20"/>
              </w:rPr>
              <w:t>，直至</w:t>
            </w:r>
            <w:r w:rsidRPr="00501176">
              <w:rPr>
                <w:sz w:val="20"/>
              </w:rPr>
              <w:t>本项分值扣完为止</w:t>
            </w:r>
            <w:r w:rsidRPr="00501176">
              <w:rPr>
                <w:rFonts w:hint="eastAsia"/>
                <w:sz w:val="20"/>
              </w:rPr>
              <w:t>。</w:t>
            </w:r>
          </w:p>
          <w:p w:rsidR="00501176" w:rsidRPr="00501176" w:rsidRDefault="00501176" w:rsidP="00501176">
            <w:pPr>
              <w:rPr>
                <w:sz w:val="20"/>
              </w:rPr>
            </w:pPr>
            <w:r w:rsidRPr="00501176">
              <w:rPr>
                <w:sz w:val="20"/>
              </w:rPr>
              <w:t>3</w:t>
            </w:r>
            <w:r w:rsidRPr="00501176">
              <w:rPr>
                <w:sz w:val="20"/>
              </w:rPr>
              <w:t>、造价控制措施：供应商针对监理造价控制措施（包含但不限于：</w:t>
            </w:r>
            <w:r w:rsidRPr="00501176">
              <w:rPr>
                <w:sz w:val="20"/>
              </w:rPr>
              <w:t>①</w:t>
            </w:r>
            <w:r w:rsidRPr="00501176">
              <w:rPr>
                <w:sz w:val="20"/>
              </w:rPr>
              <w:t>监理造价控制目标</w:t>
            </w:r>
            <w:r w:rsidRPr="00501176">
              <w:rPr>
                <w:sz w:val="20"/>
              </w:rPr>
              <w:t>②</w:t>
            </w:r>
            <w:r w:rsidRPr="00501176">
              <w:rPr>
                <w:sz w:val="20"/>
              </w:rPr>
              <w:t>监理造价控制措施</w:t>
            </w:r>
            <w:r w:rsidRPr="00501176">
              <w:rPr>
                <w:sz w:val="20"/>
              </w:rPr>
              <w:t>③</w:t>
            </w:r>
            <w:r w:rsidRPr="00501176">
              <w:rPr>
                <w:sz w:val="20"/>
              </w:rPr>
              <w:t>监理造价控制方案）等进行描述，</w:t>
            </w:r>
            <w:r w:rsidRPr="00501176">
              <w:rPr>
                <w:rFonts w:hint="eastAsia"/>
                <w:sz w:val="20"/>
              </w:rPr>
              <w:t>完全满足上诉要求的得</w:t>
            </w:r>
            <w:r w:rsidRPr="00501176">
              <w:rPr>
                <w:rFonts w:hint="eastAsia"/>
                <w:sz w:val="20"/>
              </w:rPr>
              <w:t>9</w:t>
            </w:r>
            <w:r w:rsidRPr="00501176">
              <w:rPr>
                <w:sz w:val="20"/>
              </w:rPr>
              <w:t>分，每缺少一项扣</w:t>
            </w:r>
            <w:r w:rsidRPr="00501176">
              <w:rPr>
                <w:rFonts w:hint="eastAsia"/>
                <w:sz w:val="20"/>
              </w:rPr>
              <w:t>3</w:t>
            </w:r>
            <w:r w:rsidRPr="00501176">
              <w:rPr>
                <w:sz w:val="20"/>
              </w:rPr>
              <w:t>分，</w:t>
            </w:r>
            <w:r w:rsidRPr="00501176">
              <w:rPr>
                <w:rFonts w:hint="eastAsia"/>
                <w:sz w:val="20"/>
              </w:rPr>
              <w:t>每有一项内容有缺陷的扣</w:t>
            </w:r>
            <w:r w:rsidRPr="00501176">
              <w:rPr>
                <w:rFonts w:hint="eastAsia"/>
                <w:sz w:val="20"/>
              </w:rPr>
              <w:t>1.5</w:t>
            </w:r>
            <w:r w:rsidRPr="00501176">
              <w:rPr>
                <w:sz w:val="20"/>
              </w:rPr>
              <w:t>分</w:t>
            </w:r>
            <w:r w:rsidRPr="00501176">
              <w:rPr>
                <w:rFonts w:hint="eastAsia"/>
                <w:sz w:val="20"/>
              </w:rPr>
              <w:t>，直至</w:t>
            </w:r>
            <w:r w:rsidRPr="00501176">
              <w:rPr>
                <w:sz w:val="20"/>
              </w:rPr>
              <w:t>本项分值扣完为止</w:t>
            </w:r>
            <w:r w:rsidRPr="00501176">
              <w:rPr>
                <w:rFonts w:hint="eastAsia"/>
                <w:sz w:val="20"/>
              </w:rPr>
              <w:t>。</w:t>
            </w:r>
          </w:p>
          <w:p w:rsidR="00501176" w:rsidRPr="00501176" w:rsidRDefault="00501176" w:rsidP="00501176">
            <w:pPr>
              <w:rPr>
                <w:sz w:val="20"/>
              </w:rPr>
            </w:pPr>
            <w:r w:rsidRPr="00501176">
              <w:rPr>
                <w:sz w:val="20"/>
              </w:rPr>
              <w:t>4</w:t>
            </w:r>
            <w:r w:rsidRPr="00501176">
              <w:rPr>
                <w:sz w:val="20"/>
              </w:rPr>
              <w:t>、安全文明施工控制措施：供应商针对安全文明施工控制措施（包含但不限于：</w:t>
            </w:r>
            <w:r w:rsidRPr="00501176">
              <w:rPr>
                <w:sz w:val="20"/>
              </w:rPr>
              <w:t>①</w:t>
            </w:r>
            <w:r w:rsidRPr="00501176">
              <w:rPr>
                <w:sz w:val="20"/>
              </w:rPr>
              <w:t>监理安全文明施工控制措施</w:t>
            </w:r>
            <w:r w:rsidRPr="00501176">
              <w:rPr>
                <w:sz w:val="20"/>
              </w:rPr>
              <w:t>②</w:t>
            </w:r>
            <w:r w:rsidRPr="00501176">
              <w:rPr>
                <w:sz w:val="20"/>
              </w:rPr>
              <w:t>监理安全文明施工控制方案）等进行描述，</w:t>
            </w:r>
            <w:r w:rsidRPr="00501176">
              <w:rPr>
                <w:rFonts w:hint="eastAsia"/>
                <w:sz w:val="20"/>
              </w:rPr>
              <w:t>完全满足上诉要求的得</w:t>
            </w:r>
            <w:r w:rsidRPr="00501176">
              <w:rPr>
                <w:rFonts w:hint="eastAsia"/>
                <w:sz w:val="20"/>
              </w:rPr>
              <w:t>6</w:t>
            </w:r>
            <w:r w:rsidRPr="00501176">
              <w:rPr>
                <w:sz w:val="20"/>
              </w:rPr>
              <w:t>分，每缺少一项扣</w:t>
            </w:r>
            <w:r w:rsidRPr="00501176">
              <w:rPr>
                <w:rFonts w:hint="eastAsia"/>
                <w:sz w:val="20"/>
              </w:rPr>
              <w:t>3</w:t>
            </w:r>
            <w:r w:rsidRPr="00501176">
              <w:rPr>
                <w:sz w:val="20"/>
              </w:rPr>
              <w:t>分，</w:t>
            </w:r>
            <w:r w:rsidRPr="00501176">
              <w:rPr>
                <w:rFonts w:hint="eastAsia"/>
                <w:sz w:val="20"/>
              </w:rPr>
              <w:t>每有一项内容有缺陷的扣</w:t>
            </w:r>
            <w:r w:rsidRPr="00501176">
              <w:rPr>
                <w:rFonts w:hint="eastAsia"/>
                <w:sz w:val="20"/>
              </w:rPr>
              <w:t>1.5</w:t>
            </w:r>
            <w:r w:rsidRPr="00501176">
              <w:rPr>
                <w:sz w:val="20"/>
              </w:rPr>
              <w:t>分</w:t>
            </w:r>
            <w:r w:rsidRPr="00501176">
              <w:rPr>
                <w:rFonts w:hint="eastAsia"/>
                <w:sz w:val="20"/>
              </w:rPr>
              <w:t>，直至</w:t>
            </w:r>
            <w:r w:rsidRPr="00501176">
              <w:rPr>
                <w:sz w:val="20"/>
              </w:rPr>
              <w:t>本项分值扣完为止</w:t>
            </w:r>
            <w:r w:rsidRPr="00501176">
              <w:rPr>
                <w:rFonts w:hint="eastAsia"/>
                <w:sz w:val="20"/>
              </w:rPr>
              <w:t>。</w:t>
            </w:r>
          </w:p>
          <w:p w:rsidR="00501176" w:rsidRPr="00501176" w:rsidRDefault="00501176" w:rsidP="00501176">
            <w:pPr>
              <w:rPr>
                <w:sz w:val="20"/>
              </w:rPr>
            </w:pPr>
            <w:r w:rsidRPr="00501176">
              <w:rPr>
                <w:sz w:val="20"/>
              </w:rPr>
              <w:t>5</w:t>
            </w:r>
            <w:r w:rsidRPr="00501176">
              <w:rPr>
                <w:sz w:val="20"/>
              </w:rPr>
              <w:t>、合同、信息管理措施：供应商针对合同、信息管理措施（包含但不限于：</w:t>
            </w:r>
            <w:r w:rsidRPr="00501176">
              <w:rPr>
                <w:sz w:val="20"/>
              </w:rPr>
              <w:t>①</w:t>
            </w:r>
            <w:r w:rsidRPr="00501176">
              <w:rPr>
                <w:sz w:val="20"/>
              </w:rPr>
              <w:t>项目合同管理措施</w:t>
            </w:r>
            <w:r w:rsidRPr="00501176">
              <w:rPr>
                <w:sz w:val="20"/>
              </w:rPr>
              <w:t xml:space="preserve"> ②</w:t>
            </w:r>
            <w:r w:rsidRPr="00501176">
              <w:rPr>
                <w:sz w:val="20"/>
              </w:rPr>
              <w:t>项目信息资料管理措施</w:t>
            </w:r>
            <w:r w:rsidRPr="00501176">
              <w:rPr>
                <w:sz w:val="20"/>
              </w:rPr>
              <w:t>)</w:t>
            </w:r>
            <w:r w:rsidRPr="00501176">
              <w:rPr>
                <w:sz w:val="20"/>
              </w:rPr>
              <w:t>进行描述，</w:t>
            </w:r>
            <w:r w:rsidRPr="00501176">
              <w:rPr>
                <w:rFonts w:hint="eastAsia"/>
                <w:sz w:val="20"/>
              </w:rPr>
              <w:t>完全满足上诉要求的得</w:t>
            </w:r>
            <w:r w:rsidRPr="00501176">
              <w:rPr>
                <w:rFonts w:hint="eastAsia"/>
                <w:sz w:val="20"/>
              </w:rPr>
              <w:t>6</w:t>
            </w:r>
            <w:r w:rsidRPr="00501176">
              <w:rPr>
                <w:sz w:val="20"/>
              </w:rPr>
              <w:t>分，每缺少一项扣</w:t>
            </w:r>
            <w:r w:rsidRPr="00501176">
              <w:rPr>
                <w:rFonts w:hint="eastAsia"/>
                <w:sz w:val="20"/>
              </w:rPr>
              <w:t>3</w:t>
            </w:r>
            <w:r w:rsidRPr="00501176">
              <w:rPr>
                <w:sz w:val="20"/>
              </w:rPr>
              <w:t>分，</w:t>
            </w:r>
            <w:r w:rsidRPr="00501176">
              <w:rPr>
                <w:rFonts w:hint="eastAsia"/>
                <w:sz w:val="20"/>
              </w:rPr>
              <w:t>每有一项内容有缺陷的扣</w:t>
            </w:r>
            <w:r w:rsidRPr="00501176">
              <w:rPr>
                <w:rFonts w:hint="eastAsia"/>
                <w:sz w:val="20"/>
              </w:rPr>
              <w:t>1.5</w:t>
            </w:r>
            <w:r w:rsidRPr="00501176">
              <w:rPr>
                <w:sz w:val="20"/>
              </w:rPr>
              <w:t>分</w:t>
            </w:r>
            <w:r w:rsidRPr="00501176">
              <w:rPr>
                <w:rFonts w:hint="eastAsia"/>
                <w:sz w:val="20"/>
              </w:rPr>
              <w:t>，直至</w:t>
            </w:r>
            <w:r w:rsidRPr="00501176">
              <w:rPr>
                <w:sz w:val="20"/>
              </w:rPr>
              <w:t>本项分值扣完为止</w:t>
            </w:r>
            <w:r w:rsidRPr="00501176">
              <w:rPr>
                <w:rFonts w:hint="eastAsia"/>
                <w:sz w:val="20"/>
              </w:rPr>
              <w:t>。</w:t>
            </w:r>
          </w:p>
          <w:p w:rsidR="00501176" w:rsidRPr="00501176" w:rsidRDefault="00501176" w:rsidP="00501176">
            <w:pPr>
              <w:rPr>
                <w:sz w:val="20"/>
              </w:rPr>
            </w:pPr>
            <w:r w:rsidRPr="00501176">
              <w:rPr>
                <w:sz w:val="20"/>
              </w:rPr>
              <w:t>6</w:t>
            </w:r>
            <w:r w:rsidRPr="00501176">
              <w:rPr>
                <w:sz w:val="20"/>
              </w:rPr>
              <w:t>、组织协调措施：供应商针对组织协调措施（包含但不限于：</w:t>
            </w:r>
            <w:r w:rsidRPr="00501176">
              <w:rPr>
                <w:sz w:val="20"/>
              </w:rPr>
              <w:t>①</w:t>
            </w:r>
            <w:r w:rsidRPr="00501176">
              <w:rPr>
                <w:sz w:val="20"/>
              </w:rPr>
              <w:t>组织协调措施</w:t>
            </w:r>
            <w:r w:rsidRPr="00501176">
              <w:rPr>
                <w:sz w:val="20"/>
              </w:rPr>
              <w:t xml:space="preserve"> ②</w:t>
            </w:r>
            <w:r w:rsidRPr="00501176">
              <w:rPr>
                <w:sz w:val="20"/>
              </w:rPr>
              <w:t>组织协调的内容和方法</w:t>
            </w:r>
            <w:r w:rsidRPr="00501176">
              <w:rPr>
                <w:sz w:val="20"/>
              </w:rPr>
              <w:t>)</w:t>
            </w:r>
            <w:r w:rsidRPr="00501176">
              <w:rPr>
                <w:sz w:val="20"/>
              </w:rPr>
              <w:t>等进行描述，</w:t>
            </w:r>
            <w:r w:rsidRPr="00501176">
              <w:rPr>
                <w:rFonts w:hint="eastAsia"/>
                <w:sz w:val="20"/>
              </w:rPr>
              <w:t>完全满足上诉要求的得</w:t>
            </w:r>
            <w:r w:rsidRPr="00501176">
              <w:rPr>
                <w:rFonts w:hint="eastAsia"/>
                <w:sz w:val="20"/>
              </w:rPr>
              <w:t>6</w:t>
            </w:r>
            <w:r w:rsidRPr="00501176">
              <w:rPr>
                <w:sz w:val="20"/>
              </w:rPr>
              <w:t>分，每缺少一项扣</w:t>
            </w:r>
            <w:r w:rsidRPr="00501176">
              <w:rPr>
                <w:rFonts w:hint="eastAsia"/>
                <w:sz w:val="20"/>
              </w:rPr>
              <w:t>3</w:t>
            </w:r>
            <w:r w:rsidRPr="00501176">
              <w:rPr>
                <w:sz w:val="20"/>
              </w:rPr>
              <w:t>分，</w:t>
            </w:r>
            <w:r w:rsidRPr="00501176">
              <w:rPr>
                <w:rFonts w:hint="eastAsia"/>
                <w:sz w:val="20"/>
              </w:rPr>
              <w:t>每有一项内容有缺陷的扣</w:t>
            </w:r>
            <w:r w:rsidRPr="00501176">
              <w:rPr>
                <w:rFonts w:hint="eastAsia"/>
                <w:sz w:val="20"/>
              </w:rPr>
              <w:t>1.5</w:t>
            </w:r>
            <w:r w:rsidRPr="00501176">
              <w:rPr>
                <w:sz w:val="20"/>
              </w:rPr>
              <w:t>分</w:t>
            </w:r>
            <w:r w:rsidRPr="00501176">
              <w:rPr>
                <w:rFonts w:hint="eastAsia"/>
                <w:sz w:val="20"/>
              </w:rPr>
              <w:t>，直至</w:t>
            </w:r>
            <w:r w:rsidRPr="00501176">
              <w:rPr>
                <w:sz w:val="20"/>
              </w:rPr>
              <w:t>本项分值扣完为止</w:t>
            </w:r>
            <w:r w:rsidRPr="00501176">
              <w:rPr>
                <w:rFonts w:hint="eastAsia"/>
                <w:sz w:val="20"/>
              </w:rPr>
              <w:t>。</w:t>
            </w:r>
          </w:p>
          <w:p w:rsidR="00501176" w:rsidRPr="00501176" w:rsidRDefault="00501176" w:rsidP="00501176">
            <w:pPr>
              <w:rPr>
                <w:sz w:val="20"/>
              </w:rPr>
            </w:pPr>
            <w:r w:rsidRPr="00501176">
              <w:rPr>
                <w:rFonts w:hint="eastAsia"/>
                <w:sz w:val="20"/>
              </w:rPr>
              <w:t>注：方案内容有缺陷指内容不符合本项目采购需求、内容与项目特点不符、内容不完整或缺少关键节点、套用其他项目方案、逻辑混乱或实施内容前后矛盾等任意一种情形。</w:t>
            </w:r>
          </w:p>
        </w:tc>
        <w:tc>
          <w:tcPr>
            <w:tcW w:w="992" w:type="dxa"/>
            <w:tcBorders>
              <w:top w:val="single" w:sz="4" w:space="0" w:color="auto"/>
              <w:left w:val="nil"/>
              <w:bottom w:val="single" w:sz="4" w:space="0" w:color="auto"/>
              <w:right w:val="single" w:sz="4" w:space="0" w:color="auto"/>
            </w:tcBorders>
            <w:vAlign w:val="center"/>
          </w:tcPr>
          <w:p w:rsidR="00501176" w:rsidRPr="00501176" w:rsidRDefault="00501176" w:rsidP="00501176">
            <w:pPr>
              <w:rPr>
                <w:sz w:val="20"/>
              </w:rPr>
            </w:pPr>
          </w:p>
        </w:tc>
      </w:tr>
    </w:tbl>
    <w:p w:rsidR="00E63243" w:rsidRDefault="00E63243" w:rsidP="00E63243">
      <w:pPr>
        <w:pStyle w:val="a5"/>
        <w:numPr>
          <w:ilvl w:val="0"/>
          <w:numId w:val="1"/>
        </w:numPr>
        <w:spacing w:line="360" w:lineRule="auto"/>
        <w:ind w:firstLineChars="0"/>
        <w:rPr>
          <w:rFonts w:hint="eastAsia"/>
          <w:b/>
        </w:rPr>
      </w:pPr>
      <w:r>
        <w:rPr>
          <w:rFonts w:hint="eastAsia"/>
          <w:b/>
        </w:rPr>
        <w:lastRenderedPageBreak/>
        <w:t>其他不变。</w:t>
      </w:r>
    </w:p>
    <w:p w:rsidR="00501176" w:rsidRDefault="00E63243" w:rsidP="00E63243">
      <w:pPr>
        <w:pStyle w:val="a5"/>
        <w:spacing w:line="360" w:lineRule="auto"/>
        <w:ind w:leftChars="371" w:left="779" w:firstLine="422"/>
        <w:rPr>
          <w:rFonts w:hint="eastAsia"/>
          <w:b/>
        </w:rPr>
      </w:pPr>
      <w:r w:rsidRPr="00E63243">
        <w:rPr>
          <w:rFonts w:hint="eastAsia"/>
          <w:b/>
        </w:rPr>
        <w:t>请各</w:t>
      </w:r>
      <w:r>
        <w:rPr>
          <w:rFonts w:hint="eastAsia"/>
          <w:b/>
        </w:rPr>
        <w:t>报名</w:t>
      </w:r>
      <w:r w:rsidRPr="00E63243">
        <w:rPr>
          <w:rFonts w:hint="eastAsia"/>
          <w:b/>
        </w:rPr>
        <w:t>潜在供应商自行下载邮箱附件，</w:t>
      </w:r>
      <w:r>
        <w:rPr>
          <w:rFonts w:hint="eastAsia"/>
          <w:b/>
        </w:rPr>
        <w:t>报名</w:t>
      </w:r>
      <w:r w:rsidRPr="00E63243">
        <w:rPr>
          <w:rFonts w:hint="eastAsia"/>
          <w:b/>
        </w:rPr>
        <w:t>潜在供应商未自行下载所有调整</w:t>
      </w:r>
      <w:proofErr w:type="gramStart"/>
      <w:r w:rsidRPr="00E63243">
        <w:rPr>
          <w:rFonts w:hint="eastAsia"/>
          <w:b/>
        </w:rPr>
        <w:t>后文件</w:t>
      </w:r>
      <w:proofErr w:type="gramEnd"/>
      <w:r w:rsidRPr="00E63243">
        <w:rPr>
          <w:rFonts w:hint="eastAsia"/>
          <w:b/>
        </w:rPr>
        <w:t>的，由此造成的后果由各</w:t>
      </w:r>
      <w:r>
        <w:rPr>
          <w:rFonts w:hint="eastAsia"/>
          <w:b/>
        </w:rPr>
        <w:t>报名</w:t>
      </w:r>
      <w:r w:rsidRPr="00E63243">
        <w:rPr>
          <w:rFonts w:hint="eastAsia"/>
          <w:b/>
        </w:rPr>
        <w:t>潜在供应商自行承担。</w:t>
      </w:r>
    </w:p>
    <w:p w:rsidR="00E63243" w:rsidRDefault="00E63243" w:rsidP="00E63243">
      <w:pPr>
        <w:pStyle w:val="a5"/>
        <w:spacing w:line="360" w:lineRule="auto"/>
        <w:ind w:leftChars="371" w:left="779" w:firstLine="422"/>
        <w:rPr>
          <w:rFonts w:hint="eastAsia"/>
          <w:b/>
        </w:rPr>
      </w:pPr>
    </w:p>
    <w:p w:rsidR="00E63243" w:rsidRDefault="00E63243" w:rsidP="00E63243">
      <w:pPr>
        <w:pStyle w:val="a5"/>
        <w:spacing w:line="360" w:lineRule="auto"/>
        <w:ind w:leftChars="371" w:left="779" w:firstLine="422"/>
        <w:rPr>
          <w:b/>
        </w:rPr>
      </w:pPr>
      <w:r>
        <w:rPr>
          <w:rFonts w:hint="eastAsia"/>
          <w:b/>
        </w:rPr>
        <w:t>特此通知。</w:t>
      </w:r>
    </w:p>
    <w:p w:rsidR="009C3AEE" w:rsidRDefault="009C3AEE" w:rsidP="009C3AEE">
      <w:pPr>
        <w:pStyle w:val="a5"/>
        <w:spacing w:line="360" w:lineRule="auto"/>
        <w:ind w:leftChars="371" w:left="779" w:firstLine="422"/>
        <w:jc w:val="right"/>
        <w:rPr>
          <w:b/>
        </w:rPr>
      </w:pPr>
    </w:p>
    <w:p w:rsidR="009C3AEE" w:rsidRDefault="009C3AEE" w:rsidP="009C3AEE">
      <w:pPr>
        <w:pStyle w:val="a5"/>
        <w:spacing w:line="360" w:lineRule="auto"/>
        <w:ind w:leftChars="371" w:left="779" w:firstLine="422"/>
        <w:jc w:val="right"/>
        <w:rPr>
          <w:b/>
        </w:rPr>
      </w:pPr>
      <w:r>
        <w:rPr>
          <w:rFonts w:hint="eastAsia"/>
          <w:b/>
        </w:rPr>
        <w:t>采购代理机构：</w:t>
      </w:r>
      <w:r w:rsidRPr="009C3AEE">
        <w:rPr>
          <w:rFonts w:hint="eastAsia"/>
          <w:b/>
        </w:rPr>
        <w:t>重庆大正建设工程经济技术有限公司</w:t>
      </w:r>
    </w:p>
    <w:p w:rsidR="009C3AEE" w:rsidRPr="009C3AEE" w:rsidRDefault="009C3AEE" w:rsidP="009C3AEE">
      <w:pPr>
        <w:pStyle w:val="a5"/>
        <w:spacing w:line="360" w:lineRule="auto"/>
        <w:ind w:leftChars="371" w:left="779" w:firstLine="422"/>
        <w:jc w:val="right"/>
        <w:rPr>
          <w:b/>
        </w:rPr>
      </w:pPr>
      <w:r>
        <w:rPr>
          <w:rFonts w:hint="eastAsia"/>
          <w:b/>
        </w:rPr>
        <w:t>2021</w:t>
      </w:r>
      <w:r>
        <w:rPr>
          <w:rFonts w:hint="eastAsia"/>
          <w:b/>
        </w:rPr>
        <w:t>年</w:t>
      </w:r>
      <w:r>
        <w:rPr>
          <w:rFonts w:hint="eastAsia"/>
          <w:b/>
        </w:rPr>
        <w:t>05</w:t>
      </w:r>
      <w:r>
        <w:rPr>
          <w:rFonts w:hint="eastAsia"/>
          <w:b/>
        </w:rPr>
        <w:t>月</w:t>
      </w:r>
      <w:r>
        <w:rPr>
          <w:rFonts w:hint="eastAsia"/>
          <w:b/>
        </w:rPr>
        <w:t>20</w:t>
      </w:r>
      <w:r>
        <w:rPr>
          <w:rFonts w:hint="eastAsia"/>
          <w:b/>
        </w:rPr>
        <w:t>日</w:t>
      </w:r>
    </w:p>
    <w:sectPr w:rsidR="009C3AEE" w:rsidRPr="009C3AEE" w:rsidSect="0050117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DE" w:rsidRDefault="008E06DE" w:rsidP="00272D7C">
      <w:r>
        <w:separator/>
      </w:r>
    </w:p>
  </w:endnote>
  <w:endnote w:type="continuationSeparator" w:id="0">
    <w:p w:rsidR="008E06DE" w:rsidRDefault="008E06DE" w:rsidP="0027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DE" w:rsidRDefault="008E06DE" w:rsidP="00272D7C">
      <w:r>
        <w:separator/>
      </w:r>
    </w:p>
  </w:footnote>
  <w:footnote w:type="continuationSeparator" w:id="0">
    <w:p w:rsidR="008E06DE" w:rsidRDefault="008E06DE" w:rsidP="00272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61BAD"/>
    <w:multiLevelType w:val="hybridMultilevel"/>
    <w:tmpl w:val="34AABE3E"/>
    <w:lvl w:ilvl="0" w:tplc="5C7C9C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06D3372"/>
    <w:multiLevelType w:val="hybridMultilevel"/>
    <w:tmpl w:val="34AABE3E"/>
    <w:lvl w:ilvl="0" w:tplc="5C7C9C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D5"/>
    <w:rsid w:val="001A32DF"/>
    <w:rsid w:val="00272D7C"/>
    <w:rsid w:val="00284316"/>
    <w:rsid w:val="003726D5"/>
    <w:rsid w:val="00501176"/>
    <w:rsid w:val="008E06DE"/>
    <w:rsid w:val="009C3AEE"/>
    <w:rsid w:val="00E63243"/>
    <w:rsid w:val="00FA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2D7C"/>
    <w:rPr>
      <w:sz w:val="18"/>
      <w:szCs w:val="18"/>
    </w:rPr>
  </w:style>
  <w:style w:type="paragraph" w:styleId="a4">
    <w:name w:val="footer"/>
    <w:basedOn w:val="a"/>
    <w:link w:val="Char0"/>
    <w:uiPriority w:val="99"/>
    <w:unhideWhenUsed/>
    <w:rsid w:val="00272D7C"/>
    <w:pPr>
      <w:tabs>
        <w:tab w:val="center" w:pos="4153"/>
        <w:tab w:val="right" w:pos="8306"/>
      </w:tabs>
      <w:snapToGrid w:val="0"/>
      <w:jc w:val="left"/>
    </w:pPr>
    <w:rPr>
      <w:sz w:val="18"/>
      <w:szCs w:val="18"/>
    </w:rPr>
  </w:style>
  <w:style w:type="character" w:customStyle="1" w:styleId="Char0">
    <w:name w:val="页脚 Char"/>
    <w:basedOn w:val="a0"/>
    <w:link w:val="a4"/>
    <w:uiPriority w:val="99"/>
    <w:rsid w:val="00272D7C"/>
    <w:rPr>
      <w:sz w:val="18"/>
      <w:szCs w:val="18"/>
    </w:rPr>
  </w:style>
  <w:style w:type="paragraph" w:styleId="a5">
    <w:name w:val="List Paragraph"/>
    <w:basedOn w:val="a"/>
    <w:uiPriority w:val="34"/>
    <w:qFormat/>
    <w:rsid w:val="00272D7C"/>
    <w:pPr>
      <w:ind w:firstLineChars="200" w:firstLine="420"/>
    </w:pPr>
  </w:style>
  <w:style w:type="paragraph" w:styleId="a6">
    <w:name w:val="Body Text"/>
    <w:basedOn w:val="a"/>
    <w:next w:val="a"/>
    <w:link w:val="Char1"/>
    <w:qFormat/>
    <w:rsid w:val="00501176"/>
    <w:pPr>
      <w:spacing w:after="120"/>
    </w:pPr>
    <w:rPr>
      <w:rFonts w:ascii="宋体" w:eastAsia="宋体" w:hAnsi="Calibri" w:cs="Times New Roman"/>
      <w:kern w:val="0"/>
      <w:sz w:val="34"/>
      <w:szCs w:val="20"/>
    </w:rPr>
  </w:style>
  <w:style w:type="character" w:customStyle="1" w:styleId="Char1">
    <w:name w:val="正文文本 Char"/>
    <w:basedOn w:val="a0"/>
    <w:link w:val="a6"/>
    <w:rsid w:val="00501176"/>
    <w:rPr>
      <w:rFonts w:ascii="宋体" w:eastAsia="宋体" w:hAnsi="Calibri"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2D7C"/>
    <w:rPr>
      <w:sz w:val="18"/>
      <w:szCs w:val="18"/>
    </w:rPr>
  </w:style>
  <w:style w:type="paragraph" w:styleId="a4">
    <w:name w:val="footer"/>
    <w:basedOn w:val="a"/>
    <w:link w:val="Char0"/>
    <w:uiPriority w:val="99"/>
    <w:unhideWhenUsed/>
    <w:rsid w:val="00272D7C"/>
    <w:pPr>
      <w:tabs>
        <w:tab w:val="center" w:pos="4153"/>
        <w:tab w:val="right" w:pos="8306"/>
      </w:tabs>
      <w:snapToGrid w:val="0"/>
      <w:jc w:val="left"/>
    </w:pPr>
    <w:rPr>
      <w:sz w:val="18"/>
      <w:szCs w:val="18"/>
    </w:rPr>
  </w:style>
  <w:style w:type="character" w:customStyle="1" w:styleId="Char0">
    <w:name w:val="页脚 Char"/>
    <w:basedOn w:val="a0"/>
    <w:link w:val="a4"/>
    <w:uiPriority w:val="99"/>
    <w:rsid w:val="00272D7C"/>
    <w:rPr>
      <w:sz w:val="18"/>
      <w:szCs w:val="18"/>
    </w:rPr>
  </w:style>
  <w:style w:type="paragraph" w:styleId="a5">
    <w:name w:val="List Paragraph"/>
    <w:basedOn w:val="a"/>
    <w:uiPriority w:val="34"/>
    <w:qFormat/>
    <w:rsid w:val="00272D7C"/>
    <w:pPr>
      <w:ind w:firstLineChars="200" w:firstLine="420"/>
    </w:pPr>
  </w:style>
  <w:style w:type="paragraph" w:styleId="a6">
    <w:name w:val="Body Text"/>
    <w:basedOn w:val="a"/>
    <w:next w:val="a"/>
    <w:link w:val="Char1"/>
    <w:qFormat/>
    <w:rsid w:val="00501176"/>
    <w:pPr>
      <w:spacing w:after="120"/>
    </w:pPr>
    <w:rPr>
      <w:rFonts w:ascii="宋体" w:eastAsia="宋体" w:hAnsi="Calibri" w:cs="Times New Roman"/>
      <w:kern w:val="0"/>
      <w:sz w:val="34"/>
      <w:szCs w:val="20"/>
    </w:rPr>
  </w:style>
  <w:style w:type="character" w:customStyle="1" w:styleId="Char1">
    <w:name w:val="正文文本 Char"/>
    <w:basedOn w:val="a0"/>
    <w:link w:val="a6"/>
    <w:rsid w:val="00501176"/>
    <w:rPr>
      <w:rFonts w:ascii="宋体" w:eastAsia="宋体" w:hAnsi="Calibri"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2021-05-19T09:57:00Z</dcterms:created>
  <dcterms:modified xsi:type="dcterms:W3CDTF">2021-05-19T10:43:00Z</dcterms:modified>
</cp:coreProperties>
</file>