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公共建筑－规定性指标</w:t>
      </w:r>
      <w:bookmarkEnd w:id="0"/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hint="eastAsia" w:ascii="宋体" w:hAnsi="宋体"/>
          <w:bCs/>
          <w:sz w:val="44"/>
          <w:szCs w:val="44"/>
          <w:lang w:val="en-US"/>
        </w:rPr>
        <w:t>甲类</w:t>
      </w:r>
      <w:bookmarkEnd w:id="1"/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  <w:bookmarkEnd w:id="2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68" w:name="_GoBack" w:colFirst="0" w:colLast="1"/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钟山县特殊教育学校新建项目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3" w:name="地理位置"/>
            <w:r>
              <w:t>广西-贺州</w:t>
            </w:r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hint="eastAsia" w:ascii="宋体" w:hAnsi="宋体" w:eastAsia="宋体"/>
                <w:szCs w:val="21"/>
                <w:lang w:eastAsia="zh-CN"/>
              </w:rPr>
            </w:pPr>
            <w:bookmarkStart w:id="5" w:name="建设单位"/>
            <w:bookmarkEnd w:id="5"/>
            <w:r>
              <w:rPr>
                <w:rFonts w:hint="eastAsia" w:ascii="宋体" w:hAnsi="宋体"/>
                <w:szCs w:val="21"/>
                <w:lang w:eastAsia="zh-CN"/>
              </w:rPr>
              <w:t>钟山县特殊教育学校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6" w:name="设计单位"/>
            <w:bookmarkEnd w:id="6"/>
            <w:r>
              <w:rPr>
                <w:rFonts w:hint="eastAsia" w:ascii="宋体" w:hAnsi="宋体"/>
                <w:szCs w:val="21"/>
              </w:rPr>
              <w:t>广西汉华建筑设计有限公司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  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葛梦婷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罗耀忠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</w:tcPr>
          <w:p>
            <w:pPr>
              <w:rPr>
                <w:rFonts w:hint="default" w:ascii="宋体" w:hAnsi="宋体" w:eastAsia="宋体"/>
                <w:szCs w:val="21"/>
                <w:lang w:val="en-US" w:eastAsia="zh-CN"/>
              </w:rPr>
            </w:pPr>
            <w:bookmarkStart w:id="7" w:name="报告日期"/>
            <w:bookmarkEnd w:id="7"/>
            <w:r>
              <w:rPr>
                <w:rFonts w:hint="eastAsia" w:ascii="宋体" w:hAnsi="宋体"/>
                <w:szCs w:val="21"/>
                <w:lang w:val="en-US" w:eastAsia="zh-CN"/>
              </w:rPr>
              <w:t>2019.10.31</w:t>
            </w:r>
          </w:p>
        </w:tc>
      </w:tr>
      <w:bookmarkEnd w:id="68"/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8" w:name="二维码"/>
      <w:r>
        <w:drawing>
          <wp:inline distT="0" distB="0" distL="0" distR="0">
            <wp:extent cx="1514475" cy="15144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9" w:name="软件全称"/>
            <w:r>
              <w:t>节能设计BECS2018</w:t>
            </w:r>
            <w:bookmarkEnd w:id="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0" w:name="软件版本"/>
            <w:r>
              <w:rPr>
                <w:rFonts w:hint="eastAsia" w:ascii="宋体" w:hAnsi="宋体"/>
                <w:szCs w:val="18"/>
              </w:rPr>
              <w:t>20180829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1" w:name="加密锁号"/>
            <w:bookmarkEnd w:id="11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_Toc27418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_Toc27418 </w:instrText>
      </w:r>
      <w:r>
        <w:fldChar w:fldCharType="separate"/>
      </w:r>
      <w:r>
        <w:t>3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_Toc21111 </w:instrText>
      </w:r>
      <w: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_Toc21111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_Toc8354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_Toc8354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_Toc588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_Toc588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_Toc11771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_Toc11771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_Toc22871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_Toc22871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_Toc10940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_Toc10940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_Toc24595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_Toc24595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_Toc6055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_Toc6055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_Toc11662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_Toc11662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_Toc11172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_Toc11172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_Toc20722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天窗屋顶比</w:t>
      </w:r>
      <w:r>
        <w:tab/>
      </w:r>
      <w:r>
        <w:fldChar w:fldCharType="begin"/>
      </w:r>
      <w:r>
        <w:instrText xml:space="preserve"> PAGEREF _Toc20722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_Toc9610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9.2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_Toc9610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_Toc12457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屋顶构造</w:t>
      </w:r>
      <w:r>
        <w:tab/>
      </w:r>
      <w:r>
        <w:fldChar w:fldCharType="begin"/>
      </w:r>
      <w:r>
        <w:instrText xml:space="preserve"> PAGEREF _Toc12457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_Toc12615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_Toc12615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_Toc21358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外墙构造</w:t>
      </w:r>
      <w:r>
        <w:tab/>
      </w:r>
      <w:r>
        <w:fldChar w:fldCharType="begin"/>
      </w:r>
      <w:r>
        <w:instrText xml:space="preserve"> PAGEREF _Toc21358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_Toc8993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_Toc8993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_Toc27393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11.1.1 </w:t>
      </w:r>
      <w:r>
        <w:rPr>
          <w:kern w:val="2"/>
          <w:szCs w:val="24"/>
          <w:lang w:val="en-US"/>
        </w:rPr>
        <w:t>外墙构造一</w:t>
      </w:r>
      <w:r>
        <w:tab/>
      </w:r>
      <w:r>
        <w:fldChar w:fldCharType="begin"/>
      </w:r>
      <w:r>
        <w:instrText xml:space="preserve"> PAGEREF _Toc27393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_Toc8743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11.1.2 </w:t>
      </w:r>
      <w:r>
        <w:rPr>
          <w:kern w:val="2"/>
          <w:szCs w:val="24"/>
          <w:lang w:val="en-US"/>
        </w:rPr>
        <w:t>热桥梁构造一</w:t>
      </w:r>
      <w:r>
        <w:tab/>
      </w:r>
      <w:r>
        <w:fldChar w:fldCharType="begin"/>
      </w:r>
      <w:r>
        <w:instrText xml:space="preserve"> PAGEREF _Toc8743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_Toc30040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11.1.3 </w:t>
      </w:r>
      <w:r>
        <w:rPr>
          <w:kern w:val="2"/>
          <w:szCs w:val="24"/>
          <w:lang w:val="en-US"/>
        </w:rPr>
        <w:t>热桥柱构造一</w:t>
      </w:r>
      <w:r>
        <w:tab/>
      </w:r>
      <w:r>
        <w:fldChar w:fldCharType="begin"/>
      </w:r>
      <w:r>
        <w:instrText xml:space="preserve"> PAGEREF _Toc30040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_Toc25357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11.1.4 </w:t>
      </w:r>
      <w:r>
        <w:rPr>
          <w:kern w:val="2"/>
          <w:szCs w:val="24"/>
          <w:lang w:val="en-US"/>
        </w:rPr>
        <w:t>热桥板构造一</w:t>
      </w:r>
      <w:r>
        <w:tab/>
      </w:r>
      <w:r>
        <w:fldChar w:fldCharType="begin"/>
      </w:r>
      <w:r>
        <w:instrText xml:space="preserve"> PAGEREF _Toc25357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_Toc12421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11.2 </w:t>
      </w:r>
      <w:r>
        <w:rPr>
          <w:kern w:val="2"/>
          <w:szCs w:val="24"/>
          <w:lang w:val="en-US"/>
        </w:rPr>
        <w:t>外墙主断面传热系数的修正系数ψ</w:t>
      </w:r>
      <w:r>
        <w:tab/>
      </w:r>
      <w:r>
        <w:fldChar w:fldCharType="begin"/>
      </w:r>
      <w:r>
        <w:instrText xml:space="preserve"> PAGEREF _Toc12421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_Toc24328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11.3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_Toc24328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_Toc16044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挑空楼板构造</w:t>
      </w:r>
      <w:r>
        <w:tab/>
      </w:r>
      <w:r>
        <w:fldChar w:fldCharType="begin"/>
      </w:r>
      <w:r>
        <w:instrText xml:space="preserve"> PAGEREF _Toc16044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_Toc3686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12.1 </w:t>
      </w:r>
      <w:r>
        <w:rPr>
          <w:kern w:val="2"/>
          <w:szCs w:val="24"/>
          <w:lang w:val="en-US"/>
        </w:rPr>
        <w:t>挑空楼板构造一</w:t>
      </w:r>
      <w:r>
        <w:tab/>
      </w:r>
      <w:r>
        <w:fldChar w:fldCharType="begin"/>
      </w:r>
      <w:r>
        <w:instrText xml:space="preserve"> PAGEREF _Toc3686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_Toc697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_Toc697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_Toc11500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13.1 </w:t>
      </w:r>
      <w:r>
        <w:rPr>
          <w:kern w:val="2"/>
          <w:szCs w:val="24"/>
          <w:lang w:val="en-US"/>
        </w:rPr>
        <w:t>外窗构造</w:t>
      </w:r>
      <w:r>
        <w:tab/>
      </w:r>
      <w:r>
        <w:fldChar w:fldCharType="begin"/>
      </w:r>
      <w:r>
        <w:instrText xml:space="preserve"> PAGEREF _Toc11500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_Toc17337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_Toc17337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_Toc32337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13.2.1 </w:t>
      </w:r>
      <w:r>
        <w:rPr>
          <w:kern w:val="2"/>
          <w:szCs w:val="24"/>
          <w:lang w:val="en-US"/>
        </w:rPr>
        <w:t>平板遮阳</w:t>
      </w:r>
      <w:r>
        <w:tab/>
      </w:r>
      <w:r>
        <w:fldChar w:fldCharType="begin"/>
      </w:r>
      <w:r>
        <w:instrText xml:space="preserve"> PAGEREF _Toc32337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_Toc21503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13.3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_Toc21503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_Toc31554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13.4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_Toc31554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_Toc8834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13.5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_Toc8834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_Toc21461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有效通风换气面积</w:t>
      </w:r>
      <w:r>
        <w:tab/>
      </w:r>
      <w:r>
        <w:fldChar w:fldCharType="begin"/>
      </w:r>
      <w:r>
        <w:instrText xml:space="preserve"> PAGEREF _Toc21461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_Toc4118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_Toc4118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_Toc23131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16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_Toc23131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_Toc28517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17 </w:t>
      </w:r>
      <w:r>
        <w:rPr>
          <w:kern w:val="2"/>
          <w:szCs w:val="24"/>
          <w:lang w:val="en-US"/>
        </w:rPr>
        <w:t>幕墙气密性</w:t>
      </w:r>
      <w:r>
        <w:tab/>
      </w:r>
      <w:r>
        <w:fldChar w:fldCharType="begin"/>
      </w:r>
      <w:r>
        <w:instrText xml:space="preserve"> PAGEREF _Toc28517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_Toc16874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18 </w:t>
      </w:r>
      <w:r>
        <w:rPr>
          <w:kern w:val="2"/>
          <w:szCs w:val="24"/>
          <w:lang w:val="en-US"/>
        </w:rPr>
        <w:t>规定性指标检查结论</w:t>
      </w:r>
      <w:r>
        <w:tab/>
      </w:r>
      <w:r>
        <w:fldChar w:fldCharType="begin"/>
      </w:r>
      <w:r>
        <w:instrText xml:space="preserve"> PAGEREF _Toc16874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2" w:name="_Toc27418"/>
      <w:r>
        <w:rPr>
          <w:rFonts w:hint="eastAsia"/>
        </w:rPr>
        <w:t>建筑概况</w:t>
      </w:r>
      <w:bookmarkEnd w:id="12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3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4" w:name="工程名称"/>
            <w:r>
              <w:t>新建项目</w:t>
            </w:r>
            <w:bookmarkEnd w:id="1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工程地点"/>
            <w:r>
              <w:t>广西-贺州</w:t>
            </w:r>
            <w:bookmarkEnd w:id="1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6" w:name="纬度"/>
            <w:r>
              <w:rPr>
                <w:rFonts w:hint="eastAsia" w:ascii="宋体" w:hAnsi="宋体"/>
                <w:lang w:val="en-US"/>
              </w:rPr>
              <w:t>24.70</w:t>
            </w:r>
            <w:bookmarkEnd w:id="16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7" w:name="经度"/>
            <w:r>
              <w:rPr>
                <w:rFonts w:hint="eastAsia" w:ascii="宋体" w:hAnsi="宋体"/>
                <w:lang w:val="en-US"/>
              </w:rPr>
              <w:t>108.10</w:t>
            </w:r>
            <w:bookmarkEnd w:id="17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18" w:name="地上建筑面积"/>
            <w:r>
              <w:rPr>
                <w:rFonts w:hint="eastAsia" w:ascii="宋体" w:hAnsi="宋体"/>
                <w:lang w:val="en-US"/>
              </w:rPr>
              <w:t>2549</w:t>
            </w:r>
            <w:bookmarkEnd w:id="18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19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19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层数"/>
            <w:r>
              <w:rPr>
                <w:rFonts w:hint="eastAsia" w:ascii="宋体" w:hAnsi="宋体"/>
                <w:lang w:val="en-US"/>
              </w:rPr>
              <w:t>7</w:t>
            </w:r>
            <w:bookmarkEnd w:id="20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1" w:name="地下建筑层数"/>
            <w:r>
              <w:t>0</w:t>
            </w:r>
            <w:bookmarkEnd w:id="2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2" w:name="地上建筑高度"/>
            <w:r>
              <w:rPr>
                <w:rFonts w:hint="eastAsia" w:ascii="宋体" w:hAnsi="宋体"/>
                <w:lang w:val="en-US"/>
              </w:rPr>
              <w:t>24.9</w:t>
            </w:r>
            <w:bookmarkEnd w:id="22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3" w:name="建筑体积"/>
            <w:r>
              <w:t>9247.21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外表面积"/>
            <w:r>
              <w:t>3670.57</w:t>
            </w:r>
            <w:bookmarkEnd w:id="2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北向角度"/>
            <w:r>
              <w:t>85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结构类型"/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厂房类型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自动厂房类型"/>
            <w:r>
              <w:rPr>
                <w:rFonts w:hint="eastAsia" w:ascii="宋体" w:hAnsi="宋体"/>
                <w:lang w:val="en-US"/>
              </w:rPr>
              <w:t>-</w:t>
            </w:r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外墙ρ"/>
            <w:r>
              <w:rPr>
                <w:rFonts w:hint="eastAsia"/>
              </w:rPr>
              <w:t>0.75</w:t>
            </w:r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屋顶ρ"/>
            <w:r>
              <w:rPr>
                <w:rFonts w:hint="eastAsia"/>
              </w:rPr>
              <w:t>0.75</w:t>
            </w:r>
            <w:bookmarkEnd w:id="29"/>
          </w:p>
        </w:tc>
      </w:tr>
      <w:bookmarkEnd w:id="13"/>
    </w:tbl>
    <w:p>
      <w:pPr>
        <w:pStyle w:val="2"/>
      </w:pPr>
      <w:bookmarkStart w:id="30" w:name="_Toc21111"/>
      <w:bookmarkStart w:id="31" w:name="TitleFormat"/>
      <w:r>
        <w:rPr>
          <w:rFonts w:hint="eastAsia"/>
        </w:rPr>
        <w:t>设计依据</w:t>
      </w:r>
      <w:bookmarkEnd w:id="30"/>
    </w:p>
    <w:bookmarkEnd w:id="31"/>
    <w:p>
      <w:pPr>
        <w:widowControl w:val="0"/>
        <w:jc w:val="both"/>
        <w:rPr>
          <w:kern w:val="2"/>
          <w:szCs w:val="24"/>
          <w:lang w:val="en-US"/>
        </w:rPr>
      </w:pPr>
      <w:bookmarkStart w:id="32" w:name="计算依据"/>
      <w:bookmarkEnd w:id="32"/>
      <w:r>
        <w:rPr>
          <w:kern w:val="2"/>
          <w:szCs w:val="24"/>
          <w:lang w:val="en-US"/>
        </w:rPr>
        <w:t>1. 《广西公共建筑节能设计标准》(DBJ/45-042-2017)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《建筑幕墙》（GB/T 21086-2007）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3" w:name="_Toc8354"/>
      <w:r>
        <w:rPr>
          <w:kern w:val="2"/>
          <w:szCs w:val="24"/>
          <w:lang w:val="en-US"/>
        </w:rPr>
        <w:t>建筑大样</w:t>
      </w:r>
      <w:bookmarkEnd w:id="33"/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337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552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005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2~5层平面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005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9528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7层平面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4" w:name="_Toc588"/>
      <w:r>
        <w:rPr>
          <w:kern w:val="2"/>
          <w:szCs w:val="24"/>
          <w:lang w:val="en-US"/>
        </w:rPr>
        <w:t>工程材料</w:t>
      </w:r>
      <w:bookmarkEnd w:id="3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509"/>
        <w:gridCol w:w="1018"/>
        <w:gridCol w:w="1030"/>
        <w:gridCol w:w="848"/>
        <w:gridCol w:w="1018"/>
        <w:gridCol w:w="1188"/>
        <w:gridCol w:w="15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编</w:t>
            </w:r>
            <w:r>
              <w:br w:type="textWrapping"/>
            </w:r>
            <w:r>
              <w:t>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kg/m3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0.0210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石灰水泥砂浆（混合砂浆）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10.750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0.0975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挤塑聚苯板(ρ=25-32)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0.320</w:t>
            </w:r>
          </w:p>
        </w:tc>
        <w:tc>
          <w:tcPr>
            <w:vAlign w:val="center"/>
          </w:tcPr>
          <w:p>
            <w:r>
              <w:t>28.5</w:t>
            </w:r>
          </w:p>
        </w:tc>
        <w:tc>
          <w:tcPr>
            <w:vAlign w:val="center"/>
          </w:tcPr>
          <w:p>
            <w:r>
              <w:t>1647.0</w:t>
            </w:r>
          </w:p>
        </w:tc>
        <w:tc>
          <w:tcPr>
            <w:vAlign w:val="center"/>
          </w:tcPr>
          <w:p>
            <w:r>
              <w:t>0.0162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细石混凝土</w:t>
            </w:r>
          </w:p>
        </w:tc>
        <w:tc>
          <w:tcPr>
            <w:vAlign w:val="center"/>
          </w:tcPr>
          <w:p>
            <w:r>
              <w:t>46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17.398</w:t>
            </w:r>
          </w:p>
        </w:tc>
        <w:tc>
          <w:tcPr>
            <w:vAlign w:val="center"/>
          </w:tcPr>
          <w:p>
            <w:r>
              <w:t>2600.0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烧结页岩多孔砖</w:t>
            </w:r>
          </w:p>
        </w:tc>
        <w:tc>
          <w:tcPr>
            <w:vAlign w:val="center"/>
          </w:tcPr>
          <w:p>
            <w:r>
              <w:t>36</w:t>
            </w:r>
          </w:p>
        </w:tc>
        <w:tc>
          <w:tcPr>
            <w:vAlign w:val="center"/>
          </w:tcPr>
          <w:p>
            <w:r>
              <w:t>0.560</w:t>
            </w:r>
          </w:p>
        </w:tc>
        <w:tc>
          <w:tcPr>
            <w:vAlign w:val="center"/>
          </w:tcPr>
          <w:p>
            <w:r>
              <w:t>8.520</w:t>
            </w:r>
          </w:p>
        </w:tc>
        <w:tc>
          <w:tcPr>
            <w:vAlign w:val="center"/>
          </w:tcPr>
          <w:p>
            <w:r>
              <w:t>1300.0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38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300.0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42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夯实粘土(ρ=1800)</w:t>
            </w:r>
          </w:p>
        </w:tc>
        <w:tc>
          <w:tcPr>
            <w:vAlign w:val="center"/>
          </w:tcPr>
          <w:p>
            <w:r>
              <w:t>44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11.088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1010.0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水泥珍珠岩找坡层</w:t>
            </w:r>
          </w:p>
        </w:tc>
        <w:tc>
          <w:tcPr>
            <w:vAlign w:val="center"/>
          </w:tcPr>
          <w:p>
            <w:r>
              <w:t>47</w:t>
            </w:r>
          </w:p>
        </w:tc>
        <w:tc>
          <w:tcPr>
            <w:vAlign w:val="center"/>
          </w:tcPr>
          <w:p>
            <w:r>
              <w:t>0.490</w:t>
            </w:r>
          </w:p>
        </w:tc>
        <w:tc>
          <w:tcPr>
            <w:vAlign w:val="center"/>
          </w:tcPr>
          <w:p>
            <w:r>
              <w:t>10.408</w:t>
            </w:r>
          </w:p>
        </w:tc>
        <w:tc>
          <w:tcPr>
            <w:vAlign w:val="center"/>
          </w:tcPr>
          <w:p>
            <w:r>
              <w:t>1600.0</w:t>
            </w:r>
          </w:p>
        </w:tc>
        <w:tc>
          <w:tcPr>
            <w:vAlign w:val="center"/>
          </w:tcPr>
          <w:p>
            <w:r>
              <w:t>1900.0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保温腻子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0.067</w:t>
            </w:r>
          </w:p>
        </w:tc>
        <w:tc>
          <w:tcPr>
            <w:vAlign w:val="center"/>
          </w:tcPr>
          <w:p>
            <w:r>
              <w:t>2.570</w:t>
            </w:r>
          </w:p>
        </w:tc>
        <w:tc>
          <w:tcPr>
            <w:vAlign w:val="center"/>
          </w:tcPr>
          <w:p>
            <w:r>
              <w:t>430.0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11771"/>
      <w:r>
        <w:rPr>
          <w:kern w:val="2"/>
          <w:szCs w:val="24"/>
          <w:lang w:val="en-US"/>
        </w:rPr>
        <w:t>围护结构作法简要说明</w:t>
      </w:r>
      <w:bookmarkEnd w:id="35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 w:val="21"/>
          <w:szCs w:val="21"/>
          <w:lang w:val="en-US"/>
        </w:rPr>
        <w:t>屋顶构造一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细石混凝土 40mm＋水泥砂浆 20mm＋</w:t>
      </w:r>
      <w:r>
        <w:rPr>
          <w:color w:val="800000"/>
          <w:kern w:val="2"/>
          <w:szCs w:val="24"/>
          <w:lang w:val="en-US"/>
        </w:rPr>
        <w:t>挤塑聚苯板(ρ=25-32) 56mm</w:t>
      </w:r>
      <w:r>
        <w:rPr>
          <w:color w:val="000000"/>
          <w:kern w:val="2"/>
          <w:szCs w:val="24"/>
          <w:lang w:val="en-US"/>
        </w:rPr>
        <w:t>＋水泥砂浆 20mm＋水泥珍珠岩找坡层 20mm＋钢筋混凝土 100mm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  <w:r>
        <w:rPr>
          <w:color w:val="0000FF"/>
          <w:kern w:val="2"/>
          <w:sz w:val="21"/>
          <w:szCs w:val="21"/>
          <w:lang w:val="en-US"/>
        </w:rPr>
        <w:t>外墙构造一</w:t>
      </w:r>
      <w:r>
        <w:rPr>
          <w:color w:val="000000"/>
          <w:kern w:val="2"/>
          <w:szCs w:val="24"/>
          <w:lang w:val="en-US"/>
        </w:rPr>
        <w:t>（由外到内）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008000"/>
          <w:kern w:val="2"/>
          <w:szCs w:val="24"/>
          <w:lang w:val="en-US"/>
        </w:rPr>
        <w:t>烧结页岩多孔砖 240mm</w:t>
      </w:r>
      <w:r>
        <w:rPr>
          <w:color w:val="000000"/>
          <w:kern w:val="2"/>
          <w:szCs w:val="24"/>
          <w:lang w:val="en-US"/>
        </w:rPr>
        <w:t>＋无机保温砂浆1 15mm＋水泥砂浆 15mm＋抗裂砂浆（网格布） 5mm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挑空楼板构造：</w:t>
      </w:r>
      <w:r>
        <w:rPr>
          <w:color w:val="0000FF"/>
          <w:kern w:val="2"/>
          <w:sz w:val="21"/>
          <w:szCs w:val="21"/>
          <w:lang w:val="en-US"/>
        </w:rPr>
        <w:t>挑空楼板构造一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20mm＋钢筋混凝土 100mm＋</w:t>
      </w:r>
      <w:r>
        <w:rPr>
          <w:color w:val="800000"/>
          <w:kern w:val="2"/>
          <w:szCs w:val="24"/>
          <w:lang w:val="en-US"/>
        </w:rPr>
        <w:t>无机保温砂浆1 15mm</w:t>
      </w:r>
      <w:r>
        <w:rPr>
          <w:color w:val="000000"/>
          <w:kern w:val="2"/>
          <w:szCs w:val="24"/>
          <w:lang w:val="en-US"/>
        </w:rPr>
        <w:t>＋抗裂砂浆（网格布） 5mm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外窗构造：</w:t>
      </w:r>
      <w:r>
        <w:rPr>
          <w:color w:val="0000FF"/>
          <w:kern w:val="2"/>
          <w:sz w:val="21"/>
          <w:szCs w:val="21"/>
          <w:lang w:val="en-US"/>
        </w:rPr>
        <w:t>铝合金窗6＋9A＋6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传热系数4.000W/m^2.K，太阳得热系数0.566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6" w:name="_Toc22871"/>
      <w:r>
        <w:rPr>
          <w:color w:val="000000"/>
          <w:kern w:val="2"/>
          <w:szCs w:val="24"/>
          <w:lang w:val="en-US"/>
        </w:rPr>
        <w:t>体形系数</w:t>
      </w:r>
      <w:bookmarkEnd w:id="3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外表面积</w:t>
            </w:r>
          </w:p>
        </w:tc>
        <w:tc>
          <w:tcPr>
            <w:vAlign w:val="center"/>
          </w:tcPr>
          <w:p>
            <w:r>
              <w:t>3670.57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建筑体积</w:t>
            </w:r>
          </w:p>
        </w:tc>
        <w:tc>
          <w:tcPr>
            <w:vAlign w:val="center"/>
          </w:tcPr>
          <w:p>
            <w:r>
              <w:t>9247.21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体形系数</w:t>
            </w:r>
          </w:p>
        </w:tc>
        <w:tc>
          <w:tcPr>
            <w:vAlign w:val="center"/>
          </w:tcPr>
          <w:p>
            <w:r>
              <w:t>0.40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7" w:name="_Toc10940"/>
      <w:r>
        <w:rPr>
          <w:color w:val="000000"/>
          <w:kern w:val="2"/>
          <w:szCs w:val="24"/>
          <w:lang w:val="en-US"/>
        </w:rPr>
        <w:t>窗墙比</w:t>
      </w:r>
      <w:bookmarkEnd w:id="37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8" w:name="_Toc24595"/>
      <w:r>
        <w:rPr>
          <w:color w:val="000000"/>
          <w:kern w:val="2"/>
          <w:szCs w:val="24"/>
          <w:lang w:val="en-US"/>
        </w:rPr>
        <w:t>窗墙比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296"/>
        <w:gridCol w:w="1584"/>
        <w:gridCol w:w="1584"/>
        <w:gridCol w:w="1131"/>
        <w:gridCol w:w="1018"/>
        <w:gridCol w:w="158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337.39</w:t>
            </w:r>
          </w:p>
        </w:tc>
        <w:tc>
          <w:tcPr>
            <w:vAlign w:val="center"/>
          </w:tcPr>
          <w:p>
            <w:r>
              <w:t>1087.05</w:t>
            </w:r>
          </w:p>
        </w:tc>
        <w:tc>
          <w:tcPr>
            <w:vAlign w:val="center"/>
          </w:tcPr>
          <w:p>
            <w:r>
              <w:t>0.31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113.40</w:t>
            </w:r>
          </w:p>
        </w:tc>
        <w:tc>
          <w:tcPr>
            <w:vAlign w:val="center"/>
          </w:tcPr>
          <w:p>
            <w:r>
              <w:t>1086.97</w:t>
            </w:r>
          </w:p>
        </w:tc>
        <w:tc>
          <w:tcPr>
            <w:vAlign w:val="center"/>
          </w:tcPr>
          <w:p>
            <w:r>
              <w:t>0.10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47.04</w:t>
            </w:r>
          </w:p>
        </w:tc>
        <w:tc>
          <w:tcPr>
            <w:vAlign w:val="center"/>
          </w:tcPr>
          <w:p>
            <w:r>
              <w:t>512.59</w:t>
            </w:r>
          </w:p>
        </w:tc>
        <w:tc>
          <w:tcPr>
            <w:vAlign w:val="center"/>
          </w:tcPr>
          <w:p>
            <w:r>
              <w:t>0.09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24.00</w:t>
            </w:r>
          </w:p>
        </w:tc>
        <w:tc>
          <w:tcPr>
            <w:vAlign w:val="center"/>
          </w:tcPr>
          <w:p>
            <w:r>
              <w:t>512.59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《标准》依据</w:t>
            </w:r>
          </w:p>
        </w:tc>
        <w:tc>
          <w:tcPr>
            <w:gridSpan w:val="5"/>
            <w:vAlign w:val="center"/>
          </w:tcPr>
          <w:p>
            <w:r>
              <w:t>《广西公共建筑节能设计标准》(DBJ/45-042-2017)第3.2.1条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5"/>
            <w:vAlign w:val="center"/>
          </w:tcPr>
          <w:p>
            <w:r>
              <w:t>夏热冬暖地区甲类公共建筑各单一立面窗墙面积比 (包括透光幕墙 )均不宜大于0.70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5"/>
            <w:vAlign w:val="center"/>
          </w:tcPr>
          <w:p>
            <w:r>
              <w:t>适宜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6055"/>
      <w:r>
        <w:rPr>
          <w:color w:val="000000"/>
          <w:kern w:val="2"/>
          <w:szCs w:val="24"/>
          <w:lang w:val="en-US"/>
        </w:rPr>
        <w:t>外窗表</w:t>
      </w:r>
      <w:bookmarkEnd w:id="3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245"/>
        <w:gridCol w:w="1562"/>
        <w:gridCol w:w="1386"/>
        <w:gridCol w:w="735"/>
        <w:gridCol w:w="718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（m2）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南向</w:t>
            </w:r>
          </w:p>
        </w:tc>
        <w:tc>
          <w:tcPr>
            <w:vMerge w:val="restart"/>
            <w:vAlign w:val="center"/>
          </w:tcPr>
          <w:p>
            <w:r>
              <w:t>南-默认立面</w:t>
            </w:r>
            <w:r>
              <w:br w:type="textWrapping"/>
            </w:r>
            <w:r>
              <w:t>337.39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1.20×2.30</w:t>
            </w:r>
          </w:p>
        </w:tc>
        <w:tc>
          <w:tcPr>
            <w:vAlign w:val="center"/>
          </w:tcPr>
          <w:p>
            <w:r>
              <w:t>1,7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2.76</w:t>
            </w:r>
          </w:p>
        </w:tc>
        <w:tc>
          <w:tcPr>
            <w:vAlign w:val="center"/>
          </w:tcPr>
          <w:p>
            <w:r>
              <w:t>5.52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1.20×2.90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3.48</w:t>
            </w:r>
          </w:p>
        </w:tc>
        <w:tc>
          <w:tcPr>
            <w:vAlign w:val="center"/>
          </w:tcPr>
          <w:p>
            <w:r>
              <w:t>34.80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1.20×3.20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3.84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C1518</w:t>
            </w:r>
          </w:p>
        </w:tc>
        <w:tc>
          <w:tcPr>
            <w:vAlign w:val="center"/>
          </w:tcPr>
          <w:p>
            <w:r>
              <w:t>1.50×1.80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2.70</w:t>
            </w:r>
          </w:p>
        </w:tc>
        <w:tc>
          <w:tcPr>
            <w:vAlign w:val="center"/>
          </w:tcPr>
          <w:p>
            <w:r>
              <w:t>2.70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2.86×2.00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28.60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2.86×2.00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28.60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C2923</w:t>
            </w:r>
          </w:p>
        </w:tc>
        <w:tc>
          <w:tcPr>
            <w:vAlign w:val="center"/>
          </w:tcPr>
          <w:p>
            <w:r>
              <w:t>2.86×2.30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6.58</w:t>
            </w:r>
          </w:p>
        </w:tc>
        <w:tc>
          <w:tcPr>
            <w:vAlign w:val="center"/>
          </w:tcPr>
          <w:p>
            <w:r>
              <w:t>6.58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C2923'</w:t>
            </w:r>
          </w:p>
        </w:tc>
        <w:tc>
          <w:tcPr>
            <w:vAlign w:val="center"/>
          </w:tcPr>
          <w:p>
            <w:r>
              <w:t>2.86×2.30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6.58</w:t>
            </w:r>
          </w:p>
        </w:tc>
        <w:tc>
          <w:tcPr>
            <w:vAlign w:val="center"/>
          </w:tcPr>
          <w:p>
            <w:r>
              <w:t>6.58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3.00×2.00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</w:t>
            </w:r>
          </w:p>
        </w:tc>
        <w:tc>
          <w:tcPr>
            <w:vAlign w:val="center"/>
          </w:tcPr>
          <w:p>
            <w:r>
              <w:t>90.00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C3020'</w:t>
            </w:r>
          </w:p>
        </w:tc>
        <w:tc>
          <w:tcPr>
            <w:vAlign w:val="center"/>
          </w:tcPr>
          <w:p>
            <w:r>
              <w:t>2.95×2.00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5.90</w:t>
            </w:r>
          </w:p>
        </w:tc>
        <w:tc>
          <w:tcPr>
            <w:vAlign w:val="center"/>
          </w:tcPr>
          <w:p>
            <w:r>
              <w:t>59.00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C3020''</w:t>
            </w:r>
          </w:p>
        </w:tc>
        <w:tc>
          <w:tcPr>
            <w:vAlign w:val="center"/>
          </w:tcPr>
          <w:p>
            <w:r>
              <w:t>3.00×2.00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6.00</w:t>
            </w:r>
          </w:p>
        </w:tc>
        <w:tc>
          <w:tcPr>
            <w:vAlign w:val="center"/>
          </w:tcPr>
          <w:p>
            <w:r>
              <w:t>30.00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C3023</w:t>
            </w:r>
          </w:p>
        </w:tc>
        <w:tc>
          <w:tcPr>
            <w:vAlign w:val="center"/>
          </w:tcPr>
          <w:p>
            <w:r>
              <w:t>3.00×2.30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6.90</w:t>
            </w:r>
          </w:p>
        </w:tc>
        <w:tc>
          <w:tcPr>
            <w:vAlign w:val="center"/>
          </w:tcPr>
          <w:p>
            <w:r>
              <w:t>20.70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C3023'</w:t>
            </w:r>
          </w:p>
        </w:tc>
        <w:tc>
          <w:tcPr>
            <w:vAlign w:val="center"/>
          </w:tcPr>
          <w:p>
            <w:r>
              <w:t>2.95×2.30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6.79</w:t>
            </w:r>
          </w:p>
        </w:tc>
        <w:tc>
          <w:tcPr>
            <w:vAlign w:val="center"/>
          </w:tcPr>
          <w:p>
            <w:r>
              <w:t>13.57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C3023''</w:t>
            </w:r>
          </w:p>
        </w:tc>
        <w:tc>
          <w:tcPr>
            <w:vAlign w:val="center"/>
          </w:tcPr>
          <w:p>
            <w:r>
              <w:t>3.00×2.30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6.90</w:t>
            </w:r>
          </w:p>
        </w:tc>
        <w:tc>
          <w:tcPr>
            <w:vAlign w:val="center"/>
          </w:tcPr>
          <w:p>
            <w:r>
              <w:t>6.90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  <w:r>
              <w:br w:type="textWrapping"/>
            </w:r>
            <w:r>
              <w:t>113.40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3.00×1.80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113.40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东向</w:t>
            </w:r>
          </w:p>
        </w:tc>
        <w:tc>
          <w:tcPr>
            <w:vMerge w:val="restart"/>
            <w:vAlign w:val="center"/>
          </w:tcPr>
          <w:p>
            <w:r>
              <w:t>东-默认立面</w:t>
            </w:r>
            <w:r>
              <w:br w:type="textWrapping"/>
            </w:r>
            <w:r>
              <w:t>47.04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1.20×1.50</w:t>
            </w:r>
          </w:p>
        </w:tc>
        <w:tc>
          <w:tcPr>
            <w:vAlign w:val="center"/>
          </w:tcPr>
          <w:p>
            <w:r>
              <w:t>1~7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12.60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1.40×2.00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28.00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1.40×2.30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3.22</w:t>
            </w:r>
          </w:p>
        </w:tc>
        <w:tc>
          <w:tcPr>
            <w:vAlign w:val="center"/>
          </w:tcPr>
          <w:p>
            <w:r>
              <w:t>6.44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西向</w:t>
            </w:r>
          </w:p>
        </w:tc>
        <w:tc>
          <w:tcPr>
            <w:vMerge w:val="restart"/>
            <w:vAlign w:val="center"/>
          </w:tcPr>
          <w:p>
            <w:r>
              <w:t>西-默认立面</w:t>
            </w:r>
            <w:r>
              <w:br w:type="textWrapping"/>
            </w:r>
            <w:r>
              <w:t>24.00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1.20×2.30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2.76</w:t>
            </w:r>
          </w:p>
        </w:tc>
        <w:tc>
          <w:tcPr>
            <w:vAlign w:val="center"/>
          </w:tcPr>
          <w:p>
            <w:r>
              <w:t>2.76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1.20×2.90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3.48</w:t>
            </w:r>
          </w:p>
        </w:tc>
        <w:tc>
          <w:tcPr>
            <w:vAlign w:val="center"/>
          </w:tcPr>
          <w:p>
            <w:r>
              <w:t>17.40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1.20×3.20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3.84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11662"/>
      <w:r>
        <w:rPr>
          <w:color w:val="000000"/>
          <w:kern w:val="2"/>
          <w:szCs w:val="24"/>
          <w:lang w:val="en-US"/>
        </w:rPr>
        <w:t>可见光透射比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8"/>
        <w:gridCol w:w="1131"/>
        <w:gridCol w:w="2088"/>
        <w:gridCol w:w="2009"/>
        <w:gridCol w:w="20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透射比限值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0.31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0.10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0.09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4"/>
            <w:vAlign w:val="center"/>
          </w:tcPr>
          <w:p>
            <w:r>
              <w:t>《广西公共建筑节能设计标准》(DBJ/45-042-2017)第3.2.3条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4"/>
            <w:vAlign w:val="center"/>
          </w:tcPr>
          <w:p>
            <w:r>
              <w:t>当窗墙面积比小于0.40时，玻璃的可见光透射比不应当小于0.60;当窗墙面积比大于等于0.40时，玻璃的可见光透射比不应当小于0.40;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1172"/>
      <w:r>
        <w:rPr>
          <w:color w:val="000000"/>
          <w:kern w:val="2"/>
          <w:szCs w:val="24"/>
          <w:lang w:val="en-US"/>
        </w:rPr>
        <w:t>天窗</w:t>
      </w:r>
      <w:bookmarkEnd w:id="41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20722"/>
      <w:r>
        <w:rPr>
          <w:color w:val="000000"/>
          <w:kern w:val="2"/>
          <w:szCs w:val="24"/>
          <w:lang w:val="en-US"/>
        </w:rPr>
        <w:t>天窗屋顶比</w:t>
      </w:r>
      <w:bookmarkEnd w:id="42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9610"/>
      <w:r>
        <w:rPr>
          <w:color w:val="000000"/>
          <w:kern w:val="2"/>
          <w:szCs w:val="24"/>
          <w:lang w:val="en-US"/>
        </w:rPr>
        <w:t>天窗类型</w:t>
      </w:r>
      <w:bookmarkEnd w:id="43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2457"/>
      <w:r>
        <w:rPr>
          <w:color w:val="000000"/>
          <w:kern w:val="2"/>
          <w:szCs w:val="24"/>
          <w:lang w:val="en-US"/>
        </w:rPr>
        <w:t>屋顶构造</w:t>
      </w:r>
      <w:bookmarkEnd w:id="44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2615"/>
      <w:r>
        <w:rPr>
          <w:color w:val="000000"/>
          <w:kern w:val="2"/>
          <w:szCs w:val="24"/>
          <w:lang w:val="en-US"/>
        </w:rPr>
        <w:t>屋顶构造一</w:t>
      </w:r>
      <w:bookmarkEnd w:id="4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细石混凝土</w:t>
            </w:r>
          </w:p>
        </w:tc>
        <w:tc>
          <w:tcPr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17.398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0.023</w:t>
            </w:r>
          </w:p>
        </w:tc>
        <w:tc>
          <w:tcPr>
            <w:vAlign w:val="center"/>
          </w:tcPr>
          <w:p>
            <w:r>
              <w:t>0.400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挤塑聚苯板(ρ=25-32)</w:t>
            </w:r>
          </w:p>
        </w:tc>
        <w:tc>
          <w:tcPr>
            <w:vAlign w:val="center"/>
          </w:tcPr>
          <w:p>
            <w:r>
              <w:t>56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0.320</w:t>
            </w:r>
          </w:p>
        </w:tc>
        <w:tc>
          <w:tcPr>
            <w:vAlign w:val="center"/>
          </w:tcPr>
          <w:p>
            <w:r>
              <w:t>1.20</w:t>
            </w:r>
          </w:p>
        </w:tc>
        <w:tc>
          <w:tcPr>
            <w:vAlign w:val="center"/>
          </w:tcPr>
          <w:p>
            <w:r>
              <w:t>1.556</w:t>
            </w:r>
          </w:p>
        </w:tc>
        <w:tc>
          <w:tcPr>
            <w:vAlign w:val="center"/>
          </w:tcPr>
          <w:p>
            <w:r>
              <w:t>0.597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水泥珍珠岩找坡层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0.490</w:t>
            </w:r>
          </w:p>
        </w:tc>
        <w:tc>
          <w:tcPr>
            <w:vAlign w:val="center"/>
          </w:tcPr>
          <w:p>
            <w:r>
              <w:t>10.408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0.041</w:t>
            </w:r>
          </w:p>
        </w:tc>
        <w:tc>
          <w:tcPr>
            <w:vAlign w:val="center"/>
          </w:tcPr>
          <w:p>
            <w:r>
              <w:t>0.425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256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1.720</w:t>
            </w:r>
          </w:p>
        </w:tc>
        <w:tc>
          <w:tcPr>
            <w:vAlign w:val="center"/>
          </w:tcPr>
          <w:p>
            <w:r>
              <w:t>2.895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《广西公共建筑节能设计标准》(DBJ/45-042-2017)第3.3.1条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K应满足表3.3.1-2的规定(K≤0.80)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21358"/>
      <w:r>
        <w:rPr>
          <w:color w:val="000000"/>
          <w:kern w:val="2"/>
          <w:szCs w:val="24"/>
          <w:lang w:val="en-US"/>
        </w:rPr>
        <w:t>外墙构造</w:t>
      </w:r>
      <w:bookmarkEnd w:id="46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8993"/>
      <w:r>
        <w:rPr>
          <w:color w:val="000000"/>
          <w:kern w:val="2"/>
          <w:szCs w:val="24"/>
          <w:lang w:val="en-US"/>
        </w:rPr>
        <w:t>外墙相关构造</w:t>
      </w:r>
      <w:bookmarkEnd w:id="47"/>
    </w:p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27393"/>
      <w:r>
        <w:rPr>
          <w:color w:val="000000"/>
          <w:kern w:val="2"/>
          <w:szCs w:val="24"/>
          <w:lang w:val="en-US"/>
        </w:rPr>
        <w:t>外墙构造一</w:t>
      </w:r>
      <w:bookmarkEnd w:id="4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烧结页岩多孔砖</w:t>
            </w:r>
          </w:p>
        </w:tc>
        <w:tc>
          <w:tcPr>
            <w:vAlign w:val="center"/>
          </w:tcPr>
          <w:p>
            <w:r>
              <w:t>240</w:t>
            </w:r>
          </w:p>
        </w:tc>
        <w:tc>
          <w:tcPr>
            <w:vAlign w:val="center"/>
          </w:tcPr>
          <w:p>
            <w:r>
              <w:t>0.560</w:t>
            </w:r>
          </w:p>
        </w:tc>
        <w:tc>
          <w:tcPr>
            <w:vAlign w:val="center"/>
          </w:tcPr>
          <w:p>
            <w:r>
              <w:t>8.520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0.429</w:t>
            </w:r>
          </w:p>
        </w:tc>
        <w:tc>
          <w:tcPr>
            <w:vAlign w:val="center"/>
          </w:tcPr>
          <w:p>
            <w:r>
              <w:t>3.651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295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0.636</w:t>
            </w:r>
          </w:p>
        </w:tc>
        <w:tc>
          <w:tcPr>
            <w:vAlign w:val="center"/>
          </w:tcPr>
          <w:p>
            <w:r>
              <w:t>4.406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8743"/>
      <w:r>
        <w:rPr>
          <w:color w:val="000000"/>
          <w:kern w:val="2"/>
          <w:szCs w:val="24"/>
          <w:lang w:val="en-US"/>
        </w:rPr>
        <w:t>热桥梁构造一</w:t>
      </w:r>
      <w:bookmarkEnd w:id="4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240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0.138</w:t>
            </w:r>
          </w:p>
        </w:tc>
        <w:tc>
          <w:tcPr>
            <w:vAlign w:val="center"/>
          </w:tcPr>
          <w:p>
            <w:r>
              <w:t>2.372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295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0.346</w:t>
            </w:r>
          </w:p>
        </w:tc>
        <w:tc>
          <w:tcPr>
            <w:vAlign w:val="center"/>
          </w:tcPr>
          <w:p>
            <w:r>
              <w:t>3.127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t>1.98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30040"/>
      <w:r>
        <w:rPr>
          <w:color w:val="000000"/>
          <w:kern w:val="2"/>
          <w:szCs w:val="24"/>
          <w:lang w:val="en-US"/>
        </w:rPr>
        <w:t>热桥柱构造一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0.287</w:t>
            </w:r>
          </w:p>
        </w:tc>
        <w:tc>
          <w:tcPr>
            <w:vAlign w:val="center"/>
          </w:tcPr>
          <w:p>
            <w:r>
              <w:t>4.943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555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0.495</w:t>
            </w:r>
          </w:p>
        </w:tc>
        <w:tc>
          <w:tcPr>
            <w:vAlign w:val="center"/>
          </w:tcPr>
          <w:p>
            <w:r>
              <w:t>5.697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1.53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25357"/>
      <w:r>
        <w:rPr>
          <w:color w:val="000000"/>
          <w:kern w:val="2"/>
          <w:szCs w:val="24"/>
          <w:lang w:val="en-US"/>
        </w:rPr>
        <w:t>热桥板构造一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140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0.100</w:t>
            </w:r>
          </w:p>
        </w:tc>
        <w:tc>
          <w:tcPr>
            <w:vAlign w:val="center"/>
          </w:tcPr>
          <w:p>
            <w:r>
              <w:t>1.473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3.84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2421"/>
      <w:r>
        <w:rPr>
          <w:color w:val="000000"/>
          <w:kern w:val="2"/>
          <w:szCs w:val="24"/>
          <w:lang w:val="en-US"/>
        </w:rPr>
        <w:t>外墙主断面传热系数的修正系数ψ</w:t>
      </w:r>
      <w:bookmarkEnd w:id="52"/>
    </w:p>
    <w:p>
      <w:pPr>
        <w:jc w:val="center"/>
        <w:rPr>
          <w:szCs w:val="21"/>
          <w:lang w:val="en-US"/>
        </w:rPr>
      </w:pPr>
      <w:r>
        <w:rPr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"/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24328"/>
      <w:r>
        <w:rPr>
          <w:color w:val="000000"/>
          <w:kern w:val="2"/>
          <w:szCs w:val="24"/>
          <w:lang w:val="en-US"/>
        </w:rPr>
        <w:t>外墙平均热工特性</w:t>
      </w:r>
      <w:bookmarkEnd w:id="53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746.51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900.07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462.40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463.39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2572.39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《广西公共建筑节能设计标准》(DBJ/45-042-2017)第3.3.1条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K应满足表3.3.1-2的规定(K≤1.50)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16044"/>
      <w:r>
        <w:rPr>
          <w:color w:val="000000"/>
          <w:kern w:val="2"/>
          <w:szCs w:val="24"/>
          <w:lang w:val="en-US"/>
        </w:rPr>
        <w:t>挑空楼板构造</w:t>
      </w:r>
      <w:bookmarkEnd w:id="54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3686"/>
      <w:r>
        <w:rPr>
          <w:color w:val="000000"/>
          <w:kern w:val="2"/>
          <w:szCs w:val="24"/>
          <w:lang w:val="en-US"/>
        </w:rPr>
        <w:t>挑空楼板构造一</w:t>
      </w:r>
      <w:bookmarkEnd w:id="5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140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0.249</w:t>
            </w:r>
          </w:p>
        </w:tc>
        <w:tc>
          <w:tcPr>
            <w:vAlign w:val="center"/>
          </w:tcPr>
          <w:p>
            <w:r>
              <w:t>1.562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2.44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《广西公共建筑节能设计标准》(DBJ/45-042-2017)第3.3.1条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K≤1.50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rPr>
                <w:color w:val="FF0000"/>
              </w:rPr>
              <w:t>不满足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697"/>
      <w:r>
        <w:rPr>
          <w:color w:val="000000"/>
          <w:kern w:val="2"/>
          <w:szCs w:val="24"/>
          <w:lang w:val="en-US"/>
        </w:rPr>
        <w:t>外窗热工</w:t>
      </w:r>
      <w:bookmarkEnd w:id="56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11500"/>
      <w:r>
        <w:rPr>
          <w:color w:val="000000"/>
          <w:kern w:val="2"/>
          <w:szCs w:val="24"/>
          <w:lang w:val="en-US"/>
        </w:rPr>
        <w:t>外窗构造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867"/>
        <w:gridCol w:w="826"/>
        <w:gridCol w:w="832"/>
        <w:gridCol w:w="956"/>
        <w:gridCol w:w="956"/>
        <w:gridCol w:w="29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铝合金窗6＋9A＋6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0.57</w:t>
            </w:r>
          </w:p>
        </w:tc>
        <w:tc>
          <w:tcPr>
            <w:vAlign w:val="center"/>
          </w:tcPr>
          <w:p>
            <w:r>
              <w:t>0.700</w:t>
            </w:r>
          </w:p>
        </w:tc>
        <w:tc>
          <w:tcPr>
            <w:vAlign w:val="center"/>
          </w:tcPr>
          <w:p>
            <w:r>
              <w:t>同上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17337"/>
      <w:r>
        <w:rPr>
          <w:color w:val="000000"/>
          <w:kern w:val="2"/>
          <w:szCs w:val="24"/>
          <w:lang w:val="en-US"/>
        </w:rPr>
        <w:t>外遮阳类型</w:t>
      </w:r>
      <w:bookmarkEnd w:id="58"/>
    </w:p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32337"/>
      <w:r>
        <w:rPr>
          <w:color w:val="000000"/>
          <w:kern w:val="2"/>
          <w:szCs w:val="24"/>
          <w:lang w:val="en-US"/>
        </w:rPr>
        <w:t>平板遮阳</w:t>
      </w:r>
      <w:bookmarkEnd w:id="59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689"/>
        <w:gridCol w:w="1146"/>
        <w:gridCol w:w="1146"/>
        <w:gridCol w:w="1146"/>
        <w:gridCol w:w="1146"/>
        <w:gridCol w:w="1146"/>
        <w:gridCol w:w="11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水平挑出</w:t>
            </w:r>
            <w:r>
              <w:br w:type="textWrapping"/>
            </w:r>
            <w:r>
              <w:t>Ah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距离上沿</w:t>
            </w:r>
            <w:r>
              <w:br w:type="textWrapping"/>
            </w:r>
            <w:r>
              <w:t>Eh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垂直挑出</w:t>
            </w:r>
            <w:r>
              <w:br w:type="textWrapping"/>
            </w:r>
            <w:r>
              <w:t>Av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距离边沿</w:t>
            </w:r>
            <w:r>
              <w:br w:type="textWrapping"/>
            </w:r>
            <w:r>
              <w:t>Ev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挡板高</w:t>
            </w:r>
            <w:r>
              <w:br w:type="textWrapping"/>
            </w:r>
            <w:r>
              <w:t>Dh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挡板透射</w:t>
            </w:r>
            <w:r>
              <w:br w:type="textWrapping"/>
            </w:r>
            <w:r>
              <w:t>η*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平板遮阳0</w:t>
            </w:r>
          </w:p>
        </w:tc>
        <w:tc>
          <w:tcPr>
            <w:vAlign w:val="center"/>
          </w:tcPr>
          <w:p>
            <w:r>
              <w:t>2.400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21503"/>
      <w:r>
        <w:rPr>
          <w:color w:val="000000"/>
          <w:kern w:val="2"/>
          <w:szCs w:val="24"/>
          <w:lang w:val="en-US"/>
        </w:rPr>
        <w:t>平均传热系数</w:t>
      </w:r>
      <w:bookmarkEnd w:id="60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1,7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5.520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34.800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C1518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C2923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C2923'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90.000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C3020'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5.900</w:t>
            </w:r>
          </w:p>
        </w:tc>
        <w:tc>
          <w:tcPr>
            <w:vAlign w:val="center"/>
          </w:tcPr>
          <w:p>
            <w:r>
              <w:t>59.000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C3020''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30.000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C3023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20.700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C3023'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6.785</w:t>
            </w:r>
          </w:p>
        </w:tc>
        <w:tc>
          <w:tcPr>
            <w:vAlign w:val="center"/>
          </w:tcPr>
          <w:p>
            <w:r>
              <w:t>13.570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C3023''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337.386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1~7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2.800</w:t>
            </w:r>
          </w:p>
        </w:tc>
        <w:tc>
          <w:tcPr>
            <w:vAlign w:val="center"/>
          </w:tcPr>
          <w:p>
            <w:r>
              <w:t>28.000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3.220</w:t>
            </w:r>
          </w:p>
        </w:tc>
        <w:tc>
          <w:tcPr>
            <w:vAlign w:val="center"/>
          </w:tcPr>
          <w:p>
            <w:r>
              <w:t>6.440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47.040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17.400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24.000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1" w:name="_Toc31554"/>
      <w:r>
        <w:rPr>
          <w:color w:val="000000"/>
          <w:kern w:val="2"/>
          <w:szCs w:val="24"/>
          <w:lang w:val="en-US"/>
        </w:rPr>
        <w:t>综合太阳得热系数</w:t>
      </w:r>
      <w:bookmarkEnd w:id="61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1,7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5.520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34.800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C1518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C2923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C2923'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90.000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C3020'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5.900</w:t>
            </w:r>
          </w:p>
        </w:tc>
        <w:tc>
          <w:tcPr>
            <w:vAlign w:val="center"/>
          </w:tcPr>
          <w:p>
            <w:r>
              <w:t>59.000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C3020''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30.000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C3023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20.700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C3023'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6.785</w:t>
            </w:r>
          </w:p>
        </w:tc>
        <w:tc>
          <w:tcPr>
            <w:vAlign w:val="center"/>
          </w:tcPr>
          <w:p>
            <w:r>
              <w:t>13.570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C3023''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337.386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0.830</w:t>
            </w:r>
          </w:p>
        </w:tc>
        <w:tc>
          <w:tcPr>
            <w:vAlign w:val="center"/>
          </w:tcPr>
          <w:p>
            <w:r>
              <w:t>0.470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平板遮阳0</w:t>
            </w:r>
          </w:p>
        </w:tc>
        <w:tc>
          <w:tcPr>
            <w:vAlign w:val="center"/>
          </w:tcPr>
          <w:p>
            <w:r>
              <w:t>0.710</w:t>
            </w:r>
          </w:p>
        </w:tc>
        <w:tc>
          <w:tcPr>
            <w:vAlign w:val="center"/>
          </w:tcPr>
          <w:p>
            <w:r>
              <w:t>0.402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0.710</w:t>
            </w:r>
          </w:p>
        </w:tc>
        <w:tc>
          <w:tcPr>
            <w:vAlign w:val="center"/>
          </w:tcPr>
          <w:p>
            <w:r>
              <w:t>0.402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1~7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2.800</w:t>
            </w:r>
          </w:p>
        </w:tc>
        <w:tc>
          <w:tcPr>
            <w:vAlign w:val="center"/>
          </w:tcPr>
          <w:p>
            <w:r>
              <w:t>28.000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3.220</w:t>
            </w:r>
          </w:p>
        </w:tc>
        <w:tc>
          <w:tcPr>
            <w:vAlign w:val="center"/>
          </w:tcPr>
          <w:p>
            <w:r>
              <w:t>6.440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47.040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17.400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24.000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2" w:name="_Toc8834"/>
      <w:r>
        <w:rPr>
          <w:color w:val="000000"/>
          <w:kern w:val="2"/>
          <w:szCs w:val="24"/>
          <w:lang w:val="en-US"/>
        </w:rPr>
        <w:t>总体热工性能</w:t>
      </w:r>
      <w:bookmarkEnd w:id="6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337.39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0.31</w:t>
            </w:r>
          </w:p>
        </w:tc>
        <w:tc>
          <w:tcPr>
            <w:vAlign w:val="center"/>
          </w:tcPr>
          <w:p>
            <w:r>
              <w:t>K≤3.00, SHGC≤0.35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113.40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0.40</w:t>
            </w:r>
          </w:p>
        </w:tc>
        <w:tc>
          <w:tcPr>
            <w:vAlign w:val="center"/>
          </w:tcPr>
          <w:p>
            <w:r>
              <w:t>0.10</w:t>
            </w:r>
          </w:p>
        </w:tc>
        <w:tc>
          <w:tcPr>
            <w:vAlign w:val="center"/>
          </w:tcPr>
          <w:p>
            <w:r>
              <w:t>K≤5.20, SHGC(不要求)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47.04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0.57</w:t>
            </w:r>
          </w:p>
        </w:tc>
        <w:tc>
          <w:tcPr>
            <w:vAlign w:val="center"/>
          </w:tcPr>
          <w:p>
            <w:r>
              <w:t>0.09</w:t>
            </w:r>
          </w:p>
        </w:tc>
        <w:tc>
          <w:tcPr>
            <w:vAlign w:val="center"/>
          </w:tcPr>
          <w:p>
            <w:r>
              <w:t>K≤5.20, SHGC≤0.52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24.00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0.57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t>K≤5.20, SHGC≤0.52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521.83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0.16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7"/>
            <w:vAlign w:val="center"/>
          </w:tcPr>
          <w:p>
            <w:r>
              <w:t>《广西公共建筑节能设计标准》(DBJ/45-042-2017)第3.3.1条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7"/>
            <w:vAlign w:val="center"/>
          </w:tcPr>
          <w:p>
            <w:r>
              <w:t>外窗传热系数和综合太阳得热系数满足表3.3.1-2的要求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7"/>
            <w:vAlign w:val="center"/>
          </w:tcPr>
          <w:p>
            <w:r>
              <w:rPr>
                <w:color w:val="FF0000"/>
              </w:rPr>
              <w:t>不满足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3" w:name="_Toc21461"/>
      <w:r>
        <w:rPr>
          <w:color w:val="000000"/>
          <w:kern w:val="2"/>
          <w:szCs w:val="24"/>
          <w:lang w:val="en-US"/>
        </w:rPr>
        <w:t>有效通风换气面积</w:t>
      </w:r>
      <w:bookmarkEnd w:id="6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62"/>
        <w:gridCol w:w="735"/>
        <w:gridCol w:w="735"/>
        <w:gridCol w:w="962"/>
        <w:gridCol w:w="735"/>
        <w:gridCol w:w="679"/>
        <w:gridCol w:w="679"/>
        <w:gridCol w:w="1075"/>
        <w:gridCol w:w="1018"/>
        <w:gridCol w:w="10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有效通风面积/立面面积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1001</w:t>
            </w:r>
          </w:p>
        </w:tc>
        <w:tc>
          <w:tcPr>
            <w:vAlign w:val="center"/>
          </w:tcPr>
          <w:p>
            <w:r>
              <w:t>30.74</w:t>
            </w:r>
          </w:p>
        </w:tc>
        <w:tc>
          <w:tcPr>
            <w:vAlign w:val="center"/>
          </w:tcPr>
          <w:p>
            <w:r>
              <w:t>29.64</w:t>
            </w:r>
          </w:p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3.22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1002</w:t>
            </w:r>
          </w:p>
        </w:tc>
        <w:tc>
          <w:tcPr>
            <w:vAlign w:val="center"/>
          </w:tcPr>
          <w:p>
            <w:r>
              <w:t>44.29</w:t>
            </w:r>
          </w:p>
        </w:tc>
        <w:tc>
          <w:tcPr>
            <w:vAlign w:val="center"/>
          </w:tcPr>
          <w:p>
            <w:r>
              <w:t>86.58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0.01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1003</w:t>
            </w:r>
          </w:p>
        </w:tc>
        <w:tc>
          <w:tcPr>
            <w:vMerge w:val="restart"/>
            <w:vAlign w:val="center"/>
          </w:tcPr>
          <w:p>
            <w:r>
              <w:t>27.90</w:t>
            </w:r>
          </w:p>
        </w:tc>
        <w:tc>
          <w:tcPr>
            <w:vMerge w:val="restart"/>
            <w:vAlign w:val="center"/>
          </w:tcPr>
          <w:p>
            <w:r>
              <w:t>72.74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0.36</w:t>
            </w:r>
          </w:p>
        </w:tc>
        <w:tc>
          <w:tcPr>
            <w:vMerge w:val="restart"/>
            <w:vAlign w:val="center"/>
          </w:tcPr>
          <w:p>
            <w:r>
              <w:t>0.05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2.76</w:t>
            </w:r>
          </w:p>
        </w:tc>
        <w:tc>
          <w:tcPr>
            <w:vAlign w:val="center"/>
          </w:tcPr>
          <w:p>
            <w:r>
              <w:t>0.35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2</w:t>
            </w:r>
          </w:p>
        </w:tc>
        <w:tc>
          <w:tcPr>
            <w:vMerge w:val="restart"/>
            <w:vAlign w:val="center"/>
          </w:tcPr>
          <w:p>
            <w:r>
              <w:t>1012</w:t>
            </w:r>
          </w:p>
        </w:tc>
        <w:tc>
          <w:tcPr>
            <w:vMerge w:val="restart"/>
            <w:vAlign w:val="center"/>
          </w:tcPr>
          <w:p>
            <w:r>
              <w:t>63.22</w:t>
            </w:r>
          </w:p>
        </w:tc>
        <w:tc>
          <w:tcPr>
            <w:vMerge w:val="restart"/>
            <w:vAlign w:val="center"/>
          </w:tcPr>
          <w:p>
            <w:r>
              <w:t>86.76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0.47</w:t>
            </w:r>
          </w:p>
        </w:tc>
        <w:tc>
          <w:tcPr>
            <w:vMerge w:val="restart"/>
            <w:vAlign w:val="center"/>
          </w:tcPr>
          <w:p>
            <w:r>
              <w:t>0.03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1014</w:t>
            </w:r>
          </w:p>
        </w:tc>
        <w:tc>
          <w:tcPr>
            <w:vMerge w:val="restart"/>
            <w:vAlign w:val="center"/>
          </w:tcPr>
          <w:p>
            <w:r>
              <w:t>56.64</w:t>
            </w:r>
          </w:p>
        </w:tc>
        <w:tc>
          <w:tcPr>
            <w:vMerge w:val="restart"/>
            <w:vAlign w:val="center"/>
          </w:tcPr>
          <w:p>
            <w:r>
              <w:t>86.40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0.48</w:t>
            </w:r>
          </w:p>
        </w:tc>
        <w:tc>
          <w:tcPr>
            <w:vMerge w:val="restart"/>
            <w:vAlign w:val="center"/>
          </w:tcPr>
          <w:p>
            <w:r>
              <w:t>0.09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2001</w:t>
            </w:r>
          </w:p>
        </w:tc>
        <w:tc>
          <w:tcPr>
            <w:vAlign w:val="center"/>
          </w:tcPr>
          <w:p>
            <w:r>
              <w:t>44.29</w:t>
            </w:r>
          </w:p>
        </w:tc>
        <w:tc>
          <w:tcPr>
            <w:vAlign w:val="center"/>
          </w:tcPr>
          <w:p>
            <w:r>
              <w:t>79.92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0.01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6</w:t>
            </w:r>
          </w:p>
        </w:tc>
        <w:tc>
          <w:tcPr>
            <w:vMerge w:val="restart"/>
            <w:vAlign w:val="center"/>
          </w:tcPr>
          <w:p>
            <w:r>
              <w:t>1019</w:t>
            </w:r>
          </w:p>
        </w:tc>
        <w:tc>
          <w:tcPr>
            <w:vMerge w:val="restart"/>
            <w:vAlign w:val="center"/>
          </w:tcPr>
          <w:p>
            <w:r>
              <w:t>63.22</w:t>
            </w:r>
          </w:p>
        </w:tc>
        <w:tc>
          <w:tcPr>
            <w:vMerge w:val="restart"/>
            <w:vAlign w:val="center"/>
          </w:tcPr>
          <w:p>
            <w:r>
              <w:t>86.76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0.48</w:t>
            </w:r>
          </w:p>
        </w:tc>
        <w:tc>
          <w:tcPr>
            <w:vMerge w:val="restart"/>
            <w:vAlign w:val="center"/>
          </w:tcPr>
          <w:p>
            <w:r>
              <w:t>0.03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1025</w:t>
            </w:r>
          </w:p>
        </w:tc>
        <w:tc>
          <w:tcPr>
            <w:vAlign w:val="center"/>
          </w:tcPr>
          <w:p>
            <w:r>
              <w:t>28.67</w:t>
            </w:r>
          </w:p>
        </w:tc>
        <w:tc>
          <w:tcPr>
            <w:vAlign w:val="center"/>
          </w:tcPr>
          <w:p>
            <w:r>
              <w:t>57.60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6001</w:t>
            </w:r>
          </w:p>
        </w:tc>
        <w:tc>
          <w:tcPr>
            <w:vAlign w:val="center"/>
          </w:tcPr>
          <w:p>
            <w:r>
              <w:t>44.30</w:t>
            </w:r>
          </w:p>
        </w:tc>
        <w:tc>
          <w:tcPr>
            <w:vAlign w:val="center"/>
          </w:tcPr>
          <w:p>
            <w:r>
              <w:t>79.92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0.01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《广西公共建筑节能设计标准》(DBJ/45-042-2017)第3.2.7条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 xml:space="preserve">甲类建筑外窗有效通风换气面积不宜小于所在房间立面面积的10%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4" w:name="_Toc4118"/>
      <w:r>
        <w:rPr>
          <w:color w:val="000000"/>
          <w:kern w:val="2"/>
          <w:szCs w:val="24"/>
          <w:lang w:val="en-US"/>
        </w:rPr>
        <w:t>非中空窗面积比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228.99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70.20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32.24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17.04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《标准》依据</w:t>
            </w:r>
          </w:p>
        </w:tc>
        <w:tc>
          <w:tcPr>
            <w:gridSpan w:val="5"/>
            <w:vAlign w:val="center"/>
          </w:tcPr>
          <w:p>
            <w:r>
              <w:t>《广西公共建筑节能设计标准》(DBJ/45-042-2017)第3.3.7条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5"/>
            <w:vAlign w:val="center"/>
          </w:tcPr>
          <w:p>
            <w:r>
              <w:t>非中空玻璃的面积不应超过同一立面透光面积的15%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5"/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5" w:name="_Toc23131"/>
      <w:r>
        <w:rPr>
          <w:color w:val="000000"/>
          <w:kern w:val="2"/>
          <w:szCs w:val="24"/>
          <w:lang w:val="en-US"/>
        </w:rPr>
        <w:t>外窗气密性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534"/>
        <w:gridCol w:w="35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层数</w:t>
            </w:r>
          </w:p>
        </w:tc>
        <w:tc>
          <w:tcPr>
            <w:vAlign w:val="center"/>
          </w:tcPr>
          <w:p>
            <w:r>
              <w:t>1～9层</w:t>
            </w:r>
          </w:p>
        </w:tc>
        <w:tc>
          <w:tcPr>
            <w:vAlign w:val="center"/>
          </w:tcPr>
          <w:p>
            <w:r>
              <w:t>10层以上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vAlign w:val="center"/>
          </w:tcPr>
          <w:p>
            <w:r>
              <w:t>6级  C1215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《广西公共建筑节能设计标准》(DBJ/45-042-2017)第3.3.5条，分级与检测方法《建筑外门窗气密、水密、抗风压性能分级及检测方法》（GB/T 7106-2008）</w:t>
            </w:r>
          </w:p>
        </w:tc>
        <w:tc>
          <w:tcPr>
            <w:vAlign w:val="center"/>
          </w:tcPr>
          <w:p>
            <w:r>
              <w:t>《广西公共建筑节能设计标准》(DBJ/45-042-2017)第3.3.5条，分级与检测方法《建筑外门窗气密、水密、抗风压性能分级及检测方法》（GB/T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>10层以下外窗气密性不应低于《建筑外门窗气密、水密、抗风压性能分级及检测方法》（GB/T 7106-2008）的6级</w:t>
            </w:r>
          </w:p>
        </w:tc>
        <w:tc>
          <w:tcPr>
            <w:vAlign w:val="center"/>
          </w:tcPr>
          <w:p>
            <w:r>
              <w:t>10层及以上外窗气密性不应低于《建筑外门窗气密、水密、抗风压性能分级及检测方法》（GB/T 7106-2008）的7级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6" w:name="_Toc28517"/>
      <w:r>
        <w:rPr>
          <w:color w:val="000000"/>
          <w:kern w:val="2"/>
          <w:szCs w:val="24"/>
          <w:lang w:val="en-US"/>
        </w:rPr>
        <w:t>幕墙气密性</w:t>
      </w:r>
      <w:bookmarkEnd w:id="6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幕墙气密性措施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《广西公共建筑节能设计标准》(DBJ/45-042-2017)第3.3.6条，《建筑幕墙》（GB/T 21086-2007）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>幕墙气密性不应低于《建筑幕墙》（GB/T 21086-2007）的3级，即《建筑幕墙物理性能分级》(GB/T15225-94)的3级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7" w:name="_Toc16874"/>
      <w:r>
        <w:rPr>
          <w:color w:val="000000"/>
          <w:kern w:val="2"/>
          <w:szCs w:val="24"/>
          <w:lang w:val="en-US"/>
        </w:rPr>
        <w:t>规定性指标检查结论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1415"/>
        <w:gridCol w:w="27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可否性能权衡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窗墙比</w:t>
            </w:r>
          </w:p>
        </w:tc>
        <w:tc>
          <w:tcPr>
            <w:vAlign w:val="center"/>
          </w:tcPr>
          <w:p>
            <w:r>
              <w:t>适宜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可见光透射比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天窗类型</w:t>
            </w:r>
          </w:p>
        </w:tc>
        <w:tc>
          <w:tcPr>
            <w:vAlign w:val="center"/>
          </w:tcPr>
          <w:p>
            <w:r>
              <w:t>无屋顶透光部分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屋顶构造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外墙构造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挑空楼板构造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>
            <w:r>
              <w:t>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外窗热工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>
            <w:r>
              <w:t>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有效通风换气面积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  <w:tc>
          <w:tcPr>
            <w:vAlign w:val="center"/>
          </w:tcPr>
          <w:p>
            <w:r>
              <w:t>可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非中空窗面积比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外窗气密性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幕墙气密性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不满足</w:t>
            </w:r>
          </w:p>
        </w:tc>
        <w:tc>
          <w:tcPr>
            <w:vAlign w:val="center"/>
          </w:tcPr>
          <w:p>
            <w:r>
              <w:t>可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r>
        <w:rPr>
          <w:color w:val="000000"/>
        </w:rPr>
        <w:t>□说明：本工程规定性指标设计</w:t>
      </w:r>
      <w:r>
        <w:rPr>
          <w:b/>
          <w:color w:val="FF0000"/>
        </w:rPr>
        <w:t>不满足</w:t>
      </w:r>
      <w:r>
        <w:rPr>
          <w:color w:val="000000"/>
        </w:rPr>
        <w:t>要求，需依据《广西公共建筑节能设计标准》》(DBJ/45-042-2017)的要求进行节能设计的权衡判断。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7F62"/>
    <w:rsid w:val="001915A3"/>
    <w:rsid w:val="00217F62"/>
    <w:rsid w:val="00A906D8"/>
    <w:rsid w:val="00AB5A74"/>
    <w:rsid w:val="00F071AE"/>
    <w:rsid w:val="39052694"/>
    <w:rsid w:val="7423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0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建筑节能计算报告.dotx</Template>
  <Company>ths</Company>
  <Pages>4</Pages>
  <Words>899</Words>
  <Characters>5126</Characters>
  <Lines>42</Lines>
  <Paragraphs>12</Paragraphs>
  <TotalTime>1</TotalTime>
  <ScaleCrop>false</ScaleCrop>
  <LinksUpToDate>false</LinksUpToDate>
  <CharactersWithSpaces>6013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2017-02-07T08:42:00Z</dcterms:created>
  <dc:creator>wxk</dc:creator>
  <cp:lastModifiedBy>MoYun</cp:lastModifiedBy>
  <cp:lastPrinted>2411-12-31T16:00:00Z</cp:lastPrinted>
  <dcterms:modified xsi:type="dcterms:W3CDTF">2019-10-30T17:34:09Z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