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tl w:val="0"/>
          <w:lang w:val="en-US" w:eastAsia="zh-CN"/>
        </w:rPr>
      </w:pPr>
      <w:r>
        <w:rPr>
          <w:rtl w:val="0"/>
          <w:lang w:val="zh-CN" w:eastAsia="zh-CN"/>
        </w:rPr>
        <w:t xml:space="preserve"> </w:t>
      </w:r>
      <w:r>
        <w:rPr>
          <w:rFonts w:hint="eastAsia"/>
          <w:rtl w:val="0"/>
          <w:lang w:val="en-US" w:eastAsia="zh-CN"/>
        </w:rPr>
        <w:t xml:space="preserve">              </w:t>
      </w:r>
    </w:p>
    <w:p>
      <w:pPr>
        <w:jc w:val="center"/>
        <w:rPr>
          <w:rtl w:val="0"/>
          <w:lang w:val="zh-CN" w:eastAsia="zh-CN"/>
        </w:rPr>
      </w:pPr>
      <w:bookmarkStart w:id="0" w:name="_GoBack"/>
      <w:bookmarkEnd w:id="0"/>
      <w:r>
        <w:rPr>
          <w:rtl w:val="0"/>
          <w:lang w:val="zh-CN" w:eastAsia="zh-CN"/>
        </w:rPr>
        <w:t>2020年村级公共服务中心建设工程 施工招标公告</w:t>
      </w:r>
    </w:p>
    <w:p>
      <w:pPr>
        <w:rPr>
          <w:rtl w:val="0"/>
          <w:lang w:val="zh-CN" w:eastAsia="zh-CN"/>
        </w:rPr>
      </w:pPr>
      <w:r>
        <w:rPr>
          <w:rtl w:val="0"/>
          <w:lang w:val="zh-CN" w:eastAsia="zh-CN"/>
        </w:rPr>
        <w:t> </w:t>
      </w:r>
    </w:p>
    <w:p>
      <w:pPr>
        <w:rPr>
          <w:rtl w:val="0"/>
          <w:lang w:val="zh-CN" w:eastAsia="zh-CN"/>
        </w:rPr>
      </w:pPr>
      <w:r>
        <w:rPr>
          <w:rtl w:val="0"/>
          <w:lang w:val="zh-CN" w:eastAsia="zh-CN"/>
        </w:rPr>
        <w:t>    </w:t>
      </w:r>
    </w:p>
    <w:p>
      <w:pPr>
        <w:rPr>
          <w:rtl w:val="0"/>
          <w:lang w:val="zh-CN" w:eastAsia="zh-CN"/>
        </w:rPr>
      </w:pPr>
      <w:r>
        <w:rPr>
          <w:rtl w:val="0"/>
          <w:lang w:val="zh-CN" w:eastAsia="zh-CN"/>
        </w:rPr>
        <w:t xml:space="preserve">1.招标条件 </w:t>
      </w:r>
    </w:p>
    <w:p>
      <w:pPr>
        <w:rPr>
          <w:rtl w:val="0"/>
          <w:lang w:val="zh-CN" w:eastAsia="zh-CN"/>
        </w:rPr>
      </w:pPr>
      <w:r>
        <w:rPr>
          <w:rtl w:val="0"/>
          <w:lang w:val="zh-CN" w:eastAsia="zh-CN"/>
        </w:rPr>
        <w:t xml:space="preserve">本招标项目 2020年村级公共服务中心建设工程 已由 广西壮族自治区文化和旅游厅、广西壮族自治区财政厅 以 桂文旅发[2020]3号 批准建设, 招标人 为 南宁市武鸣区文化广电体育和旅游局 ,建设资金来自 财政 ,项目出资比例为 100% 。项目已具备招标条件,现对该项目的施工进行公开招标。 </w:t>
      </w:r>
    </w:p>
    <w:p>
      <w:pPr>
        <w:rPr>
          <w:rtl w:val="0"/>
          <w:lang w:val="zh-CN" w:eastAsia="zh-CN"/>
        </w:rPr>
      </w:pPr>
      <w:r>
        <w:rPr>
          <w:rtl w:val="0"/>
          <w:lang w:val="zh-CN" w:eastAsia="zh-CN"/>
        </w:rPr>
        <w:t xml:space="preserve">2.项目概况与招标范围 </w:t>
      </w:r>
    </w:p>
    <w:p>
      <w:pPr>
        <w:rPr>
          <w:rtl w:val="0"/>
          <w:lang w:val="zh-CN" w:eastAsia="zh-CN"/>
        </w:rPr>
      </w:pPr>
      <w:r>
        <w:rPr>
          <w:rtl w:val="0"/>
          <w:lang w:val="zh-CN" w:eastAsia="zh-CN"/>
        </w:rPr>
        <w:t>项目招标编号: GXGJ2020-G0010-A</w:t>
      </w:r>
    </w:p>
    <w:p>
      <w:pPr>
        <w:rPr>
          <w:rtl w:val="0"/>
          <w:lang w:val="zh-CN" w:eastAsia="zh-CN"/>
        </w:rPr>
      </w:pPr>
      <w:r>
        <w:rPr>
          <w:rtl w:val="0"/>
          <w:lang w:val="zh-CN" w:eastAsia="zh-CN"/>
        </w:rPr>
        <w:t>报建号（如有）： 无</w:t>
      </w:r>
    </w:p>
    <w:p>
      <w:pPr>
        <w:rPr>
          <w:rtl w:val="0"/>
          <w:lang w:val="zh-CN" w:eastAsia="zh-CN"/>
        </w:rPr>
      </w:pPr>
      <w:r>
        <w:rPr>
          <w:rtl w:val="0"/>
          <w:lang w:val="zh-CN" w:eastAsia="zh-CN"/>
        </w:rPr>
        <w:t xml:space="preserve">建设地点: 南宁市武鸣区 </w:t>
      </w:r>
    </w:p>
    <w:p>
      <w:pPr>
        <w:rPr>
          <w:rtl w:val="0"/>
          <w:lang w:val="zh-CN" w:eastAsia="zh-CN"/>
        </w:rPr>
      </w:pPr>
      <w:r>
        <w:rPr>
          <w:rtl w:val="0"/>
          <w:lang w:val="zh-CN" w:eastAsia="zh-CN"/>
        </w:rPr>
        <w:t xml:space="preserve">建设规模: 新建27个村级公共服务中心，每个服务中心包括一栋文化综合楼、一个篮球场、一座戏台、一个宣传栏。新建文化综合楼总建筑面积4876.43平方米，建筑层数：地上2层，建筑总高度8.35米；结构类型：砖混结构。具体以工程量清单及图纸为准。 </w:t>
      </w:r>
    </w:p>
    <w:p>
      <w:pPr>
        <w:rPr>
          <w:rtl w:val="0"/>
          <w:lang w:val="zh-CN" w:eastAsia="zh-CN"/>
        </w:rPr>
      </w:pPr>
      <w:r>
        <w:rPr>
          <w:rtl w:val="0"/>
          <w:lang w:val="zh-CN" w:eastAsia="zh-CN"/>
        </w:rPr>
        <w:t xml:space="preserve">合同估算价: 1438.000000万元 </w:t>
      </w:r>
    </w:p>
    <w:p>
      <w:pPr>
        <w:rPr>
          <w:rtl w:val="0"/>
          <w:lang w:val="zh-CN" w:eastAsia="zh-CN"/>
        </w:rPr>
      </w:pPr>
      <w:r>
        <w:rPr>
          <w:rtl w:val="0"/>
          <w:lang w:val="zh-CN" w:eastAsia="zh-CN"/>
        </w:rPr>
        <w:t xml:space="preserve">要求工期: 240 日 历天，定额工期 240 日历天【备注： 建筑安装工程定额工期应按《建筑安装工程工期定额（TY01-89-2016）》确定， 工期压缩时，宜组织专家论证，且在招标工程量清单中增设提前竣工（赶工补偿） 费项目清单。】 </w:t>
      </w:r>
    </w:p>
    <w:p>
      <w:pPr>
        <w:rPr>
          <w:rtl w:val="0"/>
          <w:lang w:val="zh-CN" w:eastAsia="zh-CN"/>
        </w:rPr>
      </w:pPr>
      <w:r>
        <w:rPr>
          <w:rtl w:val="0"/>
          <w:lang w:val="zh-CN" w:eastAsia="zh-CN"/>
        </w:rPr>
        <w:t xml:space="preserve">招标范围: 施工图纸和招标工程量清单范围内包含的全部内容。 </w:t>
      </w:r>
    </w:p>
    <w:p>
      <w:pPr>
        <w:rPr>
          <w:rtl w:val="0"/>
          <w:lang w:val="zh-CN" w:eastAsia="zh-CN"/>
        </w:rPr>
      </w:pPr>
      <w:r>
        <w:rPr>
          <w:rtl w:val="0"/>
          <w:lang w:val="zh-CN" w:eastAsia="zh-CN"/>
        </w:rPr>
        <w:t xml:space="preserve">标段划分: 1个标段 </w:t>
      </w:r>
    </w:p>
    <w:p>
      <w:pPr>
        <w:rPr>
          <w:rtl w:val="0"/>
          <w:lang w:val="zh-CN" w:eastAsia="zh-CN"/>
        </w:rPr>
      </w:pPr>
      <w:r>
        <w:rPr>
          <w:rtl w:val="0"/>
          <w:lang w:val="zh-CN" w:eastAsia="zh-CN"/>
        </w:rPr>
        <w:t xml:space="preserve">设计单位: 智海工程设计有限公司 </w:t>
      </w:r>
    </w:p>
    <w:p>
      <w:pPr>
        <w:rPr>
          <w:rtl w:val="0"/>
          <w:lang w:val="zh-CN" w:eastAsia="zh-CN"/>
        </w:rPr>
      </w:pPr>
      <w:r>
        <w:rPr>
          <w:rtl w:val="0"/>
          <w:lang w:val="zh-CN" w:eastAsia="zh-CN"/>
        </w:rPr>
        <w:t xml:space="preserve">勘察单位: 无 </w:t>
      </w:r>
    </w:p>
    <w:p>
      <w:pPr>
        <w:rPr>
          <w:rtl w:val="0"/>
          <w:lang w:val="zh-CN" w:eastAsia="zh-CN"/>
        </w:rPr>
      </w:pPr>
      <w:r>
        <w:rPr>
          <w:rtl w:val="0"/>
          <w:lang w:val="zh-CN" w:eastAsia="zh-CN"/>
        </w:rPr>
        <w:t xml:space="preserve">3.投标人资格要求 </w:t>
      </w:r>
    </w:p>
    <w:p>
      <w:pPr>
        <w:rPr>
          <w:rtl w:val="0"/>
          <w:lang w:val="zh-CN" w:eastAsia="zh-CN"/>
        </w:rPr>
      </w:pPr>
      <w:r>
        <w:rPr>
          <w:rtl w:val="0"/>
          <w:lang w:val="zh-CN" w:eastAsia="zh-CN"/>
        </w:rPr>
        <w:t>3.1 本次招标要求投标人须已办理诚信库入库手续并处于有效状态 ,具备 [建筑工程施工总承包三级](含)以上 资质 【备注：招标人应当根据国家法律法规对企业资质等级许可的相关规定以及招标项目特点，合理设置企业资质等级，不得提高 资质等级要求；资质设置为施工总承包已可满足项目建设要求的，不得额外同时设置专业承包资质】 ，并在人员、设备、资金等方面具备相应的施工 能力。其中,投标人拟派 项目经理须具备 [建筑工程二级](含)以上 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pPr>
        <w:rPr>
          <w:rtl w:val="0"/>
          <w:lang w:val="zh-CN" w:eastAsia="zh-CN"/>
        </w:rPr>
      </w:pPr>
      <w:r>
        <w:rPr>
          <w:rtl w:val="0"/>
          <w:lang w:val="zh-CN" w:eastAsia="zh-CN"/>
        </w:rPr>
        <w:t xml:space="preserve">3.2 业绩要求： 无要求 。 </w:t>
      </w:r>
    </w:p>
    <w:p>
      <w:pPr>
        <w:rPr>
          <w:rtl w:val="0"/>
          <w:lang w:val="zh-CN" w:eastAsia="zh-CN"/>
        </w:rPr>
      </w:pPr>
      <w:r>
        <w:rPr>
          <w:rtl w:val="0"/>
          <w:lang w:val="zh-CN" w:eastAsia="zh-CN"/>
        </w:rPr>
        <w:t>3.3 本次招标 接受 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1为联合体主办单位，N为联合体主办单位控股且在南宁市注册具备法人资格的下属施工企业或者注册地在南宁市的施工企业；○2 1为注册地在南宁市的联合体主办单位，N为施工企业。。</w:t>
      </w:r>
    </w:p>
    <w:p>
      <w:pPr>
        <w:rPr>
          <w:rtl w:val="0"/>
          <w:lang w:val="zh-CN" w:eastAsia="zh-CN"/>
        </w:rPr>
      </w:pPr>
      <w:r>
        <w:rPr>
          <w:rtl w:val="0"/>
          <w:lang w:val="en-US" w:eastAsia="en-US"/>
        </w:rPr>
        <w:t>3.4</w:t>
      </w:r>
      <w:r>
        <w:rPr>
          <w:rtl w:val="0"/>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pPr>
        <w:rPr>
          <w:rtl w:val="0"/>
          <w:lang w:val="zh-CN" w:eastAsia="zh-CN"/>
        </w:rPr>
      </w:pPr>
      <w:r>
        <w:rPr>
          <w:rtl w:val="0"/>
          <w:lang w:val="en-US" w:eastAsia="en-US"/>
        </w:rPr>
        <w:t>3.5</w:t>
      </w:r>
      <w:r>
        <w:rPr>
          <w:rtl w:val="0"/>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pPr>
        <w:rPr>
          <w:rtl w:val="0"/>
          <w:lang w:val="zh-CN" w:eastAsia="zh-CN"/>
        </w:rPr>
      </w:pPr>
      <w:r>
        <w:rPr>
          <w:rtl w:val="0"/>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pPr>
        <w:rPr>
          <w:rtl w:val="0"/>
          <w:lang w:val="zh-CN" w:eastAsia="zh-CN"/>
        </w:rPr>
      </w:pPr>
      <w:r>
        <w:rPr>
          <w:rtl w:val="0"/>
          <w:lang w:val="en-US" w:eastAsia="en-US"/>
        </w:rPr>
        <w:t>3.6</w:t>
      </w:r>
      <w:r>
        <w:rPr>
          <w:rtl w:val="0"/>
          <w:lang w:val="zh-CN" w:eastAsia="zh-CN"/>
        </w:rPr>
        <w:t xml:space="preserve"> 投标人信息以广西建筑业企业诚信信息库为准。 </w:t>
      </w:r>
    </w:p>
    <w:p>
      <w:pPr>
        <w:rPr>
          <w:rtl w:val="0"/>
          <w:lang w:val="zh-CN" w:eastAsia="zh-CN"/>
        </w:rPr>
      </w:pPr>
      <w:r>
        <w:rPr>
          <w:rtl w:val="0"/>
          <w:lang w:val="zh-CN" w:eastAsia="zh-CN"/>
        </w:rPr>
        <w:t xml:space="preserve">4. 招标文件的获取 </w:t>
      </w:r>
    </w:p>
    <w:p>
      <w:pPr>
        <w:rPr>
          <w:rtl w:val="0"/>
          <w:lang w:val="zh-CN" w:eastAsia="zh-CN"/>
        </w:rPr>
      </w:pPr>
      <w:r>
        <w:rPr>
          <w:rtl w:val="0"/>
          <w:lang w:val="zh-CN" w:eastAsia="zh-CN"/>
        </w:rPr>
        <w:t>4.1 请于2020年6月23日9时00分至2020年7月15日 10时00分（不少于20日），由潜在投标人的专职投标员凭本人的身份证证号及密码或企业CA锁登陆南宁市公共资源 交易平台(https://www.nnggzy.org.cn/gxnnhy)免费下载招标文件。</w:t>
      </w:r>
    </w:p>
    <w:p>
      <w:pPr>
        <w:rPr>
          <w:rtl w:val="0"/>
          <w:lang w:val="zh-CN" w:eastAsia="zh-CN"/>
        </w:rPr>
      </w:pPr>
      <w:r>
        <w:rPr>
          <w:rtl w:val="0"/>
          <w:lang w:val="zh-CN" w:eastAsia="zh-CN"/>
        </w:rPr>
        <w:t xml:space="preserve">5.投标文件的递交 </w:t>
      </w:r>
    </w:p>
    <w:p>
      <w:pPr>
        <w:rPr>
          <w:rtl w:val="0"/>
          <w:lang w:val="zh-CN" w:eastAsia="zh-CN"/>
        </w:rPr>
      </w:pPr>
      <w:r>
        <w:rPr>
          <w:rtl w:val="0"/>
          <w:lang w:val="zh-CN" w:eastAsia="zh-CN"/>
        </w:rPr>
        <w:t xml:space="preserve">5.1 投标文件应通过南宁市公共资源交易平台提交，截止时间 ( 投标截止时间,下同 ) 为2020年7月15日 10时00分 。未加密的电子投标文件光盘提交地点为南宁市武鸣区公共资源交易中心（标营新区起凤路 3 号）交易厅（详见电子显示屏场地安排）（当地交易中心）。 </w:t>
      </w:r>
    </w:p>
    <w:p>
      <w:pPr>
        <w:rPr>
          <w:rtl w:val="0"/>
          <w:lang w:val="zh-CN" w:eastAsia="zh-CN"/>
        </w:rPr>
      </w:pPr>
      <w:r>
        <w:rPr>
          <w:rtl w:val="0"/>
          <w:lang w:val="en-US" w:eastAsia="en-US"/>
        </w:rPr>
        <w:t>5.2</w:t>
      </w:r>
      <w:r>
        <w:rPr>
          <w:rtl w:val="0"/>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南宁市武鸣区公共资源交易中心（标营新区起凤路 3 号）交易厅（详见电子显示屏场地安排）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pPr>
        <w:rPr>
          <w:rtl w:val="0"/>
          <w:lang w:val="zh-CN" w:eastAsia="zh-CN"/>
        </w:rPr>
      </w:pPr>
      <w:r>
        <w:rPr>
          <w:rtl w:val="0"/>
          <w:lang w:val="zh-CN" w:eastAsia="zh-CN"/>
        </w:rPr>
        <w:t>6.评标方式</w:t>
      </w:r>
    </w:p>
    <w:p>
      <w:pPr>
        <w:rPr>
          <w:rtl w:val="0"/>
          <w:lang w:val="zh-CN" w:eastAsia="zh-CN"/>
        </w:rPr>
      </w:pPr>
      <w:r>
        <w:rPr>
          <w:rtl w:val="0"/>
          <w:lang w:val="zh-CN" w:eastAsia="zh-CN"/>
        </w:rPr>
        <w:t xml:space="preserve">综合评估法 </w:t>
      </w:r>
    </w:p>
    <w:p>
      <w:pPr>
        <w:rPr>
          <w:rtl w:val="0"/>
          <w:lang w:val="zh-CN" w:eastAsia="zh-CN"/>
        </w:rPr>
      </w:pPr>
      <w:r>
        <w:rPr>
          <w:rtl w:val="0"/>
          <w:lang w:val="zh-CN" w:eastAsia="zh-CN"/>
        </w:rPr>
        <w:t xml:space="preserve">7.预付款和进度款支付方式【备注：该项为可选项】 </w:t>
      </w:r>
    </w:p>
    <w:p>
      <w:pPr>
        <w:rPr>
          <w:rtl w:val="0"/>
          <w:lang w:val="zh-CN" w:eastAsia="zh-CN"/>
        </w:rPr>
      </w:pPr>
      <w:r>
        <w:rPr>
          <w:rtl w:val="0"/>
          <w:lang w:val="zh-CN" w:eastAsia="zh-CN"/>
        </w:rPr>
        <w:t xml:space="preserve">无 </w:t>
      </w:r>
    </w:p>
    <w:p>
      <w:pPr>
        <w:rPr>
          <w:rtl w:val="0"/>
          <w:lang w:val="zh-CN" w:eastAsia="zh-CN"/>
        </w:rPr>
      </w:pPr>
      <w:r>
        <w:rPr>
          <w:rtl w:val="0"/>
          <w:lang w:val="zh-CN" w:eastAsia="zh-CN"/>
        </w:rPr>
        <w:t xml:space="preserve">8.发布媒介 </w:t>
      </w:r>
    </w:p>
    <w:p>
      <w:pPr>
        <w:rPr>
          <w:rtl w:val="0"/>
          <w:lang w:val="zh-CN" w:eastAsia="zh-CN"/>
        </w:rPr>
      </w:pPr>
      <w:r>
        <w:rPr>
          <w:rtl w:val="0"/>
          <w:lang w:val="zh-CN" w:eastAsia="zh-CN"/>
        </w:rPr>
        <w:t>本次招标公告同时在广西壮族自治区招标投标公共服务平台ztb.gxi.gov.cn、南宁市公共资源交易中心网 www.nnggzy.net、中国政府采购网www.ccgp.gov.cn、广西壮族自治区政府采购网http://zfcg.gxzf.gov.cn/、南宁政府采购网 www.purchase.gov.cn上发布。（公告发布媒体包含但不限于上述媒体）。</w:t>
      </w:r>
    </w:p>
    <w:p>
      <w:pPr>
        <w:rPr>
          <w:rtl w:val="0"/>
          <w:lang w:val="zh-CN" w:eastAsia="zh-CN"/>
        </w:rPr>
      </w:pPr>
      <w:r>
        <w:rPr>
          <w:rtl w:val="0"/>
          <w:lang w:val="zh-CN" w:eastAsia="zh-CN"/>
        </w:rPr>
        <w:t xml:space="preserve">9.交易服务单位 </w:t>
      </w:r>
    </w:p>
    <w:p>
      <w:pPr>
        <w:rPr>
          <w:rtl w:val="0"/>
          <w:lang w:val="zh-CN" w:eastAsia="zh-CN"/>
        </w:rPr>
      </w:pPr>
      <w:r>
        <w:rPr>
          <w:rtl w:val="0"/>
          <w:lang w:val="zh-CN" w:eastAsia="zh-CN"/>
        </w:rPr>
        <w:t>武鸣区公共资源交易中心</w:t>
      </w:r>
    </w:p>
    <w:p>
      <w:pPr>
        <w:rPr>
          <w:rtl w:val="0"/>
          <w:lang w:val="zh-CN" w:eastAsia="zh-CN"/>
        </w:rPr>
      </w:pPr>
      <w:r>
        <w:rPr>
          <w:rtl w:val="0"/>
          <w:lang w:val="zh-CN" w:eastAsia="zh-CN"/>
        </w:rPr>
        <w:t xml:space="preserve">10.监督部门及电话 </w:t>
      </w:r>
    </w:p>
    <w:p>
      <w:pPr>
        <w:rPr>
          <w:rtl w:val="0"/>
          <w:lang w:val="zh-CN" w:eastAsia="zh-CN"/>
        </w:rPr>
      </w:pPr>
      <w:r>
        <w:rPr>
          <w:rtl w:val="0"/>
          <w:lang w:val="zh-CN" w:eastAsia="zh-CN"/>
        </w:rPr>
        <w:t>南宁市武鸣区住房和城乡规划建设局招标投标办公室（监督电话：0771-6227863）</w:t>
      </w:r>
    </w:p>
    <w:p>
      <w:pPr>
        <w:rPr>
          <w:rtl w:val="0"/>
          <w:lang w:val="zh-CN" w:eastAsia="zh-CN"/>
        </w:rPr>
      </w:pPr>
      <w:r>
        <w:rPr>
          <w:rtl w:val="0"/>
          <w:lang w:val="zh-CN" w:eastAsia="zh-CN"/>
        </w:rPr>
        <w:t xml:space="preserve">11.注意事项 </w:t>
      </w:r>
    </w:p>
    <w:p>
      <w:pPr>
        <w:rPr>
          <w:rtl w:val="0"/>
          <w:lang w:val="zh-CN" w:eastAsia="zh-CN"/>
        </w:rPr>
      </w:pPr>
      <w:r>
        <w:rPr>
          <w:rtl w:val="0"/>
          <w:lang w:val="zh-CN" w:eastAsia="zh-CN"/>
        </w:rPr>
        <w:t>  11.1 潜在投标人必须录入广西建筑业企业诚信信息库管理系统，广西建筑业企业诚信信息库管理 系统登陆地址（</w:t>
      </w:r>
      <w:r>
        <w:rPr>
          <w:rtl w:val="0"/>
          <w:lang w:val="zh-CN" w:eastAsia="zh-CN"/>
        </w:rPr>
        <w:fldChar w:fldCharType="begin"/>
      </w:r>
      <w:r>
        <w:rPr>
          <w:rtl w:val="0"/>
          <w:lang w:val="zh-CN" w:eastAsia="zh-CN"/>
        </w:rPr>
        <w:instrText xml:space="preserve"> HYPERLINK "http://ztb.gxzjt.gov.cn:1121/zjthy/" </w:instrText>
      </w:r>
      <w:r>
        <w:rPr>
          <w:rtl w:val="0"/>
          <w:lang w:val="zh-CN" w:eastAsia="zh-CN"/>
        </w:rPr>
        <w:fldChar w:fldCharType="separate"/>
      </w:r>
      <w:r>
        <w:rPr>
          <w:rtl w:val="0"/>
          <w:lang w:val="zh-CN" w:eastAsia="zh-CN"/>
        </w:rPr>
        <w:t>http://ztb.gxzjt.gov.cn:1121/zjthy/</w:t>
      </w:r>
      <w:r>
        <w:rPr>
          <w:rtl w:val="0"/>
          <w:lang w:val="zh-CN" w:eastAsia="zh-CN"/>
        </w:rPr>
        <w:fldChar w:fldCharType="end"/>
      </w:r>
      <w:r>
        <w:rPr>
          <w:rtl w:val="0"/>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pPr>
        <w:rPr>
          <w:rtl w:val="0"/>
          <w:lang w:val="zh-CN" w:eastAsia="zh-CN"/>
        </w:rPr>
      </w:pPr>
      <w:r>
        <w:rPr>
          <w:rtl w:val="0"/>
          <w:lang w:val="zh-CN" w:eastAsia="zh-CN"/>
        </w:rPr>
        <w:t xml:space="preserve">  11.2投标人须办理企业CA锁后并确保在有效期内才能进行制作投标文件及上传投标文件等业务。未办理企业CA锁的单位， 请到 广西壮族自治区数字证书认证中心有限公司办理，客服电话：0771-5869801。 </w:t>
      </w:r>
    </w:p>
    <w:p>
      <w:pPr>
        <w:rPr>
          <w:rtl w:val="0"/>
          <w:lang w:val="zh-CN" w:eastAsia="zh-CN"/>
        </w:rPr>
      </w:pPr>
      <w:r>
        <w:rPr>
          <w:rtl w:val="0"/>
          <w:lang w:val="zh-CN" w:eastAsia="zh-CN"/>
        </w:rPr>
        <w:t xml:space="preserve">13 联系方式 </w:t>
      </w:r>
    </w:p>
    <w:tbl>
      <w:tblPr>
        <w:tblStyle w:val="2"/>
        <w:tblW w:w="4500" w:type="pct"/>
        <w:jc w:val="center"/>
        <w:tblLayout w:type="autofit"/>
        <w:tblCellMar>
          <w:top w:w="0" w:type="dxa"/>
          <w:left w:w="0" w:type="dxa"/>
          <w:bottom w:w="0" w:type="dxa"/>
          <w:right w:w="0" w:type="dxa"/>
        </w:tblCellMar>
      </w:tblPr>
      <w:tblGrid>
        <w:gridCol w:w="1245"/>
        <w:gridCol w:w="2492"/>
        <w:gridCol w:w="1246"/>
        <w:gridCol w:w="2492"/>
      </w:tblGrid>
      <w:tr>
        <w:tblPrEx>
          <w:tblCellMar>
            <w:top w:w="0" w:type="dxa"/>
            <w:left w:w="0" w:type="dxa"/>
            <w:bottom w:w="0" w:type="dxa"/>
            <w:right w:w="0" w:type="dxa"/>
          </w:tblCellMar>
        </w:tblPrEx>
        <w:trPr>
          <w:jc w:val="center"/>
        </w:trPr>
        <w:tc>
          <w:tcPr>
            <w:tcW w:w="750" w:type="pct"/>
            <w:noWrap w:val="0"/>
            <w:vAlign w:val="top"/>
          </w:tcPr>
          <w:p>
            <w:pPr>
              <w:rPr>
                <w:rtl w:val="0"/>
                <w:lang w:val="zh-CN" w:eastAsia="zh-CN"/>
              </w:rPr>
            </w:pPr>
            <w:r>
              <w:rPr>
                <w:rtl w:val="0"/>
                <w:lang w:val="zh-CN" w:eastAsia="zh-CN"/>
              </w:rPr>
              <w:t>招标人:</w:t>
            </w:r>
          </w:p>
          <w:p>
            <w:pPr>
              <w:rPr>
                <w:rtl w:val="0"/>
                <w:lang w:val="zh-CN" w:eastAsia="zh-CN"/>
              </w:rPr>
            </w:pPr>
            <w:r>
              <w:rPr>
                <w:rtl w:val="0"/>
                <w:lang w:val="zh-CN" w:eastAsia="zh-CN"/>
              </w:rPr>
              <w:t> </w:t>
            </w:r>
          </w:p>
        </w:tc>
        <w:tc>
          <w:tcPr>
            <w:tcW w:w="1500" w:type="pct"/>
            <w:noWrap w:val="0"/>
            <w:vAlign w:val="top"/>
          </w:tcPr>
          <w:p>
            <w:pPr>
              <w:rPr>
                <w:rtl w:val="0"/>
                <w:lang w:val="zh-CN" w:eastAsia="zh-CN"/>
              </w:rPr>
            </w:pPr>
            <w:r>
              <w:rPr>
                <w:rtl w:val="0"/>
                <w:lang w:val="zh-CN" w:eastAsia="zh-CN"/>
              </w:rPr>
              <w:t> 南宁市武鸣区文化广电体育和旅游局</w:t>
            </w:r>
          </w:p>
        </w:tc>
        <w:tc>
          <w:tcPr>
            <w:tcW w:w="750" w:type="pct"/>
            <w:noWrap w:val="0"/>
            <w:vAlign w:val="top"/>
          </w:tcPr>
          <w:p>
            <w:pPr>
              <w:rPr>
                <w:rtl w:val="0"/>
                <w:lang w:val="zh-CN" w:eastAsia="zh-CN"/>
              </w:rPr>
            </w:pPr>
            <w:r>
              <w:rPr>
                <w:rtl w:val="0"/>
                <w:lang w:val="zh-CN" w:eastAsia="zh-CN"/>
              </w:rPr>
              <w:t>招标代理机构:</w:t>
            </w:r>
          </w:p>
        </w:tc>
        <w:tc>
          <w:tcPr>
            <w:tcW w:w="1500" w:type="pct"/>
            <w:noWrap w:val="0"/>
            <w:vAlign w:val="top"/>
          </w:tcPr>
          <w:p>
            <w:pPr>
              <w:rPr>
                <w:rtl w:val="0"/>
                <w:lang w:val="zh-CN" w:eastAsia="zh-CN"/>
              </w:rPr>
            </w:pPr>
            <w:r>
              <w:rPr>
                <w:rtl w:val="0"/>
                <w:lang w:val="zh-CN" w:eastAsia="zh-CN"/>
              </w:rPr>
              <w:t> 广西国建项目管理有限公司</w:t>
            </w:r>
          </w:p>
        </w:tc>
      </w:tr>
      <w:tr>
        <w:tblPrEx>
          <w:tblCellMar>
            <w:top w:w="0" w:type="dxa"/>
            <w:left w:w="0" w:type="dxa"/>
            <w:bottom w:w="0" w:type="dxa"/>
            <w:right w:w="0" w:type="dxa"/>
          </w:tblCellMar>
        </w:tblPrEx>
        <w:trPr>
          <w:jc w:val="center"/>
        </w:trPr>
        <w:tc>
          <w:tcPr>
            <w:tcW w:w="750" w:type="pct"/>
            <w:noWrap w:val="0"/>
            <w:vAlign w:val="top"/>
          </w:tcPr>
          <w:p>
            <w:pPr>
              <w:rPr>
                <w:rtl w:val="0"/>
                <w:lang w:val="zh-CN" w:eastAsia="zh-CN"/>
              </w:rPr>
            </w:pPr>
            <w:r>
              <w:rPr>
                <w:rtl w:val="0"/>
                <w:lang w:val="zh-CN" w:eastAsia="zh-CN"/>
              </w:rPr>
              <w:t>地 址:</w:t>
            </w:r>
          </w:p>
        </w:tc>
        <w:tc>
          <w:tcPr>
            <w:tcW w:w="1500" w:type="pct"/>
            <w:noWrap w:val="0"/>
            <w:vAlign w:val="top"/>
          </w:tcPr>
          <w:p>
            <w:pPr>
              <w:rPr>
                <w:rtl w:val="0"/>
                <w:lang w:val="zh-CN" w:eastAsia="zh-CN"/>
              </w:rPr>
            </w:pPr>
            <w:r>
              <w:rPr>
                <w:rtl w:val="0"/>
                <w:lang w:val="zh-CN" w:eastAsia="zh-CN"/>
              </w:rPr>
              <w:t> 广西南宁市白沙大道53号松宇时代17楼</w:t>
            </w:r>
          </w:p>
        </w:tc>
        <w:tc>
          <w:tcPr>
            <w:tcW w:w="750" w:type="pct"/>
            <w:noWrap w:val="0"/>
            <w:vAlign w:val="top"/>
          </w:tcPr>
          <w:p>
            <w:pPr>
              <w:rPr>
                <w:rtl w:val="0"/>
                <w:lang w:val="zh-CN" w:eastAsia="zh-CN"/>
              </w:rPr>
            </w:pPr>
            <w:r>
              <w:rPr>
                <w:rtl w:val="0"/>
                <w:lang w:val="zh-CN" w:eastAsia="zh-CN"/>
              </w:rPr>
              <w:t>地 址:</w:t>
            </w:r>
          </w:p>
        </w:tc>
        <w:tc>
          <w:tcPr>
            <w:tcW w:w="1500" w:type="pct"/>
            <w:noWrap w:val="0"/>
            <w:vAlign w:val="top"/>
          </w:tcPr>
          <w:p>
            <w:pPr>
              <w:rPr>
                <w:rtl w:val="0"/>
                <w:lang w:val="zh-CN" w:eastAsia="zh-CN"/>
              </w:rPr>
            </w:pPr>
            <w:r>
              <w:rPr>
                <w:rtl w:val="0"/>
                <w:lang w:val="zh-CN" w:eastAsia="zh-CN"/>
              </w:rPr>
              <w:t> 南宁市白沙大道53号松宇时代十七层1705号</w:t>
            </w:r>
          </w:p>
        </w:tc>
      </w:tr>
      <w:tr>
        <w:tblPrEx>
          <w:tblCellMar>
            <w:top w:w="0" w:type="dxa"/>
            <w:left w:w="0" w:type="dxa"/>
            <w:bottom w:w="0" w:type="dxa"/>
            <w:right w:w="0" w:type="dxa"/>
          </w:tblCellMar>
        </w:tblPrEx>
        <w:trPr>
          <w:jc w:val="center"/>
        </w:trPr>
        <w:tc>
          <w:tcPr>
            <w:tcW w:w="750" w:type="pct"/>
            <w:noWrap w:val="0"/>
            <w:vAlign w:val="top"/>
          </w:tcPr>
          <w:p>
            <w:pPr>
              <w:rPr>
                <w:rtl w:val="0"/>
                <w:lang w:val="zh-CN" w:eastAsia="zh-CN"/>
              </w:rPr>
            </w:pPr>
            <w:r>
              <w:rPr>
                <w:rtl w:val="0"/>
                <w:lang w:val="zh-CN" w:eastAsia="zh-CN"/>
              </w:rPr>
              <w:t>邮 编:</w:t>
            </w:r>
          </w:p>
        </w:tc>
        <w:tc>
          <w:tcPr>
            <w:tcW w:w="1500" w:type="pct"/>
            <w:noWrap w:val="0"/>
            <w:vAlign w:val="top"/>
          </w:tcPr>
          <w:p>
            <w:pPr>
              <w:rPr>
                <w:rtl w:val="0"/>
                <w:lang w:val="zh-CN" w:eastAsia="zh-CN"/>
              </w:rPr>
            </w:pPr>
            <w:r>
              <w:rPr>
                <w:rtl w:val="0"/>
                <w:lang w:val="zh-CN" w:eastAsia="zh-CN"/>
              </w:rPr>
              <w:t> </w:t>
            </w:r>
          </w:p>
        </w:tc>
        <w:tc>
          <w:tcPr>
            <w:tcW w:w="750" w:type="pct"/>
            <w:noWrap w:val="0"/>
            <w:vAlign w:val="top"/>
          </w:tcPr>
          <w:p>
            <w:pPr>
              <w:rPr>
                <w:rtl w:val="0"/>
                <w:lang w:val="zh-CN" w:eastAsia="zh-CN"/>
              </w:rPr>
            </w:pPr>
            <w:r>
              <w:rPr>
                <w:rtl w:val="0"/>
                <w:lang w:val="zh-CN" w:eastAsia="zh-CN"/>
              </w:rPr>
              <w:t>邮 编:</w:t>
            </w:r>
          </w:p>
        </w:tc>
        <w:tc>
          <w:tcPr>
            <w:tcW w:w="1500" w:type="pct"/>
            <w:noWrap w:val="0"/>
            <w:vAlign w:val="top"/>
          </w:tcPr>
          <w:p>
            <w:pPr>
              <w:rPr>
                <w:rtl w:val="0"/>
                <w:lang w:val="zh-CN" w:eastAsia="zh-CN"/>
              </w:rPr>
            </w:pPr>
            <w:r>
              <w:rPr>
                <w:rtl w:val="0"/>
                <w:lang w:val="zh-CN" w:eastAsia="zh-CN"/>
              </w:rPr>
              <w:t> </w:t>
            </w:r>
          </w:p>
        </w:tc>
      </w:tr>
      <w:tr>
        <w:tblPrEx>
          <w:tblCellMar>
            <w:top w:w="0" w:type="dxa"/>
            <w:left w:w="0" w:type="dxa"/>
            <w:bottom w:w="0" w:type="dxa"/>
            <w:right w:w="0" w:type="dxa"/>
          </w:tblCellMar>
        </w:tblPrEx>
        <w:trPr>
          <w:jc w:val="center"/>
        </w:trPr>
        <w:tc>
          <w:tcPr>
            <w:tcW w:w="750" w:type="pct"/>
            <w:noWrap w:val="0"/>
            <w:vAlign w:val="top"/>
          </w:tcPr>
          <w:p>
            <w:pPr>
              <w:rPr>
                <w:rtl w:val="0"/>
                <w:lang w:val="zh-CN" w:eastAsia="zh-CN"/>
              </w:rPr>
            </w:pPr>
            <w:r>
              <w:rPr>
                <w:rtl w:val="0"/>
                <w:lang w:val="zh-CN" w:eastAsia="zh-CN"/>
              </w:rPr>
              <w:t>联 系 人:</w:t>
            </w:r>
          </w:p>
        </w:tc>
        <w:tc>
          <w:tcPr>
            <w:tcW w:w="1500" w:type="pct"/>
            <w:noWrap w:val="0"/>
            <w:vAlign w:val="top"/>
          </w:tcPr>
          <w:p>
            <w:pPr>
              <w:rPr>
                <w:rtl w:val="0"/>
                <w:lang w:val="zh-CN" w:eastAsia="zh-CN"/>
              </w:rPr>
            </w:pPr>
            <w:r>
              <w:rPr>
                <w:rtl w:val="0"/>
                <w:lang w:val="zh-CN" w:eastAsia="zh-CN"/>
              </w:rPr>
              <w:t> 南宁市武鸣区文化广电体育和旅游局</w:t>
            </w:r>
          </w:p>
        </w:tc>
        <w:tc>
          <w:tcPr>
            <w:tcW w:w="750" w:type="pct"/>
            <w:noWrap w:val="0"/>
            <w:vAlign w:val="top"/>
          </w:tcPr>
          <w:p>
            <w:pPr>
              <w:rPr>
                <w:rtl w:val="0"/>
                <w:lang w:val="zh-CN" w:eastAsia="zh-CN"/>
              </w:rPr>
            </w:pPr>
            <w:r>
              <w:rPr>
                <w:rtl w:val="0"/>
                <w:lang w:val="zh-CN" w:eastAsia="zh-CN"/>
              </w:rPr>
              <w:t>联 系 人:</w:t>
            </w:r>
          </w:p>
        </w:tc>
        <w:tc>
          <w:tcPr>
            <w:tcW w:w="1500" w:type="pct"/>
            <w:noWrap w:val="0"/>
            <w:vAlign w:val="top"/>
          </w:tcPr>
          <w:p>
            <w:pPr>
              <w:rPr>
                <w:rtl w:val="0"/>
                <w:lang w:val="zh-CN" w:eastAsia="zh-CN"/>
              </w:rPr>
            </w:pPr>
            <w:r>
              <w:rPr>
                <w:rtl w:val="0"/>
                <w:lang w:val="zh-CN" w:eastAsia="zh-CN"/>
              </w:rPr>
              <w:t> 广西国建项目管理有限公司</w:t>
            </w:r>
          </w:p>
        </w:tc>
      </w:tr>
      <w:tr>
        <w:tblPrEx>
          <w:tblCellMar>
            <w:top w:w="0" w:type="dxa"/>
            <w:left w:w="0" w:type="dxa"/>
            <w:bottom w:w="0" w:type="dxa"/>
            <w:right w:w="0" w:type="dxa"/>
          </w:tblCellMar>
        </w:tblPrEx>
        <w:trPr>
          <w:jc w:val="center"/>
        </w:trPr>
        <w:tc>
          <w:tcPr>
            <w:tcW w:w="750" w:type="pct"/>
            <w:noWrap w:val="0"/>
            <w:vAlign w:val="top"/>
          </w:tcPr>
          <w:p>
            <w:pPr>
              <w:rPr>
                <w:rtl w:val="0"/>
                <w:lang w:val="zh-CN" w:eastAsia="zh-CN"/>
              </w:rPr>
            </w:pPr>
            <w:r>
              <w:rPr>
                <w:rtl w:val="0"/>
                <w:lang w:val="zh-CN" w:eastAsia="zh-CN"/>
              </w:rPr>
              <w:t>电  话:</w:t>
            </w:r>
          </w:p>
        </w:tc>
        <w:tc>
          <w:tcPr>
            <w:tcW w:w="1500" w:type="pct"/>
            <w:noWrap w:val="0"/>
            <w:vAlign w:val="top"/>
          </w:tcPr>
          <w:p>
            <w:pPr>
              <w:rPr>
                <w:rtl w:val="0"/>
                <w:lang w:val="zh-CN" w:eastAsia="zh-CN"/>
              </w:rPr>
            </w:pPr>
            <w:r>
              <w:rPr>
                <w:rtl w:val="0"/>
                <w:lang w:val="zh-CN" w:eastAsia="zh-CN"/>
              </w:rPr>
              <w:t> </w:t>
            </w:r>
            <w:r>
              <w:rPr>
                <w:rFonts w:hint="eastAsia"/>
                <w:rtl w:val="0"/>
                <w:lang w:val="en-US" w:eastAsia="zh-CN"/>
              </w:rPr>
              <w:t>0</w:t>
            </w:r>
            <w:r>
              <w:rPr>
                <w:rtl w:val="0"/>
                <w:lang w:val="zh-CN" w:eastAsia="zh-CN"/>
              </w:rPr>
              <w:t>771-6236388</w:t>
            </w:r>
          </w:p>
        </w:tc>
        <w:tc>
          <w:tcPr>
            <w:tcW w:w="750" w:type="pct"/>
            <w:noWrap w:val="0"/>
            <w:vAlign w:val="top"/>
          </w:tcPr>
          <w:p>
            <w:pPr>
              <w:rPr>
                <w:rtl w:val="0"/>
                <w:lang w:val="zh-CN" w:eastAsia="zh-CN"/>
              </w:rPr>
            </w:pPr>
            <w:r>
              <w:rPr>
                <w:rtl w:val="0"/>
                <w:lang w:val="zh-CN" w:eastAsia="zh-CN"/>
              </w:rPr>
              <w:t>电  话:</w:t>
            </w:r>
          </w:p>
        </w:tc>
        <w:tc>
          <w:tcPr>
            <w:tcW w:w="1500" w:type="pct"/>
            <w:noWrap w:val="0"/>
            <w:vAlign w:val="top"/>
          </w:tcPr>
          <w:p>
            <w:pPr>
              <w:rPr>
                <w:rtl w:val="0"/>
                <w:lang w:val="zh-CN" w:eastAsia="zh-CN"/>
              </w:rPr>
            </w:pPr>
            <w:r>
              <w:rPr>
                <w:rtl w:val="0"/>
                <w:lang w:val="zh-CN" w:eastAsia="zh-CN"/>
              </w:rPr>
              <w:t> 0771-4915599</w:t>
            </w:r>
          </w:p>
        </w:tc>
      </w:tr>
      <w:tr>
        <w:tblPrEx>
          <w:tblCellMar>
            <w:top w:w="0" w:type="dxa"/>
            <w:left w:w="0" w:type="dxa"/>
            <w:bottom w:w="0" w:type="dxa"/>
            <w:right w:w="0" w:type="dxa"/>
          </w:tblCellMar>
        </w:tblPrEx>
        <w:trPr>
          <w:jc w:val="center"/>
        </w:trPr>
        <w:tc>
          <w:tcPr>
            <w:tcW w:w="750" w:type="pct"/>
            <w:noWrap w:val="0"/>
            <w:vAlign w:val="top"/>
          </w:tcPr>
          <w:p>
            <w:pPr>
              <w:rPr>
                <w:rtl w:val="0"/>
                <w:lang w:val="zh-CN" w:eastAsia="zh-CN"/>
              </w:rPr>
            </w:pPr>
            <w:r>
              <w:rPr>
                <w:rtl w:val="0"/>
                <w:lang w:val="zh-CN" w:eastAsia="zh-CN"/>
              </w:rPr>
              <w:t>传 真:</w:t>
            </w:r>
          </w:p>
        </w:tc>
        <w:tc>
          <w:tcPr>
            <w:tcW w:w="1500" w:type="pct"/>
            <w:noWrap w:val="0"/>
            <w:vAlign w:val="top"/>
          </w:tcPr>
          <w:p>
            <w:pPr>
              <w:rPr>
                <w:rtl w:val="0"/>
                <w:lang w:val="zh-CN" w:eastAsia="zh-CN"/>
              </w:rPr>
            </w:pPr>
            <w:r>
              <w:rPr>
                <w:rtl w:val="0"/>
                <w:lang w:val="zh-CN" w:eastAsia="zh-CN"/>
              </w:rPr>
              <w:t> </w:t>
            </w:r>
          </w:p>
        </w:tc>
        <w:tc>
          <w:tcPr>
            <w:tcW w:w="750" w:type="pct"/>
            <w:noWrap w:val="0"/>
            <w:vAlign w:val="top"/>
          </w:tcPr>
          <w:p>
            <w:pPr>
              <w:rPr>
                <w:rtl w:val="0"/>
                <w:lang w:val="zh-CN" w:eastAsia="zh-CN"/>
              </w:rPr>
            </w:pPr>
            <w:r>
              <w:rPr>
                <w:rtl w:val="0"/>
                <w:lang w:val="zh-CN" w:eastAsia="zh-CN"/>
              </w:rPr>
              <w:t>传 真:</w:t>
            </w:r>
          </w:p>
        </w:tc>
        <w:tc>
          <w:tcPr>
            <w:tcW w:w="1500" w:type="pct"/>
            <w:noWrap w:val="0"/>
            <w:vAlign w:val="top"/>
          </w:tcPr>
          <w:p>
            <w:pPr>
              <w:rPr>
                <w:rtl w:val="0"/>
                <w:lang w:val="zh-CN" w:eastAsia="zh-CN"/>
              </w:rPr>
            </w:pPr>
            <w:r>
              <w:rPr>
                <w:rtl w:val="0"/>
                <w:lang w:val="zh-CN" w:eastAsia="zh-CN"/>
              </w:rPr>
              <w:t> </w:t>
            </w:r>
          </w:p>
        </w:tc>
      </w:tr>
      <w:tr>
        <w:tblPrEx>
          <w:tblCellMar>
            <w:top w:w="0" w:type="dxa"/>
            <w:left w:w="0" w:type="dxa"/>
            <w:bottom w:w="0" w:type="dxa"/>
            <w:right w:w="0" w:type="dxa"/>
          </w:tblCellMar>
        </w:tblPrEx>
        <w:trPr>
          <w:jc w:val="center"/>
        </w:trPr>
        <w:tc>
          <w:tcPr>
            <w:tcW w:w="750" w:type="pct"/>
            <w:noWrap w:val="0"/>
            <w:vAlign w:val="top"/>
          </w:tcPr>
          <w:p>
            <w:pPr>
              <w:rPr>
                <w:rtl w:val="0"/>
                <w:lang w:val="zh-CN" w:eastAsia="zh-CN"/>
              </w:rPr>
            </w:pPr>
            <w:r>
              <w:rPr>
                <w:rtl w:val="0"/>
                <w:lang w:val="zh-CN" w:eastAsia="zh-CN"/>
              </w:rPr>
              <w:t>电子邮箱:</w:t>
            </w:r>
          </w:p>
        </w:tc>
        <w:tc>
          <w:tcPr>
            <w:tcW w:w="1500" w:type="pct"/>
            <w:noWrap w:val="0"/>
            <w:vAlign w:val="top"/>
          </w:tcPr>
          <w:p>
            <w:pPr>
              <w:rPr>
                <w:rtl w:val="0"/>
                <w:lang w:val="zh-CN" w:eastAsia="zh-CN"/>
              </w:rPr>
            </w:pPr>
            <w:r>
              <w:rPr>
                <w:rtl w:val="0"/>
                <w:lang w:val="zh-CN" w:eastAsia="zh-CN"/>
              </w:rPr>
              <w:t> </w:t>
            </w:r>
          </w:p>
        </w:tc>
        <w:tc>
          <w:tcPr>
            <w:tcW w:w="750" w:type="pct"/>
            <w:noWrap w:val="0"/>
            <w:vAlign w:val="top"/>
          </w:tcPr>
          <w:p>
            <w:pPr>
              <w:rPr>
                <w:rtl w:val="0"/>
                <w:lang w:val="zh-CN" w:eastAsia="zh-CN"/>
              </w:rPr>
            </w:pPr>
            <w:r>
              <w:rPr>
                <w:rtl w:val="0"/>
                <w:lang w:val="zh-CN" w:eastAsia="zh-CN"/>
              </w:rPr>
              <w:t>电子邮箱:</w:t>
            </w:r>
          </w:p>
        </w:tc>
        <w:tc>
          <w:tcPr>
            <w:tcW w:w="1500" w:type="pct"/>
            <w:noWrap w:val="0"/>
            <w:vAlign w:val="top"/>
          </w:tcPr>
          <w:p>
            <w:pPr>
              <w:rPr>
                <w:rtl w:val="0"/>
                <w:lang w:val="zh-CN" w:eastAsia="zh-CN"/>
              </w:rPr>
            </w:pPr>
            <w:r>
              <w:rPr>
                <w:rtl w:val="0"/>
                <w:lang w:val="zh-CN" w:eastAsia="zh-CN"/>
              </w:rPr>
              <w:t> </w:t>
            </w:r>
          </w:p>
        </w:tc>
      </w:tr>
      <w:tr>
        <w:tblPrEx>
          <w:tblCellMar>
            <w:top w:w="0" w:type="dxa"/>
            <w:left w:w="0" w:type="dxa"/>
            <w:bottom w:w="0" w:type="dxa"/>
            <w:right w:w="0" w:type="dxa"/>
          </w:tblCellMar>
        </w:tblPrEx>
        <w:trPr>
          <w:jc w:val="center"/>
        </w:trPr>
        <w:tc>
          <w:tcPr>
            <w:tcW w:w="750" w:type="pct"/>
            <w:noWrap w:val="0"/>
            <w:vAlign w:val="top"/>
          </w:tcPr>
          <w:p>
            <w:pPr>
              <w:rPr>
                <w:rtl w:val="0"/>
                <w:lang w:val="zh-CN" w:eastAsia="zh-CN"/>
              </w:rPr>
            </w:pPr>
            <w:r>
              <w:rPr>
                <w:rtl w:val="0"/>
                <w:lang w:val="zh-CN" w:eastAsia="zh-CN"/>
              </w:rPr>
              <w:t>网 址:</w:t>
            </w:r>
          </w:p>
        </w:tc>
        <w:tc>
          <w:tcPr>
            <w:tcW w:w="1500" w:type="pct"/>
            <w:noWrap w:val="0"/>
            <w:vAlign w:val="top"/>
          </w:tcPr>
          <w:p>
            <w:pPr>
              <w:rPr>
                <w:rtl w:val="0"/>
                <w:lang w:val="zh-CN" w:eastAsia="zh-CN"/>
              </w:rPr>
            </w:pPr>
            <w:r>
              <w:rPr>
                <w:rtl w:val="0"/>
                <w:lang w:val="zh-CN" w:eastAsia="zh-CN"/>
              </w:rPr>
              <w:t> </w:t>
            </w:r>
          </w:p>
        </w:tc>
        <w:tc>
          <w:tcPr>
            <w:tcW w:w="750" w:type="pct"/>
            <w:noWrap w:val="0"/>
            <w:vAlign w:val="top"/>
          </w:tcPr>
          <w:p>
            <w:pPr>
              <w:rPr>
                <w:rtl w:val="0"/>
                <w:lang w:val="zh-CN" w:eastAsia="zh-CN"/>
              </w:rPr>
            </w:pPr>
            <w:r>
              <w:rPr>
                <w:rtl w:val="0"/>
                <w:lang w:val="zh-CN" w:eastAsia="zh-CN"/>
              </w:rPr>
              <w:t>网 址:</w:t>
            </w:r>
          </w:p>
        </w:tc>
        <w:tc>
          <w:tcPr>
            <w:tcW w:w="1500" w:type="pct"/>
            <w:noWrap w:val="0"/>
            <w:vAlign w:val="top"/>
          </w:tcPr>
          <w:p>
            <w:pPr>
              <w:rPr>
                <w:rtl w:val="0"/>
                <w:lang w:val="zh-CN" w:eastAsia="zh-CN"/>
              </w:rPr>
            </w:pPr>
            <w:r>
              <w:rPr>
                <w:rtl w:val="0"/>
                <w:lang w:val="zh-CN" w:eastAsia="zh-CN"/>
              </w:rPr>
              <w:t> </w:t>
            </w:r>
          </w:p>
        </w:tc>
      </w:tr>
    </w:tbl>
    <w:p>
      <w:pPr>
        <w:rPr>
          <w:rtl w:val="0"/>
          <w:lang w:val="zh-CN" w:eastAsia="zh-CN"/>
        </w:rPr>
      </w:pPr>
      <w:r>
        <w:rPr>
          <w:rtl w:val="0"/>
          <w:lang w:val="zh-CN" w:eastAsia="zh-CN"/>
        </w:rPr>
        <w:t> </w:t>
      </w:r>
    </w:p>
    <w:p>
      <w:pPr>
        <w:ind w:firstLine="6090" w:firstLineChars="2900"/>
        <w:rPr>
          <w:rtl w:val="0"/>
          <w:lang w:val="zh-CN" w:eastAsia="zh-CN"/>
        </w:rPr>
      </w:pPr>
      <w:r>
        <w:rPr>
          <w:rtl w:val="0"/>
          <w:lang w:val="zh-CN" w:eastAsia="zh-CN"/>
        </w:rPr>
        <w:t>2020年06月23日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1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iv_MsoNormal ParagraphIndent"/>
    <w:basedOn w:val="5"/>
    <w:uiPriority w:val="0"/>
    <w:rPr>
      <w:rFonts w:ascii="宋体" w:hAnsi="宋体" w:eastAsia="宋体" w:cs="宋体"/>
      <w:sz w:val="21"/>
    </w:rPr>
  </w:style>
  <w:style w:type="paragraph" w:customStyle="1" w:styleId="5">
    <w:name w:val="Normal"/>
    <w:qFormat/>
    <w:uiPriority w:val="0"/>
    <w:rPr>
      <w:rFonts w:ascii="Times New Roman" w:hAnsi="Times New Roman" w:eastAsia="Times New Roman" w:cs="Times New Roman"/>
      <w:sz w:val="24"/>
      <w:szCs w:val="24"/>
    </w:rPr>
  </w:style>
  <w:style w:type="paragraph" w:customStyle="1" w:styleId="6">
    <w:name w:val="Div_MsoNormal  ParagraphIndent"/>
    <w:basedOn w:val="5"/>
    <w:qFormat/>
    <w:uiPriority w:val="0"/>
    <w:rPr>
      <w:rFonts w:ascii="宋体" w:hAnsi="宋体"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2020-06-23T08:24:18Z</dcterms:created>
  <dc:creator>监控室02</dc:creator>
  <cp:lastModifiedBy>钢哥2⁰¹⁹</cp:lastModifiedBy>
  <dcterms:modified xsi:type="dcterms:W3CDTF">2020-06-23T08:24:50Z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