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3033"/>
        <w:tblOverlap w:val="never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99"/>
        <w:gridCol w:w="1550"/>
        <w:gridCol w:w="3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A、B、C区审判业务用房二次装修建设。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663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按设计装修图纸、建设金额经造价核定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干警食堂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含主楼结构加固、改造、装修和食堂设备（按设计估算）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法院文化建设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法院大厅文化展示、院史室、图书室、健身室（按设计院设计方案估算）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室外充电桩工程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（按设计院设计估算）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南宁铁路运输法院二次装修项目采购需求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南宁铁路运输法院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1F34"/>
    <w:rsid w:val="14D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南宁铁路运输法院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2023-02-07T07:57:00Z</dcterms:created>
  <dc:creator>张雪琳</dc:creator>
  <cp:lastModifiedBy>张雪琳</cp:lastModifiedBy>
  <dcterms:modified xsi:type="dcterms:W3CDTF">2023-02-07T08:00:38Z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