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eastAsia" w:hAnsi="宋体"/>
          <w:b/>
          <w:bCs/>
          <w:color w:val="000000"/>
          <w:spacing w:val="80"/>
          <w:sz w:val="64"/>
        </w:rPr>
      </w:pPr>
    </w:p>
    <w:p>
      <w:pPr>
        <w:pStyle w:val="20"/>
        <w:rPr>
          <w:rFonts w:hint="eastAsia" w:hAnsi="宋体"/>
          <w:b/>
          <w:bCs/>
          <w:color w:val="000000"/>
          <w:spacing w:val="80"/>
          <w:sz w:val="52"/>
          <w:szCs w:val="52"/>
        </w:rPr>
      </w:pPr>
      <w:r>
        <w:rPr>
          <w:rFonts w:hint="eastAsia" w:hAnsi="宋体"/>
          <w:b/>
          <w:bCs/>
          <w:color w:val="000000"/>
          <w:spacing w:val="80"/>
          <w:sz w:val="52"/>
          <w:szCs w:val="52"/>
        </w:rPr>
        <w:t>广西新厦工程咨询有限公司</w:t>
      </w:r>
    </w:p>
    <w:p>
      <w:pPr>
        <w:pStyle w:val="20"/>
        <w:jc w:val="center"/>
        <w:rPr>
          <w:rFonts w:hint="eastAsia" w:hAnsi="宋体"/>
          <w:b/>
          <w:bCs/>
          <w:color w:val="000000"/>
          <w:spacing w:val="80"/>
          <w:sz w:val="72"/>
        </w:rPr>
      </w:pPr>
    </w:p>
    <w:p>
      <w:pPr>
        <w:pStyle w:val="20"/>
        <w:jc w:val="center"/>
        <w:rPr>
          <w:rFonts w:hAnsi="宋体"/>
          <w:b/>
          <w:bCs/>
          <w:color w:val="000000"/>
          <w:sz w:val="72"/>
        </w:rPr>
      </w:pPr>
    </w:p>
    <w:p>
      <w:pPr>
        <w:pStyle w:val="20"/>
        <w:jc w:val="center"/>
        <w:rPr>
          <w:rFonts w:hint="eastAsia" w:hAnsi="宋体"/>
          <w:color w:val="000000"/>
        </w:rPr>
      </w:pPr>
    </w:p>
    <w:p>
      <w:pPr>
        <w:spacing w:line="1400" w:lineRule="exact"/>
        <w:jc w:val="center"/>
        <w:rPr>
          <w:rFonts w:hint="eastAsia" w:ascii="宋体" w:hAnsi="宋体"/>
          <w:b/>
          <w:color w:val="000000"/>
          <w:spacing w:val="60"/>
          <w:sz w:val="132"/>
          <w:szCs w:val="132"/>
        </w:rPr>
      </w:pPr>
      <w:r>
        <w:rPr>
          <w:rFonts w:hint="eastAsia" w:ascii="宋体" w:hAnsi="宋体"/>
          <w:b/>
          <w:color w:val="000000"/>
          <w:spacing w:val="60"/>
          <w:sz w:val="132"/>
          <w:szCs w:val="132"/>
        </w:rPr>
        <w:t>招标文件</w:t>
      </w:r>
    </w:p>
    <w:p>
      <w:pPr>
        <w:pStyle w:val="20"/>
        <w:rPr>
          <w:rFonts w:hint="eastAsia" w:hAnsi="宋体"/>
          <w:color w:val="000000"/>
        </w:rPr>
      </w:pPr>
    </w:p>
    <w:p>
      <w:pPr>
        <w:pStyle w:val="20"/>
        <w:rPr>
          <w:rFonts w:hint="eastAsia" w:hAnsi="宋体"/>
          <w:color w:val="000000"/>
        </w:rPr>
      </w:pPr>
    </w:p>
    <w:p>
      <w:pPr>
        <w:pStyle w:val="20"/>
        <w:rPr>
          <w:rFonts w:hint="eastAsia" w:hAnsi="宋体"/>
          <w:color w:val="000000"/>
        </w:rPr>
      </w:pPr>
    </w:p>
    <w:p>
      <w:pPr>
        <w:pStyle w:val="20"/>
        <w:rPr>
          <w:rFonts w:hint="eastAsia" w:hAnsi="宋体"/>
          <w:color w:val="000000"/>
        </w:rPr>
      </w:pPr>
    </w:p>
    <w:p>
      <w:pPr>
        <w:pStyle w:val="20"/>
        <w:rPr>
          <w:rFonts w:hint="eastAsia" w:hAnsi="宋体"/>
          <w:color w:val="000000"/>
        </w:rPr>
      </w:pPr>
    </w:p>
    <w:p>
      <w:pPr>
        <w:ind w:left="3283" w:leftChars="608" w:hanging="2006" w:hangingChars="500"/>
        <w:rPr>
          <w:rFonts w:hint="eastAsia" w:ascii="宋体" w:hAnsi="宋体"/>
          <w:b/>
          <w:color w:val="000000"/>
          <w:sz w:val="32"/>
          <w:szCs w:val="32"/>
        </w:rPr>
      </w:pPr>
      <w:r>
        <w:rPr>
          <w:rFonts w:hint="eastAsia" w:ascii="宋体" w:hAnsi="宋体"/>
          <w:b/>
          <w:bCs/>
          <w:color w:val="000000"/>
          <w:spacing w:val="40"/>
          <w:sz w:val="32"/>
        </w:rPr>
        <w:t>项目名称：</w:t>
      </w:r>
      <w:r>
        <w:rPr>
          <w:rFonts w:hint="eastAsia" w:ascii="宋体" w:hAnsi="宋体"/>
          <w:b/>
          <w:color w:val="000000"/>
          <w:sz w:val="32"/>
          <w:szCs w:val="32"/>
        </w:rPr>
        <w:t>阳朔县新政务服务中心中央空调采购</w:t>
      </w:r>
    </w:p>
    <w:p>
      <w:pPr>
        <w:ind w:firstLine="1605" w:firstLineChars="400"/>
        <w:rPr>
          <w:rFonts w:hint="eastAsia" w:ascii="宋体" w:hAnsi="宋体"/>
          <w:b/>
          <w:bCs/>
          <w:color w:val="000000"/>
          <w:sz w:val="32"/>
        </w:rPr>
      </w:pPr>
      <w:r>
        <w:rPr>
          <w:rFonts w:hint="eastAsia" w:ascii="宋体" w:hAnsi="宋体"/>
          <w:b/>
          <w:bCs/>
          <w:color w:val="000000"/>
          <w:spacing w:val="40"/>
          <w:sz w:val="32"/>
        </w:rPr>
        <w:t>项目编号：GLZC2020-G1-210016-GXXS</w:t>
      </w:r>
    </w:p>
    <w:p>
      <w:pPr>
        <w:ind w:left="-2" w:leftChars="-1" w:firstLine="1446" w:firstLineChars="400"/>
        <w:rPr>
          <w:rFonts w:hint="eastAsia" w:ascii="宋体" w:hAnsi="宋体"/>
          <w:color w:val="000000"/>
        </w:rPr>
      </w:pPr>
      <w:r>
        <w:rPr>
          <w:rFonts w:hint="eastAsia" w:ascii="宋体" w:hAnsi="宋体"/>
          <w:b/>
          <w:bCs/>
          <w:color w:val="000000"/>
          <w:sz w:val="36"/>
        </w:rPr>
        <w:t xml:space="preserve">        </w:t>
      </w:r>
      <w:r>
        <w:rPr>
          <w:rFonts w:hint="eastAsia" w:ascii="宋体" w:hAnsi="宋体"/>
          <w:color w:val="000000"/>
        </w:rPr>
        <w:cr/>
      </w:r>
    </w:p>
    <w:p>
      <w:pPr>
        <w:pStyle w:val="23"/>
        <w:rPr>
          <w:rFonts w:hint="eastAsia" w:ascii="宋体" w:hAnsi="宋体"/>
          <w:color w:val="000000"/>
        </w:rPr>
      </w:pPr>
    </w:p>
    <w:p>
      <w:pPr>
        <w:pStyle w:val="23"/>
        <w:rPr>
          <w:rFonts w:hint="eastAsia" w:ascii="宋体" w:hAnsi="宋体"/>
          <w:color w:val="000000"/>
        </w:rPr>
      </w:pPr>
    </w:p>
    <w:p>
      <w:pPr>
        <w:pStyle w:val="23"/>
        <w:rPr>
          <w:rFonts w:hint="eastAsia" w:ascii="宋体" w:hAnsi="宋体"/>
          <w:color w:val="000000"/>
        </w:rPr>
      </w:pPr>
    </w:p>
    <w:p>
      <w:pPr>
        <w:pStyle w:val="23"/>
        <w:rPr>
          <w:rFonts w:hint="eastAsia" w:ascii="宋体" w:hAnsi="宋体"/>
          <w:color w:val="000000"/>
        </w:rPr>
      </w:pPr>
    </w:p>
    <w:p>
      <w:pPr>
        <w:pStyle w:val="23"/>
        <w:rPr>
          <w:rFonts w:hint="eastAsia" w:ascii="宋体" w:hAnsi="宋体"/>
          <w:color w:val="000000"/>
        </w:rPr>
      </w:pPr>
    </w:p>
    <w:p>
      <w:pPr>
        <w:pStyle w:val="23"/>
        <w:rPr>
          <w:rFonts w:hint="eastAsia" w:ascii="宋体" w:hAnsi="宋体"/>
          <w:color w:val="000000"/>
        </w:rPr>
      </w:pPr>
    </w:p>
    <w:p>
      <w:pPr>
        <w:pStyle w:val="23"/>
        <w:rPr>
          <w:rFonts w:hint="eastAsia" w:ascii="宋体" w:hAnsi="宋体"/>
          <w:color w:val="000000"/>
        </w:rPr>
      </w:pPr>
    </w:p>
    <w:p>
      <w:pPr>
        <w:pStyle w:val="23"/>
        <w:rPr>
          <w:rFonts w:hint="eastAsia" w:ascii="宋体" w:hAnsi="宋体"/>
          <w:color w:val="000000"/>
        </w:rPr>
      </w:pPr>
    </w:p>
    <w:p>
      <w:pPr>
        <w:ind w:left="-2" w:leftChars="-1" w:firstLine="1335" w:firstLineChars="636"/>
        <w:jc w:val="center"/>
        <w:rPr>
          <w:rFonts w:hint="eastAsia" w:ascii="宋体" w:hAnsi="宋体"/>
          <w:b/>
          <w:color w:val="000000"/>
          <w:spacing w:val="-10"/>
          <w:sz w:val="32"/>
          <w:szCs w:val="32"/>
        </w:rPr>
      </w:pPr>
      <w:r>
        <w:rPr>
          <w:rFonts w:ascii="宋体" w:hAnsi="宋体"/>
          <w:color w:val="000000"/>
        </w:rPr>
        <w:cr/>
      </w:r>
      <w:r>
        <w:rPr>
          <w:rFonts w:hint="eastAsia" w:ascii="宋体" w:hAnsi="宋体"/>
          <w:b/>
          <w:color w:val="000000"/>
          <w:spacing w:val="-10"/>
          <w:sz w:val="32"/>
          <w:szCs w:val="32"/>
        </w:rPr>
        <w:t>采购代理机构：广西新厦工程咨询有限公司</w:t>
      </w:r>
    </w:p>
    <w:p>
      <w:pPr>
        <w:ind w:left="-2" w:leftChars="-1" w:firstLine="1916" w:firstLineChars="636"/>
        <w:jc w:val="center"/>
        <w:rPr>
          <w:rFonts w:hint="eastAsia" w:ascii="宋体" w:hAnsi="宋体"/>
          <w:b/>
          <w:color w:val="000000"/>
          <w:spacing w:val="-10"/>
          <w:sz w:val="32"/>
          <w:szCs w:val="32"/>
        </w:rPr>
      </w:pPr>
    </w:p>
    <w:p>
      <w:pPr>
        <w:ind w:left="-2" w:leftChars="-1" w:firstLine="1916" w:firstLineChars="636"/>
        <w:jc w:val="center"/>
        <w:rPr>
          <w:rFonts w:hint="eastAsia" w:ascii="宋体" w:hAnsi="宋体"/>
          <w:b/>
          <w:bCs/>
          <w:color w:val="000000"/>
          <w:sz w:val="32"/>
        </w:rPr>
      </w:pPr>
      <w:r>
        <w:rPr>
          <w:rFonts w:hint="eastAsia" w:ascii="宋体" w:hAnsi="宋体"/>
          <w:b/>
          <w:color w:val="000000"/>
          <w:spacing w:val="-10"/>
          <w:sz w:val="32"/>
          <w:szCs w:val="32"/>
        </w:rPr>
        <w:cr/>
      </w:r>
      <w:r>
        <w:rPr>
          <w:rFonts w:hint="eastAsia" w:ascii="宋体" w:hAnsi="宋体"/>
          <w:b/>
          <w:bCs/>
          <w:color w:val="000000"/>
          <w:spacing w:val="-8"/>
          <w:sz w:val="32"/>
        </w:rPr>
        <w:t xml:space="preserve"> </w:t>
      </w:r>
      <w:r>
        <w:rPr>
          <w:rFonts w:ascii="宋体" w:hAnsi="宋体"/>
          <w:b/>
          <w:bCs/>
          <w:color w:val="000000"/>
          <w:spacing w:val="-8"/>
          <w:sz w:val="32"/>
        </w:rPr>
        <w:t xml:space="preserve">  </w:t>
      </w:r>
      <w:r>
        <w:rPr>
          <w:rFonts w:hint="eastAsia" w:ascii="宋体" w:hAnsi="宋体"/>
          <w:b/>
          <w:bCs/>
          <w:color w:val="000000"/>
          <w:sz w:val="32"/>
        </w:rPr>
        <w:t>2020年9月</w:t>
      </w:r>
    </w:p>
    <w:p>
      <w:pPr>
        <w:ind w:left="103" w:leftChars="49" w:firstLine="2249" w:firstLineChars="700"/>
        <w:jc w:val="center"/>
        <w:rPr>
          <w:rFonts w:ascii="宋体" w:hAnsi="宋体"/>
          <w:b/>
          <w:bCs/>
          <w:color w:val="000000"/>
          <w:sz w:val="32"/>
        </w:rPr>
      </w:pPr>
      <w:r>
        <w:rPr>
          <w:rFonts w:ascii="宋体" w:hAnsi="宋体"/>
          <w:b/>
          <w:bCs/>
          <w:color w:val="000000"/>
          <w:sz w:val="32"/>
        </w:rPr>
        <w:br w:type="page"/>
      </w:r>
    </w:p>
    <w:p>
      <w:pPr>
        <w:jc w:val="center"/>
        <w:rPr>
          <w:rFonts w:hint="eastAsia" w:ascii="宋体" w:hAnsi="宋体" w:cs="宋体"/>
          <w:color w:val="000000"/>
          <w:sz w:val="52"/>
          <w:szCs w:val="52"/>
        </w:rPr>
      </w:pPr>
      <w:r>
        <w:rPr>
          <w:rFonts w:hint="eastAsia" w:ascii="宋体" w:hAnsi="宋体" w:cs="宋体"/>
          <w:color w:val="000000"/>
          <w:sz w:val="52"/>
          <w:szCs w:val="52"/>
        </w:rPr>
        <w:t>目录</w:t>
      </w:r>
    </w:p>
    <w:p>
      <w:pPr>
        <w:pStyle w:val="98"/>
        <w:tabs>
          <w:tab w:val="right" w:leader="dot" w:pos="9694"/>
        </w:tabs>
        <w:rPr>
          <w:rFonts w:hint="eastAsia" w:asciiTheme="minorEastAsia" w:hAnsiTheme="minorEastAsia" w:eastAsiaTheme="minorEastAsia" w:cstheme="minorEastAsia"/>
          <w:color w:val="000000"/>
          <w:sz w:val="30"/>
          <w:szCs w:val="30"/>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TOC \o "1-1" \h \u </w:instrText>
      </w:r>
      <w:r>
        <w:rPr>
          <w:rFonts w:hint="eastAsia" w:ascii="宋体" w:hAnsi="宋体" w:cs="宋体"/>
          <w:color w:val="000000"/>
          <w:sz w:val="24"/>
          <w:szCs w:val="24"/>
        </w:rPr>
        <w:fldChar w:fldCharType="separate"/>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"_Toc23929"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color w:val="000000"/>
          <w:sz w:val="30"/>
          <w:szCs w:val="30"/>
        </w:rPr>
        <w:t>第一章  公开招标公告</w:t>
      </w:r>
      <w:r>
        <w:rPr>
          <w:rFonts w:hint="eastAsia" w:asciiTheme="minorEastAsia" w:hAnsiTheme="minorEastAsia" w:eastAsiaTheme="minorEastAsia" w:cstheme="minorEastAsia"/>
          <w:color w:val="000000"/>
          <w:sz w:val="30"/>
          <w:szCs w:val="30"/>
        </w:rPr>
        <w:tab/>
      </w:r>
      <w:r>
        <w:rPr>
          <w:rFonts w:hint="eastAsia" w:asciiTheme="minorEastAsia" w:hAnsiTheme="minorEastAsia" w:eastAsiaTheme="minorEastAsia" w:cstheme="minorEastAsia"/>
          <w:color w:val="000000"/>
          <w:sz w:val="30"/>
          <w:szCs w:val="30"/>
        </w:rPr>
        <w:fldChar w:fldCharType="begin"/>
      </w:r>
      <w:r>
        <w:rPr>
          <w:rFonts w:hint="eastAsia" w:asciiTheme="minorEastAsia" w:hAnsiTheme="minorEastAsia" w:eastAsiaTheme="minorEastAsia" w:cstheme="minorEastAsia"/>
          <w:color w:val="000000"/>
          <w:sz w:val="30"/>
          <w:szCs w:val="30"/>
        </w:rPr>
        <w:instrText xml:space="preserve"> PAGEREF _Toc23929 </w:instrText>
      </w:r>
      <w:r>
        <w:rPr>
          <w:rFonts w:hint="eastAsia" w:asciiTheme="minorEastAsia" w:hAnsiTheme="minorEastAsia" w:eastAsiaTheme="minorEastAsia" w:cstheme="minorEastAsia"/>
          <w:color w:val="000000"/>
          <w:sz w:val="30"/>
          <w:szCs w:val="30"/>
        </w:rPr>
        <w:fldChar w:fldCharType="separate"/>
      </w:r>
      <w:r>
        <w:rPr>
          <w:rFonts w:hint="eastAsia" w:asciiTheme="minorEastAsia" w:hAnsiTheme="minorEastAsia" w:eastAsiaTheme="minorEastAsia" w:cstheme="minorEastAsia"/>
          <w:color w:val="000000"/>
          <w:sz w:val="30"/>
          <w:szCs w:val="30"/>
          <w:lang w:val="en-US" w:eastAsia="zh-CN"/>
        </w:rPr>
        <w:t>3</w:t>
      </w:r>
      <w:r>
        <w:rPr>
          <w:rFonts w:hint="eastAsia" w:asciiTheme="minorEastAsia" w:hAnsiTheme="minorEastAsia" w:eastAsiaTheme="minorEastAsia" w:cstheme="minorEastAsia"/>
          <w:color w:val="000000"/>
          <w:sz w:val="30"/>
          <w:szCs w:val="30"/>
        </w:rPr>
        <w:fldChar w:fldCharType="end"/>
      </w:r>
      <w:r>
        <w:rPr>
          <w:rFonts w:hint="eastAsia" w:asciiTheme="minorEastAsia" w:hAnsiTheme="minorEastAsia" w:eastAsiaTheme="minorEastAsia" w:cstheme="minorEastAsia"/>
          <w:color w:val="000000"/>
          <w:sz w:val="30"/>
          <w:szCs w:val="30"/>
        </w:rPr>
        <w:fldChar w:fldCharType="end"/>
      </w:r>
    </w:p>
    <w:p>
      <w:pPr>
        <w:pStyle w:val="98"/>
        <w:tabs>
          <w:tab w:val="right" w:leader="dot" w:pos="9694"/>
        </w:tabs>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"_Toc29670"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color w:val="000000"/>
          <w:sz w:val="30"/>
          <w:szCs w:val="30"/>
        </w:rPr>
        <w:t>第二章  投标人须知</w:t>
      </w:r>
      <w:r>
        <w:rPr>
          <w:rFonts w:hint="eastAsia" w:asciiTheme="minorEastAsia" w:hAnsiTheme="minorEastAsia" w:eastAsiaTheme="minorEastAsia" w:cstheme="minorEastAsia"/>
          <w:color w:val="000000"/>
          <w:sz w:val="30"/>
          <w:szCs w:val="30"/>
        </w:rPr>
        <w:tab/>
      </w:r>
      <w:r>
        <w:rPr>
          <w:rFonts w:hint="eastAsia" w:asciiTheme="minorEastAsia" w:hAnsiTheme="minorEastAsia" w:eastAsiaTheme="minorEastAsia" w:cstheme="minorEastAsia"/>
          <w:color w:val="000000"/>
          <w:sz w:val="30"/>
          <w:szCs w:val="30"/>
        </w:rPr>
        <w:fldChar w:fldCharType="begin"/>
      </w:r>
      <w:r>
        <w:rPr>
          <w:rFonts w:hint="eastAsia" w:asciiTheme="minorEastAsia" w:hAnsiTheme="minorEastAsia" w:eastAsiaTheme="minorEastAsia" w:cstheme="minorEastAsia"/>
          <w:color w:val="000000"/>
          <w:sz w:val="30"/>
          <w:szCs w:val="30"/>
        </w:rPr>
        <w:instrText xml:space="preserve"> PAGEREF _Toc29670 </w:instrText>
      </w:r>
      <w:r>
        <w:rPr>
          <w:rFonts w:hint="eastAsia" w:asciiTheme="minorEastAsia" w:hAnsiTheme="minorEastAsia" w:eastAsiaTheme="minorEastAsia" w:cstheme="minorEastAsia"/>
          <w:color w:val="000000"/>
          <w:sz w:val="30"/>
          <w:szCs w:val="30"/>
        </w:rPr>
        <w:fldChar w:fldCharType="separate"/>
      </w:r>
      <w:r>
        <w:rPr>
          <w:rFonts w:hint="eastAsia" w:asciiTheme="minorEastAsia" w:hAnsiTheme="minorEastAsia" w:eastAsiaTheme="minorEastAsia" w:cstheme="minorEastAsia"/>
          <w:color w:val="000000"/>
          <w:sz w:val="30"/>
          <w:szCs w:val="30"/>
          <w:lang w:val="en-US" w:eastAsia="zh-CN"/>
        </w:rPr>
        <w:t>6</w:t>
      </w:r>
      <w:r>
        <w:rPr>
          <w:rFonts w:hint="eastAsia" w:asciiTheme="minorEastAsia" w:hAnsiTheme="minorEastAsia" w:eastAsiaTheme="minorEastAsia" w:cstheme="minorEastAsia"/>
          <w:color w:val="000000"/>
          <w:sz w:val="30"/>
          <w:szCs w:val="30"/>
        </w:rPr>
        <w:fldChar w:fldCharType="end"/>
      </w:r>
      <w:r>
        <w:rPr>
          <w:rFonts w:hint="eastAsia" w:asciiTheme="minorEastAsia" w:hAnsiTheme="minorEastAsia" w:eastAsiaTheme="minorEastAsia" w:cstheme="minorEastAsia"/>
          <w:color w:val="000000"/>
          <w:sz w:val="30"/>
          <w:szCs w:val="30"/>
        </w:rPr>
        <w:fldChar w:fldCharType="end"/>
      </w:r>
    </w:p>
    <w:p>
      <w:pPr>
        <w:pStyle w:val="98"/>
        <w:tabs>
          <w:tab w:val="right" w:leader="dot" w:pos="9694"/>
        </w:tabs>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"_Toc13994"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color w:val="000000"/>
          <w:sz w:val="30"/>
          <w:szCs w:val="30"/>
        </w:rPr>
        <w:t>第三章　采购需求</w:t>
      </w:r>
      <w:r>
        <w:rPr>
          <w:rFonts w:hint="eastAsia" w:asciiTheme="minorEastAsia" w:hAnsiTheme="minorEastAsia" w:eastAsiaTheme="minorEastAsia" w:cstheme="minorEastAsia"/>
          <w:color w:val="000000"/>
          <w:sz w:val="30"/>
          <w:szCs w:val="30"/>
        </w:rPr>
        <w:tab/>
      </w:r>
      <w:r>
        <w:rPr>
          <w:rFonts w:hint="eastAsia" w:asciiTheme="minorEastAsia" w:hAnsiTheme="minorEastAsia" w:eastAsiaTheme="minorEastAsia" w:cstheme="minorEastAsia"/>
          <w:color w:val="000000"/>
          <w:sz w:val="30"/>
          <w:szCs w:val="30"/>
        </w:rPr>
        <w:fldChar w:fldCharType="begin"/>
      </w:r>
      <w:r>
        <w:rPr>
          <w:rFonts w:hint="eastAsia" w:asciiTheme="minorEastAsia" w:hAnsiTheme="minorEastAsia" w:eastAsiaTheme="minorEastAsia" w:cstheme="minorEastAsia"/>
          <w:color w:val="000000"/>
          <w:sz w:val="30"/>
          <w:szCs w:val="30"/>
        </w:rPr>
        <w:instrText xml:space="preserve"> PAGEREF _Toc13994 </w:instrText>
      </w:r>
      <w:r>
        <w:rPr>
          <w:rFonts w:hint="eastAsia" w:asciiTheme="minorEastAsia" w:hAnsiTheme="minorEastAsia" w:eastAsiaTheme="minorEastAsia" w:cstheme="minorEastAsia"/>
          <w:color w:val="000000"/>
          <w:sz w:val="30"/>
          <w:szCs w:val="30"/>
        </w:rPr>
        <w:fldChar w:fldCharType="separate"/>
      </w:r>
      <w:r>
        <w:rPr>
          <w:rFonts w:hint="eastAsia" w:asciiTheme="minorEastAsia" w:hAnsiTheme="minorEastAsia" w:eastAsiaTheme="minorEastAsia" w:cstheme="minorEastAsia"/>
          <w:color w:val="000000"/>
          <w:sz w:val="30"/>
          <w:szCs w:val="30"/>
          <w:lang w:val="en-US" w:eastAsia="zh-CN"/>
        </w:rPr>
        <w:t>20</w:t>
      </w:r>
      <w:r>
        <w:rPr>
          <w:rFonts w:hint="eastAsia" w:asciiTheme="minorEastAsia" w:hAnsiTheme="minorEastAsia" w:eastAsiaTheme="minorEastAsia" w:cstheme="minorEastAsia"/>
          <w:color w:val="000000"/>
          <w:sz w:val="30"/>
          <w:szCs w:val="30"/>
        </w:rPr>
        <w:fldChar w:fldCharType="end"/>
      </w:r>
      <w:r>
        <w:rPr>
          <w:rFonts w:hint="eastAsia" w:asciiTheme="minorEastAsia" w:hAnsiTheme="minorEastAsia" w:eastAsiaTheme="minorEastAsia" w:cstheme="minorEastAsia"/>
          <w:color w:val="000000"/>
          <w:sz w:val="30"/>
          <w:szCs w:val="30"/>
        </w:rPr>
        <w:fldChar w:fldCharType="end"/>
      </w:r>
    </w:p>
    <w:p>
      <w:pPr>
        <w:pStyle w:val="98"/>
        <w:tabs>
          <w:tab w:val="right" w:leader="dot" w:pos="9694"/>
        </w:tabs>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第四章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"_Toc17995"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color w:val="000000"/>
          <w:sz w:val="30"/>
          <w:szCs w:val="30"/>
        </w:rPr>
        <w:t>评标办法</w:t>
      </w:r>
      <w:r>
        <w:rPr>
          <w:rFonts w:hint="eastAsia" w:asciiTheme="minorEastAsia" w:hAnsiTheme="minorEastAsia" w:eastAsiaTheme="minorEastAsia" w:cstheme="minorEastAsia"/>
          <w:color w:val="000000"/>
          <w:sz w:val="30"/>
          <w:szCs w:val="30"/>
        </w:rPr>
        <w:tab/>
      </w:r>
      <w:r>
        <w:rPr>
          <w:rFonts w:hint="eastAsia" w:asciiTheme="minorEastAsia" w:hAnsiTheme="minorEastAsia" w:eastAsiaTheme="minorEastAsia" w:cstheme="minorEastAsia"/>
          <w:color w:val="000000"/>
          <w:sz w:val="30"/>
          <w:szCs w:val="30"/>
        </w:rPr>
        <w:t>4</w:t>
      </w:r>
      <w:r>
        <w:rPr>
          <w:rFonts w:hint="eastAsia" w:asciiTheme="minorEastAsia" w:hAnsiTheme="minorEastAsia" w:eastAsiaTheme="minorEastAsia" w:cstheme="minorEastAsia"/>
          <w:color w:val="000000"/>
          <w:sz w:val="30"/>
          <w:szCs w:val="30"/>
        </w:rPr>
        <w:fldChar w:fldCharType="end"/>
      </w:r>
      <w:r>
        <w:rPr>
          <w:rFonts w:hint="eastAsia" w:asciiTheme="minorEastAsia" w:hAnsiTheme="minorEastAsia" w:eastAsiaTheme="minorEastAsia" w:cstheme="minorEastAsia"/>
          <w:color w:val="000000"/>
          <w:sz w:val="30"/>
          <w:szCs w:val="30"/>
        </w:rPr>
        <w:t>3</w:t>
      </w:r>
    </w:p>
    <w:p>
      <w:pPr>
        <w:pStyle w:val="98"/>
        <w:tabs>
          <w:tab w:val="right" w:leader="dot" w:pos="9694"/>
        </w:tabs>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"_Toc21862"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color w:val="000000"/>
          <w:sz w:val="30"/>
          <w:szCs w:val="30"/>
        </w:rPr>
        <w:t>第五章  采购合同（合同主要条款及格式）</w:t>
      </w:r>
      <w:r>
        <w:rPr>
          <w:rFonts w:hint="eastAsia" w:asciiTheme="minorEastAsia" w:hAnsiTheme="minorEastAsia" w:eastAsiaTheme="minorEastAsia" w:cstheme="minorEastAsia"/>
          <w:color w:val="000000"/>
          <w:sz w:val="30"/>
          <w:szCs w:val="30"/>
        </w:rPr>
        <w:tab/>
      </w:r>
      <w:r>
        <w:rPr>
          <w:rFonts w:hint="eastAsia" w:asciiTheme="minorEastAsia" w:hAnsiTheme="minorEastAsia" w:eastAsiaTheme="minorEastAsia" w:cstheme="minorEastAsia"/>
          <w:color w:val="000000"/>
          <w:sz w:val="30"/>
          <w:szCs w:val="30"/>
        </w:rPr>
        <w:t>4</w:t>
      </w:r>
      <w:r>
        <w:rPr>
          <w:rFonts w:hint="eastAsia" w:asciiTheme="minorEastAsia" w:hAnsiTheme="minorEastAsia" w:eastAsiaTheme="minorEastAsia" w:cstheme="minorEastAsia"/>
          <w:color w:val="000000"/>
          <w:sz w:val="30"/>
          <w:szCs w:val="30"/>
        </w:rPr>
        <w:fldChar w:fldCharType="end"/>
      </w:r>
      <w:r>
        <w:rPr>
          <w:rFonts w:hint="eastAsia" w:asciiTheme="minorEastAsia" w:hAnsiTheme="minorEastAsia" w:eastAsiaTheme="minorEastAsia" w:cstheme="minorEastAsia"/>
          <w:color w:val="000000"/>
          <w:sz w:val="30"/>
          <w:szCs w:val="30"/>
        </w:rPr>
        <w:t>8</w:t>
      </w:r>
    </w:p>
    <w:p>
      <w:pPr>
        <w:pStyle w:val="98"/>
        <w:tabs>
          <w:tab w:val="right" w:leader="dot" w:pos="9694"/>
        </w:tabs>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"_Toc22789"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color w:val="000000"/>
          <w:sz w:val="30"/>
          <w:szCs w:val="30"/>
        </w:rPr>
        <w:t>第六章  投标文件（格式）</w:t>
      </w:r>
      <w:r>
        <w:rPr>
          <w:rFonts w:hint="eastAsia" w:asciiTheme="minorEastAsia" w:hAnsiTheme="minorEastAsia" w:eastAsiaTheme="minorEastAsia" w:cstheme="minorEastAsia"/>
          <w:color w:val="000000"/>
          <w:sz w:val="30"/>
          <w:szCs w:val="30"/>
        </w:rPr>
        <w:tab/>
      </w:r>
      <w:r>
        <w:rPr>
          <w:rFonts w:hint="eastAsia" w:asciiTheme="minorEastAsia" w:hAnsiTheme="minorEastAsia" w:eastAsiaTheme="minorEastAsia" w:cstheme="minorEastAsia"/>
          <w:color w:val="000000"/>
          <w:sz w:val="30"/>
          <w:szCs w:val="30"/>
        </w:rPr>
        <w:fldChar w:fldCharType="begin"/>
      </w:r>
      <w:r>
        <w:rPr>
          <w:rFonts w:hint="eastAsia" w:asciiTheme="minorEastAsia" w:hAnsiTheme="minorEastAsia" w:eastAsiaTheme="minorEastAsia" w:cstheme="minorEastAsia"/>
          <w:color w:val="000000"/>
          <w:sz w:val="30"/>
          <w:szCs w:val="30"/>
        </w:rPr>
        <w:instrText xml:space="preserve"> PAGEREF _Toc22789 </w:instrText>
      </w:r>
      <w:r>
        <w:rPr>
          <w:rFonts w:hint="eastAsia" w:asciiTheme="minorEastAsia" w:hAnsiTheme="minorEastAsia" w:eastAsiaTheme="minorEastAsia" w:cstheme="minorEastAsia"/>
          <w:color w:val="000000"/>
          <w:sz w:val="30"/>
          <w:szCs w:val="30"/>
        </w:rPr>
        <w:fldChar w:fldCharType="separate"/>
      </w:r>
      <w:r>
        <w:rPr>
          <w:rFonts w:hint="eastAsia" w:asciiTheme="minorEastAsia" w:hAnsiTheme="minorEastAsia" w:eastAsiaTheme="minorEastAsia" w:cstheme="minorEastAsia"/>
          <w:color w:val="000000"/>
          <w:sz w:val="30"/>
          <w:szCs w:val="30"/>
          <w:lang w:val="en-US" w:eastAsia="zh-CN"/>
        </w:rPr>
        <w:t>52</w:t>
      </w:r>
      <w:r>
        <w:rPr>
          <w:rFonts w:hint="eastAsia" w:asciiTheme="minorEastAsia" w:hAnsiTheme="minorEastAsia" w:eastAsiaTheme="minorEastAsia" w:cstheme="minorEastAsia"/>
          <w:color w:val="000000"/>
          <w:sz w:val="30"/>
          <w:szCs w:val="30"/>
        </w:rPr>
        <w:fldChar w:fldCharType="end"/>
      </w:r>
      <w:r>
        <w:rPr>
          <w:rFonts w:hint="eastAsia" w:asciiTheme="minorEastAsia" w:hAnsiTheme="minorEastAsia" w:eastAsiaTheme="minorEastAsia" w:cstheme="minorEastAsia"/>
          <w:color w:val="000000"/>
          <w:sz w:val="30"/>
          <w:szCs w:val="30"/>
        </w:rPr>
        <w:fldChar w:fldCharType="end"/>
      </w:r>
    </w:p>
    <w:p>
      <w:pPr>
        <w:pStyle w:val="98"/>
        <w:tabs>
          <w:tab w:val="right" w:leader="dot" w:pos="9694"/>
        </w:tabs>
        <w:rPr>
          <w:rFonts w:hint="eastAsia" w:ascii="宋体" w:hAnsi="宋体" w:cs="宋体"/>
          <w:color w:val="000000"/>
          <w:sz w:val="24"/>
          <w:szCs w:val="24"/>
        </w:rPr>
      </w:pPr>
    </w:p>
    <w:p>
      <w:pPr>
        <w:pStyle w:val="98"/>
        <w:tabs>
          <w:tab w:val="right" w:leader="dot" w:pos="9694"/>
        </w:tabs>
        <w:rPr>
          <w:rFonts w:hint="eastAsia" w:ascii="宋体" w:hAnsi="宋体" w:cs="宋体"/>
          <w:color w:val="000000"/>
          <w:sz w:val="24"/>
          <w:szCs w:val="24"/>
        </w:rPr>
      </w:pPr>
    </w:p>
    <w:p>
      <w:pPr>
        <w:pStyle w:val="23"/>
        <w:rPr>
          <w:rFonts w:hint="eastAsia"/>
          <w:color w:val="000000"/>
        </w:rPr>
      </w:pPr>
      <w:r>
        <w:rPr>
          <w:rFonts w:hint="eastAsia" w:ascii="宋体" w:hAnsi="宋体" w:cs="宋体"/>
          <w:color w:val="000000"/>
          <w:sz w:val="24"/>
          <w:szCs w:val="24"/>
        </w:rPr>
        <w:fldChar w:fldCharType="end"/>
      </w:r>
    </w:p>
    <w:p>
      <w:pPr>
        <w:pStyle w:val="20"/>
        <w:jc w:val="center"/>
        <w:rPr>
          <w:rFonts w:hAnsi="宋体"/>
          <w:color w:val="000000"/>
        </w:rPr>
      </w:pPr>
    </w:p>
    <w:p>
      <w:pPr>
        <w:pStyle w:val="20"/>
        <w:ind w:firstLine="735"/>
        <w:jc w:val="left"/>
        <w:rPr>
          <w:rFonts w:hint="eastAsia" w:hAnsi="宋体"/>
          <w:color w:val="000000"/>
          <w:szCs w:val="21"/>
        </w:rPr>
      </w:pPr>
    </w:p>
    <w:p>
      <w:pPr>
        <w:ind w:firstLine="2730" w:firstLineChars="1300"/>
        <w:jc w:val="left"/>
        <w:rPr>
          <w:rFonts w:hint="eastAsia" w:ascii="宋体" w:hAnsi="宋体"/>
          <w:color w:val="000000"/>
          <w:szCs w:val="21"/>
        </w:rPr>
      </w:pPr>
    </w:p>
    <w:p>
      <w:pPr>
        <w:ind w:firstLine="2730" w:firstLineChars="1300"/>
        <w:rPr>
          <w:rFonts w:hint="eastAsia" w:ascii="宋体" w:hAnsi="宋体"/>
          <w:color w:val="000000"/>
          <w:szCs w:val="21"/>
        </w:rPr>
      </w:pPr>
    </w:p>
    <w:p>
      <w:pPr>
        <w:numPr>
          <w:ilvl w:val="0"/>
          <w:numId w:val="1"/>
        </w:numPr>
        <w:jc w:val="center"/>
        <w:outlineLvl w:val="0"/>
        <w:rPr>
          <w:rFonts w:hint="eastAsia" w:ascii="宋体" w:hAnsi="宋体"/>
          <w:b/>
          <w:color w:val="000000"/>
          <w:sz w:val="32"/>
          <w:szCs w:val="32"/>
        </w:rPr>
      </w:pPr>
      <w:r>
        <w:rPr>
          <w:rFonts w:ascii="宋体" w:hAnsi="宋体"/>
          <w:color w:val="000000"/>
          <w:szCs w:val="21"/>
        </w:rPr>
        <w:br w:type="page"/>
      </w:r>
      <w:r>
        <w:rPr>
          <w:rFonts w:hint="eastAsia" w:ascii="宋体" w:hAnsi="宋体"/>
          <w:color w:val="000000"/>
        </w:rPr>
        <w:t xml:space="preserve"> </w:t>
      </w:r>
      <w:bookmarkStart w:id="0" w:name="_Toc23929"/>
      <w:r>
        <w:rPr>
          <w:rFonts w:hint="eastAsia" w:ascii="宋体" w:hAnsi="宋体"/>
          <w:b/>
          <w:color w:val="000000"/>
          <w:sz w:val="32"/>
          <w:szCs w:val="32"/>
        </w:rPr>
        <w:t>公开招标公告</w:t>
      </w:r>
      <w:bookmarkEnd w:id="0"/>
    </w:p>
    <w:p>
      <w:pPr>
        <w:pStyle w:val="15"/>
        <w:ind w:left="104"/>
        <w:rPr>
          <w:sz w:val="20"/>
        </w:rPr>
      </w:pPr>
      <w:r>
        <w:rPr>
          <w:sz w:val="20"/>
        </w:rPr>
        <mc:AlternateContent>
          <mc:Choice Requires="wps">
            <w:drawing>
              <wp:anchor distT="0" distB="0" distL="114300" distR="114300" simplePos="0" relativeHeight="251658240" behindDoc="0" locked="0" layoutInCell="1" allowOverlap="1">
                <wp:simplePos x="0" y="0"/>
                <wp:positionH relativeFrom="column">
                  <wp:posOffset>-760095</wp:posOffset>
                </wp:positionH>
                <wp:positionV relativeFrom="paragraph">
                  <wp:posOffset>21590</wp:posOffset>
                </wp:positionV>
                <wp:extent cx="6834505" cy="1113155"/>
                <wp:effectExtent l="4445" t="4445" r="19050" b="6350"/>
                <wp:wrapSquare wrapText="bothSides"/>
                <wp:docPr id="2"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6834505" cy="1113155"/>
                        </a:xfrm>
                        <a:prstGeom prst="rect">
                          <a:avLst/>
                        </a:prstGeom>
                        <a:noFill/>
                        <a:ln w="6096">
                          <a:solidFill>
                            <a:srgbClr val="000000"/>
                          </a:solidFill>
                          <a:miter lim="800000"/>
                        </a:ln>
                        <a:effectLst/>
                      </wps:spPr>
                      <wps:txbx>
                        <w:txbxContent>
                          <w:p>
                            <w:pPr>
                              <w:spacing w:line="340" w:lineRule="exact"/>
                              <w:ind w:firstLine="420" w:firstLineChars="200"/>
                              <w:jc w:val="left"/>
                              <w:rPr>
                                <w:rFonts w:hint="eastAsia" w:ascii="宋体" w:hAnsi="宋体"/>
                                <w:color w:val="000000"/>
                                <w:szCs w:val="21"/>
                              </w:rPr>
                            </w:pPr>
                            <w:r>
                              <w:rPr>
                                <w:rFonts w:hint="eastAsia" w:ascii="宋体" w:hAnsi="宋体"/>
                                <w:color w:val="000000"/>
                                <w:szCs w:val="21"/>
                              </w:rPr>
                              <w:t>项目概况</w:t>
                            </w:r>
                          </w:p>
                          <w:p>
                            <w:pPr>
                              <w:spacing w:line="340" w:lineRule="exact"/>
                              <w:ind w:firstLine="420" w:firstLineChars="200"/>
                              <w:jc w:val="left"/>
                              <w:rPr>
                                <w:rFonts w:hint="eastAsia" w:ascii="宋体" w:hAnsi="宋体"/>
                                <w:color w:val="000000"/>
                                <w:szCs w:val="21"/>
                              </w:rPr>
                            </w:pPr>
                            <w:r>
                              <w:rPr>
                                <w:rFonts w:hint="eastAsia" w:ascii="宋体" w:hAnsi="宋体"/>
                                <w:color w:val="000000"/>
                                <w:szCs w:val="21"/>
                                <w:u w:val="single"/>
                              </w:rPr>
                              <w:t>阳朔县新政务服务中心中央空调采购</w:t>
                            </w:r>
                            <w:r>
                              <w:rPr>
                                <w:rFonts w:hint="eastAsia" w:ascii="宋体" w:hAnsi="宋体"/>
                                <w:color w:val="000000"/>
                                <w:szCs w:val="21"/>
                              </w:rPr>
                              <w:t xml:space="preserve">项目的潜在投标人应登陆http:// </w:t>
                            </w:r>
                            <w:r>
                              <w:fldChar w:fldCharType="begin"/>
                            </w:r>
                            <w:r>
                              <w:instrText xml:space="preserve"> HYPERLINK "http://www.gxzfcg.gov.cn（广西壮族自治区政府采购网）、http:/zfcg.glcz.cn:880/（桂林市政府采购网）/http:/ggzy.guilin.cn（桂林市公共资源交易中心）于招标文件开标截止时间前从网上下载招标文件电子版，并于2020年" </w:instrText>
                            </w:r>
                            <w:r>
                              <w:fldChar w:fldCharType="separate"/>
                            </w:r>
                            <w:r>
                              <w:rPr>
                                <w:rStyle w:val="37"/>
                                <w:rFonts w:hint="eastAsia" w:ascii="宋体" w:hAnsi="宋体"/>
                                <w:color w:val="000000"/>
                                <w:szCs w:val="21"/>
                              </w:rPr>
                              <w:t>www.gxzfcg.gov.cn（广西壮族自治区政府采购网）、http://gl.zfcg.zcygov.cn/（桂林市政府采购网）/http://ggzy.guilin.cn（桂林市公共资源交易中心）于招标文件开标截止时间前从网上下载招标文件电子版，并于2020年</w:t>
                            </w:r>
                            <w:r>
                              <w:rPr>
                                <w:rStyle w:val="37"/>
                                <w:rFonts w:hint="eastAsia" w:ascii="宋体" w:hAnsi="宋体"/>
                                <w:color w:val="000000"/>
                                <w:szCs w:val="21"/>
                              </w:rPr>
                              <w:fldChar w:fldCharType="end"/>
                            </w:r>
                            <w:r>
                              <w:rPr>
                                <w:rFonts w:hint="eastAsia" w:ascii="宋体" w:hAnsi="宋体"/>
                                <w:color w:val="000000"/>
                                <w:szCs w:val="21"/>
                                <w:u w:val="single"/>
                                <w:lang w:val="en-US" w:eastAsia="zh-CN"/>
                              </w:rPr>
                              <w:t>10</w:t>
                            </w:r>
                            <w:r>
                              <w:rPr>
                                <w:rFonts w:hint="eastAsia" w:ascii="宋体" w:hAnsi="宋体"/>
                                <w:color w:val="000000"/>
                                <w:szCs w:val="21"/>
                                <w:u w:val="single"/>
                              </w:rPr>
                              <w:t>月</w:t>
                            </w:r>
                            <w:r>
                              <w:rPr>
                                <w:rFonts w:hint="eastAsia" w:ascii="宋体" w:hAnsi="宋体"/>
                                <w:color w:val="000000"/>
                                <w:szCs w:val="21"/>
                                <w:u w:val="single"/>
                                <w:lang w:val="en-US" w:eastAsia="zh-CN"/>
                              </w:rPr>
                              <w:t>15</w:t>
                            </w:r>
                            <w:r>
                              <w:rPr>
                                <w:rFonts w:hint="eastAsia" w:ascii="宋体" w:hAnsi="宋体"/>
                                <w:color w:val="000000"/>
                                <w:szCs w:val="21"/>
                                <w:u w:val="single"/>
                              </w:rPr>
                              <w:t>日9点00分（</w:t>
                            </w:r>
                            <w:r>
                              <w:rPr>
                                <w:rFonts w:hint="eastAsia" w:ascii="宋体" w:hAnsi="宋体"/>
                                <w:color w:val="000000"/>
                                <w:szCs w:val="21"/>
                              </w:rPr>
                              <w:t>北京时间）前递交投标文件。</w:t>
                            </w:r>
                          </w:p>
                          <w:p>
                            <w:pPr>
                              <w:pStyle w:val="15"/>
                              <w:spacing w:line="266" w:lineRule="exact"/>
                              <w:ind w:left="12" w:firstLine="606" w:firstLineChars="289"/>
                              <w:jc w:val="left"/>
                            </w:pPr>
                          </w:p>
                        </w:txbxContent>
                      </wps:txbx>
                      <wps:bodyPr rot="0" vert="horz" wrap="square" lIns="0" tIns="0" rIns="0" bIns="0" anchor="t" anchorCtr="0" upright="1">
                        <a:noAutofit/>
                      </wps:bodyPr>
                    </wps:wsp>
                  </a:graphicData>
                </a:graphic>
              </wp:anchor>
            </w:drawing>
          </mc:Choice>
          <mc:Fallback>
            <w:pict>
              <v:shape id="文本框 164" o:spid="_x0000_s1026" o:spt="202" type="#_x0000_t202" style="position:absolute;left:0pt;margin-left:-59.85pt;margin-top:1.7pt;height:87.65pt;width:538.15pt;mso-wrap-distance-bottom:0pt;mso-wrap-distance-left:9pt;mso-wrap-distance-right:9pt;mso-wrap-distance-top:0pt;z-index:251658240;mso-width-relative:page;mso-height-relative:page;" filled="f" stroked="t" coordsize="21600,21600" o:gfxdata="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ReU0TY&#10;AAAACgEAAA8AAAAAAAAAAQAgAAAAIgAAAGRycy9kb3ducmV2LnhtbFBLAQIUABQAAAAIAIdO4kDt&#10;mqs8IAIAABEEAAAOAAAAAAAAAAEAIAAAACcBAABkcnMvZTJvRG9jLnhtbFBLBQYAAAAABgAGAFkB&#10;AAC5BQAAAAA=&#10;">
                <v:fill on="f" focussize="0,0"/>
                <v:stroke weight="0.48pt" color="#000000" miterlimit="8" joinstyle="miter"/>
                <v:imagedata o:title=""/>
                <o:lock v:ext="edit" aspectratio="f"/>
                <v:textbox inset="0mm,0mm,0mm,0mm">
                  <w:txbxContent>
                    <w:p>
                      <w:pPr>
                        <w:spacing w:line="340" w:lineRule="exact"/>
                        <w:ind w:firstLine="420" w:firstLineChars="200"/>
                        <w:jc w:val="left"/>
                        <w:rPr>
                          <w:rFonts w:hint="eastAsia" w:ascii="宋体" w:hAnsi="宋体"/>
                          <w:color w:val="000000"/>
                          <w:szCs w:val="21"/>
                        </w:rPr>
                      </w:pPr>
                      <w:r>
                        <w:rPr>
                          <w:rFonts w:hint="eastAsia" w:ascii="宋体" w:hAnsi="宋体"/>
                          <w:color w:val="000000"/>
                          <w:szCs w:val="21"/>
                        </w:rPr>
                        <w:t>项目概况</w:t>
                      </w:r>
                    </w:p>
                    <w:p>
                      <w:pPr>
                        <w:spacing w:line="340" w:lineRule="exact"/>
                        <w:ind w:firstLine="420" w:firstLineChars="200"/>
                        <w:jc w:val="left"/>
                        <w:rPr>
                          <w:rFonts w:hint="eastAsia" w:ascii="宋体" w:hAnsi="宋体"/>
                          <w:color w:val="000000"/>
                          <w:szCs w:val="21"/>
                        </w:rPr>
                      </w:pPr>
                      <w:r>
                        <w:rPr>
                          <w:rFonts w:hint="eastAsia" w:ascii="宋体" w:hAnsi="宋体"/>
                          <w:color w:val="000000"/>
                          <w:szCs w:val="21"/>
                          <w:u w:val="single"/>
                        </w:rPr>
                        <w:t>阳朔县新政务服务中心中央空调采购</w:t>
                      </w:r>
                      <w:r>
                        <w:rPr>
                          <w:rFonts w:hint="eastAsia" w:ascii="宋体" w:hAnsi="宋体"/>
                          <w:color w:val="000000"/>
                          <w:szCs w:val="21"/>
                        </w:rPr>
                        <w:t xml:space="preserve">项目的潜在投标人应登陆http:// </w:t>
                      </w:r>
                      <w:r>
                        <w:fldChar w:fldCharType="begin"/>
                      </w:r>
                      <w:r>
                        <w:instrText xml:space="preserve"> HYPERLINK "http://www.gxzfcg.gov.cn（广西壮族自治区政府采购网）、http:/zfcg.glcz.cn:880/（桂林市政府采购网）/http:/ggzy.guilin.cn（桂林市公共资源交易中心）于招标文件开标截止时间前从网上下载招标文件电子版，并于2020年" </w:instrText>
                      </w:r>
                      <w:r>
                        <w:fldChar w:fldCharType="separate"/>
                      </w:r>
                      <w:r>
                        <w:rPr>
                          <w:rStyle w:val="37"/>
                          <w:rFonts w:hint="eastAsia" w:ascii="宋体" w:hAnsi="宋体"/>
                          <w:color w:val="000000"/>
                          <w:szCs w:val="21"/>
                        </w:rPr>
                        <w:t>www.gxzfcg.gov.cn（广西壮族自治区政府采购网）、http://gl.zfcg.zcygov.cn/（桂林市政府采购网）/http://ggzy.guilin.cn（桂林市公共资源交易中心）于招标文件开标截止时间前从网上下载招标文件电子版，并于2020年</w:t>
                      </w:r>
                      <w:r>
                        <w:rPr>
                          <w:rStyle w:val="37"/>
                          <w:rFonts w:hint="eastAsia" w:ascii="宋体" w:hAnsi="宋体"/>
                          <w:color w:val="000000"/>
                          <w:szCs w:val="21"/>
                        </w:rPr>
                        <w:fldChar w:fldCharType="end"/>
                      </w:r>
                      <w:r>
                        <w:rPr>
                          <w:rFonts w:hint="eastAsia" w:ascii="宋体" w:hAnsi="宋体"/>
                          <w:color w:val="000000"/>
                          <w:szCs w:val="21"/>
                          <w:u w:val="single"/>
                          <w:lang w:val="en-US" w:eastAsia="zh-CN"/>
                        </w:rPr>
                        <w:t>10</w:t>
                      </w:r>
                      <w:r>
                        <w:rPr>
                          <w:rFonts w:hint="eastAsia" w:ascii="宋体" w:hAnsi="宋体"/>
                          <w:color w:val="000000"/>
                          <w:szCs w:val="21"/>
                          <w:u w:val="single"/>
                        </w:rPr>
                        <w:t>月</w:t>
                      </w:r>
                      <w:r>
                        <w:rPr>
                          <w:rFonts w:hint="eastAsia" w:ascii="宋体" w:hAnsi="宋体"/>
                          <w:color w:val="000000"/>
                          <w:szCs w:val="21"/>
                          <w:u w:val="single"/>
                          <w:lang w:val="en-US" w:eastAsia="zh-CN"/>
                        </w:rPr>
                        <w:t>15</w:t>
                      </w:r>
                      <w:r>
                        <w:rPr>
                          <w:rFonts w:hint="eastAsia" w:ascii="宋体" w:hAnsi="宋体"/>
                          <w:color w:val="000000"/>
                          <w:szCs w:val="21"/>
                          <w:u w:val="single"/>
                        </w:rPr>
                        <w:t>日9点00分（</w:t>
                      </w:r>
                      <w:r>
                        <w:rPr>
                          <w:rFonts w:hint="eastAsia" w:ascii="宋体" w:hAnsi="宋体"/>
                          <w:color w:val="000000"/>
                          <w:szCs w:val="21"/>
                        </w:rPr>
                        <w:t>北京时间）前递交投标文件。</w:t>
                      </w:r>
                    </w:p>
                    <w:p>
                      <w:pPr>
                        <w:pStyle w:val="15"/>
                        <w:spacing w:line="266" w:lineRule="exact"/>
                        <w:ind w:left="12" w:firstLine="606" w:firstLineChars="289"/>
                        <w:jc w:val="left"/>
                      </w:pPr>
                    </w:p>
                  </w:txbxContent>
                </v:textbox>
                <w10:wrap type="square"/>
              </v:shape>
            </w:pict>
          </mc:Fallback>
        </mc:AlternateContent>
      </w:r>
    </w:p>
    <w:p>
      <w:pPr>
        <w:spacing w:line="340" w:lineRule="exact"/>
        <w:ind w:left="-619" w:leftChars="-295"/>
        <w:jc w:val="left"/>
        <w:rPr>
          <w:rFonts w:hint="eastAsia" w:ascii="宋体" w:hAnsi="宋体"/>
          <w:color w:val="000000"/>
          <w:szCs w:val="21"/>
        </w:rPr>
      </w:pPr>
      <w:bookmarkStart w:id="1" w:name="_Toc35393621"/>
      <w:bookmarkStart w:id="2" w:name="_Toc28359079"/>
      <w:bookmarkStart w:id="3" w:name="_Toc28359002"/>
      <w:bookmarkStart w:id="4" w:name="_Toc35393790"/>
      <w:bookmarkStart w:id="5" w:name="_Hlk24379207"/>
      <w:r>
        <w:rPr>
          <w:rFonts w:hint="eastAsia" w:ascii="宋体" w:hAnsi="宋体"/>
          <w:color w:val="000000"/>
          <w:szCs w:val="21"/>
        </w:rPr>
        <w:t>一、项目基本情况</w:t>
      </w:r>
      <w:bookmarkEnd w:id="1"/>
      <w:bookmarkEnd w:id="2"/>
      <w:bookmarkEnd w:id="3"/>
      <w:bookmarkEnd w:id="4"/>
    </w:p>
    <w:p>
      <w:pPr>
        <w:spacing w:line="340" w:lineRule="exact"/>
        <w:ind w:left="-619" w:leftChars="-295"/>
        <w:jc w:val="left"/>
        <w:rPr>
          <w:rFonts w:hint="eastAsia" w:ascii="宋体" w:hAnsi="宋体"/>
          <w:color w:val="000000"/>
          <w:szCs w:val="21"/>
        </w:rPr>
      </w:pPr>
      <w:r>
        <w:rPr>
          <w:rFonts w:hint="eastAsia" w:ascii="宋体" w:hAnsi="宋体"/>
          <w:color w:val="000000"/>
          <w:szCs w:val="21"/>
        </w:rPr>
        <w:t>项目编号：GLZC2020-G1-210016-GXXS</w:t>
      </w:r>
    </w:p>
    <w:p>
      <w:pPr>
        <w:spacing w:line="340" w:lineRule="exact"/>
        <w:ind w:left="-619" w:leftChars="-295"/>
        <w:jc w:val="left"/>
        <w:rPr>
          <w:rFonts w:hint="eastAsia" w:ascii="宋体" w:hAnsi="宋体"/>
          <w:color w:val="000000"/>
          <w:szCs w:val="21"/>
        </w:rPr>
      </w:pPr>
      <w:r>
        <w:rPr>
          <w:rFonts w:hint="eastAsia" w:ascii="宋体" w:hAnsi="宋体"/>
          <w:color w:val="000000"/>
          <w:szCs w:val="21"/>
        </w:rPr>
        <w:t>项目名称：阳朔县新政务服务中心中央空调采购</w:t>
      </w:r>
    </w:p>
    <w:bookmarkEnd w:id="5"/>
    <w:p>
      <w:pPr>
        <w:spacing w:line="340" w:lineRule="exact"/>
        <w:ind w:left="-619" w:leftChars="-295"/>
        <w:jc w:val="left"/>
        <w:rPr>
          <w:rFonts w:hint="eastAsia" w:ascii="宋体" w:hAnsi="宋体"/>
          <w:color w:val="000000"/>
          <w:szCs w:val="21"/>
        </w:rPr>
      </w:pPr>
      <w:r>
        <w:rPr>
          <w:rFonts w:hint="eastAsia" w:ascii="宋体" w:hAnsi="宋体"/>
          <w:color w:val="000000"/>
          <w:szCs w:val="21"/>
        </w:rPr>
        <w:t>预算金额：人民币壹佰柒拾柒万元整（￥1770000.00）。</w:t>
      </w:r>
    </w:p>
    <w:p>
      <w:pPr>
        <w:spacing w:line="340" w:lineRule="exact"/>
        <w:ind w:left="-619" w:leftChars="-295"/>
        <w:jc w:val="left"/>
        <w:rPr>
          <w:rFonts w:ascii="仿宋" w:hAnsi="仿宋" w:eastAsia="仿宋"/>
          <w:color w:val="000000"/>
          <w:sz w:val="28"/>
          <w:szCs w:val="28"/>
        </w:rPr>
      </w:pPr>
      <w:r>
        <w:rPr>
          <w:rFonts w:hint="eastAsia" w:ascii="宋体" w:hAnsi="宋体"/>
          <w:color w:val="000000"/>
          <w:szCs w:val="21"/>
        </w:rPr>
        <w:t>最高限价：人民币壹佰柒拾柒万元整（￥1770000.00）。</w:t>
      </w:r>
    </w:p>
    <w:p>
      <w:pPr>
        <w:spacing w:line="340" w:lineRule="exact"/>
        <w:ind w:left="-619" w:leftChars="-295"/>
        <w:jc w:val="left"/>
        <w:rPr>
          <w:rFonts w:hint="eastAsia" w:ascii="宋体" w:hAnsi="宋体"/>
          <w:color w:val="000000"/>
          <w:szCs w:val="21"/>
        </w:rPr>
      </w:pPr>
      <w:r>
        <w:rPr>
          <w:rFonts w:hint="eastAsia" w:ascii="宋体" w:hAnsi="宋体"/>
          <w:color w:val="000000"/>
          <w:szCs w:val="21"/>
        </w:rPr>
        <w:t>采购需求：</w:t>
      </w:r>
    </w:p>
    <w:tbl>
      <w:tblPr>
        <w:tblStyle w:val="43"/>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8"/>
        <w:gridCol w:w="3632"/>
        <w:gridCol w:w="849"/>
        <w:gridCol w:w="850"/>
        <w:gridCol w:w="1065"/>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0" w:hRule="atLeast"/>
          <w:jc w:val="center"/>
        </w:trPr>
        <w:tc>
          <w:tcPr>
            <w:tcW w:w="728" w:type="dxa"/>
            <w:shd w:val="clear" w:color="auto" w:fill="FFFFFF"/>
            <w:vAlign w:val="center"/>
          </w:tcPr>
          <w:p>
            <w:pPr>
              <w:spacing w:line="300" w:lineRule="exact"/>
              <w:jc w:val="center"/>
              <w:textAlignment w:val="center"/>
              <w:rPr>
                <w:rFonts w:hint="eastAsia" w:ascii="宋体" w:hAnsi="宋体" w:cs="宋体"/>
                <w:b/>
                <w:bCs/>
                <w:color w:val="000000"/>
                <w:szCs w:val="21"/>
              </w:rPr>
            </w:pPr>
            <w:r>
              <w:rPr>
                <w:rFonts w:hint="eastAsia" w:ascii="宋体" w:hAnsi="宋体" w:cs="宋体"/>
                <w:b/>
                <w:bCs/>
                <w:color w:val="000000"/>
                <w:kern w:val="0"/>
                <w:szCs w:val="21"/>
              </w:rPr>
              <w:t>序号</w:t>
            </w:r>
          </w:p>
        </w:tc>
        <w:tc>
          <w:tcPr>
            <w:tcW w:w="3632" w:type="dxa"/>
            <w:shd w:val="clear" w:color="auto" w:fill="FFFFFF"/>
            <w:vAlign w:val="center"/>
          </w:tcPr>
          <w:p>
            <w:pPr>
              <w:spacing w:line="30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货物名称</w:t>
            </w:r>
          </w:p>
        </w:tc>
        <w:tc>
          <w:tcPr>
            <w:tcW w:w="849" w:type="dxa"/>
            <w:shd w:val="clear" w:color="auto" w:fill="FFFFFF"/>
            <w:vAlign w:val="center"/>
          </w:tcPr>
          <w:p>
            <w:pPr>
              <w:spacing w:line="300" w:lineRule="exact"/>
              <w:jc w:val="center"/>
              <w:textAlignment w:val="bottom"/>
              <w:rPr>
                <w:rFonts w:ascii="宋体" w:hAnsi="宋体" w:cs="宋体"/>
                <w:b/>
                <w:bCs/>
                <w:color w:val="000000"/>
                <w:szCs w:val="21"/>
              </w:rPr>
            </w:pPr>
            <w:r>
              <w:rPr>
                <w:rFonts w:hint="eastAsia" w:ascii="宋体" w:hAnsi="宋体" w:cs="宋体"/>
                <w:b/>
                <w:bCs/>
                <w:color w:val="000000"/>
                <w:kern w:val="0"/>
                <w:szCs w:val="21"/>
              </w:rPr>
              <w:t>数量</w:t>
            </w:r>
          </w:p>
        </w:tc>
        <w:tc>
          <w:tcPr>
            <w:tcW w:w="850" w:type="dxa"/>
            <w:shd w:val="clear" w:color="auto" w:fill="FFFFFF"/>
            <w:vAlign w:val="center"/>
          </w:tcPr>
          <w:p>
            <w:pPr>
              <w:spacing w:line="300" w:lineRule="exact"/>
              <w:jc w:val="center"/>
              <w:textAlignment w:val="bottom"/>
              <w:rPr>
                <w:rFonts w:ascii="宋体" w:hAnsi="宋体" w:cs="宋体"/>
                <w:b/>
                <w:bCs/>
                <w:color w:val="000000"/>
                <w:szCs w:val="21"/>
              </w:rPr>
            </w:pPr>
            <w:r>
              <w:rPr>
                <w:rFonts w:hint="eastAsia" w:ascii="宋体" w:hAnsi="宋体" w:cs="宋体"/>
                <w:b/>
                <w:bCs/>
                <w:color w:val="000000"/>
                <w:kern w:val="0"/>
                <w:szCs w:val="21"/>
              </w:rPr>
              <w:t>单位</w:t>
            </w:r>
          </w:p>
        </w:tc>
        <w:tc>
          <w:tcPr>
            <w:tcW w:w="1065" w:type="dxa"/>
            <w:shd w:val="clear" w:color="auto" w:fill="FFFFFF"/>
            <w:vAlign w:val="center"/>
          </w:tcPr>
          <w:p>
            <w:pPr>
              <w:spacing w:line="300" w:lineRule="exact"/>
              <w:jc w:val="center"/>
              <w:textAlignment w:val="bottom"/>
              <w:rPr>
                <w:rFonts w:hint="eastAsia" w:ascii="宋体" w:hAnsi="宋体" w:cs="宋体"/>
                <w:b/>
                <w:bCs/>
                <w:color w:val="000000"/>
                <w:kern w:val="0"/>
                <w:szCs w:val="21"/>
              </w:rPr>
            </w:pPr>
            <w:r>
              <w:rPr>
                <w:rFonts w:hint="eastAsia" w:ascii="宋体" w:hAnsi="宋体" w:cs="宋体"/>
                <w:b/>
                <w:bCs/>
                <w:color w:val="000000"/>
                <w:kern w:val="0"/>
                <w:szCs w:val="21"/>
              </w:rPr>
              <w:t>预算单价</w:t>
            </w:r>
          </w:p>
        </w:tc>
        <w:tc>
          <w:tcPr>
            <w:tcW w:w="2414" w:type="dxa"/>
            <w:shd w:val="clear" w:color="auto" w:fill="FFFFFF"/>
            <w:vAlign w:val="center"/>
          </w:tcPr>
          <w:p>
            <w:pPr>
              <w:spacing w:line="300" w:lineRule="exact"/>
              <w:jc w:val="center"/>
              <w:textAlignment w:val="bottom"/>
              <w:rPr>
                <w:rFonts w:ascii="宋体" w:hAnsi="宋体" w:cs="宋体"/>
                <w:b/>
                <w:bCs/>
                <w:color w:val="000000"/>
                <w:szCs w:val="21"/>
              </w:rPr>
            </w:pPr>
            <w:r>
              <w:rPr>
                <w:rFonts w:hint="eastAsia" w:ascii="宋体" w:hAnsi="宋体" w:cs="宋体"/>
                <w:b/>
                <w:bCs/>
                <w:color w:val="000000"/>
                <w:szCs w:val="21"/>
              </w:rPr>
              <w:t>项目基本概况介绍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hint="eastAsia" w:ascii="宋体" w:hAnsi="宋体"/>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kern w:val="0"/>
                <w:szCs w:val="21"/>
              </w:rPr>
              <w:t>全直流变频多联式空调室外机（48HP）</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1</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组</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ascii="宋体" w:hAnsi="宋体" w:cs="宋体"/>
                <w:kern w:val="0"/>
                <w:szCs w:val="21"/>
              </w:rPr>
              <w:t>13</w:t>
            </w:r>
            <w:r>
              <w:rPr>
                <w:rFonts w:hint="eastAsia" w:ascii="宋体" w:hAnsi="宋体" w:cs="宋体"/>
                <w:kern w:val="0"/>
                <w:szCs w:val="21"/>
              </w:rPr>
              <w:t>3264</w:t>
            </w:r>
          </w:p>
        </w:tc>
        <w:tc>
          <w:tcPr>
            <w:tcW w:w="2414" w:type="dxa"/>
            <w:vMerge w:val="restart"/>
            <w:shd w:val="clear" w:color="auto" w:fill="FFFFFF"/>
            <w:vAlign w:val="center"/>
          </w:tcPr>
          <w:p>
            <w:pPr>
              <w:autoSpaceDE w:val="0"/>
              <w:spacing w:line="380" w:lineRule="exact"/>
              <w:jc w:val="center"/>
            </w:pPr>
            <w:r>
              <w:rPr>
                <w:rFonts w:hint="eastAsia" w:ascii="宋体" w:hAnsi="宋体"/>
                <w:color w:val="333333"/>
                <w:szCs w:val="21"/>
                <w:lang w:bidi="ar"/>
              </w:rPr>
              <w:t>用于阳朔县新政务服务中心</w:t>
            </w:r>
            <w:r>
              <w:rPr>
                <w:rFonts w:hint="eastAsia"/>
                <w:color w:val="333333"/>
                <w:szCs w:val="21"/>
                <w:lang w:bidi="ar"/>
              </w:rPr>
              <w:t>工作使用</w:t>
            </w:r>
          </w:p>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kern w:val="0"/>
                <w:szCs w:val="21"/>
              </w:rPr>
              <w:t>全直流变频多联式空调室外机（46HP）</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1</w:t>
            </w:r>
          </w:p>
        </w:tc>
        <w:tc>
          <w:tcPr>
            <w:tcW w:w="850" w:type="dxa"/>
            <w:shd w:val="clear" w:color="auto" w:fill="FFFFFF"/>
            <w:vAlign w:val="center"/>
          </w:tcPr>
          <w:p>
            <w:pPr>
              <w:widowControl/>
              <w:spacing w:line="420" w:lineRule="exact"/>
              <w:jc w:val="center"/>
              <w:rPr>
                <w:rFonts w:ascii="宋体" w:hAnsi="宋体"/>
                <w:bCs/>
                <w:color w:val="000000"/>
              </w:rPr>
            </w:pPr>
            <w:r>
              <w:rPr>
                <w:rFonts w:hint="eastAsia" w:ascii="宋体" w:hAnsi="宋体" w:cs="宋体"/>
                <w:kern w:val="0"/>
                <w:szCs w:val="21"/>
              </w:rPr>
              <w:t>组</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ascii="宋体" w:hAnsi="宋体" w:cs="宋体"/>
                <w:kern w:val="0"/>
                <w:szCs w:val="21"/>
              </w:rPr>
              <w:t>128696</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hint="eastAsia" w:ascii="宋体" w:hAnsi="宋体"/>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kern w:val="0"/>
                <w:szCs w:val="21"/>
              </w:rPr>
              <w:t>全直流变频多联式空调室外机（44HP）</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1</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组</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ascii="宋体" w:hAnsi="宋体" w:cs="宋体"/>
                <w:kern w:val="0"/>
                <w:szCs w:val="21"/>
              </w:rPr>
              <w:t>126122</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hint="eastAsia" w:ascii="宋体" w:hAnsi="宋体"/>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kern w:val="0"/>
                <w:szCs w:val="21"/>
              </w:rPr>
              <w:t>全直流变频多联式空调室外机（42HP）</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2</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组</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hint="eastAsia" w:ascii="宋体" w:hAnsi="宋体" w:cs="宋体"/>
                <w:kern w:val="0"/>
                <w:szCs w:val="21"/>
                <w:lang w:val="en-US" w:eastAsia="zh-CN"/>
              </w:rPr>
              <w:t>123547</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hint="eastAsia" w:ascii="宋体" w:hAnsi="宋体"/>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kern w:val="0"/>
                <w:szCs w:val="21"/>
              </w:rPr>
              <w:t>全直流变频多联式空调室外机（22HP）</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1</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ascii="宋体" w:hAnsi="宋体" w:cs="宋体"/>
                <w:kern w:val="0"/>
                <w:szCs w:val="21"/>
              </w:rPr>
              <w:t>63060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hint="eastAsia" w:ascii="宋体" w:hAnsi="宋体"/>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14</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hint="eastAsia" w:ascii="宋体" w:hAnsi="宋体" w:cs="宋体"/>
                <w:kern w:val="0"/>
                <w:szCs w:val="21"/>
                <w:lang w:val="en-US" w:eastAsia="zh-CN"/>
              </w:rPr>
              <w:t>2333</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hint="eastAsia"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1</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ascii="宋体" w:hAnsi="宋体" w:cs="宋体"/>
                <w:kern w:val="0"/>
                <w:szCs w:val="21"/>
              </w:rPr>
              <w:t>2358</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hint="eastAsia"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10</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ascii="宋体" w:hAnsi="宋体" w:cs="宋体"/>
                <w:kern w:val="0"/>
                <w:szCs w:val="21"/>
              </w:rPr>
              <w:t>2372</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hint="eastAsia"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1</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ascii="宋体" w:hAnsi="宋体" w:cs="宋体"/>
                <w:kern w:val="0"/>
                <w:szCs w:val="21"/>
              </w:rPr>
              <w:t>2761</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3</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hint="eastAsia" w:ascii="宋体" w:hAnsi="宋体" w:cs="宋体"/>
                <w:kern w:val="0"/>
                <w:szCs w:val="21"/>
                <w:lang w:val="en-US" w:eastAsia="zh-CN"/>
              </w:rPr>
              <w:t>2800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6</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hint="eastAsia" w:ascii="宋体" w:hAnsi="宋体" w:cs="宋体"/>
                <w:kern w:val="0"/>
                <w:szCs w:val="21"/>
                <w:lang w:val="en-US" w:eastAsia="zh-CN"/>
              </w:rPr>
              <w:t>3084</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1</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ascii="宋体" w:hAnsi="宋体" w:cs="宋体"/>
                <w:kern w:val="0"/>
                <w:szCs w:val="21"/>
              </w:rPr>
              <w:t>3239</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6</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hint="eastAsia" w:ascii="宋体" w:hAnsi="宋体" w:cs="宋体"/>
                <w:kern w:val="0"/>
                <w:szCs w:val="21"/>
                <w:lang w:val="en-US" w:eastAsia="zh-CN"/>
              </w:rPr>
              <w:t>3407</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3</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hint="eastAsia" w:ascii="宋体" w:hAnsi="宋体" w:cs="宋体"/>
                <w:kern w:val="0"/>
                <w:szCs w:val="21"/>
                <w:lang w:val="en-US" w:eastAsia="zh-CN"/>
              </w:rPr>
              <w:t>3796</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8</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hint="eastAsia" w:ascii="宋体" w:hAnsi="宋体" w:cs="宋体"/>
                <w:kern w:val="0"/>
                <w:szCs w:val="21"/>
                <w:lang w:val="en-US" w:eastAsia="zh-CN"/>
              </w:rPr>
              <w:t>4640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ascii="宋体" w:hAnsi="宋体" w:cs="宋体"/>
              </w:rPr>
              <w:t>风管式室内机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2</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cs="宋体"/>
                <w:kern w:val="0"/>
                <w:szCs w:val="21"/>
              </w:rPr>
              <w:t>台</w:t>
            </w:r>
          </w:p>
        </w:tc>
        <w:tc>
          <w:tcPr>
            <w:tcW w:w="1065" w:type="dxa"/>
            <w:shd w:val="clear" w:color="auto" w:fill="FFFFFF"/>
            <w:vAlign w:val="center"/>
          </w:tcPr>
          <w:p>
            <w:pPr>
              <w:widowControl/>
              <w:spacing w:line="420" w:lineRule="exact"/>
              <w:jc w:val="center"/>
              <w:rPr>
                <w:rFonts w:hint="eastAsia" w:ascii="宋体" w:hAnsi="宋体" w:cs="宋体"/>
                <w:kern w:val="0"/>
                <w:szCs w:val="21"/>
              </w:rPr>
            </w:pPr>
            <w:r>
              <w:rPr>
                <w:rFonts w:hint="eastAsia" w:ascii="宋体" w:hAnsi="宋体" w:cs="宋体"/>
                <w:kern w:val="0"/>
                <w:szCs w:val="21"/>
                <w:lang w:val="en-US" w:eastAsia="zh-CN"/>
              </w:rPr>
              <w:t>4600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ascii="宋体" w:hAnsi="宋体" w:cs="宋体"/>
              </w:rPr>
              <w:t>四面出风天井式室内机</w:t>
            </w:r>
          </w:p>
        </w:tc>
        <w:tc>
          <w:tcPr>
            <w:tcW w:w="849"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kern w:val="1"/>
              </w:rPr>
              <w:t>9</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kern w:val="1"/>
              </w:rPr>
              <w:t>台</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lang w:val="en-US" w:eastAsia="zh-CN"/>
              </w:rPr>
              <w:t>4963</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四面出风天井式室内机</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12</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台</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lang w:val="en-US" w:eastAsia="zh-CN"/>
              </w:rPr>
              <w:t>5170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四面出风天井式室内机</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21</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台</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lang w:val="en-US" w:eastAsia="zh-CN"/>
              </w:rPr>
              <w:t>5416</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四面出风天井式室内机</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12</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台</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lang w:val="en-US" w:eastAsia="zh-CN"/>
              </w:rPr>
              <w:t>5443</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四面出风天井式室内机</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3</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台</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lang w:val="en-US" w:eastAsia="zh-CN"/>
              </w:rPr>
              <w:t>5780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内机线控器</w:t>
            </w:r>
          </w:p>
        </w:tc>
        <w:tc>
          <w:tcPr>
            <w:tcW w:w="849"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112</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个</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lang w:val="en-US" w:eastAsia="zh-CN"/>
              </w:rPr>
              <w:t>180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85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widowControl/>
              <w:jc w:val="center"/>
              <w:rPr>
                <w:rFonts w:hint="eastAsia" w:ascii="宋体" w:hAnsi="宋体"/>
                <w:kern w:val="1"/>
              </w:rPr>
            </w:pPr>
            <w:r>
              <w:rPr>
                <w:rFonts w:hint="eastAsia" w:ascii="宋体" w:hAnsi="宋体"/>
                <w:kern w:val="1"/>
                <w:lang w:val="en-US" w:eastAsia="zh-CN"/>
              </w:rPr>
              <w:t>185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227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150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102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125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221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116</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115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94</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351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68</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642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62</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259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50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795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45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ascii="宋体" w:hAnsi="宋体" w:cs="宋体"/>
              </w:rPr>
              <w:t>冷媒铜管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183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39</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bCs/>
                <w:color w:val="000000"/>
              </w:rPr>
            </w:pPr>
          </w:p>
        </w:tc>
        <w:tc>
          <w:tcPr>
            <w:tcW w:w="3632" w:type="dxa"/>
            <w:shd w:val="clear" w:color="auto" w:fill="FFFFFF"/>
            <w:vAlign w:val="center"/>
          </w:tcPr>
          <w:p>
            <w:pPr>
              <w:widowControl/>
              <w:spacing w:line="300" w:lineRule="exact"/>
              <w:jc w:val="center"/>
              <w:rPr>
                <w:rFonts w:hint="eastAsia" w:ascii="宋体" w:hAnsi="宋体"/>
                <w:bCs/>
                <w:color w:val="000000"/>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bCs/>
                <w:color w:val="000000"/>
              </w:rPr>
            </w:pPr>
            <w:r>
              <w:rPr>
                <w:rFonts w:hint="eastAsia" w:ascii="宋体" w:hAnsi="宋体" w:cs="宋体"/>
                <w:color w:val="000000"/>
                <w:kern w:val="0"/>
                <w:szCs w:val="21"/>
                <w:lang w:bidi="ar"/>
              </w:rPr>
              <w:t xml:space="preserve">85 </w:t>
            </w:r>
          </w:p>
        </w:tc>
        <w:tc>
          <w:tcPr>
            <w:tcW w:w="850" w:type="dxa"/>
            <w:shd w:val="clear" w:color="auto" w:fill="FFFFFF"/>
            <w:vAlign w:val="center"/>
          </w:tcPr>
          <w:p>
            <w:pPr>
              <w:widowControl/>
              <w:spacing w:line="420" w:lineRule="exact"/>
              <w:jc w:val="center"/>
              <w:rPr>
                <w:rFonts w:hint="eastAsia" w:ascii="宋体" w:hAnsi="宋体"/>
                <w:bCs/>
                <w:color w:val="000000"/>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26</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Cs w:val="21"/>
                <w:lang w:bidi="ar"/>
              </w:rPr>
              <w:t xml:space="preserve">227 </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23</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Cs w:val="21"/>
                <w:lang w:bidi="ar"/>
              </w:rPr>
              <w:t xml:space="preserve">102 </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21</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eastAsia="等线"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 w:val="20"/>
                <w:szCs w:val="20"/>
                <w:lang w:bidi="ar"/>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Cs w:val="21"/>
                <w:lang w:bidi="ar"/>
              </w:rPr>
              <w:t xml:space="preserve">221 </w:t>
            </w:r>
          </w:p>
        </w:tc>
        <w:tc>
          <w:tcPr>
            <w:tcW w:w="850" w:type="dxa"/>
            <w:shd w:val="clear" w:color="auto" w:fill="FFFFFF"/>
            <w:vAlign w:val="center"/>
          </w:tcPr>
          <w:p>
            <w:pPr>
              <w:widowControl/>
              <w:spacing w:line="420" w:lineRule="exact"/>
              <w:jc w:val="center"/>
              <w:rPr>
                <w:rFonts w:hint="eastAsia" w:ascii="宋体" w:hAnsi="宋体" w:cs="宋体"/>
                <w:color w:val="000000"/>
                <w:kern w:val="0"/>
                <w:sz w:val="20"/>
                <w:szCs w:val="20"/>
                <w:lang w:bidi="ar"/>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16</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115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13</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351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11</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642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9</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259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7</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795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6</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橡塑保温套管</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183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4</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PVC排水管（含保温套）</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142</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widowControl/>
              <w:jc w:val="center"/>
              <w:rPr>
                <w:rFonts w:hint="eastAsia" w:ascii="宋体" w:hAnsi="宋体"/>
                <w:kern w:val="1"/>
              </w:rPr>
            </w:pPr>
            <w:r>
              <w:rPr>
                <w:rFonts w:hint="eastAsia" w:ascii="宋体" w:hAnsi="宋体"/>
                <w:kern w:val="1"/>
                <w:lang w:val="en-US" w:eastAsia="zh-CN"/>
              </w:rPr>
              <w:t>14</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PVC排水管（含保温套）</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240</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17</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PVC排水管（含保温套）</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340</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19</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PVC排水管（含保温套）</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196</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25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分歧管</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批</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rPr>
              <w:t>18200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冷媒</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160</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公斤</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lang w:val="en-US" w:eastAsia="zh-CN"/>
              </w:rPr>
              <w:t>90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lang w:bidi="ar"/>
              </w:rPr>
              <w:t>配套辅助材料</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项</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rPr>
              <w:t>35565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酚醛复合材料风管</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492</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平方米</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lang w:val="en-US" w:eastAsia="zh-CN"/>
              </w:rPr>
              <w:t>145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侧送风口</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条</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rPr>
              <w:t>1800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方形散流器</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24</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个</w:t>
            </w:r>
          </w:p>
        </w:tc>
        <w:tc>
          <w:tcPr>
            <w:tcW w:w="1065" w:type="dxa"/>
            <w:shd w:val="clear" w:color="auto" w:fill="FFFFFF"/>
            <w:vAlign w:val="center"/>
          </w:tcPr>
          <w:p>
            <w:pPr>
              <w:widowControl/>
              <w:jc w:val="center"/>
              <w:rPr>
                <w:rFonts w:hint="eastAsia" w:ascii="宋体" w:hAnsi="宋体"/>
                <w:kern w:val="1"/>
              </w:rPr>
            </w:pPr>
            <w:r>
              <w:rPr>
                <w:rFonts w:hint="eastAsia" w:ascii="宋体" w:hAnsi="宋体"/>
                <w:kern w:val="1"/>
                <w:lang w:val="en-US" w:eastAsia="zh-CN"/>
              </w:rPr>
              <w:t>55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方形散流器</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33</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个</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65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方形散流器</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31</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个</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80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门铰式回风百叶风口</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29</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个</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110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门铰式回风百叶风口</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7</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个</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130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门铰式回风百叶风口</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19</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个</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180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lang w:bidi="ar"/>
              </w:rPr>
              <w:t>配套辅助材料</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项</w:t>
            </w:r>
          </w:p>
        </w:tc>
        <w:tc>
          <w:tcPr>
            <w:tcW w:w="1065" w:type="dxa"/>
            <w:shd w:val="clear" w:color="auto" w:fill="FFFFFF"/>
            <w:vAlign w:val="center"/>
          </w:tcPr>
          <w:p>
            <w:pPr>
              <w:widowControl/>
              <w:spacing w:line="420" w:lineRule="exact"/>
              <w:jc w:val="center"/>
              <w:rPr>
                <w:rFonts w:hint="eastAsia" w:ascii="宋体" w:hAnsi="宋体"/>
                <w:kern w:val="1"/>
              </w:rPr>
            </w:pPr>
            <w:r>
              <w:rPr>
                <w:rFonts w:hint="eastAsia" w:ascii="宋体" w:hAnsi="宋体"/>
                <w:kern w:val="1"/>
              </w:rPr>
              <w:t>25650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屏蔽信号线</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2800</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widowControl/>
              <w:jc w:val="center"/>
              <w:rPr>
                <w:rFonts w:hint="eastAsia" w:ascii="宋体" w:hAnsi="宋体"/>
                <w:kern w:val="1"/>
              </w:rPr>
            </w:pPr>
            <w:r>
              <w:rPr>
                <w:rFonts w:hint="eastAsia" w:ascii="宋体" w:hAnsi="宋体"/>
                <w:kern w:val="1"/>
                <w:lang w:val="en-US" w:eastAsia="zh-CN"/>
              </w:rPr>
              <w:t>4.5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PVC线管</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2800</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1.5</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空调主机电缆</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200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68</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空调主电缆</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80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592</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电缆桥架</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200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89</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电缆桥架</w:t>
            </w:r>
          </w:p>
        </w:tc>
        <w:tc>
          <w:tcPr>
            <w:tcW w:w="849" w:type="dxa"/>
            <w:shd w:val="clear" w:color="auto" w:fill="FFFFFF"/>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80 </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米</w:t>
            </w:r>
          </w:p>
        </w:tc>
        <w:tc>
          <w:tcPr>
            <w:tcW w:w="1065" w:type="dxa"/>
            <w:shd w:val="clear" w:color="auto" w:fill="FFFFFF"/>
            <w:vAlign w:val="center"/>
          </w:tcPr>
          <w:p>
            <w:pPr>
              <w:jc w:val="center"/>
              <w:rPr>
                <w:rFonts w:hint="eastAsia" w:ascii="宋体" w:hAnsi="宋体"/>
                <w:kern w:val="1"/>
              </w:rPr>
            </w:pPr>
            <w:r>
              <w:rPr>
                <w:rFonts w:hint="eastAsia" w:ascii="宋体" w:hAnsi="宋体"/>
                <w:kern w:val="1"/>
                <w:lang w:val="en-US" w:eastAsia="zh-CN"/>
              </w:rPr>
              <w:t>128</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jc w:val="center"/>
        </w:trPr>
        <w:tc>
          <w:tcPr>
            <w:tcW w:w="728" w:type="dxa"/>
            <w:shd w:val="clear" w:color="auto" w:fill="FFFFFF"/>
            <w:vAlign w:val="center"/>
          </w:tcPr>
          <w:p>
            <w:pPr>
              <w:pStyle w:val="108"/>
              <w:widowControl/>
              <w:numPr>
                <w:ilvl w:val="0"/>
                <w:numId w:val="2"/>
              </w:numPr>
              <w:spacing w:line="300" w:lineRule="exact"/>
              <w:ind w:firstLineChars="0"/>
              <w:jc w:val="center"/>
              <w:rPr>
                <w:rFonts w:ascii="宋体" w:hAnsi="宋体" w:cs="宋体"/>
                <w:color w:val="000000"/>
                <w:kern w:val="0"/>
                <w:sz w:val="20"/>
                <w:szCs w:val="20"/>
                <w:lang w:bidi="ar"/>
              </w:rPr>
            </w:pP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hAnsi="宋体" w:cs="宋体"/>
                <w:bCs/>
              </w:rPr>
              <w:t>空调主机配电柜</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台</w:t>
            </w:r>
          </w:p>
        </w:tc>
        <w:tc>
          <w:tcPr>
            <w:tcW w:w="1065" w:type="dxa"/>
            <w:shd w:val="clear" w:color="auto" w:fill="FFFFFF"/>
            <w:vAlign w:val="center"/>
          </w:tcPr>
          <w:p>
            <w:pPr>
              <w:jc w:val="center"/>
              <w:rPr>
                <w:rFonts w:hint="eastAsia" w:ascii="宋体" w:hAnsi="宋体"/>
                <w:kern w:val="1"/>
              </w:rPr>
            </w:pPr>
            <w:r>
              <w:rPr>
                <w:rFonts w:hint="eastAsia" w:ascii="宋体" w:hAnsi="宋体"/>
                <w:kern w:val="1"/>
              </w:rPr>
              <w:t>7500</w:t>
            </w:r>
          </w:p>
        </w:tc>
        <w:tc>
          <w:tcPr>
            <w:tcW w:w="2414" w:type="dxa"/>
            <w:vMerge w:val="continue"/>
            <w:shd w:val="clear" w:color="auto" w:fill="FFFFFF"/>
            <w:vAlign w:val="center"/>
          </w:tcPr>
          <w:p>
            <w:pPr>
              <w:spacing w:line="3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9" w:hRule="atLeast"/>
          <w:jc w:val="center"/>
        </w:trPr>
        <w:tc>
          <w:tcPr>
            <w:tcW w:w="728" w:type="dxa"/>
            <w:shd w:val="clear" w:color="auto" w:fill="FFFFFF"/>
            <w:vAlign w:val="center"/>
          </w:tcPr>
          <w:p>
            <w:pPr>
              <w:pStyle w:val="108"/>
              <w:widowControl/>
              <w:spacing w:line="300" w:lineRule="exact"/>
              <w:ind w:firstLine="0" w:firstLineChars="0"/>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66. </w:t>
            </w:r>
          </w:p>
        </w:tc>
        <w:tc>
          <w:tcPr>
            <w:tcW w:w="3632" w:type="dxa"/>
            <w:shd w:val="clear" w:color="auto" w:fill="FFFFFF"/>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lang w:bidi="ar"/>
              </w:rPr>
              <w:t>配套辅助材料</w:t>
            </w:r>
          </w:p>
        </w:tc>
        <w:tc>
          <w:tcPr>
            <w:tcW w:w="849"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1</w:t>
            </w:r>
          </w:p>
        </w:tc>
        <w:tc>
          <w:tcPr>
            <w:tcW w:w="850" w:type="dxa"/>
            <w:shd w:val="clear" w:color="auto" w:fill="FFFFFF"/>
            <w:vAlign w:val="center"/>
          </w:tcPr>
          <w:p>
            <w:pPr>
              <w:widowControl/>
              <w:spacing w:line="420" w:lineRule="exact"/>
              <w:jc w:val="center"/>
              <w:rPr>
                <w:rFonts w:hint="eastAsia" w:ascii="宋体" w:hAnsi="宋体" w:cs="宋体"/>
                <w:color w:val="000000"/>
                <w:kern w:val="0"/>
                <w:szCs w:val="21"/>
              </w:rPr>
            </w:pPr>
            <w:r>
              <w:rPr>
                <w:rFonts w:hint="eastAsia" w:ascii="宋体" w:hAnsi="宋体"/>
                <w:kern w:val="1"/>
              </w:rPr>
              <w:t>项</w:t>
            </w:r>
          </w:p>
        </w:tc>
        <w:tc>
          <w:tcPr>
            <w:tcW w:w="1065" w:type="dxa"/>
            <w:shd w:val="clear" w:color="auto" w:fill="FFFFFF"/>
            <w:vAlign w:val="center"/>
          </w:tcPr>
          <w:p>
            <w:pPr>
              <w:jc w:val="center"/>
              <w:rPr>
                <w:rFonts w:hint="eastAsia" w:ascii="宋体" w:hAnsi="宋体"/>
                <w:kern w:val="1"/>
              </w:rPr>
            </w:pPr>
            <w:r>
              <w:rPr>
                <w:rFonts w:hint="eastAsia" w:ascii="宋体" w:hAnsi="宋体"/>
                <w:kern w:val="1"/>
              </w:rPr>
              <w:t>17500</w:t>
            </w:r>
          </w:p>
        </w:tc>
        <w:tc>
          <w:tcPr>
            <w:tcW w:w="2414" w:type="dxa"/>
            <w:vMerge w:val="continue"/>
            <w:shd w:val="clear" w:color="auto" w:fill="FFFFFF"/>
            <w:vAlign w:val="center"/>
          </w:tcPr>
          <w:p>
            <w:pPr>
              <w:spacing w:line="300" w:lineRule="exact"/>
              <w:rPr>
                <w:rFonts w:hint="eastAsia" w:ascii="宋体" w:hAnsi="宋体"/>
                <w:color w:val="000000"/>
                <w:szCs w:val="21"/>
              </w:rPr>
            </w:pPr>
          </w:p>
        </w:tc>
      </w:tr>
    </w:tbl>
    <w:p>
      <w:pPr>
        <w:spacing w:line="340" w:lineRule="exact"/>
        <w:ind w:firstLine="420" w:firstLineChars="200"/>
        <w:jc w:val="left"/>
        <w:rPr>
          <w:rFonts w:hint="eastAsia" w:ascii="宋体" w:hAnsi="宋体"/>
          <w:color w:val="000000"/>
          <w:szCs w:val="21"/>
        </w:rPr>
      </w:pPr>
      <w:r>
        <w:rPr>
          <w:rFonts w:hint="eastAsia" w:ascii="宋体" w:hAnsi="宋体"/>
          <w:color w:val="000000"/>
          <w:szCs w:val="21"/>
        </w:rPr>
        <w:t>合同履行期限：自签订合同之日起 60 个日历日内全部安装调试合格完毕并交付使用。 本项目不接受联合体投标。</w:t>
      </w:r>
    </w:p>
    <w:p>
      <w:pPr>
        <w:spacing w:line="340" w:lineRule="exact"/>
        <w:ind w:firstLine="420" w:firstLineChars="200"/>
        <w:jc w:val="left"/>
        <w:rPr>
          <w:rFonts w:hint="eastAsia" w:ascii="宋体" w:hAnsi="宋体"/>
          <w:color w:val="000000"/>
          <w:szCs w:val="21"/>
        </w:rPr>
      </w:pPr>
      <w:bookmarkStart w:id="6" w:name="_Toc28359080"/>
      <w:bookmarkStart w:id="7" w:name="_Toc28359003"/>
      <w:bookmarkStart w:id="8" w:name="_Toc35393622"/>
      <w:bookmarkStart w:id="9" w:name="_Toc35393791"/>
      <w:r>
        <w:rPr>
          <w:rFonts w:hint="eastAsia" w:ascii="宋体" w:hAnsi="宋体"/>
          <w:color w:val="000000"/>
          <w:szCs w:val="21"/>
        </w:rPr>
        <w:t>二、申请人的资格要求：</w:t>
      </w:r>
      <w:bookmarkEnd w:id="6"/>
      <w:bookmarkEnd w:id="7"/>
      <w:bookmarkEnd w:id="8"/>
      <w:bookmarkEnd w:id="9"/>
    </w:p>
    <w:p>
      <w:pPr>
        <w:spacing w:line="340" w:lineRule="exact"/>
        <w:ind w:firstLine="420" w:firstLineChars="200"/>
        <w:rPr>
          <w:rFonts w:hint="eastAsia" w:ascii="宋体" w:hAnsi="宋体"/>
          <w:color w:val="000000"/>
        </w:rPr>
      </w:pPr>
      <w:r>
        <w:rPr>
          <w:rFonts w:hint="eastAsia" w:ascii="宋体" w:hAnsi="宋体"/>
          <w:color w:val="000000"/>
        </w:rPr>
        <w:t>1. 符合《中华人民共和国政府采购法》第二十二条和《政府采购法实施条例》第十八条规定，具备合法资格的供应商；</w:t>
      </w:r>
    </w:p>
    <w:p>
      <w:pPr>
        <w:spacing w:line="340" w:lineRule="exact"/>
        <w:ind w:firstLine="420" w:firstLineChars="200"/>
        <w:rPr>
          <w:rFonts w:hint="eastAsia" w:ascii="宋体" w:hAnsi="宋体" w:cs="Arial"/>
          <w:color w:val="000000"/>
          <w:szCs w:val="21"/>
        </w:rPr>
      </w:pPr>
      <w:r>
        <w:rPr>
          <w:rFonts w:hint="eastAsia" w:ascii="宋体" w:hAnsi="宋体" w:cs="Arial"/>
          <w:color w:val="000000"/>
          <w:szCs w:val="21"/>
        </w:rPr>
        <w:t>2.落实政府采购政策需满足的资格要求：无；</w:t>
      </w:r>
    </w:p>
    <w:p>
      <w:pPr>
        <w:spacing w:line="340" w:lineRule="exact"/>
        <w:ind w:firstLine="420" w:firstLineChars="200"/>
        <w:rPr>
          <w:rFonts w:hint="eastAsia" w:ascii="宋体" w:hAnsi="宋体" w:cs="Arial"/>
          <w:color w:val="000000"/>
          <w:szCs w:val="21"/>
        </w:rPr>
      </w:pPr>
      <w:r>
        <w:rPr>
          <w:rFonts w:hint="eastAsia" w:ascii="宋体" w:hAnsi="宋体" w:cs="Arial"/>
          <w:color w:val="000000"/>
          <w:szCs w:val="21"/>
        </w:rPr>
        <w:t>3.本项目的特定资格要求：无；</w:t>
      </w:r>
    </w:p>
    <w:p>
      <w:pPr>
        <w:spacing w:line="340" w:lineRule="exact"/>
        <w:ind w:firstLine="420" w:firstLineChars="200"/>
        <w:rPr>
          <w:rFonts w:hint="eastAsia" w:ascii="宋体" w:hAnsi="宋体"/>
          <w:color w:val="000000"/>
        </w:rPr>
      </w:pPr>
      <w:r>
        <w:rPr>
          <w:rFonts w:hint="eastAsia" w:ascii="宋体" w:hAnsi="宋体" w:cs="Arial"/>
          <w:color w:val="000000"/>
          <w:szCs w:val="21"/>
        </w:rPr>
        <w:t>4.</w:t>
      </w:r>
      <w:r>
        <w:rPr>
          <w:rFonts w:hint="eastAsia" w:ascii="宋体" w:hAnsi="宋体" w:cs="宋体"/>
          <w:color w:val="000000"/>
          <w:szCs w:val="21"/>
        </w:rPr>
        <w:t>对在“信用中国”网站（</w:t>
      </w:r>
      <w:r>
        <w:fldChar w:fldCharType="begin"/>
      </w:r>
      <w:r>
        <w:instrText xml:space="preserve"> HYPERLINK "http://www.creditchina.gov.cn" </w:instrText>
      </w:r>
      <w:r>
        <w:fldChar w:fldCharType="separate"/>
      </w:r>
      <w:r>
        <w:rPr>
          <w:rStyle w:val="37"/>
          <w:rFonts w:hint="eastAsia" w:ascii="宋体" w:hAnsi="宋体" w:cs="宋体"/>
          <w:color w:val="000000"/>
          <w:szCs w:val="21"/>
        </w:rPr>
        <w:t>www.creditchina.gov.cn</w:t>
      </w:r>
      <w:r>
        <w:rPr>
          <w:rStyle w:val="37"/>
          <w:rFonts w:hint="eastAsia" w:ascii="宋体" w:hAnsi="宋体" w:cs="宋体"/>
          <w:color w:val="000000"/>
          <w:szCs w:val="21"/>
        </w:rPr>
        <w:fldChar w:fldCharType="end"/>
      </w:r>
      <w:r>
        <w:rPr>
          <w:rFonts w:hint="eastAsia" w:ascii="宋体" w:hAnsi="宋体" w:cs="宋体"/>
          <w:color w:val="000000"/>
          <w:szCs w:val="21"/>
        </w:rPr>
        <w:t>）、中国政府采购网（</w:t>
      </w:r>
      <w:r>
        <w:fldChar w:fldCharType="begin"/>
      </w:r>
      <w:r>
        <w:instrText xml:space="preserve"> HYPERLINK "http://www.ccgp.gov.cn" </w:instrText>
      </w:r>
      <w:r>
        <w:fldChar w:fldCharType="separate"/>
      </w:r>
      <w:r>
        <w:rPr>
          <w:rStyle w:val="37"/>
          <w:rFonts w:hint="eastAsia" w:ascii="宋体" w:hAnsi="宋体" w:cs="宋体"/>
          <w:color w:val="000000"/>
          <w:szCs w:val="21"/>
        </w:rPr>
        <w:t>www.ccgp.gov.cn</w:t>
      </w:r>
      <w:r>
        <w:rPr>
          <w:rStyle w:val="37"/>
          <w:rFonts w:hint="eastAsia" w:ascii="宋体" w:hAnsi="宋体" w:cs="宋体"/>
          <w:color w:val="000000"/>
          <w:szCs w:val="21"/>
        </w:rPr>
        <w:fldChar w:fldCharType="end"/>
      </w:r>
      <w:r>
        <w:rPr>
          <w:rFonts w:hint="eastAsia" w:ascii="宋体" w:hAnsi="宋体" w:cs="宋体"/>
          <w:color w:val="000000"/>
          <w:szCs w:val="21"/>
        </w:rPr>
        <w:t>）等渠道列</w:t>
      </w:r>
      <w:r>
        <w:rPr>
          <w:rFonts w:hint="eastAsia" w:ascii="宋体" w:hAnsi="宋体"/>
          <w:color w:val="000000"/>
        </w:rPr>
        <w:t>入失信被执行人、重大税收违法案件当事人名单、政府采购严重违法失信行为记录名单及其他不符合《中华人民共和国政府采购法》第二十二条规定条件的供应商，不得参与政府采购活动。</w:t>
      </w:r>
    </w:p>
    <w:p>
      <w:pPr>
        <w:pStyle w:val="15"/>
      </w:pPr>
      <w:r>
        <w:rPr>
          <w:rFonts w:hint="eastAsia" w:ascii="宋体" w:hAnsi="宋体"/>
          <w:color w:val="000000"/>
        </w:rPr>
        <w:t xml:space="preserve">    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ind w:firstLine="420" w:firstLineChars="200"/>
        <w:rPr>
          <w:rFonts w:hint="eastAsia" w:ascii="宋体" w:hAnsi="宋体" w:cs="宋体"/>
          <w:b w:val="0"/>
          <w:bCs w:val="0"/>
          <w:color w:val="000000"/>
          <w:kern w:val="2"/>
          <w:sz w:val="21"/>
          <w:szCs w:val="21"/>
        </w:rPr>
      </w:pPr>
      <w:bookmarkStart w:id="10" w:name="_Toc35393623"/>
      <w:bookmarkStart w:id="11" w:name="_Toc35393792"/>
      <w:bookmarkStart w:id="12" w:name="_Toc5839"/>
      <w:r>
        <w:rPr>
          <w:rFonts w:hint="eastAsia" w:ascii="宋体" w:hAnsi="宋体" w:cs="宋体"/>
          <w:b w:val="0"/>
          <w:bCs w:val="0"/>
          <w:color w:val="000000"/>
          <w:kern w:val="2"/>
          <w:sz w:val="21"/>
          <w:szCs w:val="21"/>
        </w:rPr>
        <w:t>三、获取招标文件</w:t>
      </w:r>
      <w:bookmarkEnd w:id="10"/>
      <w:bookmarkEnd w:id="11"/>
      <w:bookmarkEnd w:id="12"/>
    </w:p>
    <w:p>
      <w:pPr>
        <w:spacing w:line="340" w:lineRule="exact"/>
        <w:ind w:firstLine="420" w:firstLineChars="200"/>
        <w:rPr>
          <w:rFonts w:ascii="宋体" w:hAnsi="宋体" w:cs="宋体"/>
          <w:color w:val="000000"/>
          <w:kern w:val="0"/>
          <w:szCs w:val="21"/>
        </w:rPr>
      </w:pPr>
      <w:r>
        <w:rPr>
          <w:rFonts w:hint="eastAsia" w:ascii="宋体" w:hAnsi="宋体"/>
          <w:color w:val="000000"/>
          <w:szCs w:val="21"/>
        </w:rPr>
        <w:t>潜在供应商登陆http:// www.gxzfcg.gov.cn（广西壮族自治区政</w:t>
      </w:r>
      <w:r>
        <w:rPr>
          <w:rFonts w:hint="eastAsia" w:ascii="宋体" w:hAnsi="宋体" w:cs="宋体"/>
          <w:color w:val="000000"/>
          <w:szCs w:val="21"/>
        </w:rPr>
        <w:t>府采购网）、http://zfcg.glcz.cn:880（桂林市政府采购网）/http://ggzy.guilin.cn（桂林市公共资源交易中心）于招标文件开标截止时间前从网上下载招标文件电</w:t>
      </w:r>
      <w:r>
        <w:rPr>
          <w:rFonts w:hint="eastAsia"/>
          <w:color w:val="000000"/>
        </w:rPr>
        <w:t>子版</w:t>
      </w:r>
      <w:r>
        <w:rPr>
          <w:rFonts w:hint="eastAsia" w:ascii="宋体" w:hAnsi="宋体" w:cs="宋体"/>
          <w:color w:val="000000"/>
          <w:kern w:val="0"/>
          <w:szCs w:val="21"/>
        </w:rPr>
        <w:t>。</w:t>
      </w:r>
    </w:p>
    <w:p>
      <w:pPr>
        <w:pStyle w:val="5"/>
        <w:ind w:left="0" w:firstLine="210" w:firstLineChars="100"/>
        <w:rPr>
          <w:rFonts w:hint="eastAsia" w:ascii="宋体" w:hAnsi="宋体"/>
          <w:b w:val="0"/>
          <w:bCs w:val="0"/>
          <w:color w:val="000000"/>
          <w:sz w:val="21"/>
          <w:szCs w:val="21"/>
        </w:rPr>
      </w:pPr>
      <w:bookmarkStart w:id="13" w:name="_Toc28359005"/>
      <w:bookmarkStart w:id="14" w:name="_Toc28359082"/>
      <w:bookmarkStart w:id="15" w:name="_Toc35393624"/>
      <w:bookmarkStart w:id="16" w:name="_Toc35393793"/>
      <w:r>
        <w:rPr>
          <w:rFonts w:hint="eastAsia" w:ascii="宋体" w:hAnsi="宋体"/>
          <w:b w:val="0"/>
          <w:bCs w:val="0"/>
          <w:color w:val="000000"/>
          <w:sz w:val="21"/>
          <w:szCs w:val="21"/>
        </w:rPr>
        <w:t>四、提交投标文件</w:t>
      </w:r>
      <w:bookmarkEnd w:id="13"/>
      <w:bookmarkEnd w:id="14"/>
      <w:r>
        <w:rPr>
          <w:rFonts w:hint="eastAsia" w:ascii="宋体" w:hAnsi="宋体"/>
          <w:b w:val="0"/>
          <w:bCs w:val="0"/>
          <w:color w:val="000000"/>
          <w:sz w:val="21"/>
          <w:szCs w:val="21"/>
        </w:rPr>
        <w:t>截止时间、开标时间和地点</w:t>
      </w:r>
      <w:bookmarkEnd w:id="15"/>
      <w:bookmarkEnd w:id="16"/>
    </w:p>
    <w:p>
      <w:pPr>
        <w:ind w:firstLine="420" w:firstLineChars="200"/>
        <w:rPr>
          <w:rFonts w:hint="eastAsia" w:ascii="宋体" w:hAnsi="宋体"/>
          <w:color w:val="000000"/>
          <w:szCs w:val="21"/>
        </w:rPr>
      </w:pPr>
      <w:r>
        <w:rPr>
          <w:rFonts w:hint="eastAsia" w:ascii="宋体" w:hAnsi="宋体"/>
          <w:color w:val="000000"/>
          <w:szCs w:val="21"/>
          <w:u w:val="single"/>
        </w:rPr>
        <w:t xml:space="preserve"> 2020年</w:t>
      </w:r>
      <w:r>
        <w:rPr>
          <w:rFonts w:hint="eastAsia" w:ascii="宋体" w:hAnsi="宋体"/>
          <w:color w:val="000000"/>
          <w:szCs w:val="21"/>
          <w:u w:val="single"/>
          <w:lang w:val="en-US" w:eastAsia="zh-CN"/>
        </w:rPr>
        <w:t>10</w:t>
      </w:r>
      <w:r>
        <w:rPr>
          <w:rFonts w:hint="eastAsia" w:ascii="宋体" w:hAnsi="宋体"/>
          <w:color w:val="000000"/>
          <w:szCs w:val="21"/>
          <w:u w:val="single"/>
        </w:rPr>
        <w:t>月</w:t>
      </w:r>
      <w:r>
        <w:rPr>
          <w:rFonts w:hint="eastAsia" w:ascii="宋体" w:hAnsi="宋体"/>
          <w:color w:val="000000"/>
          <w:szCs w:val="21"/>
          <w:u w:val="single"/>
          <w:lang w:val="en-US" w:eastAsia="zh-CN"/>
        </w:rPr>
        <w:t>15</w:t>
      </w:r>
      <w:r>
        <w:rPr>
          <w:rFonts w:hint="eastAsia" w:ascii="宋体" w:hAnsi="宋体"/>
          <w:color w:val="000000"/>
          <w:szCs w:val="21"/>
          <w:u w:val="single"/>
        </w:rPr>
        <w:t>日9点00分（北京时间）（</w:t>
      </w:r>
      <w:r>
        <w:rPr>
          <w:rFonts w:hint="eastAsia" w:ascii="宋体" w:hAnsi="宋体"/>
          <w:color w:val="000000"/>
          <w:szCs w:val="21"/>
        </w:rPr>
        <w:t>自招标文件开始发出之日起至投标人提交投标文件截止之日止，不得少于20日）</w:t>
      </w:r>
    </w:p>
    <w:p>
      <w:pPr>
        <w:ind w:firstLine="420" w:firstLineChars="200"/>
        <w:rPr>
          <w:rFonts w:hint="eastAsia" w:ascii="宋体" w:hAnsi="宋体"/>
          <w:color w:val="000000"/>
          <w:szCs w:val="21"/>
        </w:rPr>
      </w:pPr>
      <w:r>
        <w:rPr>
          <w:rFonts w:hint="eastAsia" w:ascii="宋体" w:hAnsi="宋体"/>
          <w:color w:val="000000"/>
          <w:szCs w:val="21"/>
        </w:rPr>
        <w:t>地点：荔浦市公共资</w:t>
      </w:r>
      <w:r>
        <w:rPr>
          <w:rFonts w:hint="eastAsia" w:ascii="宋体" w:hAnsi="宋体"/>
          <w:color w:val="000000" w:themeColor="text1"/>
          <w:szCs w:val="21"/>
          <w14:textFill>
            <w14:solidFill>
              <w14:schemeClr w14:val="tx1"/>
            </w14:solidFill>
          </w14:textFill>
        </w:rPr>
        <w:t>源交易中心第1开标室（荔浦市荔城镇荔柳</w:t>
      </w:r>
      <w:r>
        <w:rPr>
          <w:rFonts w:hint="eastAsia" w:ascii="宋体" w:hAnsi="宋体"/>
          <w:color w:val="000000"/>
          <w:szCs w:val="21"/>
        </w:rPr>
        <w:t>路86-96号3楼）</w:t>
      </w:r>
    </w:p>
    <w:p>
      <w:pPr>
        <w:pStyle w:val="5"/>
        <w:ind w:left="0" w:firstLine="210" w:firstLineChars="100"/>
        <w:rPr>
          <w:rFonts w:hint="eastAsia" w:ascii="宋体" w:hAnsi="宋体" w:cs="宋体"/>
          <w:b w:val="0"/>
          <w:bCs w:val="0"/>
          <w:color w:val="000000"/>
          <w:sz w:val="21"/>
          <w:szCs w:val="21"/>
        </w:rPr>
      </w:pPr>
      <w:bookmarkStart w:id="17" w:name="_Toc28359007"/>
      <w:bookmarkStart w:id="18" w:name="_Toc35393794"/>
      <w:bookmarkStart w:id="19" w:name="_Toc35393625"/>
      <w:bookmarkStart w:id="20" w:name="_Toc28359084"/>
      <w:r>
        <w:rPr>
          <w:rFonts w:hint="eastAsia" w:ascii="宋体" w:hAnsi="宋体" w:cs="宋体"/>
          <w:b w:val="0"/>
          <w:bCs w:val="0"/>
          <w:color w:val="000000"/>
          <w:sz w:val="21"/>
          <w:szCs w:val="21"/>
        </w:rPr>
        <w:t>五、公告期限</w:t>
      </w:r>
      <w:bookmarkEnd w:id="17"/>
      <w:bookmarkEnd w:id="18"/>
      <w:bookmarkEnd w:id="19"/>
      <w:bookmarkEnd w:id="20"/>
    </w:p>
    <w:p>
      <w:pPr>
        <w:ind w:firstLine="420" w:firstLineChars="200"/>
        <w:rPr>
          <w:rFonts w:hint="eastAsia" w:ascii="宋体" w:hAnsi="宋体" w:cs="宋体"/>
          <w:color w:val="000000"/>
          <w:szCs w:val="21"/>
        </w:rPr>
      </w:pPr>
      <w:r>
        <w:rPr>
          <w:rFonts w:hint="eastAsia" w:ascii="宋体" w:hAnsi="宋体" w:cs="宋体"/>
          <w:color w:val="000000"/>
          <w:szCs w:val="21"/>
        </w:rPr>
        <w:t>自本公告发布之日起5个工作日。</w:t>
      </w:r>
    </w:p>
    <w:p>
      <w:pPr>
        <w:pStyle w:val="5"/>
        <w:ind w:left="0" w:firstLine="210" w:firstLineChars="100"/>
        <w:rPr>
          <w:rFonts w:hint="eastAsia" w:ascii="宋体" w:hAnsi="宋体" w:cs="宋体"/>
          <w:b w:val="0"/>
          <w:bCs w:val="0"/>
          <w:color w:val="000000"/>
          <w:sz w:val="21"/>
          <w:szCs w:val="21"/>
        </w:rPr>
      </w:pPr>
      <w:bookmarkStart w:id="21" w:name="_Toc35393795"/>
      <w:bookmarkStart w:id="22" w:name="_Toc35393626"/>
      <w:r>
        <w:rPr>
          <w:rFonts w:hint="eastAsia" w:ascii="宋体" w:hAnsi="宋体" w:cs="宋体"/>
          <w:b w:val="0"/>
          <w:bCs w:val="0"/>
          <w:color w:val="000000"/>
          <w:sz w:val="21"/>
          <w:szCs w:val="21"/>
        </w:rPr>
        <w:t>六、其他补充事宜</w:t>
      </w:r>
      <w:bookmarkEnd w:id="21"/>
      <w:bookmarkEnd w:id="22"/>
    </w:p>
    <w:p>
      <w:pPr>
        <w:pStyle w:val="26"/>
        <w:spacing w:before="0" w:beforeAutospacing="0" w:after="0" w:afterAutospacing="0" w:line="360" w:lineRule="exact"/>
        <w:ind w:firstLine="420" w:firstLineChars="200"/>
      </w:pPr>
      <w:r>
        <w:rPr>
          <w:rFonts w:hint="eastAsia" w:cs="Times New Roman"/>
          <w:color w:val="333333"/>
          <w:kern w:val="2"/>
          <w:sz w:val="21"/>
          <w:szCs w:val="21"/>
        </w:rPr>
        <w:t>1.本项目需要落实的政府采购政策：</w:t>
      </w:r>
    </w:p>
    <w:p>
      <w:pPr>
        <w:pStyle w:val="26"/>
        <w:spacing w:before="0" w:beforeAutospacing="0" w:after="0" w:afterAutospacing="0" w:line="360" w:lineRule="exact"/>
        <w:ind w:firstLine="420" w:firstLineChars="200"/>
      </w:pPr>
      <w:r>
        <w:rPr>
          <w:rFonts w:hint="eastAsia" w:cs="Times New Roman"/>
          <w:color w:val="333333"/>
          <w:kern w:val="2"/>
          <w:sz w:val="21"/>
          <w:szCs w:val="21"/>
        </w:rPr>
        <w:t>1.1本项目非专门面向中小微企业采购；《政府采购促进中小企业发展暂行办法》（财库[2011]181号）。</w:t>
      </w:r>
    </w:p>
    <w:p>
      <w:pPr>
        <w:pStyle w:val="26"/>
        <w:spacing w:before="0" w:beforeAutospacing="0" w:after="0" w:afterAutospacing="0" w:line="360" w:lineRule="exact"/>
        <w:ind w:firstLine="420" w:firstLineChars="200"/>
      </w:pPr>
      <w:r>
        <w:rPr>
          <w:rFonts w:hint="eastAsia" w:cs="Times New Roman"/>
          <w:color w:val="333333"/>
          <w:kern w:val="2"/>
          <w:sz w:val="21"/>
          <w:szCs w:val="21"/>
        </w:rPr>
        <w:t xml:space="preserve">1.2《关于政府采购支持监狱企业发展有关问题的通知》（财库[2014]68号）。 </w:t>
      </w:r>
    </w:p>
    <w:p>
      <w:pPr>
        <w:pStyle w:val="26"/>
        <w:spacing w:before="0" w:beforeAutospacing="0" w:after="0" w:afterAutospacing="0" w:line="360" w:lineRule="exact"/>
        <w:ind w:firstLine="420" w:firstLineChars="200"/>
      </w:pPr>
      <w:r>
        <w:rPr>
          <w:rFonts w:hint="eastAsia" w:cs="Times New Roman"/>
          <w:color w:val="333333"/>
          <w:kern w:val="2"/>
          <w:sz w:val="21"/>
          <w:szCs w:val="21"/>
        </w:rPr>
        <w:t>1.3《关于促进残疾人就业政府采购政策的通知》（财库[2017]141号）。</w:t>
      </w:r>
    </w:p>
    <w:p>
      <w:pPr>
        <w:pStyle w:val="26"/>
        <w:spacing w:before="0" w:beforeAutospacing="0" w:after="0" w:afterAutospacing="0" w:line="360" w:lineRule="exact"/>
        <w:ind w:firstLine="420" w:firstLineChars="200"/>
      </w:pPr>
      <w:r>
        <w:rPr>
          <w:rFonts w:hint="eastAsia" w:cs="Times New Roman"/>
          <w:color w:val="333333"/>
          <w:kern w:val="2"/>
          <w:sz w:val="21"/>
          <w:szCs w:val="21"/>
        </w:rPr>
        <w:t>1.4落实强制采购节能产品、鼓励节能政策：根据《国务院办公厅关于建立政府强制采购节能产品制度的通知》（国办发[2007]51号）和《关于印发节能产品政府采购品目清单的通知》（财库〔2019〕19 号）的规定，属于强制采购的产品，予以强制采购。属于非强制采购的产品，在技术、服务等指标同等条件下，予以优先采购。</w:t>
      </w:r>
    </w:p>
    <w:p>
      <w:pPr>
        <w:pStyle w:val="26"/>
        <w:spacing w:before="0" w:beforeAutospacing="0" w:after="0" w:afterAutospacing="0" w:line="360" w:lineRule="exact"/>
        <w:ind w:firstLine="420" w:firstLineChars="200"/>
      </w:pPr>
      <w:r>
        <w:rPr>
          <w:rFonts w:hint="eastAsia" w:cs="Times New Roman"/>
          <w:color w:val="333333"/>
          <w:kern w:val="2"/>
          <w:sz w:val="21"/>
          <w:szCs w:val="21"/>
        </w:rPr>
        <w:t>1.5《广西壮族自治区人民政府办公厅关于印发招标采购促进广西工业产品产销对接实施细则的通知》（桂政办发【2015】78号）。</w:t>
      </w:r>
    </w:p>
    <w:p>
      <w:pPr>
        <w:pStyle w:val="26"/>
        <w:numPr>
          <w:ilvl w:val="0"/>
          <w:numId w:val="3"/>
        </w:numPr>
        <w:spacing w:before="0" w:beforeAutospacing="0" w:after="0" w:afterAutospacing="0" w:line="360" w:lineRule="exact"/>
        <w:ind w:firstLine="420" w:firstLineChars="200"/>
        <w:rPr>
          <w:rFonts w:hint="eastAsia" w:cs="Times New Roman"/>
          <w:color w:val="333333"/>
          <w:kern w:val="2"/>
          <w:sz w:val="21"/>
          <w:szCs w:val="21"/>
        </w:rPr>
      </w:pPr>
      <w:r>
        <w:rPr>
          <w:rFonts w:hint="eastAsia"/>
          <w:bCs/>
          <w:color w:val="333333"/>
          <w:kern w:val="2"/>
          <w:sz w:val="21"/>
          <w:szCs w:val="21"/>
        </w:rPr>
        <w:t>信息公告发布媒体：</w:t>
      </w:r>
      <w:r>
        <w:fldChar w:fldCharType="begin"/>
      </w:r>
      <w:r>
        <w:instrText xml:space="preserve"> HYPERLINK "http://www.ccgp.gov.cn（中国政府采购网）、http:/zfcg.gxzf.gov.cn（广西壮族自治区政府采购网）、http:/gl.zfcg.zcygov.cn/（桂林政府采购网）、http:/glggzy.org.cn（桂林市公共资源交易中心网）" </w:instrText>
      </w:r>
      <w:r>
        <w:fldChar w:fldCharType="separate"/>
      </w:r>
      <w:r>
        <w:rPr>
          <w:rStyle w:val="37"/>
          <w:rFonts w:hint="eastAsia" w:cs="Times New Roman"/>
          <w:color w:val="000000"/>
          <w:kern w:val="2"/>
          <w:sz w:val="21"/>
          <w:szCs w:val="21"/>
        </w:rPr>
        <w:t>http://www.ccgp.gov.cn（中国政府采购网）、http://zfcg.gxzf.gov.cn（广西壮族自治区政府采购网）、http://gl.zfcg.zcygov.cn/（桂林政府采购网）、http://glggzy.org.cn（桂林市公共资源交易中心网）</w:t>
      </w:r>
      <w:r>
        <w:rPr>
          <w:rStyle w:val="37"/>
          <w:rFonts w:hint="eastAsia" w:cs="Times New Roman"/>
          <w:color w:val="000000"/>
          <w:kern w:val="2"/>
          <w:sz w:val="21"/>
          <w:szCs w:val="21"/>
        </w:rPr>
        <w:fldChar w:fldCharType="end"/>
      </w:r>
    </w:p>
    <w:p>
      <w:pPr>
        <w:pStyle w:val="26"/>
        <w:spacing w:before="0" w:beforeAutospacing="0" w:after="0" w:afterAutospacing="0" w:line="360" w:lineRule="exact"/>
        <w:ind w:left="420" w:leftChars="200"/>
        <w:rPr>
          <w:rFonts w:hint="eastAsia"/>
          <w:b/>
          <w:bCs/>
          <w:color w:val="000000"/>
          <w:kern w:val="2"/>
          <w:sz w:val="21"/>
          <w:szCs w:val="21"/>
        </w:rPr>
      </w:pPr>
      <w:r>
        <w:rPr>
          <w:rFonts w:hint="eastAsia" w:cs="Times New Roman"/>
          <w:color w:val="333333"/>
          <w:kern w:val="2"/>
          <w:sz w:val="21"/>
          <w:szCs w:val="21"/>
        </w:rPr>
        <w:t>3.本项目无需缴纳投标保证金</w:t>
      </w:r>
      <w:bookmarkStart w:id="23" w:name="_Toc28359008"/>
      <w:bookmarkStart w:id="24" w:name="_Toc35393796"/>
      <w:bookmarkStart w:id="25" w:name="_Toc35393627"/>
      <w:bookmarkStart w:id="26" w:name="_Toc28359085"/>
      <w:bookmarkStart w:id="27" w:name="_Toc23496"/>
    </w:p>
    <w:p>
      <w:pPr>
        <w:pStyle w:val="26"/>
        <w:spacing w:before="0" w:beforeAutospacing="0" w:after="0" w:afterAutospacing="0" w:line="360" w:lineRule="exact"/>
        <w:ind w:left="420" w:leftChars="200"/>
        <w:rPr>
          <w:rFonts w:hint="eastAsia"/>
          <w:color w:val="000000"/>
          <w:kern w:val="2"/>
          <w:sz w:val="21"/>
          <w:szCs w:val="21"/>
        </w:rPr>
      </w:pPr>
      <w:r>
        <w:rPr>
          <w:rFonts w:hint="eastAsia"/>
          <w:color w:val="000000"/>
          <w:kern w:val="2"/>
          <w:sz w:val="21"/>
          <w:szCs w:val="21"/>
        </w:rPr>
        <w:t>七、对本次招标提出询问，请按以下方式联系。</w:t>
      </w:r>
      <w:bookmarkEnd w:id="23"/>
      <w:bookmarkEnd w:id="24"/>
      <w:bookmarkEnd w:id="25"/>
      <w:bookmarkEnd w:id="26"/>
      <w:bookmarkEnd w:id="27"/>
    </w:p>
    <w:p>
      <w:pPr>
        <w:pStyle w:val="4"/>
        <w:ind w:firstLine="420" w:firstLineChars="200"/>
        <w:rPr>
          <w:rFonts w:hint="eastAsia" w:ascii="宋体" w:hAnsi="宋体"/>
          <w:b w:val="0"/>
          <w:bCs w:val="0"/>
          <w:color w:val="000000"/>
          <w:kern w:val="2"/>
          <w:sz w:val="21"/>
          <w:szCs w:val="21"/>
        </w:rPr>
      </w:pPr>
      <w:bookmarkStart w:id="28" w:name="_Toc26778"/>
      <w:r>
        <w:rPr>
          <w:rFonts w:hint="eastAsia" w:ascii="宋体" w:hAnsi="宋体"/>
          <w:b w:val="0"/>
          <w:bCs w:val="0"/>
          <w:color w:val="000000"/>
          <w:kern w:val="2"/>
          <w:sz w:val="21"/>
          <w:szCs w:val="21"/>
        </w:rPr>
        <w:t>1. 采购人名称：</w:t>
      </w:r>
      <w:bookmarkEnd w:id="28"/>
      <w:r>
        <w:rPr>
          <w:rFonts w:hint="eastAsia" w:ascii="宋体" w:hAnsi="宋体"/>
          <w:b w:val="0"/>
          <w:bCs w:val="0"/>
          <w:color w:val="000000"/>
          <w:kern w:val="2"/>
          <w:sz w:val="21"/>
          <w:szCs w:val="21"/>
        </w:rPr>
        <w:t>阳朔县政务服务管理办公室</w:t>
      </w:r>
    </w:p>
    <w:p>
      <w:pPr>
        <w:pStyle w:val="4"/>
        <w:rPr>
          <w:rFonts w:hint="eastAsia" w:ascii="宋体" w:hAnsi="宋体"/>
          <w:b w:val="0"/>
          <w:bCs w:val="0"/>
          <w:color w:val="000000"/>
          <w:kern w:val="2"/>
          <w:sz w:val="21"/>
          <w:szCs w:val="21"/>
        </w:rPr>
      </w:pPr>
      <w:r>
        <w:rPr>
          <w:rFonts w:hint="eastAsia" w:ascii="宋体" w:hAnsi="宋体"/>
          <w:b w:val="0"/>
          <w:bCs w:val="0"/>
          <w:color w:val="000000"/>
          <w:kern w:val="2"/>
          <w:sz w:val="21"/>
          <w:szCs w:val="21"/>
        </w:rPr>
        <w:t xml:space="preserve">      </w:t>
      </w:r>
      <w:bookmarkStart w:id="29" w:name="_Toc25313"/>
      <w:r>
        <w:rPr>
          <w:rFonts w:hint="eastAsia" w:ascii="宋体" w:hAnsi="宋体"/>
          <w:b w:val="0"/>
          <w:bCs w:val="0"/>
          <w:color w:val="000000"/>
          <w:kern w:val="2"/>
          <w:sz w:val="21"/>
          <w:szCs w:val="21"/>
        </w:rPr>
        <w:t>地址：</w:t>
      </w:r>
      <w:bookmarkEnd w:id="29"/>
      <w:r>
        <w:rPr>
          <w:rFonts w:hint="eastAsia" w:ascii="宋体" w:hAnsi="宋体"/>
          <w:b w:val="0"/>
          <w:bCs w:val="0"/>
          <w:color w:val="000000"/>
          <w:kern w:val="2"/>
          <w:sz w:val="21"/>
          <w:szCs w:val="21"/>
        </w:rPr>
        <w:t xml:space="preserve">阳朔县阳朔镇大村门清泉路              </w:t>
      </w:r>
    </w:p>
    <w:p>
      <w:pPr>
        <w:pStyle w:val="4"/>
        <w:rPr>
          <w:rFonts w:hint="eastAsia" w:ascii="宋体" w:hAnsi="宋体"/>
          <w:b w:val="0"/>
          <w:bCs w:val="0"/>
          <w:color w:val="000000"/>
          <w:kern w:val="2"/>
          <w:sz w:val="21"/>
          <w:szCs w:val="21"/>
        </w:rPr>
      </w:pPr>
      <w:r>
        <w:rPr>
          <w:rFonts w:hint="eastAsia" w:ascii="宋体" w:hAnsi="宋体"/>
          <w:b w:val="0"/>
          <w:bCs w:val="0"/>
          <w:color w:val="000000"/>
          <w:kern w:val="2"/>
          <w:sz w:val="21"/>
          <w:szCs w:val="21"/>
        </w:rPr>
        <w:t xml:space="preserve">     </w:t>
      </w:r>
      <w:r>
        <w:rPr>
          <w:rFonts w:hint="eastAsia" w:ascii="宋体" w:hAnsi="宋体"/>
          <w:b w:val="0"/>
          <w:bCs w:val="0"/>
          <w:color w:val="FF0000"/>
          <w:kern w:val="2"/>
          <w:sz w:val="21"/>
          <w:szCs w:val="21"/>
        </w:rPr>
        <w:t xml:space="preserve"> </w:t>
      </w:r>
      <w:bookmarkStart w:id="30" w:name="_Toc13834"/>
      <w:r>
        <w:rPr>
          <w:rFonts w:hint="eastAsia" w:ascii="宋体" w:hAnsi="宋体"/>
          <w:b w:val="0"/>
          <w:bCs w:val="0"/>
          <w:color w:val="000000" w:themeColor="text1"/>
          <w:kern w:val="2"/>
          <w:sz w:val="21"/>
          <w:szCs w:val="21"/>
          <w14:textFill>
            <w14:solidFill>
              <w14:schemeClr w14:val="tx1"/>
            </w14:solidFill>
          </w14:textFill>
        </w:rPr>
        <w:t>项目联系人：</w:t>
      </w:r>
      <w:r>
        <w:rPr>
          <w:rFonts w:hint="eastAsia" w:ascii="宋体" w:hAnsi="宋体"/>
          <w:b w:val="0"/>
          <w:bCs w:val="0"/>
          <w:color w:val="000000" w:themeColor="text1"/>
          <w:kern w:val="2"/>
          <w:sz w:val="21"/>
          <w:szCs w:val="21"/>
          <w:lang w:eastAsia="zh-CN"/>
          <w14:textFill>
            <w14:solidFill>
              <w14:schemeClr w14:val="tx1"/>
            </w14:solidFill>
          </w14:textFill>
        </w:rPr>
        <w:t>梁花义</w:t>
      </w:r>
      <w:r>
        <w:rPr>
          <w:rFonts w:hint="eastAsia" w:ascii="宋体" w:hAnsi="宋体"/>
          <w:b w:val="0"/>
          <w:bCs w:val="0"/>
          <w:color w:val="FF0000"/>
          <w:kern w:val="2"/>
          <w:sz w:val="21"/>
          <w:szCs w:val="21"/>
        </w:rPr>
        <w:t xml:space="preserve"> </w:t>
      </w:r>
      <w:r>
        <w:rPr>
          <w:rFonts w:hint="eastAsia" w:ascii="宋体" w:hAnsi="宋体"/>
          <w:b w:val="0"/>
          <w:bCs w:val="0"/>
          <w:color w:val="000000"/>
          <w:kern w:val="2"/>
          <w:sz w:val="21"/>
          <w:szCs w:val="21"/>
        </w:rPr>
        <w:t xml:space="preserve">  联系电话：</w:t>
      </w:r>
      <w:bookmarkEnd w:id="30"/>
      <w:r>
        <w:rPr>
          <w:rFonts w:hint="eastAsia" w:ascii="宋体" w:hAnsi="宋体"/>
          <w:b w:val="0"/>
          <w:bCs w:val="0"/>
          <w:color w:val="000000"/>
          <w:kern w:val="2"/>
          <w:sz w:val="21"/>
          <w:szCs w:val="21"/>
        </w:rPr>
        <w:t xml:space="preserve">0773-8823668       </w:t>
      </w:r>
    </w:p>
    <w:p>
      <w:pPr>
        <w:pStyle w:val="4"/>
        <w:rPr>
          <w:rFonts w:hint="eastAsia" w:ascii="宋体" w:hAnsi="宋体"/>
          <w:b w:val="0"/>
          <w:bCs w:val="0"/>
          <w:color w:val="000000"/>
          <w:kern w:val="2"/>
          <w:sz w:val="21"/>
          <w:szCs w:val="21"/>
        </w:rPr>
      </w:pPr>
      <w:r>
        <w:rPr>
          <w:rFonts w:hint="eastAsia" w:ascii="宋体" w:hAnsi="宋体"/>
          <w:b w:val="0"/>
          <w:bCs w:val="0"/>
          <w:color w:val="000000"/>
          <w:kern w:val="2"/>
          <w:sz w:val="21"/>
          <w:szCs w:val="21"/>
        </w:rPr>
        <w:t xml:space="preserve">   </w:t>
      </w:r>
      <w:bookmarkStart w:id="31" w:name="_Toc18947"/>
      <w:r>
        <w:rPr>
          <w:rFonts w:hint="eastAsia" w:ascii="宋体" w:hAnsi="宋体"/>
          <w:b w:val="0"/>
          <w:bCs w:val="0"/>
          <w:color w:val="000000"/>
          <w:kern w:val="2"/>
          <w:sz w:val="21"/>
          <w:szCs w:val="21"/>
        </w:rPr>
        <w:t>2. 采购代理机构：广西新厦工程咨询有限公司</w:t>
      </w:r>
      <w:bookmarkEnd w:id="31"/>
    </w:p>
    <w:p>
      <w:pPr>
        <w:pStyle w:val="4"/>
        <w:rPr>
          <w:rFonts w:hint="eastAsia" w:ascii="宋体" w:hAnsi="宋体"/>
          <w:b w:val="0"/>
          <w:bCs w:val="0"/>
          <w:color w:val="000000"/>
          <w:kern w:val="2"/>
          <w:sz w:val="21"/>
          <w:szCs w:val="21"/>
        </w:rPr>
      </w:pPr>
      <w:r>
        <w:rPr>
          <w:rFonts w:hint="eastAsia" w:ascii="宋体" w:hAnsi="宋体"/>
          <w:b w:val="0"/>
          <w:bCs w:val="0"/>
          <w:color w:val="000000"/>
          <w:kern w:val="2"/>
          <w:sz w:val="21"/>
          <w:szCs w:val="21"/>
        </w:rPr>
        <w:t xml:space="preserve">      </w:t>
      </w:r>
      <w:bookmarkStart w:id="32" w:name="_Toc11112"/>
      <w:r>
        <w:rPr>
          <w:rFonts w:hint="eastAsia" w:ascii="宋体" w:hAnsi="宋体"/>
          <w:b w:val="0"/>
          <w:bCs w:val="0"/>
          <w:color w:val="000000"/>
          <w:kern w:val="2"/>
          <w:sz w:val="21"/>
          <w:szCs w:val="21"/>
        </w:rPr>
        <w:t>地址：</w:t>
      </w:r>
      <w:bookmarkEnd w:id="32"/>
      <w:r>
        <w:rPr>
          <w:rFonts w:hint="eastAsia" w:ascii="宋体" w:hAnsi="宋体"/>
          <w:b w:val="0"/>
          <w:bCs w:val="0"/>
          <w:color w:val="000000"/>
          <w:kern w:val="2"/>
          <w:sz w:val="21"/>
          <w:szCs w:val="21"/>
        </w:rPr>
        <w:t xml:space="preserve">桂林市七星区朝阳路信息产业园创新大厦H座B区2幢4-1                       </w:t>
      </w:r>
    </w:p>
    <w:p>
      <w:pPr>
        <w:pStyle w:val="4"/>
        <w:rPr>
          <w:rFonts w:hint="eastAsia" w:ascii="宋体" w:hAnsi="宋体"/>
          <w:b w:val="0"/>
          <w:bCs w:val="0"/>
          <w:color w:val="000000"/>
          <w:kern w:val="2"/>
          <w:sz w:val="21"/>
          <w:szCs w:val="21"/>
        </w:rPr>
      </w:pPr>
      <w:r>
        <w:rPr>
          <w:rFonts w:hint="eastAsia" w:ascii="宋体" w:hAnsi="宋体"/>
          <w:b w:val="0"/>
          <w:bCs w:val="0"/>
          <w:color w:val="000000"/>
          <w:kern w:val="2"/>
          <w:sz w:val="21"/>
          <w:szCs w:val="21"/>
        </w:rPr>
        <w:t xml:space="preserve">      </w:t>
      </w:r>
      <w:bookmarkStart w:id="33" w:name="_Toc7740"/>
      <w:r>
        <w:rPr>
          <w:rFonts w:hint="eastAsia" w:ascii="宋体" w:hAnsi="宋体"/>
          <w:b w:val="0"/>
          <w:bCs w:val="0"/>
          <w:color w:val="000000"/>
          <w:kern w:val="2"/>
          <w:sz w:val="21"/>
          <w:szCs w:val="21"/>
        </w:rPr>
        <w:t xml:space="preserve">项目联系人：梁玮      联系电话: </w:t>
      </w:r>
      <w:bookmarkEnd w:id="33"/>
      <w:r>
        <w:rPr>
          <w:rFonts w:hint="eastAsia" w:ascii="宋体" w:hAnsi="宋体"/>
          <w:b w:val="0"/>
          <w:bCs w:val="0"/>
          <w:color w:val="000000"/>
          <w:kern w:val="2"/>
          <w:sz w:val="21"/>
          <w:szCs w:val="21"/>
        </w:rPr>
        <w:t>0773-8998955</w:t>
      </w:r>
    </w:p>
    <w:p>
      <w:pPr>
        <w:ind w:firstLine="210" w:firstLineChars="100"/>
        <w:rPr>
          <w:rFonts w:hint="eastAsia"/>
          <w:color w:val="000000"/>
        </w:rPr>
      </w:pPr>
      <w:r>
        <w:rPr>
          <w:rFonts w:hint="eastAsia" w:ascii="宋体" w:hAnsi="宋体"/>
          <w:color w:val="000000"/>
          <w:szCs w:val="21"/>
        </w:rPr>
        <w:t>3.</w:t>
      </w:r>
      <w:r>
        <w:rPr>
          <w:rFonts w:hint="eastAsia"/>
          <w:color w:val="000000"/>
        </w:rPr>
        <w:t>项目联系方式</w:t>
      </w:r>
    </w:p>
    <w:p>
      <w:pPr>
        <w:ind w:firstLine="420" w:firstLineChars="200"/>
        <w:rPr>
          <w:rFonts w:hint="eastAsia"/>
          <w:color w:val="000000"/>
        </w:rPr>
      </w:pPr>
      <w:r>
        <w:rPr>
          <w:rFonts w:hint="eastAsia" w:ascii="宋体" w:hAnsi="宋体"/>
          <w:color w:val="000000"/>
          <w:szCs w:val="21"/>
        </w:rPr>
        <w:t xml:space="preserve"> 项目联系人：梁玮      联系电话:  0773-8998955</w:t>
      </w:r>
      <w:r>
        <w:rPr>
          <w:rFonts w:hint="eastAsia"/>
          <w:color w:val="000000"/>
        </w:rPr>
        <w:t>　</w:t>
      </w:r>
    </w:p>
    <w:p>
      <w:pPr>
        <w:pStyle w:val="15"/>
        <w:rPr>
          <w:rFonts w:hint="eastAsia" w:ascii="宋体" w:hAnsi="宋体"/>
          <w:b/>
          <w:color w:val="000000"/>
          <w:szCs w:val="21"/>
        </w:rPr>
      </w:pPr>
      <w:r>
        <w:rPr>
          <w:rFonts w:hint="eastAsia" w:ascii="宋体" w:hAnsi="宋体"/>
          <w:color w:val="000000"/>
          <w:szCs w:val="21"/>
        </w:rPr>
        <w:t xml:space="preserve">  4.</w:t>
      </w:r>
      <w:r>
        <w:rPr>
          <w:rFonts w:hint="eastAsia"/>
          <w:color w:val="000000"/>
        </w:rPr>
        <w:t>政府采购监督管理机构：阳朔县政府采购管理办公室   联系电话：</w:t>
      </w:r>
      <w:r>
        <w:rPr>
          <w:rFonts w:hint="eastAsia" w:asciiTheme="minorEastAsia" w:hAnsiTheme="minorEastAsia" w:eastAsiaTheme="minorEastAsia" w:cstheme="minorEastAsia"/>
          <w:color w:val="000000"/>
        </w:rPr>
        <w:t>0773-8811598</w:t>
      </w:r>
      <w:bookmarkStart w:id="62" w:name="_GoBack"/>
      <w:bookmarkEnd w:id="62"/>
    </w:p>
    <w:p>
      <w:pPr>
        <w:spacing w:line="440" w:lineRule="exact"/>
        <w:jc w:val="right"/>
        <w:outlineLvl w:val="0"/>
        <w:rPr>
          <w:rFonts w:hint="eastAsia" w:ascii="宋体" w:hAnsi="宋体"/>
          <w:b w:val="0"/>
          <w:bCs/>
          <w:color w:val="000000"/>
          <w:szCs w:val="21"/>
          <w:lang w:eastAsia="zh-CN"/>
        </w:rPr>
      </w:pPr>
      <w:r>
        <w:rPr>
          <w:rFonts w:hint="eastAsia" w:ascii="宋体" w:hAnsi="宋体"/>
          <w:b w:val="0"/>
          <w:bCs/>
          <w:color w:val="000000"/>
          <w:szCs w:val="21"/>
          <w:lang w:eastAsia="zh-CN"/>
        </w:rPr>
        <w:t>广西新厦工程咨询有限公司</w:t>
      </w:r>
    </w:p>
    <w:p>
      <w:pPr>
        <w:spacing w:line="440" w:lineRule="exact"/>
        <w:jc w:val="right"/>
        <w:outlineLvl w:val="0"/>
        <w:rPr>
          <w:rFonts w:hint="eastAsia" w:ascii="宋体" w:hAnsi="宋体"/>
          <w:b w:val="0"/>
          <w:bCs/>
          <w:color w:val="000000"/>
          <w:szCs w:val="21"/>
        </w:rPr>
      </w:pPr>
      <w:r>
        <w:rPr>
          <w:rFonts w:hint="eastAsia" w:ascii="宋体" w:hAnsi="宋体"/>
          <w:b w:val="0"/>
          <w:bCs/>
          <w:color w:val="000000"/>
          <w:szCs w:val="21"/>
        </w:rPr>
        <w:t>2020 年</w:t>
      </w:r>
      <w:r>
        <w:rPr>
          <w:rFonts w:hint="eastAsia" w:ascii="宋体" w:hAnsi="宋体"/>
          <w:b w:val="0"/>
          <w:bCs/>
          <w:color w:val="000000"/>
          <w:szCs w:val="21"/>
          <w:lang w:val="en-US" w:eastAsia="zh-CN"/>
        </w:rPr>
        <w:t>9</w:t>
      </w:r>
      <w:r>
        <w:rPr>
          <w:rFonts w:hint="eastAsia" w:ascii="宋体" w:hAnsi="宋体"/>
          <w:b w:val="0"/>
          <w:bCs/>
          <w:color w:val="000000"/>
          <w:szCs w:val="21"/>
        </w:rPr>
        <w:t>月</w:t>
      </w:r>
      <w:r>
        <w:rPr>
          <w:rFonts w:hint="eastAsia" w:ascii="宋体" w:hAnsi="宋体"/>
          <w:b w:val="0"/>
          <w:bCs/>
          <w:color w:val="000000"/>
          <w:szCs w:val="21"/>
          <w:lang w:val="en-US" w:eastAsia="zh-CN"/>
        </w:rPr>
        <w:t>24</w:t>
      </w:r>
      <w:r>
        <w:rPr>
          <w:rFonts w:hint="eastAsia" w:ascii="宋体" w:hAnsi="宋体"/>
          <w:b w:val="0"/>
          <w:bCs/>
          <w:color w:val="000000"/>
          <w:szCs w:val="21"/>
        </w:rPr>
        <w:t>日</w:t>
      </w:r>
    </w:p>
    <w:p>
      <w:pPr>
        <w:spacing w:line="440" w:lineRule="exact"/>
        <w:jc w:val="center"/>
        <w:outlineLvl w:val="0"/>
        <w:rPr>
          <w:rFonts w:hint="eastAsia" w:ascii="宋体" w:hAnsi="宋体"/>
          <w:b/>
          <w:color w:val="000000"/>
          <w:sz w:val="32"/>
          <w:szCs w:val="32"/>
        </w:rPr>
      </w:pPr>
      <w:r>
        <w:rPr>
          <w:rFonts w:ascii="宋体" w:hAnsi="宋体"/>
          <w:b/>
          <w:color w:val="000000"/>
          <w:szCs w:val="21"/>
        </w:rPr>
        <w:br w:type="page"/>
      </w:r>
      <w:bookmarkStart w:id="34" w:name="_Toc29670"/>
      <w:r>
        <w:rPr>
          <w:rFonts w:hint="eastAsia" w:ascii="宋体" w:hAnsi="宋体"/>
          <w:b/>
          <w:color w:val="000000"/>
          <w:sz w:val="32"/>
          <w:szCs w:val="32"/>
        </w:rPr>
        <w:t>第二章  投标人须知</w:t>
      </w:r>
      <w:bookmarkEnd w:id="34"/>
    </w:p>
    <w:p>
      <w:pPr>
        <w:tabs>
          <w:tab w:val="left" w:pos="1065"/>
          <w:tab w:val="center" w:pos="4411"/>
        </w:tabs>
        <w:spacing w:line="440" w:lineRule="exact"/>
        <w:jc w:val="center"/>
        <w:rPr>
          <w:rFonts w:hint="eastAsia" w:ascii="宋体" w:hAnsi="宋体"/>
          <w:b/>
          <w:color w:val="000000"/>
          <w:sz w:val="24"/>
        </w:rPr>
      </w:pPr>
      <w:r>
        <w:rPr>
          <w:rFonts w:hint="eastAsia" w:ascii="宋体" w:hAnsi="宋体"/>
          <w:b/>
          <w:color w:val="000000"/>
          <w:sz w:val="24"/>
        </w:rPr>
        <w:t>投标人须知前附表</w:t>
      </w:r>
    </w:p>
    <w:tbl>
      <w:tblPr>
        <w:tblStyle w:val="4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55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709" w:type="dxa"/>
            <w:vAlign w:val="center"/>
          </w:tcPr>
          <w:p>
            <w:pPr>
              <w:spacing w:line="360" w:lineRule="auto"/>
              <w:jc w:val="center"/>
              <w:rPr>
                <w:rFonts w:hint="eastAsia" w:ascii="宋体" w:hAnsi="宋体"/>
                <w:color w:val="000000"/>
                <w:szCs w:val="21"/>
              </w:rPr>
            </w:pPr>
            <w:r>
              <w:rPr>
                <w:rFonts w:hint="eastAsia" w:ascii="宋体" w:hAnsi="宋体"/>
                <w:color w:val="000000"/>
                <w:szCs w:val="21"/>
              </w:rPr>
              <w:t>序号</w:t>
            </w:r>
          </w:p>
        </w:tc>
        <w:tc>
          <w:tcPr>
            <w:tcW w:w="851" w:type="dxa"/>
            <w:vAlign w:val="center"/>
          </w:tcPr>
          <w:p>
            <w:pPr>
              <w:spacing w:line="360" w:lineRule="auto"/>
              <w:jc w:val="center"/>
              <w:rPr>
                <w:rFonts w:hint="eastAsia" w:ascii="宋体" w:hAnsi="宋体"/>
                <w:color w:val="000000"/>
                <w:szCs w:val="21"/>
              </w:rPr>
            </w:pPr>
            <w:r>
              <w:rPr>
                <w:rFonts w:hint="eastAsia" w:ascii="宋体" w:hAnsi="宋体"/>
                <w:color w:val="000000"/>
                <w:szCs w:val="21"/>
              </w:rPr>
              <w:t>条款号</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条款名称</w:t>
            </w:r>
          </w:p>
        </w:tc>
        <w:tc>
          <w:tcPr>
            <w:tcW w:w="6521" w:type="dxa"/>
            <w:vAlign w:val="center"/>
          </w:tcPr>
          <w:p>
            <w:pPr>
              <w:spacing w:line="320" w:lineRule="exact"/>
              <w:jc w:val="center"/>
              <w:rPr>
                <w:rFonts w:hint="eastAsia" w:ascii="宋体" w:hAnsi="宋体"/>
                <w:color w:val="000000"/>
                <w:szCs w:val="21"/>
              </w:rPr>
            </w:pPr>
            <w:r>
              <w:rPr>
                <w:rFonts w:hint="eastAsia" w:ascii="宋体" w:hAnsi="宋体"/>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项目名称及项目编号</w:t>
            </w:r>
          </w:p>
        </w:tc>
        <w:tc>
          <w:tcPr>
            <w:tcW w:w="6521" w:type="dxa"/>
            <w:vAlign w:val="center"/>
          </w:tcPr>
          <w:p>
            <w:pPr>
              <w:spacing w:line="340" w:lineRule="exact"/>
              <w:rPr>
                <w:rFonts w:hint="eastAsia" w:ascii="宋体" w:hAnsi="宋体"/>
                <w:color w:val="000000"/>
                <w:szCs w:val="21"/>
              </w:rPr>
            </w:pPr>
            <w:r>
              <w:rPr>
                <w:rFonts w:hint="eastAsia" w:ascii="宋体" w:hAnsi="宋体"/>
                <w:color w:val="000000"/>
                <w:szCs w:val="21"/>
              </w:rPr>
              <w:t>项目名称：阳朔县新政务服务中心中央空调采购</w:t>
            </w:r>
          </w:p>
          <w:p>
            <w:pPr>
              <w:spacing w:line="340" w:lineRule="exact"/>
              <w:rPr>
                <w:rFonts w:hint="eastAsia" w:ascii="宋体" w:hAnsi="宋体"/>
                <w:color w:val="000000"/>
                <w:szCs w:val="21"/>
              </w:rPr>
            </w:pPr>
            <w:r>
              <w:rPr>
                <w:rFonts w:hint="eastAsia" w:ascii="宋体" w:hAnsi="宋体"/>
                <w:color w:val="000000"/>
                <w:szCs w:val="21"/>
              </w:rPr>
              <w:t>项目编号：GLZC2020-G1-210016-GXXS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2</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5</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投标人资格</w:t>
            </w:r>
          </w:p>
        </w:tc>
        <w:tc>
          <w:tcPr>
            <w:tcW w:w="6521" w:type="dxa"/>
            <w:vAlign w:val="center"/>
          </w:tcPr>
          <w:p>
            <w:pPr>
              <w:pStyle w:val="23"/>
              <w:rPr>
                <w:rFonts w:hint="eastAsia" w:ascii="宋体" w:hAnsi="宋体"/>
                <w:color w:val="000000"/>
                <w:sz w:val="21"/>
                <w:szCs w:val="21"/>
              </w:rPr>
            </w:pPr>
            <w:r>
              <w:rPr>
                <w:rFonts w:hint="eastAsia" w:ascii="宋体" w:hAnsi="宋体"/>
                <w:color w:val="000000"/>
                <w:sz w:val="21"/>
                <w:szCs w:val="21"/>
              </w:rPr>
              <w:t>5.1. 符合《中华人民共和国政府采购法》第二十二条和《政府采购法实施条例》第十八条规定，具备合法资格的供应商；</w:t>
            </w:r>
          </w:p>
          <w:p>
            <w:pPr>
              <w:pStyle w:val="23"/>
              <w:rPr>
                <w:rFonts w:hint="eastAsia" w:ascii="宋体" w:hAnsi="宋体"/>
                <w:color w:val="000000"/>
                <w:sz w:val="21"/>
                <w:szCs w:val="21"/>
              </w:rPr>
            </w:pPr>
            <w:r>
              <w:rPr>
                <w:rFonts w:hint="eastAsia" w:ascii="宋体" w:hAnsi="宋体"/>
                <w:color w:val="000000"/>
                <w:sz w:val="21"/>
                <w:szCs w:val="21"/>
              </w:rPr>
              <w:t>5.2.落实政府采购政策需满足的资格要求：无；</w:t>
            </w:r>
          </w:p>
          <w:p>
            <w:pPr>
              <w:pStyle w:val="23"/>
              <w:rPr>
                <w:rFonts w:hint="eastAsia" w:ascii="宋体" w:hAnsi="宋体"/>
                <w:color w:val="000000"/>
                <w:sz w:val="21"/>
                <w:szCs w:val="21"/>
              </w:rPr>
            </w:pPr>
            <w:r>
              <w:rPr>
                <w:rFonts w:hint="eastAsia" w:ascii="宋体" w:hAnsi="宋体"/>
                <w:color w:val="000000"/>
                <w:sz w:val="21"/>
                <w:szCs w:val="21"/>
              </w:rPr>
              <w:t>5.3.本项目的特定资格要求：无；</w:t>
            </w:r>
          </w:p>
          <w:p>
            <w:pPr>
              <w:pStyle w:val="23"/>
              <w:rPr>
                <w:rFonts w:hint="eastAsia" w:ascii="宋体" w:hAnsi="宋体"/>
                <w:color w:val="000000"/>
                <w:sz w:val="21"/>
                <w:szCs w:val="21"/>
              </w:rPr>
            </w:pPr>
            <w:r>
              <w:rPr>
                <w:rFonts w:hint="eastAsia" w:ascii="宋体" w:hAnsi="宋体"/>
                <w:color w:val="000000"/>
                <w:sz w:val="21"/>
                <w:szCs w:val="21"/>
              </w:rPr>
              <w:t>5.4.对在“信用中国”网站（</w:t>
            </w:r>
            <w:r>
              <w:fldChar w:fldCharType="begin"/>
            </w:r>
            <w:r>
              <w:instrText xml:space="preserve"> HYPERLINK "http://www.creditchina.gov.cn" </w:instrText>
            </w:r>
            <w:r>
              <w:fldChar w:fldCharType="separate"/>
            </w:r>
            <w:r>
              <w:rPr>
                <w:rFonts w:hint="eastAsia" w:ascii="宋体" w:hAnsi="宋体"/>
                <w:color w:val="000000"/>
                <w:sz w:val="21"/>
                <w:szCs w:val="21"/>
              </w:rPr>
              <w:t>www.creditchina.gov.cn</w:t>
            </w:r>
            <w:r>
              <w:rPr>
                <w:rFonts w:hint="eastAsia" w:ascii="宋体" w:hAnsi="宋体"/>
                <w:color w:val="000000"/>
                <w:sz w:val="21"/>
                <w:szCs w:val="21"/>
              </w:rPr>
              <w:fldChar w:fldCharType="end"/>
            </w:r>
            <w:r>
              <w:rPr>
                <w:rFonts w:hint="eastAsia" w:ascii="宋体" w:hAnsi="宋体"/>
                <w:color w:val="000000"/>
                <w:sz w:val="21"/>
                <w:szCs w:val="21"/>
              </w:rPr>
              <w:t>）、中国政府采购网（</w:t>
            </w:r>
            <w:r>
              <w:fldChar w:fldCharType="begin"/>
            </w:r>
            <w:r>
              <w:instrText xml:space="preserve"> HYPERLINK "http://www.ccgp.gov.cn" </w:instrText>
            </w:r>
            <w:r>
              <w:fldChar w:fldCharType="separate"/>
            </w:r>
            <w:r>
              <w:rPr>
                <w:rFonts w:hint="eastAsia" w:ascii="宋体" w:hAnsi="宋体"/>
                <w:color w:val="000000"/>
                <w:sz w:val="21"/>
                <w:szCs w:val="21"/>
              </w:rPr>
              <w:t>www.ccgp.gov.cn</w:t>
            </w:r>
            <w:r>
              <w:rPr>
                <w:rFonts w:hint="eastAsia" w:ascii="宋体" w:hAnsi="宋体"/>
                <w:color w:val="000000"/>
                <w:sz w:val="21"/>
                <w:szCs w:val="21"/>
              </w:rPr>
              <w:fldChar w:fldCharType="end"/>
            </w:r>
            <w:r>
              <w:rPr>
                <w:rFonts w:hint="eastAsia" w:ascii="宋体" w:hAnsi="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pStyle w:val="23"/>
              <w:rPr>
                <w:rFonts w:ascii="宋体" w:hAnsi="宋体"/>
                <w:color w:val="000000"/>
              </w:rPr>
            </w:pPr>
            <w:r>
              <w:rPr>
                <w:rFonts w:hint="eastAsia" w:ascii="宋体" w:hAnsi="宋体"/>
                <w:color w:val="000000"/>
                <w:sz w:val="21"/>
                <w:szCs w:val="21"/>
              </w:rPr>
              <w:t>5.5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3</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6</w:t>
            </w:r>
          </w:p>
        </w:tc>
        <w:tc>
          <w:tcPr>
            <w:tcW w:w="1559" w:type="dxa"/>
            <w:vAlign w:val="center"/>
          </w:tcPr>
          <w:p>
            <w:pPr>
              <w:spacing w:line="320" w:lineRule="exact"/>
              <w:jc w:val="center"/>
              <w:rPr>
                <w:rFonts w:hint="eastAsia" w:ascii="宋体" w:hAnsi="宋体"/>
                <w:color w:val="000000"/>
                <w:position w:val="-2"/>
                <w:szCs w:val="21"/>
              </w:rPr>
            </w:pPr>
            <w:r>
              <w:rPr>
                <w:rFonts w:hint="eastAsia" w:ascii="宋体" w:hAnsi="宋体"/>
                <w:color w:val="000000"/>
                <w:szCs w:val="21"/>
              </w:rPr>
              <w:t>投标费用</w:t>
            </w:r>
          </w:p>
        </w:tc>
        <w:tc>
          <w:tcPr>
            <w:tcW w:w="6521" w:type="dxa"/>
            <w:vAlign w:val="center"/>
          </w:tcPr>
          <w:p>
            <w:pPr>
              <w:spacing w:line="330" w:lineRule="exact"/>
              <w:rPr>
                <w:rFonts w:hint="eastAsia" w:ascii="宋体" w:hAnsi="宋体"/>
                <w:color w:val="000000"/>
                <w:szCs w:val="21"/>
              </w:rPr>
            </w:pPr>
            <w:r>
              <w:rPr>
                <w:rFonts w:hint="eastAsia" w:ascii="宋体" w:hAnsi="宋体"/>
                <w:color w:val="000000"/>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4</w:t>
            </w:r>
          </w:p>
        </w:tc>
        <w:tc>
          <w:tcPr>
            <w:tcW w:w="851" w:type="dxa"/>
            <w:vAlign w:val="center"/>
          </w:tcPr>
          <w:p>
            <w:pPr>
              <w:spacing w:line="340" w:lineRule="exact"/>
              <w:jc w:val="center"/>
              <w:rPr>
                <w:rFonts w:hint="eastAsia" w:ascii="宋体" w:hAnsi="宋体"/>
                <w:color w:val="000000"/>
                <w:position w:val="-2"/>
                <w:szCs w:val="21"/>
              </w:rPr>
            </w:pPr>
            <w:r>
              <w:rPr>
                <w:rFonts w:hint="eastAsia" w:ascii="宋体" w:hAnsi="宋体"/>
                <w:color w:val="000000"/>
                <w:position w:val="-2"/>
                <w:szCs w:val="21"/>
              </w:rPr>
              <w:t>15</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采购预算金额及投标报价</w:t>
            </w:r>
          </w:p>
        </w:tc>
        <w:tc>
          <w:tcPr>
            <w:tcW w:w="6521" w:type="dxa"/>
            <w:vAlign w:val="center"/>
          </w:tcPr>
          <w:p>
            <w:pPr>
              <w:spacing w:line="340" w:lineRule="exact"/>
              <w:rPr>
                <w:rFonts w:hint="eastAsia" w:ascii="宋体" w:hAnsi="宋体"/>
                <w:color w:val="000000"/>
              </w:rPr>
            </w:pPr>
            <w:r>
              <w:rPr>
                <w:rFonts w:hint="eastAsia" w:ascii="宋体" w:hAnsi="宋体"/>
                <w:color w:val="000000"/>
                <w:szCs w:val="21"/>
              </w:rPr>
              <w:t>15.1本项目采购预算金额：</w:t>
            </w:r>
          </w:p>
          <w:p>
            <w:pPr>
              <w:spacing w:line="330" w:lineRule="exact"/>
              <w:rPr>
                <w:rFonts w:hint="eastAsia" w:ascii="宋体" w:hAnsi="宋体"/>
                <w:color w:val="000000"/>
                <w:szCs w:val="21"/>
              </w:rPr>
            </w:pPr>
            <w:r>
              <w:rPr>
                <w:rFonts w:hint="eastAsia" w:ascii="宋体" w:hAnsi="宋体"/>
                <w:color w:val="000000"/>
                <w:szCs w:val="21"/>
              </w:rPr>
              <w:t>人民币壹佰柒拾柒万元整（￥1770000.00）。</w:t>
            </w:r>
          </w:p>
          <w:p>
            <w:pPr>
              <w:spacing w:line="330" w:lineRule="exact"/>
              <w:rPr>
                <w:rFonts w:hint="eastAsia" w:ascii="宋体" w:hAnsi="宋体"/>
                <w:color w:val="000000"/>
                <w:szCs w:val="21"/>
              </w:rPr>
            </w:pPr>
            <w:r>
              <w:rPr>
                <w:rFonts w:hint="eastAsia" w:ascii="宋体" w:hAnsi="宋体"/>
                <w:color w:val="000000"/>
                <w:szCs w:val="21"/>
              </w:rPr>
              <w:t>投标报价超过采购预算金额的，投标文件作相应无效处理。</w:t>
            </w:r>
          </w:p>
          <w:p>
            <w:pPr>
              <w:spacing w:line="330" w:lineRule="exact"/>
              <w:rPr>
                <w:rFonts w:hint="eastAsia" w:ascii="宋体" w:hAnsi="宋体"/>
                <w:color w:val="000000"/>
                <w:szCs w:val="21"/>
              </w:rPr>
            </w:pPr>
            <w:r>
              <w:rPr>
                <w:rFonts w:hint="eastAsia" w:ascii="宋体" w:hAnsi="宋体"/>
                <w:color w:val="000000"/>
                <w:szCs w:val="21"/>
              </w:rPr>
              <w:t>15.2</w:t>
            </w:r>
            <w:r>
              <w:rPr>
                <w:rFonts w:hint="eastAsia"/>
                <w:color w:val="000000"/>
                <w:szCs w:val="21"/>
              </w:rPr>
              <w:t>投标人必须就“货物采购需求”中所有内容作完整唯一报价，否则，其投标将被拒绝；投标文件只允许有一个报价，有选择的或有条件的报价将不予接受。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5</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16.1</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投标有效期</w:t>
            </w:r>
          </w:p>
        </w:tc>
        <w:tc>
          <w:tcPr>
            <w:tcW w:w="6521" w:type="dxa"/>
            <w:vAlign w:val="center"/>
          </w:tcPr>
          <w:p>
            <w:pPr>
              <w:spacing w:line="330" w:lineRule="exact"/>
              <w:rPr>
                <w:rFonts w:hint="eastAsia" w:ascii="宋体" w:hAnsi="宋体"/>
                <w:color w:val="000000"/>
                <w:szCs w:val="21"/>
              </w:rPr>
            </w:pPr>
            <w:r>
              <w:rPr>
                <w:rFonts w:hint="eastAsia" w:ascii="宋体" w:hAnsi="宋体"/>
                <w:color w:val="000000"/>
                <w:szCs w:val="21"/>
              </w:rPr>
              <w:t>投标截止时间之日起9</w:t>
            </w:r>
            <w:r>
              <w:rPr>
                <w:rFonts w:ascii="宋体" w:hAnsi="宋体"/>
                <w:color w:val="000000"/>
                <w:szCs w:val="21"/>
              </w:rPr>
              <w:t>0</w:t>
            </w:r>
            <w:r>
              <w:rPr>
                <w:rFonts w:hint="eastAsia" w:ascii="宋体" w:hAnsi="宋体"/>
                <w:color w:val="000000"/>
                <w:szCs w:val="21"/>
              </w:rPr>
              <w:t>天，</w:t>
            </w:r>
            <w:r>
              <w:rPr>
                <w:rFonts w:ascii="宋体" w:hAnsi="宋体" w:cs="Arial"/>
                <w:color w:val="000000"/>
                <w:szCs w:val="21"/>
              </w:rPr>
              <w:t>投标有效期内投标人撤销投标文件的，投标保证金不</w:t>
            </w:r>
            <w:r>
              <w:rPr>
                <w:rFonts w:hint="eastAsia" w:ascii="宋体" w:hAnsi="宋体" w:cs="Arial"/>
                <w:color w:val="000000"/>
                <w:szCs w:val="21"/>
              </w:rPr>
              <w:t>予</w:t>
            </w:r>
            <w:r>
              <w:rPr>
                <w:rFonts w:ascii="宋体" w:hAnsi="宋体" w:cs="Arial"/>
                <w:color w:val="000000"/>
                <w:szCs w:val="21"/>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6</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18.1</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投标文件份数</w:t>
            </w:r>
          </w:p>
        </w:tc>
        <w:tc>
          <w:tcPr>
            <w:tcW w:w="6521" w:type="dxa"/>
            <w:vAlign w:val="center"/>
          </w:tcPr>
          <w:p>
            <w:pPr>
              <w:spacing w:line="330" w:lineRule="exact"/>
              <w:rPr>
                <w:rFonts w:hint="eastAsia" w:ascii="宋体" w:hAnsi="宋体"/>
                <w:color w:val="000000"/>
                <w:szCs w:val="21"/>
              </w:rPr>
            </w:pPr>
            <w:r>
              <w:rPr>
                <w:rFonts w:hint="eastAsia" w:ascii="宋体" w:hAnsi="宋体"/>
                <w:b/>
                <w:color w:val="000000"/>
                <w:szCs w:val="21"/>
              </w:rPr>
              <w:t>正本壹册，副本</w:t>
            </w:r>
            <w:r>
              <w:rPr>
                <w:rFonts w:hint="eastAsia" w:ascii="宋体" w:hAnsi="宋体"/>
                <w:b/>
                <w:color w:val="000000"/>
                <w:szCs w:val="21"/>
                <w:u w:val="single"/>
              </w:rPr>
              <w:t xml:space="preserve"> 肆 </w:t>
            </w:r>
            <w:r>
              <w:rPr>
                <w:rFonts w:hint="eastAsia" w:ascii="宋体" w:hAnsi="宋体"/>
                <w:b/>
                <w:color w:val="000000"/>
                <w:szCs w:val="21"/>
              </w:rPr>
              <w:t>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7</w:t>
            </w:r>
          </w:p>
        </w:tc>
        <w:tc>
          <w:tcPr>
            <w:tcW w:w="851" w:type="dxa"/>
            <w:vAlign w:val="center"/>
          </w:tcPr>
          <w:p>
            <w:pPr>
              <w:spacing w:line="400" w:lineRule="exact"/>
              <w:jc w:val="center"/>
              <w:rPr>
                <w:rFonts w:hint="eastAsia" w:ascii="宋体" w:hAnsi="宋体"/>
                <w:color w:val="000000"/>
                <w:position w:val="10"/>
                <w:szCs w:val="21"/>
              </w:rPr>
            </w:pPr>
            <w:r>
              <w:rPr>
                <w:rFonts w:hint="eastAsia" w:ascii="宋体" w:hAnsi="宋体"/>
                <w:color w:val="000000"/>
                <w:szCs w:val="21"/>
              </w:rPr>
              <w:t>18.2</w:t>
            </w:r>
          </w:p>
        </w:tc>
        <w:tc>
          <w:tcPr>
            <w:tcW w:w="1559" w:type="dxa"/>
            <w:vAlign w:val="center"/>
          </w:tcPr>
          <w:p>
            <w:pPr>
              <w:spacing w:line="400" w:lineRule="exact"/>
              <w:jc w:val="center"/>
              <w:rPr>
                <w:rFonts w:ascii="宋体" w:hAnsi="宋体"/>
                <w:color w:val="000000"/>
                <w:position w:val="10"/>
                <w:szCs w:val="21"/>
              </w:rPr>
            </w:pPr>
            <w:r>
              <w:rPr>
                <w:rFonts w:hint="eastAsia" w:ascii="宋体" w:hAnsi="宋体"/>
                <w:color w:val="000000"/>
                <w:szCs w:val="21"/>
              </w:rPr>
              <w:t>投标文件装订</w:t>
            </w:r>
          </w:p>
        </w:tc>
        <w:tc>
          <w:tcPr>
            <w:tcW w:w="6521" w:type="dxa"/>
            <w:vAlign w:val="center"/>
          </w:tcPr>
          <w:p>
            <w:pPr>
              <w:spacing w:line="330" w:lineRule="exact"/>
              <w:rPr>
                <w:rFonts w:hint="eastAsia" w:ascii="宋体" w:hAnsi="宋体"/>
                <w:color w:val="000000"/>
                <w:szCs w:val="21"/>
              </w:rPr>
            </w:pPr>
            <w:r>
              <w:rPr>
                <w:rFonts w:hint="eastAsia" w:ascii="宋体" w:hAnsi="宋体"/>
                <w:color w:val="000000"/>
                <w:szCs w:val="21"/>
              </w:rPr>
              <w:t>投标人应按投标人须知第</w:t>
            </w:r>
            <w:r>
              <w:rPr>
                <w:rFonts w:ascii="宋体" w:hAnsi="宋体"/>
                <w:color w:val="000000"/>
                <w:szCs w:val="21"/>
              </w:rPr>
              <w:t>13.1款</w:t>
            </w:r>
            <w:r>
              <w:rPr>
                <w:rFonts w:hint="eastAsia" w:ascii="宋体" w:hAnsi="宋体"/>
                <w:color w:val="000000"/>
                <w:szCs w:val="21"/>
              </w:rPr>
              <w:t>“投标文件组成”规定的顺序自编目录及页码，投标文件的“正本”、“副本”应当单独装订成册并标注页码，装订应牢固，不易拆散和换页（</w:t>
            </w:r>
            <w:r>
              <w:rPr>
                <w:rFonts w:ascii="宋体" w:hAnsi="宋体"/>
                <w:color w:val="000000"/>
                <w:szCs w:val="21"/>
              </w:rPr>
              <w:t>A4</w:t>
            </w:r>
            <w:r>
              <w:rPr>
                <w:rFonts w:hint="eastAsia" w:ascii="宋体" w:hAnsi="宋体"/>
                <w:color w:val="000000"/>
                <w:szCs w:val="21"/>
              </w:rPr>
              <w:t>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8</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18.6</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投标人公章</w:t>
            </w:r>
          </w:p>
        </w:tc>
        <w:tc>
          <w:tcPr>
            <w:tcW w:w="6521" w:type="dxa"/>
            <w:vAlign w:val="center"/>
          </w:tcPr>
          <w:p>
            <w:pPr>
              <w:spacing w:line="330" w:lineRule="exact"/>
              <w:rPr>
                <w:rFonts w:hint="eastAsia" w:ascii="宋体" w:hAnsi="宋体"/>
                <w:color w:val="000000"/>
                <w:szCs w:val="21"/>
              </w:rPr>
            </w:pPr>
            <w:r>
              <w:rPr>
                <w:rFonts w:ascii="宋体" w:hAnsi="宋体"/>
                <w:color w:val="000000"/>
                <w:szCs w:val="21"/>
              </w:rPr>
              <w:t>本招标文件中描述投标</w:t>
            </w:r>
            <w:r>
              <w:rPr>
                <w:rFonts w:hint="eastAsia" w:ascii="宋体" w:hAnsi="宋体"/>
                <w:color w:val="000000"/>
                <w:szCs w:val="21"/>
              </w:rPr>
              <w:t>人</w:t>
            </w:r>
            <w:r>
              <w:rPr>
                <w:rFonts w:ascii="宋体" w:hAnsi="宋体"/>
                <w:color w:val="000000"/>
                <w:szCs w:val="21"/>
              </w:rPr>
              <w:t>的“公章”是指根据我国对公章的管理规定，用投标</w:t>
            </w:r>
            <w:r>
              <w:rPr>
                <w:rFonts w:hint="eastAsia" w:ascii="宋体" w:hAnsi="宋体"/>
                <w:color w:val="000000"/>
                <w:szCs w:val="21"/>
              </w:rPr>
              <w:t>人</w:t>
            </w:r>
            <w:r>
              <w:rPr>
                <w:rFonts w:ascii="宋体" w:hAnsi="宋体"/>
                <w:color w:val="000000"/>
                <w:szCs w:val="21"/>
              </w:rPr>
              <w:t>法定主体行为名称制作的印章，除本招标文件有特殊规定外，投标</w:t>
            </w:r>
            <w:r>
              <w:rPr>
                <w:rFonts w:hint="eastAsia" w:ascii="宋体" w:hAnsi="宋体"/>
                <w:color w:val="000000"/>
                <w:szCs w:val="21"/>
              </w:rPr>
              <w:t>人</w:t>
            </w:r>
            <w:r>
              <w:rPr>
                <w:rFonts w:ascii="宋体" w:hAnsi="宋体"/>
                <w:color w:val="000000"/>
                <w:szCs w:val="21"/>
              </w:rPr>
              <w:t>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9</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18.7</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 xml:space="preserve">投标文件包装、密封                  </w:t>
            </w:r>
          </w:p>
        </w:tc>
        <w:tc>
          <w:tcPr>
            <w:tcW w:w="6521" w:type="dxa"/>
            <w:vAlign w:val="center"/>
          </w:tcPr>
          <w:p>
            <w:pPr>
              <w:spacing w:line="370" w:lineRule="exact"/>
              <w:rPr>
                <w:rFonts w:hint="eastAsia" w:ascii="宋体" w:hAnsi="宋体"/>
                <w:color w:val="000000"/>
                <w:szCs w:val="21"/>
              </w:rPr>
            </w:pPr>
            <w:r>
              <w:rPr>
                <w:rFonts w:hint="eastAsia" w:ascii="宋体" w:hAnsi="宋体"/>
                <w:color w:val="000000"/>
                <w:szCs w:val="21"/>
              </w:rPr>
              <w:t>将投标文件“正本”、“副本”及投标文件电子版光盘一并装入并密封在一个投标文件袋（盒、箱）中，并在密封处密封签章【公章、密封章、法定代表人、负责人、自然人或相应的授权委托代理人签字均可】。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10</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18.8</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投标文件袋（盒、箱）标记</w:t>
            </w:r>
          </w:p>
        </w:tc>
        <w:tc>
          <w:tcPr>
            <w:tcW w:w="6521" w:type="dxa"/>
            <w:vAlign w:val="center"/>
          </w:tcPr>
          <w:p>
            <w:pPr>
              <w:spacing w:line="370" w:lineRule="exact"/>
              <w:rPr>
                <w:rFonts w:hint="eastAsia" w:ascii="宋体" w:hAnsi="宋体"/>
                <w:color w:val="000000"/>
                <w:szCs w:val="21"/>
              </w:rPr>
            </w:pPr>
            <w:r>
              <w:rPr>
                <w:rFonts w:hint="eastAsia" w:ascii="宋体" w:hAnsi="宋体"/>
                <w:color w:val="000000"/>
                <w:szCs w:val="21"/>
              </w:rPr>
              <w:t xml:space="preserve">项目名称：阳朔县新政务服务中心中央空调采购 </w:t>
            </w:r>
          </w:p>
          <w:p>
            <w:pPr>
              <w:spacing w:line="370" w:lineRule="exact"/>
              <w:rPr>
                <w:rFonts w:hint="eastAsia" w:ascii="宋体" w:hAnsi="宋体"/>
                <w:color w:val="000000"/>
                <w:szCs w:val="21"/>
              </w:rPr>
            </w:pPr>
            <w:r>
              <w:rPr>
                <w:rFonts w:hint="eastAsia" w:ascii="宋体" w:hAnsi="宋体"/>
                <w:color w:val="000000"/>
                <w:szCs w:val="21"/>
              </w:rPr>
              <w:t>项目编号： GLZC2020-G1-210016-GXXS</w:t>
            </w:r>
          </w:p>
          <w:p>
            <w:pPr>
              <w:spacing w:line="370" w:lineRule="exact"/>
              <w:rPr>
                <w:rFonts w:ascii="宋体" w:hAnsi="宋体"/>
                <w:color w:val="000000"/>
                <w:szCs w:val="21"/>
              </w:rPr>
            </w:pPr>
            <w:r>
              <w:rPr>
                <w:rFonts w:hint="eastAsia" w:ascii="宋体" w:hAnsi="宋体"/>
                <w:color w:val="000000"/>
                <w:szCs w:val="21"/>
              </w:rPr>
              <w:t>采购代理机构： 广西新厦工程咨询有限公司</w:t>
            </w:r>
          </w:p>
          <w:p>
            <w:pPr>
              <w:spacing w:line="370" w:lineRule="exact"/>
              <w:rPr>
                <w:rFonts w:hint="eastAsia" w:ascii="宋体" w:hAnsi="宋体"/>
                <w:color w:val="000000"/>
                <w:szCs w:val="21"/>
              </w:rPr>
            </w:pPr>
            <w:r>
              <w:rPr>
                <w:rFonts w:hint="eastAsia" w:ascii="宋体" w:hAnsi="宋体"/>
                <w:color w:val="000000"/>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11</w:t>
            </w:r>
          </w:p>
        </w:tc>
        <w:tc>
          <w:tcPr>
            <w:tcW w:w="851" w:type="dxa"/>
            <w:vAlign w:val="center"/>
          </w:tcPr>
          <w:p>
            <w:pPr>
              <w:spacing w:line="340" w:lineRule="exact"/>
              <w:jc w:val="center"/>
              <w:rPr>
                <w:rFonts w:hint="eastAsia" w:ascii="宋体" w:hAnsi="宋体"/>
                <w:color w:val="000000"/>
                <w:position w:val="-2"/>
                <w:szCs w:val="21"/>
              </w:rPr>
            </w:pPr>
            <w:r>
              <w:rPr>
                <w:rFonts w:hint="eastAsia" w:ascii="宋体" w:hAnsi="宋体"/>
                <w:color w:val="000000"/>
                <w:szCs w:val="21"/>
              </w:rPr>
              <w:t>20.1</w:t>
            </w:r>
          </w:p>
        </w:tc>
        <w:tc>
          <w:tcPr>
            <w:tcW w:w="1559" w:type="dxa"/>
            <w:vAlign w:val="center"/>
          </w:tcPr>
          <w:p>
            <w:pPr>
              <w:spacing w:line="320" w:lineRule="exact"/>
              <w:jc w:val="center"/>
              <w:rPr>
                <w:rFonts w:hint="eastAsia" w:ascii="宋体" w:hAnsi="宋体"/>
                <w:color w:val="000000"/>
                <w:position w:val="-2"/>
                <w:szCs w:val="21"/>
              </w:rPr>
            </w:pPr>
            <w:r>
              <w:rPr>
                <w:rFonts w:hint="eastAsia" w:ascii="宋体" w:hAnsi="宋体"/>
                <w:color w:val="000000"/>
                <w:szCs w:val="21"/>
              </w:rPr>
              <w:t>投标文件递交</w:t>
            </w:r>
          </w:p>
        </w:tc>
        <w:tc>
          <w:tcPr>
            <w:tcW w:w="6521" w:type="dxa"/>
            <w:vAlign w:val="center"/>
          </w:tcPr>
          <w:p>
            <w:pPr>
              <w:tabs>
                <w:tab w:val="left" w:pos="7200"/>
              </w:tabs>
              <w:spacing w:line="340" w:lineRule="exact"/>
              <w:rPr>
                <w:rFonts w:hint="eastAsia" w:ascii="宋体" w:hAnsi="宋体" w:cs="宋体"/>
                <w:color w:val="000000"/>
                <w:szCs w:val="21"/>
              </w:rPr>
            </w:pPr>
            <w:r>
              <w:rPr>
                <w:rFonts w:hint="eastAsia" w:ascii="宋体" w:hAnsi="宋体" w:cs="宋体"/>
                <w:color w:val="000000"/>
                <w:szCs w:val="21"/>
              </w:rPr>
              <w:t>投标截止时间：2020年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日9时00分。</w:t>
            </w:r>
          </w:p>
          <w:p>
            <w:pPr>
              <w:spacing w:line="370" w:lineRule="exact"/>
              <w:rPr>
                <w:rFonts w:hint="eastAsia" w:ascii="宋体" w:hAnsi="宋体" w:cs="宋体"/>
                <w:color w:val="000000"/>
              </w:rPr>
            </w:pPr>
            <w:r>
              <w:rPr>
                <w:rFonts w:hint="eastAsia" w:ascii="宋体" w:hAnsi="宋体" w:cs="宋体"/>
                <w:color w:val="000000"/>
                <w:szCs w:val="21"/>
              </w:rPr>
              <w:t>投标人应于2020年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8时30分至9时00分止，携带授权委托书（以上材料均须加盖投标人公章，不须密封，单独提交），将投标文件密封提交至荔浦市公共资源交易中心第1开标室（荔浦市荔城镇荔柳路86-96号3楼），未携带以上相关材料递交的或逾期送达的或未招标文件要求密封的投标文件将予以拒收</w:t>
            </w:r>
            <w:r>
              <w:rPr>
                <w:rFonts w:hint="eastAsia" w:ascii="宋体" w:hAnsi="宋体" w:cs="宋体"/>
                <w:color w:val="000000"/>
              </w:rPr>
              <w:t>。</w:t>
            </w:r>
          </w:p>
          <w:p>
            <w:pPr>
              <w:spacing w:line="300" w:lineRule="exact"/>
              <w:rPr>
                <w:rFonts w:hint="eastAsia" w:ascii="宋体" w:hAnsi="宋体" w:cs="宋体"/>
                <w:color w:val="000000"/>
              </w:rPr>
            </w:pPr>
            <w:r>
              <w:rPr>
                <w:rFonts w:hint="eastAsia" w:ascii="宋体" w:hAnsi="宋体" w:cs="宋体"/>
                <w:color w:val="000000"/>
              </w:rPr>
              <w:t>投标文件递交起止时间：</w:t>
            </w:r>
            <w:r>
              <w:rPr>
                <w:rFonts w:hint="eastAsia" w:ascii="宋体" w:hAnsi="宋体" w:cs="宋体"/>
                <w:color w:val="000000"/>
                <w:szCs w:val="21"/>
              </w:rPr>
              <w:t>2020年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日8时30分至9时00分止</w:t>
            </w:r>
            <w:r>
              <w:rPr>
                <w:rFonts w:hint="eastAsia" w:ascii="宋体" w:hAnsi="宋体" w:cs="宋体"/>
                <w:color w:val="000000"/>
              </w:rPr>
              <w:t>。</w:t>
            </w:r>
          </w:p>
          <w:p>
            <w:pPr>
              <w:spacing w:line="300" w:lineRule="exact"/>
              <w:rPr>
                <w:rFonts w:hint="eastAsia" w:ascii="宋体" w:hAnsi="宋体" w:cs="宋体"/>
                <w:color w:val="000000"/>
                <w:szCs w:val="21"/>
              </w:rPr>
            </w:pPr>
            <w:r>
              <w:rPr>
                <w:rFonts w:hint="eastAsia" w:ascii="宋体" w:hAnsi="宋体" w:cs="宋体"/>
                <w:color w:val="000000"/>
                <w:szCs w:val="21"/>
              </w:rPr>
              <w:t>投标人在递交投标文件时，同时递交投标文件电子版。</w:t>
            </w:r>
          </w:p>
          <w:p>
            <w:pPr>
              <w:spacing w:line="300" w:lineRule="exact"/>
              <w:rPr>
                <w:rFonts w:hint="eastAsia" w:ascii="宋体" w:hAnsi="宋体" w:cs="宋体"/>
                <w:b/>
                <w:bCs/>
                <w:color w:val="000000"/>
                <w:szCs w:val="21"/>
              </w:rPr>
            </w:pPr>
            <w:r>
              <w:rPr>
                <w:rFonts w:hint="eastAsia" w:ascii="宋体" w:hAnsi="宋体" w:cs="宋体"/>
                <w:color w:val="000000"/>
                <w:szCs w:val="21"/>
              </w:rPr>
              <w:t>（1）投标文件电子版内容：</w:t>
            </w:r>
            <w:r>
              <w:rPr>
                <w:rFonts w:hint="eastAsia" w:ascii="宋体" w:hAnsi="宋体"/>
                <w:color w:val="000000"/>
                <w:szCs w:val="21"/>
              </w:rPr>
              <w:t>投标函、投标报价表（包括产品的名称、规格型号、数量、单价），技术规格偏离表，售后服务承诺书</w:t>
            </w:r>
            <w:r>
              <w:rPr>
                <w:rFonts w:hint="eastAsia" w:ascii="宋体" w:hAnsi="宋体" w:cs="宋体"/>
                <w:color w:val="000000"/>
                <w:szCs w:val="21"/>
              </w:rPr>
              <w:t>；</w:t>
            </w:r>
          </w:p>
          <w:p>
            <w:pPr>
              <w:spacing w:line="300" w:lineRule="exact"/>
              <w:rPr>
                <w:rFonts w:hint="eastAsia" w:ascii="宋体" w:hAnsi="宋体" w:cs="宋体"/>
                <w:color w:val="000000"/>
                <w:szCs w:val="21"/>
              </w:rPr>
            </w:pPr>
            <w:r>
              <w:rPr>
                <w:rFonts w:hint="eastAsia" w:ascii="宋体" w:hAnsi="宋体" w:cs="宋体"/>
                <w:color w:val="000000"/>
                <w:szCs w:val="21"/>
              </w:rPr>
              <w:t>（2）投标文件电子版份数：1份；</w:t>
            </w:r>
          </w:p>
          <w:p>
            <w:pPr>
              <w:spacing w:line="300" w:lineRule="exact"/>
              <w:rPr>
                <w:rFonts w:hint="eastAsia" w:ascii="宋体" w:hAnsi="宋体" w:cs="宋体"/>
                <w:color w:val="000000"/>
                <w:szCs w:val="21"/>
              </w:rPr>
            </w:pPr>
            <w:r>
              <w:rPr>
                <w:rFonts w:hint="eastAsia" w:ascii="宋体" w:hAnsi="宋体" w:cs="宋体"/>
                <w:color w:val="000000"/>
                <w:szCs w:val="21"/>
              </w:rPr>
              <w:t>（3）投标文件电子版形式：可编辑的word文档格式及PDF格式各一份；</w:t>
            </w:r>
          </w:p>
          <w:p>
            <w:pPr>
              <w:tabs>
                <w:tab w:val="left" w:pos="7200"/>
              </w:tabs>
              <w:spacing w:line="340" w:lineRule="exact"/>
              <w:rPr>
                <w:rFonts w:hint="eastAsia" w:ascii="宋体" w:hAnsi="宋体"/>
                <w:color w:val="000000"/>
                <w:szCs w:val="21"/>
              </w:rPr>
            </w:pPr>
            <w:r>
              <w:rPr>
                <w:rFonts w:hint="eastAsia" w:ascii="宋体" w:hAnsi="宋体" w:cs="宋体"/>
                <w:color w:val="000000"/>
                <w:szCs w:val="21"/>
              </w:rPr>
              <w:t>（4）投标文件电子版密封方式：投标文件电子版U盘与纸质版投标文件一并装入投标文件袋中。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12</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21.1</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开标时间及地点</w:t>
            </w:r>
          </w:p>
        </w:tc>
        <w:tc>
          <w:tcPr>
            <w:tcW w:w="6521" w:type="dxa"/>
          </w:tcPr>
          <w:p>
            <w:pPr>
              <w:spacing w:line="370" w:lineRule="exact"/>
              <w:rPr>
                <w:rFonts w:hint="eastAsia" w:ascii="宋体" w:hAnsi="宋体" w:cs="宋体"/>
                <w:color w:val="000000"/>
                <w:szCs w:val="21"/>
                <w:u w:val="single"/>
              </w:rPr>
            </w:pPr>
            <w:r>
              <w:rPr>
                <w:rFonts w:hint="eastAsia" w:ascii="宋体" w:hAnsi="宋体" w:cs="宋体"/>
                <w:color w:val="000000"/>
                <w:szCs w:val="21"/>
              </w:rPr>
              <w:t>开标时间：</w:t>
            </w:r>
            <w:r>
              <w:rPr>
                <w:rFonts w:hint="eastAsia" w:ascii="宋体" w:hAnsi="宋体" w:cs="宋体"/>
                <w:color w:val="000000"/>
                <w:szCs w:val="21"/>
                <w:u w:val="single"/>
              </w:rPr>
              <w:t>2020年</w:t>
            </w:r>
            <w:r>
              <w:rPr>
                <w:rFonts w:hint="eastAsia" w:ascii="宋体" w:hAnsi="宋体" w:cs="宋体"/>
                <w:color w:val="000000"/>
                <w:szCs w:val="21"/>
                <w:u w:val="single"/>
                <w:lang w:val="en-US" w:eastAsia="zh-CN"/>
              </w:rPr>
              <w:t>10</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15</w:t>
            </w:r>
            <w:r>
              <w:rPr>
                <w:rFonts w:hint="eastAsia" w:ascii="宋体" w:hAnsi="宋体" w:cs="宋体"/>
                <w:color w:val="000000"/>
                <w:szCs w:val="21"/>
                <w:u w:val="single"/>
              </w:rPr>
              <w:t>日9时00分；</w:t>
            </w:r>
          </w:p>
          <w:p>
            <w:pPr>
              <w:spacing w:line="370" w:lineRule="exact"/>
              <w:rPr>
                <w:rFonts w:hint="eastAsia" w:ascii="宋体" w:hAnsi="宋体"/>
                <w:color w:val="000000"/>
                <w:szCs w:val="21"/>
              </w:rPr>
            </w:pPr>
            <w:r>
              <w:rPr>
                <w:rFonts w:hint="eastAsia" w:ascii="宋体" w:hAnsi="宋体" w:cs="宋体"/>
                <w:color w:val="000000"/>
                <w:szCs w:val="21"/>
              </w:rPr>
              <w:t>开标地点：荔浦市公共资源交易中心第1开标室（荔浦市荔城镇荔柳路86-96号3楼）开标。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13</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24</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评标委员会组成</w:t>
            </w:r>
          </w:p>
        </w:tc>
        <w:tc>
          <w:tcPr>
            <w:tcW w:w="6521" w:type="dxa"/>
            <w:vAlign w:val="center"/>
          </w:tcPr>
          <w:p>
            <w:pPr>
              <w:spacing w:line="370" w:lineRule="exact"/>
              <w:rPr>
                <w:rFonts w:hint="eastAsia" w:ascii="宋体" w:hAnsi="宋体"/>
                <w:color w:val="000000"/>
                <w:szCs w:val="21"/>
              </w:rPr>
            </w:pPr>
            <w:r>
              <w:rPr>
                <w:rFonts w:ascii="宋体" w:hAnsi="宋体"/>
                <w:color w:val="000000"/>
                <w:szCs w:val="21"/>
              </w:rPr>
              <w:t>评标委员会由采购人代表和评审专家组成，成员人数</w:t>
            </w:r>
            <w:r>
              <w:rPr>
                <w:rFonts w:hint="eastAsia" w:ascii="宋体" w:hAnsi="宋体"/>
                <w:color w:val="000000"/>
                <w:szCs w:val="21"/>
              </w:rPr>
              <w:t>共5人</w:t>
            </w: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14</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25.1</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评标办法</w:t>
            </w:r>
          </w:p>
        </w:tc>
        <w:tc>
          <w:tcPr>
            <w:tcW w:w="6521" w:type="dxa"/>
            <w:vAlign w:val="center"/>
          </w:tcPr>
          <w:p>
            <w:pPr>
              <w:spacing w:line="370" w:lineRule="exact"/>
              <w:rPr>
                <w:rFonts w:hint="eastAsia" w:ascii="宋体" w:hAnsi="宋体"/>
                <w:color w:val="000000"/>
                <w:szCs w:val="21"/>
              </w:rPr>
            </w:pPr>
            <w:r>
              <w:rPr>
                <w:rFonts w:hint="eastAsia" w:hAnsi="宋体" w:cs="Arial"/>
                <w:color w:val="000000"/>
                <w:kern w:val="0"/>
                <w:szCs w:val="21"/>
              </w:rPr>
              <w:t>综合评分法</w:t>
            </w:r>
            <w:r>
              <w:rPr>
                <w:rFonts w:hint="eastAsia" w:ascii="宋体" w:hAnsi="宋体"/>
                <w:color w:val="000000"/>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15</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32</w:t>
            </w:r>
          </w:p>
        </w:tc>
        <w:tc>
          <w:tcPr>
            <w:tcW w:w="1559" w:type="dxa"/>
            <w:vAlign w:val="center"/>
          </w:tcPr>
          <w:p>
            <w:pPr>
              <w:tabs>
                <w:tab w:val="left" w:pos="1140"/>
              </w:tabs>
              <w:spacing w:line="306" w:lineRule="exact"/>
              <w:jc w:val="center"/>
              <w:rPr>
                <w:rFonts w:hint="eastAsia" w:ascii="宋体" w:hAnsi="宋体"/>
                <w:color w:val="000000"/>
                <w:szCs w:val="21"/>
              </w:rPr>
            </w:pPr>
            <w:r>
              <w:rPr>
                <w:rFonts w:hint="eastAsia" w:ascii="宋体" w:hAnsi="宋体"/>
                <w:color w:val="000000"/>
                <w:szCs w:val="21"/>
              </w:rPr>
              <w:t>信用查询</w:t>
            </w:r>
          </w:p>
        </w:tc>
        <w:tc>
          <w:tcPr>
            <w:tcW w:w="6521" w:type="dxa"/>
            <w:vAlign w:val="center"/>
          </w:tcPr>
          <w:p>
            <w:pPr>
              <w:autoSpaceDE w:val="0"/>
              <w:autoSpaceDN w:val="0"/>
              <w:snapToGrid w:val="0"/>
              <w:spacing w:line="370" w:lineRule="exact"/>
              <w:jc w:val="left"/>
              <w:textAlignment w:val="bottom"/>
              <w:rPr>
                <w:rFonts w:ascii="宋体" w:hAnsi="宋体"/>
                <w:color w:val="000000"/>
              </w:rPr>
            </w:pPr>
            <w:r>
              <w:rPr>
                <w:rFonts w:hint="eastAsia" w:ascii="宋体" w:hAnsi="宋体"/>
                <w:color w:val="000000"/>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70" w:lineRule="exact"/>
              <w:jc w:val="left"/>
              <w:textAlignment w:val="bottom"/>
              <w:rPr>
                <w:rFonts w:ascii="宋体" w:hAnsi="宋体"/>
                <w:color w:val="000000"/>
              </w:rPr>
            </w:pPr>
            <w:r>
              <w:rPr>
                <w:rFonts w:hint="eastAsia" w:ascii="宋体" w:hAnsi="宋体"/>
                <w:color w:val="000000"/>
              </w:rPr>
              <w:t>⑴查询渠道：“信用中国”网站（www.creditchina.gov.cn）、中国政府采购网（www.ccgp.gov.cn）等；</w:t>
            </w:r>
          </w:p>
          <w:p>
            <w:pPr>
              <w:autoSpaceDE w:val="0"/>
              <w:autoSpaceDN w:val="0"/>
              <w:snapToGrid w:val="0"/>
              <w:spacing w:line="370" w:lineRule="exact"/>
              <w:jc w:val="left"/>
              <w:textAlignment w:val="bottom"/>
              <w:rPr>
                <w:rFonts w:ascii="宋体" w:hAnsi="宋体"/>
                <w:color w:val="000000"/>
              </w:rPr>
            </w:pPr>
            <w:r>
              <w:rPr>
                <w:rFonts w:hint="eastAsia" w:ascii="宋体" w:hAnsi="宋体"/>
                <w:color w:val="000000"/>
              </w:rPr>
              <w:t>⑵查询截止时间：中标通知书发出前；</w:t>
            </w:r>
          </w:p>
          <w:p>
            <w:pPr>
              <w:autoSpaceDE w:val="0"/>
              <w:autoSpaceDN w:val="0"/>
              <w:snapToGrid w:val="0"/>
              <w:spacing w:line="370" w:lineRule="exact"/>
              <w:jc w:val="left"/>
              <w:textAlignment w:val="bottom"/>
              <w:rPr>
                <w:rFonts w:ascii="宋体" w:hAnsi="宋体"/>
                <w:color w:val="000000"/>
              </w:rPr>
            </w:pPr>
            <w:r>
              <w:rPr>
                <w:rFonts w:hint="eastAsia" w:ascii="宋体" w:hAnsi="宋体"/>
                <w:color w:val="000000"/>
              </w:rPr>
              <w:t>⑶信用信息查询记录和证据留存方式：在查询网站中直接打印查询记录，打印材料作为采购活动资料保存；</w:t>
            </w:r>
          </w:p>
          <w:p>
            <w:pPr>
              <w:pStyle w:val="99"/>
              <w:spacing w:line="370" w:lineRule="exact"/>
              <w:jc w:val="left"/>
              <w:rPr>
                <w:rFonts w:hint="eastAsia" w:hAnsi="宋体"/>
                <w:color w:val="000000"/>
              </w:rPr>
            </w:pPr>
            <w:r>
              <w:rPr>
                <w:rFonts w:hint="eastAsia" w:hAnsi="宋体"/>
                <w:color w:val="000000"/>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16</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33</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中标公告及中标通知书</w:t>
            </w:r>
          </w:p>
        </w:tc>
        <w:tc>
          <w:tcPr>
            <w:tcW w:w="6521" w:type="dxa"/>
            <w:vAlign w:val="center"/>
          </w:tcPr>
          <w:p>
            <w:pPr>
              <w:pStyle w:val="20"/>
              <w:tabs>
                <w:tab w:val="left" w:pos="455"/>
              </w:tabs>
              <w:spacing w:line="380" w:lineRule="exact"/>
              <w:jc w:val="left"/>
              <w:rPr>
                <w:rFonts w:hint="eastAsia" w:hAnsi="宋体"/>
                <w:color w:val="000000"/>
              </w:rPr>
            </w:pPr>
            <w:r>
              <w:rPr>
                <w:rFonts w:hint="eastAsia" w:hAnsi="宋体"/>
                <w:color w:val="000000"/>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hAnsi="宋体"/>
                <w:color w:val="000000"/>
                <w:szCs w:val="21"/>
              </w:rPr>
              <w:t>中标公告期限为1个工作日</w:t>
            </w:r>
            <w:r>
              <w:rPr>
                <w:rFonts w:hint="eastAsia" w:hAnsi="宋体"/>
                <w:color w:val="000000"/>
                <w:szCs w:val="21"/>
              </w:rPr>
              <w:t>。</w:t>
            </w:r>
          </w:p>
          <w:p>
            <w:pPr>
              <w:spacing w:line="340" w:lineRule="exact"/>
              <w:jc w:val="left"/>
              <w:rPr>
                <w:rFonts w:hint="eastAsia" w:ascii="宋体" w:hAnsi="宋体"/>
                <w:color w:val="000000"/>
                <w:szCs w:val="21"/>
              </w:rPr>
            </w:pPr>
            <w:r>
              <w:rPr>
                <w:rFonts w:hint="eastAsia" w:ascii="宋体" w:hAnsi="宋体"/>
                <w:color w:val="000000"/>
                <w:szCs w:val="21"/>
              </w:rPr>
              <w:t>32.2</w:t>
            </w:r>
            <w:r>
              <w:rPr>
                <w:rFonts w:ascii="宋体" w:hAnsi="宋体"/>
                <w:color w:val="000000"/>
                <w:szCs w:val="21"/>
              </w:rPr>
              <w:t>中标公告</w:t>
            </w:r>
            <w:r>
              <w:rPr>
                <w:rFonts w:hint="eastAsia" w:ascii="宋体" w:hAnsi="宋体"/>
                <w:color w:val="000000"/>
                <w:szCs w:val="21"/>
              </w:rPr>
              <w:t>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17</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34.1</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履约保证金</w:t>
            </w:r>
          </w:p>
        </w:tc>
        <w:tc>
          <w:tcPr>
            <w:tcW w:w="6521" w:type="dxa"/>
            <w:vAlign w:val="center"/>
          </w:tcPr>
          <w:p>
            <w:pPr>
              <w:spacing w:line="340" w:lineRule="exact"/>
              <w:rPr>
                <w:rFonts w:hint="eastAsia" w:ascii="宋体" w:hAnsi="宋体" w:eastAsia="宋体"/>
                <w:color w:val="000000"/>
                <w:szCs w:val="21"/>
                <w:lang w:val="en-US" w:eastAsia="zh-CN"/>
              </w:rPr>
            </w:pPr>
            <w:r>
              <w:rPr>
                <w:rFonts w:hint="eastAsia" w:ascii="宋体" w:hAnsi="宋体"/>
                <w:color w:val="000000"/>
                <w:szCs w:val="21"/>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18</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35.1</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签订合同时间</w:t>
            </w:r>
          </w:p>
        </w:tc>
        <w:tc>
          <w:tcPr>
            <w:tcW w:w="6521" w:type="dxa"/>
            <w:vAlign w:val="center"/>
          </w:tcPr>
          <w:p>
            <w:pPr>
              <w:spacing w:line="340" w:lineRule="exact"/>
              <w:rPr>
                <w:rFonts w:hint="eastAsia" w:ascii="宋体" w:hAnsi="宋体"/>
                <w:color w:val="000000"/>
                <w:szCs w:val="21"/>
              </w:rPr>
            </w:pPr>
            <w:r>
              <w:rPr>
                <w:rFonts w:hint="eastAsia" w:ascii="宋体" w:hAnsi="宋体"/>
                <w:color w:val="000000"/>
                <w:szCs w:val="21"/>
              </w:rPr>
              <w:t>中标通知书发出之日起25日内。中标供应商领取中标通知书后，应按规定与采购人签订合同。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09" w:type="dxa"/>
            <w:vAlign w:val="center"/>
          </w:tcPr>
          <w:p>
            <w:pPr>
              <w:spacing w:line="340" w:lineRule="exact"/>
              <w:jc w:val="center"/>
              <w:rPr>
                <w:rFonts w:ascii="宋体" w:hAnsi="宋体"/>
                <w:color w:val="000000"/>
                <w:szCs w:val="21"/>
              </w:rPr>
            </w:pPr>
            <w:r>
              <w:rPr>
                <w:rFonts w:hint="eastAsia" w:ascii="宋体" w:hAnsi="宋体"/>
                <w:color w:val="000000"/>
                <w:szCs w:val="21"/>
              </w:rPr>
              <w:t>19</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35.3</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合同备案存档</w:t>
            </w:r>
          </w:p>
        </w:tc>
        <w:tc>
          <w:tcPr>
            <w:tcW w:w="6521" w:type="dxa"/>
            <w:vAlign w:val="center"/>
          </w:tcPr>
          <w:p>
            <w:pPr>
              <w:spacing w:line="340" w:lineRule="exact"/>
              <w:rPr>
                <w:rFonts w:hint="eastAsia" w:ascii="宋体" w:hAnsi="宋体"/>
                <w:color w:val="000000"/>
                <w:szCs w:val="21"/>
              </w:rPr>
            </w:pPr>
            <w:r>
              <w:rPr>
                <w:rFonts w:hint="eastAsia" w:ascii="宋体" w:hAnsi="宋体"/>
                <w:color w:val="000000"/>
              </w:rPr>
              <w:t>政府采购合同双方自签订之日起1个工作日内将合同原件两份交采购代理机构。采购代理机构将政府采购合同在省级以上人民政府财政部门指定媒体上公告并于合同签订之日起7个工作日内将一份合同原件送阳朔县政府采购管理办公室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20</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36</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招标代理服务费</w:t>
            </w:r>
          </w:p>
        </w:tc>
        <w:tc>
          <w:tcPr>
            <w:tcW w:w="6521" w:type="dxa"/>
            <w:vAlign w:val="center"/>
          </w:tcPr>
          <w:p>
            <w:pPr>
              <w:spacing w:line="340" w:lineRule="exact"/>
              <w:rPr>
                <w:rFonts w:ascii="宋体" w:hAnsi="宋体"/>
                <w:color w:val="000000"/>
                <w:szCs w:val="21"/>
              </w:rPr>
            </w:pPr>
            <w:r>
              <w:rPr>
                <w:rFonts w:hint="eastAsia" w:ascii="宋体" w:hAnsi="宋体"/>
                <w:color w:val="000000"/>
                <w:szCs w:val="21"/>
              </w:rPr>
              <w:t>本项目招标代理服务收费标准参照</w:t>
            </w:r>
            <w:r>
              <w:rPr>
                <w:rFonts w:hint="eastAsia" w:ascii="宋体" w:hAnsi="宋体" w:cs="宋体"/>
                <w:color w:val="000000"/>
                <w:szCs w:val="21"/>
              </w:rPr>
              <w:t>发改价格[2011]534号文</w:t>
            </w:r>
            <w:r>
              <w:rPr>
                <w:rFonts w:hint="eastAsia" w:ascii="宋体" w:hAnsi="宋体"/>
                <w:color w:val="000000"/>
                <w:szCs w:val="21"/>
              </w:rPr>
              <w:t>收费标准向中标供应商收取。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21</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39</w:t>
            </w:r>
          </w:p>
        </w:tc>
        <w:tc>
          <w:tcPr>
            <w:tcW w:w="1559" w:type="dxa"/>
            <w:vAlign w:val="center"/>
          </w:tcPr>
          <w:p>
            <w:pPr>
              <w:spacing w:line="340" w:lineRule="exact"/>
              <w:jc w:val="center"/>
              <w:rPr>
                <w:rFonts w:ascii="宋体" w:hAnsi="宋体"/>
                <w:color w:val="000000"/>
                <w:szCs w:val="21"/>
              </w:rPr>
            </w:pPr>
            <w:r>
              <w:rPr>
                <w:rFonts w:hint="eastAsia" w:ascii="宋体" w:hAnsi="宋体" w:cs="Courier New"/>
                <w:color w:val="000000"/>
                <w:szCs w:val="21"/>
              </w:rPr>
              <w:t>投标文件电子版</w:t>
            </w:r>
          </w:p>
        </w:tc>
        <w:tc>
          <w:tcPr>
            <w:tcW w:w="6521" w:type="dxa"/>
            <w:vAlign w:val="center"/>
          </w:tcPr>
          <w:p>
            <w:pPr>
              <w:spacing w:line="340" w:lineRule="exact"/>
              <w:rPr>
                <w:rFonts w:ascii="宋体" w:hAnsi="宋体"/>
                <w:color w:val="000000"/>
                <w:szCs w:val="21"/>
              </w:rPr>
            </w:pPr>
            <w:r>
              <w:rPr>
                <w:rFonts w:hint="eastAsia" w:ascii="宋体" w:hAnsi="宋体"/>
                <w:color w:val="000000"/>
                <w:szCs w:val="21"/>
              </w:rPr>
              <w:t>投标人在递交投标文件时，同时递交投标文件电子版。</w:t>
            </w:r>
          </w:p>
          <w:p>
            <w:pPr>
              <w:spacing w:line="340" w:lineRule="exact"/>
              <w:rPr>
                <w:rFonts w:ascii="宋体" w:hAnsi="宋体"/>
                <w:color w:val="000000"/>
                <w:szCs w:val="21"/>
              </w:rPr>
            </w:pPr>
            <w:r>
              <w:rPr>
                <w:rFonts w:hint="eastAsia" w:ascii="宋体" w:hAnsi="宋体"/>
                <w:color w:val="000000"/>
                <w:szCs w:val="21"/>
              </w:rPr>
              <w:t>（1）投标文件电子版内容：投标函、投标报价表（包括产品的名称、规格型号、数量、单价），技术规格偏离表，售后服务承诺书。</w:t>
            </w:r>
          </w:p>
          <w:p>
            <w:pPr>
              <w:spacing w:line="340" w:lineRule="exact"/>
              <w:rPr>
                <w:rFonts w:ascii="宋体" w:hAnsi="宋体"/>
                <w:color w:val="000000"/>
                <w:szCs w:val="21"/>
              </w:rPr>
            </w:pPr>
            <w:r>
              <w:rPr>
                <w:rFonts w:hint="eastAsia" w:ascii="宋体" w:hAnsi="宋体"/>
                <w:color w:val="000000"/>
                <w:szCs w:val="21"/>
              </w:rPr>
              <w:t>（2）投标文件电子版份数：1份。</w:t>
            </w:r>
          </w:p>
          <w:p>
            <w:pPr>
              <w:spacing w:line="340" w:lineRule="exact"/>
              <w:rPr>
                <w:rFonts w:ascii="宋体" w:hAnsi="宋体"/>
                <w:color w:val="000000"/>
                <w:szCs w:val="21"/>
              </w:rPr>
            </w:pPr>
            <w:r>
              <w:rPr>
                <w:rFonts w:hint="eastAsia" w:ascii="宋体" w:hAnsi="宋体"/>
                <w:color w:val="000000"/>
                <w:szCs w:val="21"/>
              </w:rPr>
              <w:t>（3）投标文件电子版形式：可编辑的word文档格式。</w:t>
            </w:r>
          </w:p>
          <w:p>
            <w:pPr>
              <w:spacing w:line="340" w:lineRule="exact"/>
              <w:rPr>
                <w:rFonts w:ascii="宋体" w:hAnsi="宋体"/>
                <w:color w:val="000000"/>
                <w:szCs w:val="21"/>
              </w:rPr>
            </w:pPr>
            <w:r>
              <w:rPr>
                <w:rFonts w:hint="eastAsia" w:ascii="宋体" w:hAnsi="宋体"/>
                <w:color w:val="000000"/>
                <w:szCs w:val="21"/>
              </w:rPr>
              <w:t>（4）投标文件电子版密封方式：投标文件电子版U盘与纸质版投标文件一并装入投标文件袋中。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22</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40</w:t>
            </w:r>
          </w:p>
        </w:tc>
        <w:tc>
          <w:tcPr>
            <w:tcW w:w="1559" w:type="dxa"/>
            <w:vAlign w:val="center"/>
          </w:tcPr>
          <w:p>
            <w:pPr>
              <w:spacing w:line="320" w:lineRule="exact"/>
              <w:jc w:val="center"/>
              <w:rPr>
                <w:rFonts w:hint="eastAsia" w:ascii="宋体" w:hAnsi="宋体"/>
                <w:color w:val="000000"/>
                <w:szCs w:val="21"/>
              </w:rPr>
            </w:pPr>
            <w:r>
              <w:rPr>
                <w:rFonts w:hint="eastAsia" w:ascii="宋体" w:hAnsi="宋体"/>
                <w:color w:val="000000"/>
                <w:szCs w:val="21"/>
              </w:rPr>
              <w:t>解释权</w:t>
            </w:r>
          </w:p>
        </w:tc>
        <w:tc>
          <w:tcPr>
            <w:tcW w:w="6521" w:type="dxa"/>
            <w:vAlign w:val="center"/>
          </w:tcPr>
          <w:p>
            <w:pPr>
              <w:spacing w:line="340" w:lineRule="exact"/>
              <w:rPr>
                <w:rFonts w:hint="eastAsia" w:ascii="宋体" w:hAnsi="宋体"/>
                <w:color w:val="000000"/>
                <w:szCs w:val="21"/>
              </w:rPr>
            </w:pPr>
            <w:r>
              <w:rPr>
                <w:rFonts w:hint="eastAsia" w:ascii="宋体" w:hAnsi="宋体"/>
                <w:color w:val="000000"/>
              </w:rPr>
              <w:t>本招标文件是根据《中华人民共和国政府采购法》、《中华人民共和国政府采购法实施条例》及</w:t>
            </w:r>
            <w:r>
              <w:rPr>
                <w:rStyle w:val="28"/>
                <w:rFonts w:ascii="宋体" w:hAnsi="宋体" w:cs="Arial"/>
                <w:b w:val="0"/>
                <w:color w:val="000000"/>
                <w:sz w:val="22"/>
                <w:szCs w:val="22"/>
              </w:rPr>
              <w:t>财政部令第87号</w:t>
            </w:r>
            <w:r>
              <w:rPr>
                <w:rFonts w:ascii="宋体" w:hAnsi="宋体" w:cs="Arial"/>
                <w:color w:val="000000"/>
                <w:sz w:val="22"/>
                <w:szCs w:val="22"/>
              </w:rPr>
              <w:t>《政府采购货物和服务招标投标管理办法》</w:t>
            </w:r>
            <w:r>
              <w:rPr>
                <w:rFonts w:hint="eastAsia" w:ascii="宋体" w:hAnsi="宋体"/>
                <w:color w:val="000000"/>
              </w:rPr>
              <w:t>等相关规定编制，</w:t>
            </w:r>
            <w:r>
              <w:rPr>
                <w:rFonts w:hint="eastAsia" w:ascii="宋体" w:hAnsi="宋体"/>
                <w:color w:val="000000"/>
                <w:szCs w:val="21"/>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709" w:type="dxa"/>
            <w:vAlign w:val="center"/>
          </w:tcPr>
          <w:p>
            <w:pPr>
              <w:spacing w:line="340" w:lineRule="exact"/>
              <w:jc w:val="center"/>
              <w:rPr>
                <w:rFonts w:hint="eastAsia" w:ascii="宋体" w:hAnsi="宋体"/>
                <w:color w:val="000000"/>
                <w:szCs w:val="21"/>
              </w:rPr>
            </w:pPr>
            <w:r>
              <w:rPr>
                <w:rFonts w:hint="eastAsia" w:ascii="宋体" w:hAnsi="宋体"/>
                <w:color w:val="000000"/>
                <w:szCs w:val="21"/>
              </w:rPr>
              <w:t>23</w:t>
            </w:r>
          </w:p>
        </w:tc>
        <w:tc>
          <w:tcPr>
            <w:tcW w:w="851" w:type="dxa"/>
            <w:vAlign w:val="center"/>
          </w:tcPr>
          <w:p>
            <w:pPr>
              <w:spacing w:line="340" w:lineRule="exact"/>
              <w:jc w:val="center"/>
              <w:rPr>
                <w:rFonts w:hint="eastAsia" w:ascii="宋体" w:hAnsi="宋体"/>
                <w:color w:val="000000"/>
                <w:szCs w:val="21"/>
              </w:rPr>
            </w:pPr>
            <w:r>
              <w:rPr>
                <w:rFonts w:hint="eastAsia" w:ascii="宋体" w:hAnsi="宋体"/>
                <w:color w:val="000000"/>
                <w:szCs w:val="21"/>
              </w:rPr>
              <w:t>41</w:t>
            </w:r>
          </w:p>
        </w:tc>
        <w:tc>
          <w:tcPr>
            <w:tcW w:w="1559" w:type="dxa"/>
            <w:vAlign w:val="center"/>
          </w:tcPr>
          <w:p>
            <w:pPr>
              <w:spacing w:line="320" w:lineRule="exact"/>
              <w:jc w:val="center"/>
              <w:rPr>
                <w:rFonts w:ascii="宋体" w:hAnsi="宋体"/>
                <w:color w:val="000000"/>
                <w:position w:val="10"/>
                <w:szCs w:val="21"/>
              </w:rPr>
            </w:pPr>
            <w:r>
              <w:rPr>
                <w:rFonts w:hint="eastAsia" w:ascii="宋体" w:hAnsi="宋体"/>
                <w:color w:val="000000"/>
                <w:szCs w:val="21"/>
              </w:rPr>
              <w:t>监督管理机构</w:t>
            </w:r>
          </w:p>
        </w:tc>
        <w:tc>
          <w:tcPr>
            <w:tcW w:w="6521" w:type="dxa"/>
            <w:vAlign w:val="center"/>
          </w:tcPr>
          <w:p>
            <w:pPr>
              <w:spacing w:line="340" w:lineRule="exact"/>
              <w:rPr>
                <w:rFonts w:hint="eastAsia" w:ascii="宋体" w:hAnsi="宋体"/>
                <w:color w:val="000000"/>
                <w:szCs w:val="21"/>
              </w:rPr>
            </w:pPr>
            <w:r>
              <w:rPr>
                <w:rFonts w:hint="eastAsia" w:ascii="宋体" w:hAnsi="宋体"/>
                <w:color w:val="000000"/>
                <w:szCs w:val="21"/>
              </w:rPr>
              <w:t>阳朔县政府采购管理办公室   联系电话：0773-8811598</w:t>
            </w:r>
          </w:p>
        </w:tc>
      </w:tr>
    </w:tbl>
    <w:p>
      <w:pPr>
        <w:spacing w:line="400" w:lineRule="exact"/>
        <w:ind w:firstLine="551" w:firstLineChars="196"/>
        <w:jc w:val="center"/>
        <w:rPr>
          <w:rFonts w:hint="eastAsia" w:ascii="宋体" w:hAnsi="宋体"/>
          <w:b/>
          <w:color w:val="000000"/>
          <w:sz w:val="28"/>
          <w:szCs w:val="28"/>
        </w:rPr>
      </w:pPr>
    </w:p>
    <w:p>
      <w:pPr>
        <w:spacing w:line="400" w:lineRule="exact"/>
        <w:ind w:firstLine="551" w:firstLineChars="196"/>
        <w:jc w:val="center"/>
        <w:rPr>
          <w:rFonts w:hint="eastAsia" w:ascii="宋体" w:hAnsi="宋体"/>
          <w:b/>
          <w:color w:val="000000"/>
          <w:sz w:val="28"/>
          <w:szCs w:val="28"/>
        </w:rPr>
      </w:pPr>
      <w:r>
        <w:rPr>
          <w:rFonts w:ascii="宋体" w:hAnsi="宋体"/>
          <w:b/>
          <w:color w:val="000000"/>
          <w:sz w:val="28"/>
          <w:szCs w:val="28"/>
        </w:rPr>
        <w:br w:type="page"/>
      </w:r>
      <w:r>
        <w:rPr>
          <w:rFonts w:hint="eastAsia" w:ascii="宋体" w:hAnsi="宋体"/>
          <w:b/>
          <w:color w:val="000000"/>
          <w:sz w:val="28"/>
          <w:szCs w:val="28"/>
        </w:rPr>
        <w:t>一、总则</w:t>
      </w:r>
    </w:p>
    <w:p>
      <w:pPr>
        <w:spacing w:line="380" w:lineRule="exact"/>
        <w:ind w:firstLine="413" w:firstLineChars="196"/>
        <w:rPr>
          <w:rFonts w:hint="eastAsia" w:ascii="宋体" w:hAnsi="宋体"/>
          <w:b/>
          <w:color w:val="000000"/>
          <w:szCs w:val="21"/>
        </w:rPr>
      </w:pPr>
      <w:r>
        <w:rPr>
          <w:rFonts w:hint="eastAsia" w:ascii="宋体" w:hAnsi="宋体"/>
          <w:b/>
          <w:color w:val="000000"/>
          <w:szCs w:val="21"/>
        </w:rPr>
        <w:t>1. 项目名称及项目编号</w:t>
      </w:r>
    </w:p>
    <w:p>
      <w:pPr>
        <w:spacing w:line="400" w:lineRule="exact"/>
        <w:ind w:firstLine="420" w:firstLineChars="200"/>
        <w:rPr>
          <w:rFonts w:hint="eastAsia" w:ascii="宋体" w:hAnsi="宋体"/>
          <w:color w:val="000000"/>
          <w:szCs w:val="21"/>
        </w:rPr>
      </w:pPr>
      <w:r>
        <w:rPr>
          <w:rFonts w:hint="eastAsia" w:ascii="宋体" w:hAnsi="宋体"/>
          <w:color w:val="000000"/>
          <w:szCs w:val="21"/>
        </w:rPr>
        <w:t>项目名称：阳朔县新政务服务中心中央空调采购</w:t>
      </w:r>
    </w:p>
    <w:p>
      <w:pPr>
        <w:spacing w:line="380" w:lineRule="exact"/>
        <w:ind w:firstLine="420" w:firstLineChars="200"/>
        <w:rPr>
          <w:rFonts w:hint="eastAsia" w:ascii="宋体" w:hAnsi="宋体"/>
          <w:color w:val="000000"/>
          <w:szCs w:val="21"/>
        </w:rPr>
      </w:pPr>
      <w:r>
        <w:rPr>
          <w:rFonts w:hint="eastAsia" w:ascii="宋体" w:hAnsi="宋体"/>
          <w:color w:val="000000"/>
          <w:szCs w:val="21"/>
        </w:rPr>
        <w:t>项目编号：GLZC2020-G1-210016-GXXS</w:t>
      </w:r>
    </w:p>
    <w:p>
      <w:pPr>
        <w:spacing w:line="380" w:lineRule="exact"/>
        <w:ind w:firstLine="413" w:firstLineChars="196"/>
        <w:rPr>
          <w:rFonts w:hint="eastAsia" w:ascii="宋体" w:hAnsi="宋体"/>
          <w:b/>
          <w:color w:val="000000"/>
          <w:szCs w:val="21"/>
        </w:rPr>
      </w:pPr>
      <w:r>
        <w:rPr>
          <w:rFonts w:hint="eastAsia" w:ascii="宋体" w:hAnsi="宋体"/>
          <w:b/>
          <w:color w:val="000000"/>
          <w:szCs w:val="21"/>
        </w:rPr>
        <w:t>2. 适应范围</w:t>
      </w:r>
    </w:p>
    <w:p>
      <w:pPr>
        <w:spacing w:line="380" w:lineRule="exact"/>
        <w:ind w:firstLine="420" w:firstLineChars="200"/>
        <w:rPr>
          <w:rFonts w:hint="eastAsia" w:ascii="宋体" w:hAnsi="宋体"/>
          <w:color w:val="000000"/>
          <w:szCs w:val="21"/>
        </w:rPr>
      </w:pPr>
      <w:r>
        <w:rPr>
          <w:rFonts w:hint="eastAsia" w:ascii="宋体" w:hAnsi="宋体"/>
          <w:color w:val="000000"/>
          <w:szCs w:val="21"/>
        </w:rPr>
        <w:t>本招标文件适用本招标采购项目的招标、投标、评标、合同履约、验收、付款等行为（法律、法规另有规定的，从其规定）。</w:t>
      </w:r>
    </w:p>
    <w:p>
      <w:pPr>
        <w:spacing w:line="380" w:lineRule="exact"/>
        <w:ind w:firstLine="435"/>
        <w:rPr>
          <w:rFonts w:hint="eastAsia" w:ascii="宋体" w:hAnsi="宋体"/>
          <w:b/>
          <w:color w:val="000000"/>
          <w:szCs w:val="21"/>
        </w:rPr>
      </w:pPr>
      <w:r>
        <w:rPr>
          <w:rFonts w:hint="eastAsia" w:ascii="宋体" w:hAnsi="宋体"/>
          <w:b/>
          <w:color w:val="000000"/>
          <w:szCs w:val="21"/>
        </w:rPr>
        <w:t>3. 定义</w:t>
      </w:r>
    </w:p>
    <w:p>
      <w:pPr>
        <w:spacing w:line="380" w:lineRule="exact"/>
        <w:ind w:firstLine="435"/>
        <w:rPr>
          <w:rFonts w:hint="eastAsia" w:ascii="宋体" w:hAnsi="宋体"/>
          <w:color w:val="000000"/>
          <w:szCs w:val="21"/>
        </w:rPr>
      </w:pPr>
      <w:r>
        <w:rPr>
          <w:rFonts w:hint="eastAsia" w:ascii="宋体" w:hAnsi="宋体"/>
          <w:color w:val="000000"/>
          <w:szCs w:val="21"/>
        </w:rPr>
        <w:t>3.1“投标人”</w:t>
      </w:r>
      <w:r>
        <w:rPr>
          <w:rFonts w:ascii="宋体" w:hAnsi="宋体" w:cs="Arial"/>
          <w:color w:val="000000"/>
          <w:sz w:val="22"/>
          <w:szCs w:val="22"/>
        </w:rPr>
        <w:t>是指响应招标、参加投标竞争的法人、其他组织或者自然人。</w:t>
      </w:r>
    </w:p>
    <w:p>
      <w:pPr>
        <w:spacing w:line="380" w:lineRule="exact"/>
        <w:ind w:firstLine="435"/>
        <w:rPr>
          <w:rFonts w:hint="eastAsia" w:ascii="宋体" w:hAnsi="宋体"/>
          <w:color w:val="000000"/>
          <w:szCs w:val="21"/>
        </w:rPr>
      </w:pPr>
      <w:r>
        <w:rPr>
          <w:rFonts w:hint="eastAsia" w:ascii="宋体" w:hAnsi="宋体"/>
          <w:color w:val="000000"/>
          <w:szCs w:val="21"/>
        </w:rPr>
        <w:t>3.2“货物”系指按招标文件规定，投标人须向采购人提供的一切设备、保险、税金、备品备件、工具、手册及其它有关技术资料和材料。</w:t>
      </w:r>
    </w:p>
    <w:p>
      <w:pPr>
        <w:spacing w:line="380" w:lineRule="exact"/>
        <w:ind w:firstLine="435"/>
        <w:rPr>
          <w:rFonts w:hint="eastAsia" w:ascii="宋体" w:hAnsi="宋体"/>
          <w:color w:val="000000"/>
          <w:szCs w:val="21"/>
        </w:rPr>
      </w:pPr>
      <w:r>
        <w:rPr>
          <w:rFonts w:hint="eastAsia" w:ascii="宋体" w:hAnsi="宋体"/>
          <w:color w:val="000000"/>
          <w:szCs w:val="21"/>
        </w:rPr>
        <w:t>3.3“服务”系指按招标文件规定，投标人须承担的安装、调试、技术协助、校准、培训、技术指导以及其他类似的义务。</w:t>
      </w:r>
    </w:p>
    <w:p>
      <w:pPr>
        <w:spacing w:line="380" w:lineRule="exact"/>
        <w:ind w:firstLine="435"/>
        <w:rPr>
          <w:rFonts w:hint="eastAsia" w:ascii="宋体" w:hAnsi="宋体"/>
          <w:color w:val="000000"/>
          <w:szCs w:val="21"/>
        </w:rPr>
      </w:pPr>
      <w:r>
        <w:rPr>
          <w:rFonts w:hint="eastAsia" w:ascii="宋体" w:hAnsi="宋体"/>
          <w:color w:val="000000"/>
          <w:szCs w:val="21"/>
        </w:rPr>
        <w:t>3.4“项目”系指投标人按招标文件规定向采购人提供的货物和服务。</w:t>
      </w:r>
    </w:p>
    <w:p>
      <w:pPr>
        <w:spacing w:line="380" w:lineRule="exact"/>
        <w:ind w:firstLine="435"/>
        <w:rPr>
          <w:rFonts w:hint="eastAsia" w:ascii="宋体" w:hAnsi="宋体"/>
          <w:color w:val="000000"/>
          <w:szCs w:val="21"/>
        </w:rPr>
      </w:pPr>
      <w:r>
        <w:rPr>
          <w:rFonts w:hint="eastAsia" w:ascii="宋体" w:hAnsi="宋体"/>
          <w:color w:val="000000"/>
          <w:szCs w:val="21"/>
        </w:rPr>
        <w:t>3.5“书面形式”包括信函、传真、电报。</w:t>
      </w:r>
    </w:p>
    <w:p>
      <w:pPr>
        <w:spacing w:line="380" w:lineRule="exact"/>
        <w:ind w:firstLine="435"/>
        <w:rPr>
          <w:rFonts w:hint="eastAsia" w:ascii="宋体" w:hAnsi="宋体"/>
          <w:b/>
          <w:color w:val="000000"/>
          <w:szCs w:val="21"/>
        </w:rPr>
      </w:pPr>
      <w:r>
        <w:rPr>
          <w:rFonts w:hint="eastAsia" w:ascii="宋体" w:hAnsi="宋体"/>
          <w:b/>
          <w:color w:val="000000"/>
          <w:szCs w:val="21"/>
        </w:rPr>
        <w:t>3.6实质性要求：标注★号项的要求为实质性要求。</w:t>
      </w:r>
    </w:p>
    <w:p>
      <w:pPr>
        <w:spacing w:line="380" w:lineRule="exact"/>
        <w:ind w:firstLine="435"/>
        <w:rPr>
          <w:rFonts w:hint="eastAsia" w:ascii="宋体" w:hAnsi="宋体"/>
          <w:b/>
          <w:color w:val="000000"/>
          <w:szCs w:val="21"/>
        </w:rPr>
      </w:pPr>
      <w:r>
        <w:rPr>
          <w:rFonts w:hint="eastAsia" w:ascii="宋体" w:hAnsi="宋体"/>
          <w:b/>
          <w:color w:val="000000"/>
          <w:szCs w:val="21"/>
        </w:rPr>
        <w:t>4. 招标方式、评分办法</w:t>
      </w:r>
    </w:p>
    <w:p>
      <w:pPr>
        <w:spacing w:line="380" w:lineRule="exact"/>
        <w:ind w:firstLine="749" w:firstLineChars="357"/>
        <w:rPr>
          <w:rFonts w:hint="eastAsia" w:ascii="宋体" w:hAnsi="宋体"/>
          <w:color w:val="000000"/>
          <w:szCs w:val="21"/>
        </w:rPr>
      </w:pPr>
      <w:r>
        <w:rPr>
          <w:rFonts w:hint="eastAsia" w:ascii="宋体" w:hAnsi="宋体"/>
          <w:color w:val="000000"/>
          <w:szCs w:val="21"/>
        </w:rPr>
        <w:t>公开招标、</w:t>
      </w:r>
      <w:r>
        <w:rPr>
          <w:rFonts w:hint="eastAsia" w:hAnsi="宋体" w:cs="Arial"/>
          <w:color w:val="000000"/>
          <w:kern w:val="0"/>
          <w:szCs w:val="21"/>
        </w:rPr>
        <w:t>综合评分法</w:t>
      </w:r>
    </w:p>
    <w:p>
      <w:pPr>
        <w:spacing w:line="380" w:lineRule="exact"/>
        <w:ind w:firstLine="435"/>
        <w:rPr>
          <w:rFonts w:ascii="宋体" w:hAnsi="宋体"/>
          <w:b/>
          <w:color w:val="000000"/>
          <w:szCs w:val="21"/>
        </w:rPr>
      </w:pPr>
      <w:r>
        <w:rPr>
          <w:rFonts w:hint="eastAsia" w:ascii="宋体" w:hAnsi="宋体"/>
          <w:b/>
          <w:color w:val="000000"/>
          <w:szCs w:val="21"/>
        </w:rPr>
        <w:t>5. 投标人资格</w:t>
      </w:r>
    </w:p>
    <w:p>
      <w:pPr>
        <w:spacing w:line="340" w:lineRule="exact"/>
        <w:ind w:firstLine="420" w:firstLineChars="200"/>
        <w:rPr>
          <w:rFonts w:hint="eastAsia" w:ascii="宋体" w:hAnsi="宋体" w:cs="Arial"/>
          <w:bCs/>
          <w:color w:val="000000"/>
          <w:szCs w:val="21"/>
        </w:rPr>
      </w:pPr>
      <w:r>
        <w:rPr>
          <w:rFonts w:hint="eastAsia" w:ascii="宋体" w:hAnsi="宋体" w:cs="Arial"/>
          <w:bCs/>
          <w:color w:val="000000"/>
          <w:szCs w:val="21"/>
        </w:rPr>
        <w:t>5.1. 符合《中华人民共和国政府采购法》第二十二条和《政府采购法实施条例》第十八条规定，具备合法资格的供应商；</w:t>
      </w:r>
    </w:p>
    <w:p>
      <w:pPr>
        <w:spacing w:line="340" w:lineRule="exact"/>
        <w:ind w:firstLine="420" w:firstLineChars="200"/>
        <w:rPr>
          <w:rFonts w:hint="eastAsia" w:ascii="宋体" w:hAnsi="宋体" w:cs="Arial"/>
          <w:bCs/>
          <w:color w:val="000000"/>
          <w:szCs w:val="21"/>
        </w:rPr>
      </w:pPr>
      <w:r>
        <w:rPr>
          <w:rFonts w:hint="eastAsia" w:ascii="宋体" w:hAnsi="宋体" w:cs="Arial"/>
          <w:bCs/>
          <w:color w:val="000000"/>
          <w:szCs w:val="21"/>
        </w:rPr>
        <w:t>5.2.落实政府采购政策需满足的资格要求：无；</w:t>
      </w:r>
    </w:p>
    <w:p>
      <w:pPr>
        <w:spacing w:line="340" w:lineRule="exact"/>
        <w:ind w:firstLine="420" w:firstLineChars="200"/>
        <w:rPr>
          <w:rFonts w:hint="eastAsia" w:ascii="宋体" w:hAnsi="宋体" w:cs="Arial"/>
          <w:bCs/>
          <w:color w:val="000000"/>
          <w:szCs w:val="21"/>
        </w:rPr>
      </w:pPr>
      <w:r>
        <w:rPr>
          <w:rFonts w:hint="eastAsia" w:ascii="宋体" w:hAnsi="宋体" w:cs="Arial"/>
          <w:bCs/>
          <w:color w:val="000000"/>
          <w:szCs w:val="21"/>
        </w:rPr>
        <w:t>5.3.本项目的特定资格要求：无；</w:t>
      </w:r>
    </w:p>
    <w:p>
      <w:pPr>
        <w:spacing w:line="340" w:lineRule="exact"/>
        <w:ind w:firstLine="420" w:firstLineChars="200"/>
        <w:rPr>
          <w:rFonts w:hint="eastAsia" w:ascii="宋体" w:hAnsi="宋体" w:cs="Arial"/>
          <w:bCs/>
          <w:color w:val="000000"/>
          <w:szCs w:val="21"/>
        </w:rPr>
      </w:pPr>
      <w:r>
        <w:rPr>
          <w:rFonts w:hint="eastAsia" w:ascii="宋体" w:hAnsi="宋体" w:cs="Arial"/>
          <w:bCs/>
          <w:color w:val="000000"/>
          <w:szCs w:val="21"/>
        </w:rPr>
        <w:t>5.4.对在“信用中国”网站（</w:t>
      </w:r>
      <w:r>
        <w:fldChar w:fldCharType="begin"/>
      </w:r>
      <w:r>
        <w:instrText xml:space="preserve"> HYPERLINK "http://www.creditchina.gov.cn" </w:instrText>
      </w:r>
      <w:r>
        <w:fldChar w:fldCharType="separate"/>
      </w:r>
      <w:r>
        <w:rPr>
          <w:rFonts w:hint="eastAsia" w:ascii="宋体" w:hAnsi="宋体" w:cs="Arial"/>
          <w:bCs/>
          <w:color w:val="000000"/>
          <w:szCs w:val="21"/>
        </w:rPr>
        <w:t>www.creditchina.gov.cn</w:t>
      </w:r>
      <w:r>
        <w:rPr>
          <w:rFonts w:hint="eastAsia" w:ascii="宋体" w:hAnsi="宋体" w:cs="Arial"/>
          <w:bCs/>
          <w:color w:val="000000"/>
          <w:szCs w:val="21"/>
        </w:rPr>
        <w:fldChar w:fldCharType="end"/>
      </w:r>
      <w:r>
        <w:rPr>
          <w:rFonts w:hint="eastAsia" w:ascii="宋体" w:hAnsi="宋体" w:cs="Arial"/>
          <w:bCs/>
          <w:color w:val="000000"/>
          <w:szCs w:val="21"/>
        </w:rPr>
        <w:t>）、中国政府采购网（</w:t>
      </w:r>
      <w:r>
        <w:fldChar w:fldCharType="begin"/>
      </w:r>
      <w:r>
        <w:instrText xml:space="preserve"> HYPERLINK "http://www.ccgp.gov.cn" </w:instrText>
      </w:r>
      <w:r>
        <w:fldChar w:fldCharType="separate"/>
      </w:r>
      <w:r>
        <w:rPr>
          <w:rFonts w:hint="eastAsia" w:ascii="宋体" w:hAnsi="宋体" w:cs="Arial"/>
          <w:bCs/>
          <w:color w:val="000000"/>
          <w:szCs w:val="21"/>
        </w:rPr>
        <w:t>www.ccgp.gov.cn</w:t>
      </w:r>
      <w:r>
        <w:rPr>
          <w:rFonts w:hint="eastAsia" w:ascii="宋体" w:hAnsi="宋体" w:cs="Arial"/>
          <w:bCs/>
          <w:color w:val="000000"/>
          <w:szCs w:val="21"/>
        </w:rPr>
        <w:fldChar w:fldCharType="end"/>
      </w:r>
      <w:r>
        <w:rPr>
          <w:rFonts w:hint="eastAsia" w:ascii="宋体" w:hAnsi="宋体" w:cs="Arial"/>
          <w:bCs/>
          <w:color w:val="000000"/>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40" w:lineRule="exact"/>
        <w:ind w:firstLine="420" w:firstLineChars="200"/>
        <w:rPr>
          <w:rFonts w:hint="eastAsia" w:ascii="宋体" w:hAnsi="宋体" w:cs="Arial"/>
          <w:bCs/>
          <w:color w:val="000000"/>
          <w:szCs w:val="21"/>
        </w:rPr>
      </w:pPr>
      <w:r>
        <w:rPr>
          <w:rFonts w:hint="eastAsia" w:ascii="宋体" w:hAnsi="宋体" w:cs="Arial"/>
          <w:bCs/>
          <w:color w:val="000000"/>
          <w:szCs w:val="21"/>
        </w:rPr>
        <w:t>5.5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40" w:lineRule="exact"/>
        <w:ind w:firstLine="422" w:firstLineChars="200"/>
        <w:rPr>
          <w:rFonts w:ascii="宋体" w:hAnsi="宋体" w:cs="Arial"/>
          <w:b/>
          <w:color w:val="000000"/>
          <w:szCs w:val="21"/>
        </w:rPr>
      </w:pPr>
      <w:r>
        <w:rPr>
          <w:rFonts w:hint="eastAsia" w:ascii="宋体" w:hAnsi="宋体" w:cs="Arial"/>
          <w:b/>
          <w:color w:val="000000"/>
          <w:szCs w:val="21"/>
        </w:rPr>
        <w:t>6. 投标费用</w:t>
      </w:r>
    </w:p>
    <w:p>
      <w:pPr>
        <w:spacing w:line="380" w:lineRule="exact"/>
        <w:ind w:firstLine="435"/>
        <w:rPr>
          <w:rFonts w:hint="eastAsia" w:ascii="宋体" w:hAnsi="宋体"/>
          <w:b/>
          <w:color w:val="000000"/>
          <w:szCs w:val="21"/>
        </w:rPr>
      </w:pPr>
      <w:r>
        <w:rPr>
          <w:rFonts w:hint="eastAsia" w:ascii="宋体" w:hAnsi="宋体"/>
          <w:color w:val="000000"/>
          <w:szCs w:val="21"/>
        </w:rPr>
        <w:t>不论投标结果如何，投标人均应自行承担所有与投标有关的全部费用。</w:t>
      </w:r>
    </w:p>
    <w:p>
      <w:pPr>
        <w:tabs>
          <w:tab w:val="left" w:pos="1635"/>
        </w:tabs>
        <w:spacing w:line="380" w:lineRule="exact"/>
        <w:ind w:firstLine="435"/>
        <w:rPr>
          <w:rFonts w:hint="eastAsia" w:ascii="宋体" w:hAnsi="宋体"/>
          <w:b/>
          <w:color w:val="000000"/>
          <w:szCs w:val="21"/>
        </w:rPr>
      </w:pPr>
      <w:r>
        <w:rPr>
          <w:rFonts w:hint="eastAsia" w:ascii="宋体" w:hAnsi="宋体"/>
          <w:b/>
          <w:color w:val="000000"/>
          <w:szCs w:val="21"/>
        </w:rPr>
        <w:t>7. 联合体投标要求</w:t>
      </w:r>
    </w:p>
    <w:p>
      <w:pPr>
        <w:tabs>
          <w:tab w:val="left" w:pos="1635"/>
        </w:tabs>
        <w:spacing w:line="380" w:lineRule="exact"/>
        <w:ind w:firstLine="435"/>
        <w:rPr>
          <w:rFonts w:hint="eastAsia" w:ascii="宋体" w:hAnsi="宋体"/>
          <w:color w:val="000000"/>
          <w:szCs w:val="21"/>
        </w:rPr>
      </w:pPr>
      <w:r>
        <w:rPr>
          <w:rFonts w:hint="eastAsia" w:ascii="宋体" w:hAnsi="宋体"/>
          <w:color w:val="000000"/>
          <w:szCs w:val="21"/>
        </w:rPr>
        <w:t>不接受联合体</w:t>
      </w:r>
    </w:p>
    <w:p>
      <w:pPr>
        <w:tabs>
          <w:tab w:val="left" w:pos="1635"/>
        </w:tabs>
        <w:spacing w:line="380" w:lineRule="exact"/>
        <w:ind w:firstLine="435"/>
        <w:rPr>
          <w:rFonts w:hint="eastAsia" w:ascii="宋体" w:hAnsi="宋体"/>
          <w:b/>
          <w:color w:val="000000"/>
          <w:szCs w:val="21"/>
        </w:rPr>
      </w:pPr>
      <w:r>
        <w:rPr>
          <w:rFonts w:hint="eastAsia" w:ascii="宋体" w:hAnsi="宋体"/>
          <w:b/>
          <w:color w:val="000000"/>
          <w:szCs w:val="21"/>
        </w:rPr>
        <w:t>8. 转包与分包</w:t>
      </w:r>
    </w:p>
    <w:p>
      <w:pPr>
        <w:tabs>
          <w:tab w:val="left" w:pos="1635"/>
        </w:tabs>
        <w:spacing w:line="380" w:lineRule="exact"/>
        <w:ind w:firstLine="435"/>
        <w:rPr>
          <w:rFonts w:hint="eastAsia" w:ascii="宋体" w:hAnsi="宋体"/>
          <w:color w:val="000000"/>
          <w:szCs w:val="21"/>
        </w:rPr>
      </w:pPr>
      <w:r>
        <w:rPr>
          <w:rFonts w:hint="eastAsia" w:ascii="宋体" w:hAnsi="宋体"/>
          <w:color w:val="000000"/>
          <w:szCs w:val="21"/>
        </w:rPr>
        <w:t>8.1本项目不允许转包。</w:t>
      </w:r>
    </w:p>
    <w:p>
      <w:pPr>
        <w:tabs>
          <w:tab w:val="left" w:pos="1635"/>
        </w:tabs>
        <w:spacing w:line="380" w:lineRule="exact"/>
        <w:ind w:firstLine="435"/>
        <w:rPr>
          <w:rFonts w:hint="eastAsia" w:ascii="宋体" w:hAnsi="宋体"/>
          <w:color w:val="000000"/>
          <w:szCs w:val="21"/>
        </w:rPr>
      </w:pPr>
      <w:r>
        <w:rPr>
          <w:rFonts w:hint="eastAsia" w:ascii="宋体" w:hAnsi="宋体"/>
          <w:color w:val="000000"/>
          <w:szCs w:val="21"/>
        </w:rPr>
        <w:t>8.2本项目不可以分包。</w:t>
      </w:r>
    </w:p>
    <w:p>
      <w:pPr>
        <w:tabs>
          <w:tab w:val="left" w:pos="1635"/>
        </w:tabs>
        <w:spacing w:line="380" w:lineRule="exact"/>
        <w:ind w:firstLine="435"/>
        <w:rPr>
          <w:rFonts w:hint="eastAsia" w:ascii="宋体" w:hAnsi="宋体"/>
          <w:b/>
          <w:color w:val="000000"/>
          <w:szCs w:val="21"/>
        </w:rPr>
      </w:pPr>
      <w:r>
        <w:rPr>
          <w:rFonts w:hint="eastAsia" w:ascii="宋体" w:hAnsi="宋体"/>
          <w:b/>
          <w:color w:val="000000"/>
          <w:szCs w:val="21"/>
        </w:rPr>
        <w:t>9. 特别说明</w:t>
      </w:r>
    </w:p>
    <w:p>
      <w:pPr>
        <w:tabs>
          <w:tab w:val="left" w:pos="1635"/>
        </w:tabs>
        <w:spacing w:line="380" w:lineRule="exact"/>
        <w:ind w:firstLine="435"/>
        <w:rPr>
          <w:rFonts w:hint="eastAsia" w:ascii="宋体" w:hAnsi="宋体"/>
          <w:color w:val="000000"/>
          <w:szCs w:val="21"/>
        </w:rPr>
      </w:pPr>
      <w:r>
        <w:rPr>
          <w:rFonts w:hint="eastAsia" w:ascii="宋体" w:hAnsi="宋体"/>
          <w:color w:val="000000"/>
          <w:szCs w:val="21"/>
        </w:rPr>
        <w:t>9.1关联供应商不得参加同一合同项下政府采购活动，否则投标文件将被视为无效：</w:t>
      </w:r>
    </w:p>
    <w:p>
      <w:pPr>
        <w:tabs>
          <w:tab w:val="left" w:pos="1635"/>
        </w:tabs>
        <w:spacing w:line="380" w:lineRule="exact"/>
        <w:ind w:firstLine="420" w:firstLineChars="200"/>
        <w:rPr>
          <w:rFonts w:hint="eastAsia" w:ascii="宋体" w:hAnsi="宋体"/>
          <w:color w:val="000000"/>
          <w:szCs w:val="21"/>
        </w:rPr>
      </w:pPr>
      <w:r>
        <w:rPr>
          <w:rFonts w:hint="eastAsia" w:ascii="宋体" w:hAnsi="宋体"/>
          <w:color w:val="000000"/>
          <w:szCs w:val="21"/>
        </w:rPr>
        <w:t>（1）单位负责人为同一人或者存在直接控股、管理关系的不同供应商，不得参加同一合同项下的政府采购活动。</w:t>
      </w:r>
    </w:p>
    <w:p>
      <w:pPr>
        <w:tabs>
          <w:tab w:val="left" w:pos="1635"/>
        </w:tabs>
        <w:spacing w:line="380" w:lineRule="exact"/>
        <w:ind w:firstLine="435"/>
        <w:rPr>
          <w:rFonts w:hint="eastAsia" w:ascii="宋体" w:hAnsi="宋体"/>
          <w:color w:val="000000"/>
          <w:szCs w:val="21"/>
        </w:rPr>
      </w:pPr>
      <w:r>
        <w:rPr>
          <w:rFonts w:hint="eastAsia" w:ascii="宋体" w:hAnsi="宋体"/>
          <w:color w:val="000000"/>
          <w:szCs w:val="21"/>
        </w:rPr>
        <w:t>（2）为本采购项目提供整体设计、规范编制或者项目管理、监理、检测等服务的供应商，不得再参加本次采购活动。</w:t>
      </w:r>
    </w:p>
    <w:p>
      <w:pPr>
        <w:tabs>
          <w:tab w:val="left" w:pos="1635"/>
        </w:tabs>
        <w:spacing w:line="380" w:lineRule="exact"/>
        <w:ind w:firstLine="435"/>
        <w:rPr>
          <w:rFonts w:hint="eastAsia" w:ascii="宋体" w:hAnsi="宋体"/>
          <w:color w:val="000000"/>
          <w:szCs w:val="21"/>
        </w:rPr>
      </w:pPr>
      <w:r>
        <w:rPr>
          <w:rFonts w:hint="eastAsia" w:ascii="宋体" w:hAnsi="宋体"/>
          <w:color w:val="000000"/>
          <w:szCs w:val="21"/>
        </w:rPr>
        <w:t>9.2投标人应仔细阅读招标文件的所有内容，按照招标文件的要求提交投标文件，并对所提供的全部资料的真实性承担法律责任。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color w:val="000000"/>
          <w:szCs w:val="21"/>
        </w:rPr>
      </w:pPr>
      <w:r>
        <w:rPr>
          <w:rFonts w:hint="eastAsia" w:ascii="宋体" w:hAnsi="宋体"/>
          <w:color w:val="000000"/>
          <w:szCs w:val="21"/>
        </w:rPr>
        <w:t>9.3投标人在投标活动中提供任何虚假材料，其投标无效，并报监管部门查处；中标后发现的，中标人须依照《中华人民共和国消费者权益保护法》赔偿采购人，且民事赔偿并不免除违法投标人的行政与刑事责任。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380" w:lineRule="exact"/>
        <w:ind w:firstLine="435"/>
        <w:rPr>
          <w:rFonts w:hint="eastAsia" w:ascii="宋体" w:hAnsi="宋体"/>
          <w:color w:val="000000"/>
          <w:szCs w:val="21"/>
        </w:rPr>
      </w:pPr>
      <w:r>
        <w:rPr>
          <w:rFonts w:hint="eastAsia" w:ascii="宋体" w:hAnsi="宋体"/>
          <w:color w:val="000000"/>
          <w:szCs w:val="21"/>
        </w:rPr>
        <w:t>9.4供应商应通过现场递交或邮寄的方式提交质疑函，供应商应在法定质疑期内一次性提出针对同一采购程序环节的质疑，重复提交的不再受理。质疑函应按财政部制定的范本编制，并按《政府采购质疑和投诉办法》的规定签字、盖章。</w:t>
      </w:r>
    </w:p>
    <w:p>
      <w:pPr>
        <w:tabs>
          <w:tab w:val="left" w:pos="2190"/>
        </w:tabs>
        <w:spacing w:line="380" w:lineRule="exact"/>
        <w:ind w:firstLine="435"/>
        <w:rPr>
          <w:rFonts w:hint="eastAsia" w:ascii="宋体" w:hAnsi="宋体"/>
          <w:color w:val="000000"/>
          <w:szCs w:val="21"/>
        </w:rPr>
      </w:pPr>
      <w:r>
        <w:rPr>
          <w:rFonts w:hint="eastAsia" w:ascii="宋体" w:hAnsi="宋体"/>
          <w:color w:val="000000"/>
          <w:szCs w:val="21"/>
        </w:rPr>
        <w:t>质疑联系部门：广西新厦工程咨询有限公司</w:t>
      </w:r>
    </w:p>
    <w:p>
      <w:pPr>
        <w:tabs>
          <w:tab w:val="left" w:pos="2190"/>
        </w:tabs>
        <w:spacing w:line="380" w:lineRule="exact"/>
        <w:ind w:firstLine="435"/>
        <w:rPr>
          <w:rFonts w:ascii="宋体" w:hAnsi="宋体"/>
          <w:color w:val="000000"/>
          <w:szCs w:val="21"/>
        </w:rPr>
      </w:pPr>
      <w:r>
        <w:rPr>
          <w:rFonts w:hint="eastAsia" w:ascii="宋体" w:hAnsi="宋体"/>
          <w:color w:val="000000"/>
          <w:szCs w:val="21"/>
        </w:rPr>
        <w:t>质疑联系人：梁玮      联系电话: 0773-8998955</w:t>
      </w:r>
    </w:p>
    <w:p>
      <w:pPr>
        <w:tabs>
          <w:tab w:val="left" w:pos="2190"/>
        </w:tabs>
        <w:spacing w:line="380" w:lineRule="exact"/>
        <w:ind w:firstLine="435"/>
        <w:rPr>
          <w:rFonts w:ascii="宋体" w:hAnsi="宋体"/>
          <w:color w:val="000000"/>
          <w:szCs w:val="21"/>
        </w:rPr>
      </w:pPr>
      <w:r>
        <w:rPr>
          <w:rFonts w:hint="eastAsia" w:ascii="宋体" w:hAnsi="宋体"/>
          <w:color w:val="000000"/>
          <w:szCs w:val="21"/>
        </w:rPr>
        <w:t xml:space="preserve">通讯地址：桂林市七星区朝阳路信息产业园创新大厦H座B区2幢4-1 </w:t>
      </w:r>
    </w:p>
    <w:p>
      <w:pPr>
        <w:tabs>
          <w:tab w:val="left" w:pos="2190"/>
        </w:tabs>
        <w:spacing w:line="380" w:lineRule="exact"/>
        <w:ind w:firstLine="413" w:firstLineChars="196"/>
        <w:rPr>
          <w:rFonts w:hint="eastAsia" w:ascii="宋体" w:hAnsi="宋体"/>
          <w:b/>
          <w:color w:val="000000"/>
          <w:szCs w:val="21"/>
        </w:rPr>
      </w:pPr>
      <w:r>
        <w:rPr>
          <w:rFonts w:hint="eastAsia" w:ascii="宋体" w:hAnsi="宋体"/>
          <w:b/>
          <w:color w:val="000000"/>
          <w:szCs w:val="21"/>
        </w:rPr>
        <w:t>10. 质疑和投诉</w:t>
      </w:r>
      <w:r>
        <w:rPr>
          <w:rFonts w:ascii="宋体" w:hAnsi="宋体"/>
          <w:b/>
          <w:color w:val="000000"/>
          <w:szCs w:val="21"/>
        </w:rPr>
        <w:tab/>
      </w:r>
    </w:p>
    <w:p>
      <w:pPr>
        <w:tabs>
          <w:tab w:val="left" w:pos="2190"/>
        </w:tabs>
        <w:spacing w:line="380" w:lineRule="exact"/>
        <w:ind w:firstLine="435"/>
        <w:rPr>
          <w:rFonts w:hint="eastAsia" w:ascii="宋体" w:hAnsi="宋体"/>
          <w:color w:val="000000"/>
          <w:szCs w:val="21"/>
        </w:rPr>
      </w:pPr>
      <w:r>
        <w:rPr>
          <w:rFonts w:hint="eastAsia" w:ascii="宋体" w:hAnsi="宋体"/>
          <w:color w:val="000000"/>
          <w:szCs w:val="21"/>
        </w:rPr>
        <w:t>10.1投标人认为招标文件使自己的合法权益受到损害的，应当在公告期满之日起7个工作日内以书面形式向采购代理机构提出质疑。投标人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tabs>
          <w:tab w:val="left" w:pos="2190"/>
        </w:tabs>
        <w:spacing w:line="380" w:lineRule="exact"/>
        <w:ind w:firstLine="435"/>
        <w:rPr>
          <w:rFonts w:hint="eastAsia" w:ascii="宋体" w:hAnsi="宋体"/>
          <w:color w:val="000000"/>
          <w:szCs w:val="21"/>
        </w:rPr>
      </w:pPr>
      <w:r>
        <w:rPr>
          <w:rFonts w:hint="eastAsia" w:ascii="宋体" w:hAnsi="宋体"/>
          <w:color w:val="000000"/>
          <w:szCs w:val="21"/>
        </w:rPr>
        <w:t>10.2投标人对采购代理机构的答复不满意或者采购代理机构未在规定的时间内作出答复的，可以在答复期满后十五个工作日内向阳朔县政府采购监督管理机构投诉。</w:t>
      </w:r>
    </w:p>
    <w:p>
      <w:pPr>
        <w:tabs>
          <w:tab w:val="left" w:pos="2190"/>
        </w:tabs>
        <w:spacing w:line="380" w:lineRule="exact"/>
        <w:ind w:firstLine="435"/>
        <w:rPr>
          <w:rFonts w:hint="eastAsia" w:ascii="宋体" w:hAnsi="宋体"/>
          <w:color w:val="000000"/>
          <w:szCs w:val="21"/>
        </w:rPr>
      </w:pPr>
      <w:r>
        <w:rPr>
          <w:rFonts w:hint="eastAsia" w:ascii="宋体" w:hAnsi="宋体"/>
          <w:color w:val="000000"/>
          <w:szCs w:val="21"/>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jc w:val="center"/>
        <w:rPr>
          <w:rFonts w:hint="eastAsia" w:ascii="宋体" w:hAnsi="宋体"/>
          <w:b/>
          <w:color w:val="000000"/>
          <w:sz w:val="28"/>
          <w:szCs w:val="28"/>
        </w:rPr>
      </w:pPr>
    </w:p>
    <w:p>
      <w:pPr>
        <w:tabs>
          <w:tab w:val="left" w:pos="2190"/>
        </w:tabs>
        <w:spacing w:line="380" w:lineRule="exact"/>
        <w:ind w:firstLine="435"/>
        <w:jc w:val="center"/>
        <w:rPr>
          <w:rFonts w:hint="eastAsia" w:ascii="宋体" w:hAnsi="宋体"/>
          <w:b/>
          <w:color w:val="000000"/>
          <w:sz w:val="28"/>
          <w:szCs w:val="28"/>
        </w:rPr>
      </w:pPr>
      <w:r>
        <w:rPr>
          <w:rFonts w:hint="eastAsia" w:ascii="宋体" w:hAnsi="宋体"/>
          <w:b/>
          <w:color w:val="000000"/>
          <w:sz w:val="28"/>
          <w:szCs w:val="28"/>
        </w:rPr>
        <w:t>二、招标文件</w:t>
      </w:r>
    </w:p>
    <w:p>
      <w:pPr>
        <w:tabs>
          <w:tab w:val="left" w:pos="2190"/>
        </w:tabs>
        <w:spacing w:line="380" w:lineRule="exact"/>
        <w:ind w:firstLine="437"/>
        <w:rPr>
          <w:rFonts w:hint="eastAsia" w:ascii="宋体" w:hAnsi="宋体"/>
          <w:b/>
          <w:color w:val="000000"/>
          <w:szCs w:val="21"/>
        </w:rPr>
      </w:pPr>
      <w:r>
        <w:rPr>
          <w:rFonts w:hint="eastAsia" w:ascii="宋体" w:hAnsi="宋体"/>
          <w:b/>
          <w:color w:val="000000"/>
          <w:szCs w:val="21"/>
        </w:rPr>
        <w:t>11. 招标文件的构成</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（1）招标公告；</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（2）总则；</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（3）货物采购需求；</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（4）评标办法；</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（5）采购合同（合同主要条款及格式）；</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（6）投标文件（格式）。</w:t>
      </w:r>
    </w:p>
    <w:p>
      <w:pPr>
        <w:tabs>
          <w:tab w:val="left" w:pos="2190"/>
        </w:tabs>
        <w:spacing w:line="380" w:lineRule="exact"/>
        <w:ind w:firstLine="437"/>
        <w:rPr>
          <w:rFonts w:hint="eastAsia" w:ascii="宋体" w:hAnsi="宋体"/>
          <w:b/>
          <w:color w:val="000000"/>
          <w:szCs w:val="21"/>
        </w:rPr>
      </w:pPr>
      <w:r>
        <w:rPr>
          <w:rFonts w:hint="eastAsia" w:ascii="宋体" w:hAnsi="宋体"/>
          <w:b/>
          <w:color w:val="000000"/>
          <w:szCs w:val="21"/>
        </w:rPr>
        <w:t>12. 招标文件的澄清与修改</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12.1投标人应认真阅读招标文件，发现其中有误或有不合理要求的，投标人必须招标公告发布之日起7个工作日内以书面形式要求采购代理机构澄清。</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12.2</w:t>
      </w:r>
      <w:r>
        <w:rPr>
          <w:rFonts w:ascii="宋体" w:hAnsi="宋体"/>
          <w:color w:val="000000"/>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w:t>
      </w:r>
      <w:r>
        <w:rPr>
          <w:rFonts w:hint="eastAsia" w:ascii="宋体" w:hAnsi="宋体"/>
          <w:color w:val="000000"/>
          <w:szCs w:val="21"/>
        </w:rPr>
        <w:t>在本招标项目招标公告发布的同一媒体上发布更正公告</w:t>
      </w:r>
      <w:r>
        <w:rPr>
          <w:rFonts w:ascii="宋体" w:hAnsi="宋体"/>
          <w:color w:val="000000"/>
          <w:szCs w:val="21"/>
        </w:rPr>
        <w:t>；不足15日的，采购代理机构应当顺延提交投标文件的截止时间。</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12.3</w:t>
      </w:r>
      <w:r>
        <w:rPr>
          <w:rFonts w:hint="eastAsia" w:ascii="宋体" w:hAnsi="宋体"/>
          <w:b/>
          <w:color w:val="000000"/>
          <w:szCs w:val="21"/>
        </w:rPr>
        <w:t>投标人购买招标文件后应实时关注相关网站了解澄清、修改等与项目有关的内容，如因投标人未及时登录相关网站了解澄清、修改等与项目有关的内容，从而导致投标无效的，由投标人自行承担责任。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hint="eastAsia" w:ascii="宋体" w:hAnsi="宋体"/>
          <w:color w:val="000000"/>
          <w:szCs w:val="21"/>
        </w:rPr>
      </w:pPr>
      <w:r>
        <w:rPr>
          <w:rFonts w:hint="eastAsia" w:ascii="宋体" w:hAnsi="宋体"/>
          <w:color w:val="000000"/>
          <w:szCs w:val="21"/>
        </w:rPr>
        <w:t>12.5招标文件的澄清、修改都应该通过采购代理机构以法定形式发布，采购人非通过本机构，不得擅自澄清、修改招标文件。</w:t>
      </w:r>
    </w:p>
    <w:p>
      <w:pPr>
        <w:tabs>
          <w:tab w:val="left" w:pos="2190"/>
        </w:tabs>
        <w:spacing w:line="380" w:lineRule="exact"/>
        <w:ind w:firstLine="435"/>
        <w:jc w:val="center"/>
        <w:rPr>
          <w:rFonts w:hint="eastAsia" w:ascii="宋体" w:hAnsi="宋体"/>
          <w:b/>
          <w:color w:val="000000"/>
          <w:sz w:val="28"/>
          <w:szCs w:val="28"/>
        </w:rPr>
      </w:pPr>
    </w:p>
    <w:p>
      <w:pPr>
        <w:tabs>
          <w:tab w:val="left" w:pos="2190"/>
        </w:tabs>
        <w:spacing w:line="380" w:lineRule="exact"/>
        <w:ind w:firstLine="435"/>
        <w:jc w:val="center"/>
        <w:rPr>
          <w:rFonts w:hint="eastAsia" w:ascii="宋体" w:hAnsi="宋体"/>
          <w:b/>
          <w:color w:val="000000"/>
          <w:sz w:val="28"/>
          <w:szCs w:val="28"/>
        </w:rPr>
      </w:pPr>
      <w:r>
        <w:rPr>
          <w:rFonts w:hint="eastAsia" w:ascii="宋体" w:hAnsi="宋体"/>
          <w:b/>
          <w:color w:val="000000"/>
          <w:sz w:val="28"/>
          <w:szCs w:val="28"/>
        </w:rPr>
        <w:t>三、投标文件的编制</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13. 投标文件的组成及要求</w:t>
      </w:r>
    </w:p>
    <w:p>
      <w:pPr>
        <w:tabs>
          <w:tab w:val="left" w:pos="2190"/>
        </w:tabs>
        <w:spacing w:line="380" w:lineRule="exact"/>
        <w:ind w:firstLine="435"/>
        <w:rPr>
          <w:rFonts w:hint="eastAsia" w:ascii="宋体" w:hAnsi="宋体"/>
          <w:b/>
          <w:color w:val="000000"/>
          <w:szCs w:val="21"/>
        </w:rPr>
      </w:pPr>
      <w:r>
        <w:rPr>
          <w:rFonts w:hint="eastAsia" w:ascii="宋体" w:hAnsi="宋体"/>
          <w:b/>
          <w:color w:val="000000"/>
          <w:szCs w:val="21"/>
        </w:rPr>
        <w:t>13.1投标文件组成【格式见第六章“投标文件（格式）”】</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13.1.1</w:t>
      </w:r>
      <w:r>
        <w:rPr>
          <w:rFonts w:hint="eastAsia" w:ascii="宋体" w:hAnsi="宋体" w:cs="Arial"/>
          <w:b/>
          <w:color w:val="000000"/>
          <w:szCs w:val="21"/>
        </w:rPr>
        <w:t>投标报价表（格式见附件）</w:t>
      </w:r>
      <w:r>
        <w:rPr>
          <w:rFonts w:hint="eastAsia" w:ascii="宋体" w:hAnsi="宋体"/>
          <w:b/>
          <w:color w:val="000000"/>
          <w:szCs w:val="21"/>
        </w:rPr>
        <w:t>（必须提供）</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13.1.2资格性响应证明材料：</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（1）投标人相应的法定代表人、负责人、自然人</w:t>
      </w:r>
      <w:r>
        <w:rPr>
          <w:rFonts w:hint="eastAsia" w:ascii="宋体" w:hAnsi="宋体"/>
          <w:color w:val="000000"/>
        </w:rPr>
        <w:t>身份证正反面</w:t>
      </w:r>
      <w:r>
        <w:rPr>
          <w:rFonts w:hint="eastAsia" w:ascii="宋体" w:hAnsi="宋体"/>
          <w:color w:val="000000"/>
          <w:szCs w:val="21"/>
        </w:rPr>
        <w:t>复印件（</w:t>
      </w:r>
      <w:r>
        <w:rPr>
          <w:rFonts w:hint="eastAsia" w:ascii="宋体" w:hAnsi="宋体"/>
          <w:b/>
          <w:color w:val="000000"/>
          <w:szCs w:val="21"/>
        </w:rPr>
        <w:t>必须提供</w:t>
      </w:r>
      <w:r>
        <w:rPr>
          <w:rFonts w:hint="eastAsia" w:ascii="宋体" w:hAnsi="宋体"/>
          <w:color w:val="000000"/>
          <w:szCs w:val="21"/>
        </w:rPr>
        <w:t>）；</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（2）投标人的授权委托书原件、委托代理人</w:t>
      </w:r>
      <w:r>
        <w:rPr>
          <w:rFonts w:hint="eastAsia" w:ascii="宋体" w:hAnsi="宋体"/>
          <w:color w:val="000000"/>
        </w:rPr>
        <w:t>身份证正反面</w:t>
      </w:r>
      <w:r>
        <w:rPr>
          <w:rFonts w:hint="eastAsia" w:ascii="宋体" w:hAnsi="宋体"/>
          <w:color w:val="000000"/>
          <w:szCs w:val="21"/>
        </w:rPr>
        <w:t>复印件</w:t>
      </w:r>
      <w:r>
        <w:rPr>
          <w:rFonts w:hint="eastAsia" w:ascii="宋体" w:hAnsi="宋体"/>
          <w:b/>
          <w:color w:val="000000"/>
          <w:szCs w:val="21"/>
        </w:rPr>
        <w:t>（委托代理时必须提供）；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（3）投标人的法人或者其他组织营业执照副本复印件</w:t>
      </w:r>
      <w:r>
        <w:rPr>
          <w:rFonts w:hint="eastAsia" w:ascii="宋体" w:hAnsi="宋体"/>
          <w:b/>
          <w:color w:val="000000"/>
          <w:szCs w:val="21"/>
        </w:rPr>
        <w:t>（必须提供，自然人除外）</w:t>
      </w:r>
      <w:r>
        <w:rPr>
          <w:rFonts w:hint="eastAsia" w:ascii="宋体" w:hAnsi="宋体"/>
          <w:color w:val="000000"/>
          <w:szCs w:val="21"/>
        </w:rPr>
        <w:t>；</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hint="eastAsia"/>
          <w:color w:val="000000"/>
        </w:rPr>
      </w:pPr>
      <w:r>
        <w:rPr>
          <w:rFonts w:hint="eastAsia" w:ascii="宋体" w:hAnsi="宋体"/>
          <w:color w:val="000000"/>
          <w:szCs w:val="21"/>
        </w:rPr>
        <w:t>(4)投标人参加政府采购活动前3年内在经营活动中没有重大违法记录及有关信用信息的书面声明</w:t>
      </w:r>
      <w:r>
        <w:rPr>
          <w:rFonts w:hint="eastAsia" w:ascii="宋体" w:hAnsi="宋体"/>
          <w:b/>
          <w:color w:val="000000"/>
          <w:szCs w:val="21"/>
        </w:rPr>
        <w:t>（必须提供）</w:t>
      </w:r>
      <w:r>
        <w:rPr>
          <w:rFonts w:hint="eastAsia" w:ascii="宋体" w:hAnsi="宋体"/>
          <w:color w:val="000000"/>
          <w:szCs w:val="21"/>
        </w:rPr>
        <w:t>；</w:t>
      </w:r>
    </w:p>
    <w:p>
      <w:pPr>
        <w:tabs>
          <w:tab w:val="left" w:pos="1305"/>
        </w:tabs>
        <w:spacing w:line="380" w:lineRule="exact"/>
        <w:ind w:firstLine="422" w:firstLineChars="200"/>
        <w:rPr>
          <w:rFonts w:hint="eastAsia" w:ascii="宋体" w:hAnsi="宋体"/>
          <w:color w:val="000000"/>
          <w:szCs w:val="21"/>
        </w:rPr>
      </w:pPr>
      <w:r>
        <w:rPr>
          <w:rFonts w:hint="eastAsia" w:ascii="宋体" w:hAnsi="宋体"/>
          <w:b/>
          <w:color w:val="000000"/>
          <w:szCs w:val="21"/>
        </w:rPr>
        <w:t>13.1.3商务、技术性响应及其他证明材料：</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（1）技术规格</w:t>
      </w:r>
      <w:r>
        <w:rPr>
          <w:rFonts w:hint="eastAsia" w:ascii="宋体" w:hAnsi="宋体"/>
          <w:color w:val="000000"/>
          <w:szCs w:val="21"/>
          <w:lang w:eastAsia="zh-CN"/>
        </w:rPr>
        <w:t>及商务响应</w:t>
      </w:r>
      <w:r>
        <w:rPr>
          <w:rFonts w:hint="eastAsia" w:ascii="宋体" w:hAnsi="宋体"/>
          <w:color w:val="000000"/>
          <w:szCs w:val="21"/>
        </w:rPr>
        <w:t>偏离表</w:t>
      </w:r>
      <w:r>
        <w:rPr>
          <w:rFonts w:hint="eastAsia" w:ascii="宋体" w:hAnsi="宋体"/>
          <w:b/>
          <w:color w:val="000000"/>
          <w:szCs w:val="21"/>
        </w:rPr>
        <w:t>（必须提供）；</w:t>
      </w:r>
    </w:p>
    <w:p>
      <w:pPr>
        <w:pStyle w:val="20"/>
        <w:spacing w:line="380" w:lineRule="exact"/>
        <w:ind w:firstLine="420" w:firstLineChars="200"/>
        <w:rPr>
          <w:rFonts w:hint="eastAsia" w:hAnsi="宋体"/>
          <w:color w:val="000000"/>
          <w:szCs w:val="21"/>
        </w:rPr>
      </w:pPr>
      <w:r>
        <w:rPr>
          <w:rFonts w:hint="eastAsia" w:hAnsi="宋体"/>
          <w:color w:val="000000"/>
          <w:szCs w:val="21"/>
        </w:rPr>
        <w:t>（2）“</w:t>
      </w:r>
      <w:r>
        <w:rPr>
          <w:rFonts w:hint="eastAsia" w:hAnsi="宋体"/>
          <w:color w:val="000000"/>
        </w:rPr>
        <w:t>货物采购需求”需提供的有效证明文件：</w:t>
      </w:r>
      <w:r>
        <w:rPr>
          <w:rFonts w:hint="eastAsia" w:hAnsi="宋体"/>
          <w:bCs/>
          <w:color w:val="000000"/>
        </w:rPr>
        <w:t>按货物采购需求提供（如有，请提供）</w:t>
      </w:r>
      <w:r>
        <w:rPr>
          <w:rFonts w:hint="eastAsia" w:hAnsi="宋体"/>
          <w:b/>
          <w:color w:val="000000"/>
          <w:szCs w:val="21"/>
        </w:rPr>
        <w:t>；</w:t>
      </w:r>
    </w:p>
    <w:p>
      <w:pPr>
        <w:tabs>
          <w:tab w:val="left" w:pos="1305"/>
        </w:tabs>
        <w:spacing w:line="380" w:lineRule="exact"/>
        <w:ind w:firstLine="420" w:firstLineChars="200"/>
        <w:rPr>
          <w:rFonts w:hint="eastAsia" w:ascii="宋体" w:hAnsi="宋体"/>
          <w:b/>
          <w:color w:val="000000"/>
          <w:szCs w:val="21"/>
        </w:rPr>
      </w:pPr>
      <w:r>
        <w:rPr>
          <w:rFonts w:hint="eastAsia" w:ascii="宋体" w:hAnsi="宋体"/>
          <w:color w:val="000000"/>
          <w:szCs w:val="21"/>
        </w:rPr>
        <w:t>（3）投标人的售后服务承诺书（含免费保修期、交付使用期、技术服务、技术培训、售后服务的内容和措施等）（必须提供）</w:t>
      </w:r>
      <w:r>
        <w:rPr>
          <w:rFonts w:hint="eastAsia" w:ascii="宋体" w:hAnsi="宋体"/>
          <w:b/>
          <w:color w:val="000000"/>
          <w:szCs w:val="21"/>
        </w:rPr>
        <w:t>；</w:t>
      </w:r>
    </w:p>
    <w:p>
      <w:pPr>
        <w:pStyle w:val="20"/>
        <w:spacing w:line="380" w:lineRule="exact"/>
        <w:ind w:firstLine="420" w:firstLineChars="200"/>
        <w:rPr>
          <w:rFonts w:hint="eastAsia" w:hAnsi="宋体"/>
          <w:b/>
          <w:color w:val="000000"/>
          <w:szCs w:val="21"/>
        </w:rPr>
      </w:pPr>
      <w:r>
        <w:rPr>
          <w:rFonts w:hint="eastAsia" w:hAnsi="宋体"/>
          <w:color w:val="000000"/>
          <w:szCs w:val="21"/>
        </w:rPr>
        <w:t>（4）项目实施人员一览表</w:t>
      </w:r>
      <w:r>
        <w:rPr>
          <w:rFonts w:hint="eastAsia" w:hAnsi="宋体"/>
          <w:b/>
          <w:color w:val="000000"/>
          <w:szCs w:val="21"/>
        </w:rPr>
        <w:t>（如有，请提供）；</w:t>
      </w:r>
    </w:p>
    <w:p>
      <w:pPr>
        <w:pStyle w:val="20"/>
        <w:spacing w:line="380" w:lineRule="exact"/>
        <w:ind w:firstLine="420" w:firstLineChars="200"/>
        <w:rPr>
          <w:rFonts w:hint="eastAsia" w:hAnsi="宋体"/>
          <w:bCs/>
          <w:color w:val="000000"/>
          <w:szCs w:val="21"/>
        </w:rPr>
      </w:pPr>
      <w:r>
        <w:rPr>
          <w:rFonts w:hint="eastAsia" w:hAnsi="宋体"/>
          <w:bCs/>
          <w:color w:val="000000"/>
          <w:szCs w:val="21"/>
        </w:rPr>
        <w:t>（5）投标人针对本服务项目的实施方案（</w:t>
      </w:r>
      <w:r>
        <w:rPr>
          <w:rFonts w:hint="eastAsia" w:hAnsi="宋体" w:cs="宋体"/>
          <w:color w:val="000000"/>
          <w:szCs w:val="21"/>
        </w:rPr>
        <w:t>格式自拟）</w:t>
      </w:r>
      <w:r>
        <w:rPr>
          <w:rFonts w:hint="eastAsia" w:hAnsi="宋体"/>
          <w:b/>
          <w:color w:val="000000"/>
          <w:szCs w:val="21"/>
        </w:rPr>
        <w:t>（如有，请提供）；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（6）节能方面的证书复印件（</w:t>
      </w:r>
      <w:r>
        <w:rPr>
          <w:rFonts w:hint="eastAsia" w:ascii="宋体" w:hAnsi="宋体"/>
          <w:b/>
          <w:color w:val="000000"/>
          <w:szCs w:val="21"/>
        </w:rPr>
        <w:t>如有，请提供）；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（7）环保方面的证书复印件</w:t>
      </w:r>
      <w:r>
        <w:rPr>
          <w:rFonts w:hint="eastAsia" w:ascii="宋体" w:hAnsi="宋体"/>
          <w:b/>
          <w:color w:val="000000"/>
          <w:szCs w:val="21"/>
        </w:rPr>
        <w:t>（如有，请提供）；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（8）投标人</w:t>
      </w:r>
      <w:r>
        <w:rPr>
          <w:rFonts w:hint="eastAsia" w:ascii="宋体" w:hAnsi="宋体"/>
          <w:color w:val="000000"/>
          <w:szCs w:val="21"/>
          <w:u w:val="single"/>
        </w:rPr>
        <w:t>2018年度</w:t>
      </w:r>
      <w:r>
        <w:rPr>
          <w:rFonts w:hint="eastAsia" w:ascii="宋体" w:hAnsi="宋体"/>
          <w:color w:val="000000"/>
          <w:szCs w:val="21"/>
        </w:rPr>
        <w:t>通过中介审计的有效完整的财务审计报告复印件</w:t>
      </w:r>
      <w:r>
        <w:rPr>
          <w:rFonts w:hint="eastAsia" w:ascii="宋体" w:hAnsi="宋体"/>
          <w:b/>
          <w:color w:val="000000"/>
        </w:rPr>
        <w:t>（如有，请提供）</w:t>
      </w:r>
      <w:r>
        <w:rPr>
          <w:rFonts w:hint="eastAsia" w:ascii="宋体" w:hAnsi="宋体"/>
          <w:color w:val="000000"/>
          <w:szCs w:val="21"/>
        </w:rPr>
        <w:t>；</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（9）</w:t>
      </w:r>
      <w:r>
        <w:rPr>
          <w:rFonts w:hint="eastAsia" w:ascii="宋体" w:hAnsi="宋体"/>
          <w:color w:val="000000"/>
        </w:rPr>
        <w:t>投标人</w:t>
      </w:r>
      <w:r>
        <w:rPr>
          <w:rFonts w:hint="eastAsia" w:ascii="宋体" w:hAnsi="宋体"/>
          <w:color w:val="000000"/>
          <w:szCs w:val="21"/>
          <w:u w:val="single"/>
        </w:rPr>
        <w:t>2017年1月1日</w:t>
      </w:r>
      <w:r>
        <w:rPr>
          <w:rFonts w:hint="eastAsia" w:ascii="宋体" w:hAnsi="宋体"/>
          <w:color w:val="000000"/>
        </w:rPr>
        <w:t>以来具有同类产品的销售业绩的相关证明材料</w:t>
      </w:r>
      <w:r>
        <w:rPr>
          <w:rFonts w:hint="eastAsia" w:ascii="宋体" w:hAnsi="宋体"/>
          <w:color w:val="000000"/>
          <w:spacing w:val="-12"/>
          <w:szCs w:val="21"/>
        </w:rPr>
        <w:t>（</w:t>
      </w:r>
      <w:r>
        <w:rPr>
          <w:rFonts w:hint="eastAsia" w:hAnsi="宋体" w:cs="宋体"/>
        </w:rPr>
        <w:t>以投标人同类项目实施情况一览表、合同复印件</w:t>
      </w:r>
      <w:r>
        <w:rPr>
          <w:rFonts w:hint="eastAsia" w:ascii="宋体" w:hAnsi="宋体"/>
          <w:color w:val="000000"/>
        </w:rPr>
        <w:t>）</w:t>
      </w:r>
      <w:r>
        <w:rPr>
          <w:rFonts w:hint="eastAsia" w:ascii="宋体" w:hAnsi="宋体"/>
          <w:b/>
          <w:color w:val="000000"/>
        </w:rPr>
        <w:t>（如有，请提供）；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（10）投标人为生产厂家的，投标人的生产制造设备清单及专业技术能力说明</w:t>
      </w:r>
      <w:r>
        <w:rPr>
          <w:rFonts w:hint="eastAsia" w:ascii="宋体" w:hAnsi="宋体"/>
          <w:b/>
          <w:color w:val="000000"/>
        </w:rPr>
        <w:t>（如有，请提供）</w:t>
      </w:r>
      <w:r>
        <w:rPr>
          <w:rFonts w:hint="eastAsia" w:ascii="宋体" w:hAnsi="宋体"/>
          <w:color w:val="000000"/>
        </w:rPr>
        <w:t>；</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（11）</w:t>
      </w:r>
      <w:r>
        <w:rPr>
          <w:rFonts w:hint="eastAsia" w:ascii="宋体" w:hAnsi="宋体"/>
          <w:color w:val="000000"/>
          <w:szCs w:val="20"/>
        </w:rPr>
        <w:t>投标人相关获奖证书、认证证书等复印件</w:t>
      </w:r>
      <w:r>
        <w:rPr>
          <w:rFonts w:hint="eastAsia" w:ascii="宋体" w:hAnsi="宋体"/>
          <w:b/>
          <w:color w:val="000000"/>
        </w:rPr>
        <w:t>（如有，请提供）</w:t>
      </w:r>
      <w:r>
        <w:rPr>
          <w:rFonts w:hint="eastAsia" w:ascii="宋体" w:hAnsi="宋体"/>
          <w:color w:val="000000"/>
          <w:szCs w:val="20"/>
        </w:rPr>
        <w:t>；</w:t>
      </w:r>
    </w:p>
    <w:p>
      <w:pPr>
        <w:tabs>
          <w:tab w:val="left" w:pos="1305"/>
        </w:tabs>
        <w:spacing w:line="380" w:lineRule="exact"/>
        <w:ind w:firstLine="420" w:firstLineChars="200"/>
        <w:rPr>
          <w:rFonts w:hint="eastAsia" w:ascii="宋体" w:hAnsi="宋体"/>
          <w:b/>
          <w:color w:val="000000"/>
        </w:rPr>
      </w:pPr>
      <w:r>
        <w:rPr>
          <w:rFonts w:hint="eastAsia" w:ascii="宋体" w:hAnsi="宋体"/>
          <w:color w:val="000000"/>
          <w:szCs w:val="21"/>
        </w:rPr>
        <w:t>（12）</w:t>
      </w:r>
      <w:r>
        <w:rPr>
          <w:rFonts w:hint="eastAsia" w:ascii="宋体" w:hAnsi="宋体"/>
          <w:color w:val="000000"/>
        </w:rPr>
        <w:t>投标人所投产品为广西工业产品的，如实提供《广西工业产品声明函》</w:t>
      </w:r>
      <w:r>
        <w:rPr>
          <w:rFonts w:hint="eastAsia" w:ascii="宋体" w:hAnsi="宋体"/>
          <w:b/>
          <w:color w:val="000000"/>
        </w:rPr>
        <w:t>（如有，请提供）</w:t>
      </w:r>
      <w:r>
        <w:rPr>
          <w:rFonts w:hint="eastAsia" w:ascii="宋体" w:hAnsi="宋体"/>
          <w:color w:val="000000"/>
        </w:rPr>
        <w:t>；</w:t>
      </w:r>
    </w:p>
    <w:p>
      <w:pPr>
        <w:spacing w:line="380" w:lineRule="exact"/>
        <w:ind w:firstLine="420" w:firstLineChars="200"/>
        <w:rPr>
          <w:rFonts w:hint="eastAsia" w:ascii="宋体" w:hAnsi="宋体"/>
          <w:color w:val="000000"/>
          <w:szCs w:val="21"/>
        </w:rPr>
      </w:pPr>
      <w:r>
        <w:rPr>
          <w:rFonts w:hint="eastAsia" w:ascii="宋体" w:hAnsi="宋体"/>
          <w:color w:val="000000"/>
        </w:rPr>
        <w:t>（13）如产品属于小型、微型企业、监狱企业的，以提供工商注册地的工业和信息化部门等其他行政部门出具的相关证明材料为准</w:t>
      </w:r>
      <w:r>
        <w:rPr>
          <w:rFonts w:hint="eastAsia" w:ascii="宋体" w:hAnsi="宋体"/>
          <w:b/>
          <w:color w:val="000000"/>
        </w:rPr>
        <w:t>（如有，请提供）</w:t>
      </w:r>
      <w:r>
        <w:rPr>
          <w:rFonts w:hint="eastAsia" w:ascii="宋体" w:hAnsi="宋体"/>
          <w:color w:val="000000"/>
        </w:rPr>
        <w:t>；</w:t>
      </w:r>
    </w:p>
    <w:p>
      <w:pPr>
        <w:tabs>
          <w:tab w:val="left" w:pos="1305"/>
        </w:tabs>
        <w:spacing w:line="380" w:lineRule="exact"/>
        <w:ind w:firstLine="420" w:firstLineChars="200"/>
        <w:rPr>
          <w:rFonts w:hint="eastAsia" w:ascii="宋体" w:hAnsi="宋体"/>
          <w:color w:val="000000"/>
        </w:rPr>
      </w:pPr>
      <w:r>
        <w:rPr>
          <w:rFonts w:hint="eastAsia" w:ascii="宋体" w:hAnsi="宋体"/>
          <w:color w:val="000000"/>
        </w:rPr>
        <w:t>（14）符合条件的残疾人福利性单位在参加政府采购活动时，应当提供《残疾人福利性单位声明函》（见附件），并对声明的真实性负责。</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rPr>
        <w:t>（15）</w:t>
      </w:r>
      <w:r>
        <w:rPr>
          <w:rFonts w:hint="eastAsia" w:ascii="宋体" w:hAnsi="宋体"/>
          <w:color w:val="000000"/>
          <w:szCs w:val="21"/>
        </w:rPr>
        <w:t>投标人可结合本项目的评标办法视自身情况自行提交相关证明材料</w:t>
      </w:r>
      <w:r>
        <w:rPr>
          <w:rFonts w:hint="eastAsia" w:ascii="宋体" w:hAnsi="宋体"/>
          <w:b/>
          <w:color w:val="000000"/>
        </w:rPr>
        <w:t>（如有，请提供）</w:t>
      </w:r>
      <w:r>
        <w:rPr>
          <w:rFonts w:hint="eastAsia" w:ascii="宋体" w:hAnsi="宋体"/>
          <w:color w:val="000000"/>
          <w:szCs w:val="21"/>
        </w:rPr>
        <w:t>。</w:t>
      </w:r>
    </w:p>
    <w:p>
      <w:pPr>
        <w:pStyle w:val="20"/>
        <w:spacing w:line="380" w:lineRule="exact"/>
        <w:ind w:firstLine="420"/>
        <w:rPr>
          <w:rFonts w:hint="eastAsia" w:hAnsi="宋体"/>
          <w:color w:val="000000"/>
          <w:szCs w:val="21"/>
        </w:rPr>
      </w:pPr>
      <w:r>
        <w:rPr>
          <w:rFonts w:hint="eastAsia" w:hAnsi="宋体"/>
          <w:b/>
          <w:color w:val="000000"/>
          <w:szCs w:val="21"/>
        </w:rPr>
        <w:t>投标人提供的以上相关证明材料应真实有效，属于“必须提供”的文件应加盖投标人公章（扫描公章无效，自然人除外），并于本项目投标截止时间前与投标文件同时提交，否则投标无效。</w:t>
      </w:r>
    </w:p>
    <w:p>
      <w:pPr>
        <w:pStyle w:val="20"/>
        <w:spacing w:line="380" w:lineRule="exact"/>
        <w:ind w:firstLine="420"/>
        <w:rPr>
          <w:rFonts w:hint="eastAsia" w:hAnsi="宋体"/>
          <w:color w:val="000000"/>
        </w:rPr>
      </w:pPr>
      <w:r>
        <w:rPr>
          <w:rFonts w:hint="eastAsia" w:hAnsi="宋体"/>
          <w:color w:val="000000"/>
          <w:szCs w:val="21"/>
        </w:rPr>
        <w:t>13.2</w:t>
      </w:r>
      <w:r>
        <w:rPr>
          <w:rFonts w:hint="eastAsia" w:hAnsi="宋体"/>
          <w:color w:val="000000"/>
        </w:rPr>
        <w:t>投标人应按招标文件第六章“投标文件（格式）”编制投标文件。</w:t>
      </w:r>
    </w:p>
    <w:p>
      <w:pPr>
        <w:pStyle w:val="20"/>
        <w:spacing w:line="380" w:lineRule="exact"/>
        <w:ind w:firstLine="420"/>
        <w:rPr>
          <w:rFonts w:hint="eastAsia" w:hAnsi="宋体"/>
          <w:color w:val="000000"/>
        </w:rPr>
      </w:pPr>
      <w:r>
        <w:rPr>
          <w:rFonts w:hint="eastAsia" w:hAnsi="宋体"/>
          <w:color w:val="000000"/>
        </w:rPr>
        <w:t>13.3</w:t>
      </w:r>
      <w:r>
        <w:rPr>
          <w:rFonts w:hAnsi="宋体"/>
          <w:color w:val="000000"/>
        </w:rPr>
        <w:t>投标文件应当对招标文件提出的要求和条件</w:t>
      </w:r>
      <w:r>
        <w:rPr>
          <w:rFonts w:hint="eastAsia" w:hAnsi="宋体"/>
          <w:color w:val="000000"/>
        </w:rPr>
        <w:t>作</w:t>
      </w:r>
      <w:r>
        <w:rPr>
          <w:rFonts w:hAnsi="宋体"/>
          <w:color w:val="000000"/>
        </w:rPr>
        <w:t>出明确响应。</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14. 投标文件的语言及计量</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380" w:lineRule="exact"/>
        <w:ind w:firstLine="422" w:firstLineChars="200"/>
        <w:rPr>
          <w:rFonts w:ascii="宋体" w:hAnsi="宋体"/>
          <w:b/>
          <w:color w:val="000000"/>
          <w:szCs w:val="21"/>
        </w:rPr>
      </w:pPr>
      <w:r>
        <w:rPr>
          <w:rFonts w:hint="eastAsia" w:ascii="宋体" w:hAnsi="宋体"/>
          <w:b/>
          <w:color w:val="000000"/>
          <w:szCs w:val="21"/>
        </w:rPr>
        <w:t>15.投标报价</w:t>
      </w:r>
    </w:p>
    <w:p>
      <w:pPr>
        <w:spacing w:line="330" w:lineRule="exact"/>
        <w:ind w:firstLine="420" w:firstLineChars="200"/>
        <w:rPr>
          <w:rFonts w:hint="eastAsia" w:ascii="宋体" w:hAnsi="宋体"/>
          <w:color w:val="000000"/>
          <w:szCs w:val="21"/>
        </w:rPr>
      </w:pPr>
      <w:r>
        <w:rPr>
          <w:rFonts w:hint="eastAsia" w:ascii="宋体" w:hAnsi="宋体"/>
          <w:color w:val="000000"/>
          <w:szCs w:val="21"/>
        </w:rPr>
        <w:t>15.1投标报价应按招标文件中第六章“投标文件（格式）”填写，投标报价超过采购预算金额的，投标文件按无效处理。</w:t>
      </w:r>
    </w:p>
    <w:p>
      <w:pPr>
        <w:spacing w:line="330" w:lineRule="exact"/>
        <w:ind w:firstLine="420" w:firstLineChars="200"/>
        <w:rPr>
          <w:rFonts w:hint="eastAsia" w:ascii="宋体" w:hAnsi="宋体"/>
          <w:color w:val="000000"/>
          <w:szCs w:val="21"/>
        </w:rPr>
      </w:pPr>
      <w:r>
        <w:rPr>
          <w:rFonts w:hint="eastAsia" w:ascii="宋体" w:hAnsi="宋体"/>
          <w:color w:val="000000"/>
          <w:szCs w:val="21"/>
        </w:rPr>
        <w:t>15.2投标人必须就“采购需求”</w:t>
      </w:r>
      <w:r>
        <w:rPr>
          <w:rFonts w:hint="eastAsia"/>
          <w:color w:val="000000"/>
          <w:szCs w:val="21"/>
        </w:rPr>
        <w:t xml:space="preserve"> 中所有内容作完整唯一报价</w:t>
      </w:r>
      <w:r>
        <w:rPr>
          <w:rFonts w:hint="eastAsia" w:ascii="宋体" w:hAnsi="宋体"/>
          <w:color w:val="000000"/>
          <w:szCs w:val="21"/>
        </w:rPr>
        <w:t>，否则，其投标将被拒绝；投标文件只允许有一个报价，有选择的或有条件的报价将不予接受。</w:t>
      </w:r>
    </w:p>
    <w:p>
      <w:pPr>
        <w:spacing w:line="380" w:lineRule="exact"/>
        <w:ind w:firstLine="420" w:firstLineChars="200"/>
        <w:rPr>
          <w:rFonts w:hint="eastAsia" w:ascii="宋体" w:hAnsi="宋体"/>
          <w:color w:val="000000"/>
          <w:szCs w:val="21"/>
        </w:rPr>
      </w:pPr>
      <w:r>
        <w:rPr>
          <w:rFonts w:hint="eastAsia" w:ascii="宋体" w:hAnsi="宋体"/>
          <w:color w:val="000000"/>
          <w:szCs w:val="21"/>
        </w:rPr>
        <w:t>15.3投标报价应包括本次招标采购范围内货物价款、</w:t>
      </w:r>
      <w:r>
        <w:rPr>
          <w:rFonts w:hint="eastAsia" w:ascii="宋体" w:hAnsi="宋体" w:cs="Courier New"/>
          <w:color w:val="000000"/>
          <w:szCs w:val="21"/>
        </w:rPr>
        <w:t>货物随配标准附件、</w:t>
      </w:r>
      <w:r>
        <w:rPr>
          <w:rFonts w:hint="eastAsia" w:ascii="宋体" w:hAnsi="宋体"/>
          <w:color w:val="000000"/>
          <w:szCs w:val="21"/>
        </w:rPr>
        <w:t>包装、运输、装卸、保险、税金、货到位以及安装、安装所需辅材、调试、检验、售后服务、培训、保修</w:t>
      </w:r>
      <w:r>
        <w:rPr>
          <w:rFonts w:hint="eastAsia" w:ascii="宋体" w:hAnsi="宋体" w:cs="Courier New"/>
          <w:color w:val="000000"/>
          <w:szCs w:val="21"/>
        </w:rPr>
        <w:t>及其他所有成本费用的总和</w:t>
      </w:r>
      <w:r>
        <w:rPr>
          <w:rFonts w:hint="eastAsia" w:ascii="宋体" w:hAnsi="宋体"/>
          <w:color w:val="000000"/>
          <w:szCs w:val="21"/>
        </w:rPr>
        <w:t>；</w:t>
      </w:r>
      <w:r>
        <w:rPr>
          <w:rFonts w:hint="eastAsia" w:ascii="宋体" w:hAnsi="宋体"/>
          <w:color w:val="000000"/>
        </w:rPr>
        <w:t>投标人综合考虑在报价中。</w:t>
      </w:r>
    </w:p>
    <w:p>
      <w:pPr>
        <w:spacing w:line="380" w:lineRule="exact"/>
        <w:ind w:left="420" w:hanging="420"/>
        <w:rPr>
          <w:rFonts w:ascii="宋体" w:hAnsi="宋体"/>
          <w:b/>
          <w:color w:val="000000"/>
          <w:szCs w:val="21"/>
        </w:rPr>
      </w:pPr>
      <w:r>
        <w:rPr>
          <w:rFonts w:hint="eastAsia" w:ascii="宋体" w:hAnsi="宋体"/>
          <w:color w:val="000000"/>
          <w:szCs w:val="21"/>
        </w:rPr>
        <w:t xml:space="preserve">   </w:t>
      </w:r>
      <w:r>
        <w:rPr>
          <w:rFonts w:hint="eastAsia" w:ascii="宋体" w:hAnsi="宋体"/>
          <w:b/>
          <w:color w:val="000000"/>
          <w:szCs w:val="21"/>
        </w:rPr>
        <w:t>16. 投标有效期</w:t>
      </w:r>
    </w:p>
    <w:p>
      <w:pPr>
        <w:tabs>
          <w:tab w:val="left" w:pos="1305"/>
        </w:tabs>
        <w:spacing w:line="380" w:lineRule="exact"/>
        <w:ind w:firstLine="420" w:firstLineChars="200"/>
        <w:rPr>
          <w:rFonts w:ascii="宋体" w:hAnsi="宋体"/>
          <w:color w:val="000000"/>
          <w:szCs w:val="21"/>
        </w:rPr>
      </w:pPr>
      <w:r>
        <w:rPr>
          <w:rFonts w:hint="eastAsia" w:ascii="宋体" w:hAnsi="宋体"/>
          <w:color w:val="000000"/>
          <w:szCs w:val="21"/>
        </w:rPr>
        <w:t>16.1投标有效期：</w:t>
      </w:r>
      <w:r>
        <w:rPr>
          <w:rFonts w:hint="eastAsia" w:ascii="宋体" w:hAnsi="宋体"/>
          <w:color w:val="000000"/>
        </w:rPr>
        <w:t>投标截止时间之日起9</w:t>
      </w:r>
      <w:r>
        <w:rPr>
          <w:rFonts w:ascii="宋体" w:hAnsi="宋体"/>
          <w:color w:val="000000"/>
        </w:rPr>
        <w:t>0</w:t>
      </w:r>
      <w:r>
        <w:rPr>
          <w:rFonts w:hint="eastAsia" w:ascii="宋体" w:hAnsi="宋体"/>
          <w:color w:val="000000"/>
        </w:rPr>
        <w:t>天，</w:t>
      </w:r>
      <w:r>
        <w:rPr>
          <w:rFonts w:ascii="宋体" w:hAnsi="宋体" w:cs="Arial"/>
          <w:color w:val="000000"/>
          <w:sz w:val="22"/>
          <w:szCs w:val="22"/>
        </w:rPr>
        <w:t>投标有效期内投标人撤销投标文件的，投标保证金可以不</w:t>
      </w:r>
      <w:r>
        <w:rPr>
          <w:rFonts w:hint="eastAsia" w:ascii="宋体" w:hAnsi="宋体" w:cs="Arial"/>
          <w:color w:val="000000"/>
          <w:sz w:val="22"/>
          <w:szCs w:val="22"/>
        </w:rPr>
        <w:t>予</w:t>
      </w:r>
      <w:r>
        <w:rPr>
          <w:rFonts w:ascii="宋体" w:hAnsi="宋体" w:cs="Arial"/>
          <w:color w:val="000000"/>
          <w:sz w:val="22"/>
          <w:szCs w:val="22"/>
        </w:rPr>
        <w:t>退还。</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16.2出现特殊情况下，需要延长投标有效期的，采购代理机构以书面形式通知投标人延长投标有效期。投标人同意延长的，不能修改投标文件。投标人拒绝延长的，其投标无效。</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17. 投标文件的份数、装订、</w:t>
      </w:r>
      <w:r>
        <w:rPr>
          <w:rFonts w:hint="eastAsia" w:ascii="宋体" w:hAnsi="宋体" w:cs="Courier New"/>
          <w:b/>
          <w:color w:val="000000"/>
          <w:szCs w:val="21"/>
        </w:rPr>
        <w:t>签署和包装、</w:t>
      </w:r>
      <w:r>
        <w:rPr>
          <w:rFonts w:hint="eastAsia" w:ascii="宋体" w:hAnsi="宋体"/>
          <w:b/>
          <w:color w:val="000000"/>
          <w:szCs w:val="21"/>
        </w:rPr>
        <w:t>密封</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17.1</w:t>
      </w:r>
      <w:r>
        <w:rPr>
          <w:rFonts w:hint="eastAsia" w:ascii="宋体" w:hAnsi="宋体"/>
          <w:b/>
          <w:color w:val="000000"/>
          <w:szCs w:val="21"/>
        </w:rPr>
        <w:t>投标文件份数：</w:t>
      </w:r>
      <w:r>
        <w:rPr>
          <w:rFonts w:hint="eastAsia" w:ascii="宋体" w:hAnsi="宋体"/>
          <w:color w:val="000000"/>
          <w:szCs w:val="21"/>
        </w:rPr>
        <w:t>正本壹册，副本肆册，须完整提交。</w:t>
      </w:r>
    </w:p>
    <w:p>
      <w:pPr>
        <w:tabs>
          <w:tab w:val="left" w:pos="1305"/>
          <w:tab w:val="center" w:pos="5029"/>
        </w:tabs>
        <w:spacing w:line="380" w:lineRule="exact"/>
        <w:ind w:firstLine="420" w:firstLineChars="200"/>
        <w:rPr>
          <w:rFonts w:ascii="宋体" w:hAnsi="宋体"/>
          <w:color w:val="000000"/>
          <w:szCs w:val="21"/>
        </w:rPr>
      </w:pPr>
      <w:r>
        <w:rPr>
          <w:rFonts w:hint="eastAsia" w:ascii="宋体" w:hAnsi="宋体"/>
          <w:color w:val="000000"/>
          <w:szCs w:val="21"/>
        </w:rPr>
        <w:t>17.2</w:t>
      </w:r>
      <w:r>
        <w:rPr>
          <w:rFonts w:hint="eastAsia" w:ascii="宋体" w:hAnsi="宋体"/>
          <w:b/>
          <w:color w:val="000000"/>
          <w:szCs w:val="21"/>
        </w:rPr>
        <w:t>投标文件装订：</w:t>
      </w:r>
      <w:r>
        <w:rPr>
          <w:rFonts w:hint="eastAsia" w:ascii="宋体" w:hAnsi="宋体"/>
          <w:color w:val="000000"/>
          <w:szCs w:val="21"/>
        </w:rPr>
        <w:t>投标人应按投标人须知第13.1款“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17.3投标文件的正本需打印或用不褪色的墨水填写，投标文件正本除本招标文件中规定的可提供复印件外均须提供原件。</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17.4投标文件须由投标人在规定位置盖投标人公章</w:t>
      </w:r>
      <w:r>
        <w:rPr>
          <w:rFonts w:hint="eastAsia" w:ascii="宋体" w:hAnsi="宋体"/>
          <w:bCs/>
          <w:color w:val="000000"/>
          <w:szCs w:val="21"/>
        </w:rPr>
        <w:t>（扫描公章无效，自然人除外）</w:t>
      </w:r>
      <w:r>
        <w:rPr>
          <w:rFonts w:hint="eastAsia" w:ascii="宋体" w:hAnsi="宋体"/>
          <w:color w:val="000000"/>
          <w:szCs w:val="21"/>
        </w:rPr>
        <w:t>并由法定代表人、负责人、自然人或相应的授权委托代理人签字，投标人应写全称，投标文件副本可以是加盖公章的正本的复印件，当正本与副本不一致时，以正本为准。</w:t>
      </w:r>
    </w:p>
    <w:p>
      <w:pPr>
        <w:snapToGrid w:val="0"/>
        <w:spacing w:line="380" w:lineRule="exact"/>
        <w:ind w:firstLine="420" w:firstLineChars="200"/>
        <w:jc w:val="left"/>
        <w:rPr>
          <w:rFonts w:hint="eastAsia" w:ascii="宋体" w:hAnsi="宋体"/>
          <w:color w:val="000000"/>
          <w:szCs w:val="21"/>
        </w:rPr>
      </w:pPr>
      <w:r>
        <w:rPr>
          <w:rFonts w:hint="eastAsia" w:ascii="宋体" w:hAnsi="宋体"/>
          <w:color w:val="000000"/>
          <w:szCs w:val="21"/>
        </w:rPr>
        <w:t>17.5投标文件不得涂改，若有修改错漏处，须加盖投标人公章（自然人除外）及法定代表人、负责人、自然人或相应的授权委托代理人签字。投标文件因字迹潦草或表达不清所引起的后果由投标人负责。</w:t>
      </w:r>
    </w:p>
    <w:p>
      <w:pPr>
        <w:tabs>
          <w:tab w:val="left" w:pos="1305"/>
        </w:tabs>
        <w:spacing w:line="380" w:lineRule="exact"/>
        <w:ind w:firstLine="420" w:firstLineChars="200"/>
        <w:rPr>
          <w:rFonts w:hint="eastAsia" w:ascii="宋体" w:hAnsi="宋体"/>
          <w:b/>
          <w:color w:val="000000"/>
          <w:szCs w:val="21"/>
        </w:rPr>
      </w:pPr>
      <w:r>
        <w:rPr>
          <w:rFonts w:hint="eastAsia" w:ascii="宋体" w:hAnsi="宋体"/>
          <w:color w:val="000000"/>
          <w:szCs w:val="21"/>
        </w:rPr>
        <w:t>17.6</w:t>
      </w:r>
      <w:r>
        <w:rPr>
          <w:rFonts w:hint="eastAsia" w:ascii="宋体" w:hAnsi="宋体"/>
          <w:b/>
          <w:color w:val="000000"/>
          <w:szCs w:val="21"/>
        </w:rPr>
        <w:t>投标人公章：</w:t>
      </w:r>
      <w:r>
        <w:rPr>
          <w:rFonts w:ascii="宋体" w:hAnsi="宋体" w:cs="宋体"/>
          <w:color w:val="000000"/>
          <w:szCs w:val="21"/>
        </w:rPr>
        <w:t>本招标文件中描述投标</w:t>
      </w:r>
      <w:r>
        <w:rPr>
          <w:rFonts w:hint="eastAsia" w:ascii="宋体" w:hAnsi="宋体" w:cs="宋体"/>
          <w:color w:val="000000"/>
          <w:szCs w:val="21"/>
        </w:rPr>
        <w:t>人</w:t>
      </w:r>
      <w:r>
        <w:rPr>
          <w:rFonts w:ascii="宋体" w:hAnsi="宋体" w:cs="宋体"/>
          <w:color w:val="000000"/>
          <w:szCs w:val="21"/>
        </w:rPr>
        <w:t>的“公章”是指根据我国对公章的管理规定，用投标</w:t>
      </w:r>
      <w:r>
        <w:rPr>
          <w:rFonts w:hint="eastAsia" w:ascii="宋体" w:hAnsi="宋体" w:cs="宋体"/>
          <w:color w:val="000000"/>
          <w:szCs w:val="21"/>
        </w:rPr>
        <w:t>人</w:t>
      </w:r>
      <w:r>
        <w:rPr>
          <w:rFonts w:ascii="宋体" w:hAnsi="宋体" w:cs="宋体"/>
          <w:color w:val="000000"/>
          <w:szCs w:val="21"/>
        </w:rPr>
        <w:t>法定主体行为名称制作的印章，除本招标文件有特殊规定外，投标</w:t>
      </w:r>
      <w:r>
        <w:rPr>
          <w:rFonts w:hint="eastAsia" w:ascii="宋体" w:hAnsi="宋体" w:cs="宋体"/>
          <w:color w:val="000000"/>
          <w:szCs w:val="21"/>
        </w:rPr>
        <w:t>人</w:t>
      </w:r>
      <w:r>
        <w:rPr>
          <w:rFonts w:ascii="宋体" w:hAnsi="宋体" w:cs="宋体"/>
          <w:color w:val="000000"/>
          <w:szCs w:val="21"/>
        </w:rPr>
        <w:t>的财务章、部门章、分公司章、工会章、合同章、投标专用章、业务专用章等其它形式印章均不能代替公章。</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17.7</w:t>
      </w:r>
      <w:r>
        <w:rPr>
          <w:rFonts w:hint="eastAsia" w:ascii="宋体" w:hAnsi="宋体"/>
          <w:b/>
          <w:color w:val="000000"/>
          <w:szCs w:val="21"/>
        </w:rPr>
        <w:t>投标文件包装、密封：</w:t>
      </w:r>
      <w:r>
        <w:rPr>
          <w:rFonts w:hint="eastAsia" w:ascii="宋体" w:hAnsi="宋体"/>
          <w:color w:val="000000"/>
          <w:szCs w:val="21"/>
        </w:rPr>
        <w:t>将投标文件“正本”、“副本”及投标文件电子版U盘一并装入并密封在一个投标文件袋（盒、箱）中，并在密封处密封签章【公章、密封章、法定代表人、负责人、自然人或相应的授权委托代理人签字均可】。</w:t>
      </w:r>
    </w:p>
    <w:p>
      <w:pPr>
        <w:spacing w:line="380" w:lineRule="exact"/>
        <w:ind w:firstLine="420" w:firstLineChars="200"/>
        <w:rPr>
          <w:rFonts w:ascii="宋体" w:hAnsi="宋体"/>
          <w:b/>
          <w:color w:val="000000"/>
          <w:szCs w:val="21"/>
        </w:rPr>
      </w:pPr>
      <w:r>
        <w:rPr>
          <w:rFonts w:hint="eastAsia" w:ascii="宋体" w:hAnsi="宋体"/>
          <w:color w:val="000000"/>
        </w:rPr>
        <w:t>17.8</w:t>
      </w:r>
      <w:r>
        <w:rPr>
          <w:rFonts w:hint="eastAsia" w:ascii="宋体" w:hAnsi="宋体"/>
          <w:b/>
          <w:color w:val="000000"/>
          <w:szCs w:val="21"/>
        </w:rPr>
        <w:t>投标文件袋（盒、箱）标记：</w:t>
      </w:r>
    </w:p>
    <w:p>
      <w:pPr>
        <w:spacing w:line="380" w:lineRule="exact"/>
        <w:ind w:firstLine="617" w:firstLineChars="294"/>
        <w:rPr>
          <w:rFonts w:ascii="宋体" w:hAnsi="宋体"/>
          <w:color w:val="000000"/>
          <w:szCs w:val="21"/>
          <w:u w:val="single"/>
        </w:rPr>
      </w:pPr>
      <w:r>
        <w:rPr>
          <w:rFonts w:hint="eastAsia" w:ascii="宋体" w:hAnsi="宋体"/>
          <w:color w:val="000000"/>
          <w:szCs w:val="21"/>
        </w:rPr>
        <w:t>项目名称：</w:t>
      </w:r>
      <w:r>
        <w:rPr>
          <w:rFonts w:hint="eastAsia" w:ascii="宋体" w:hAnsi="宋体"/>
          <w:color w:val="000000"/>
          <w:szCs w:val="21"/>
          <w:u w:val="single"/>
        </w:rPr>
        <w:t xml:space="preserve">                    </w:t>
      </w:r>
    </w:p>
    <w:p>
      <w:pPr>
        <w:spacing w:line="380" w:lineRule="exact"/>
        <w:ind w:firstLine="630" w:firstLineChars="300"/>
        <w:rPr>
          <w:rFonts w:hint="eastAsia" w:ascii="宋体" w:hAnsi="宋体"/>
          <w:color w:val="000000"/>
          <w:szCs w:val="21"/>
        </w:rPr>
      </w:pPr>
      <w:r>
        <w:rPr>
          <w:rFonts w:hint="eastAsia" w:ascii="宋体" w:hAnsi="宋体"/>
          <w:color w:val="000000"/>
          <w:szCs w:val="21"/>
        </w:rPr>
        <w:t>项目编号：</w:t>
      </w:r>
      <w:r>
        <w:rPr>
          <w:rFonts w:hint="eastAsia" w:ascii="宋体" w:hAnsi="宋体"/>
          <w:color w:val="000000"/>
          <w:szCs w:val="21"/>
          <w:u w:val="single"/>
        </w:rPr>
        <w:t xml:space="preserve">                    </w:t>
      </w:r>
    </w:p>
    <w:p>
      <w:pPr>
        <w:spacing w:line="380" w:lineRule="exact"/>
        <w:ind w:firstLine="630" w:firstLineChars="300"/>
        <w:rPr>
          <w:rFonts w:hint="eastAsia" w:ascii="宋体" w:hAnsi="宋体"/>
          <w:color w:val="000000"/>
          <w:szCs w:val="21"/>
        </w:rPr>
      </w:pPr>
      <w:r>
        <w:rPr>
          <w:rFonts w:hint="eastAsia" w:ascii="宋体" w:hAnsi="宋体"/>
          <w:color w:val="000000"/>
          <w:szCs w:val="21"/>
        </w:rPr>
        <w:t>采购代理机构：</w:t>
      </w:r>
      <w:r>
        <w:rPr>
          <w:rFonts w:hint="eastAsia" w:ascii="宋体" w:hAnsi="宋体"/>
          <w:color w:val="000000"/>
          <w:szCs w:val="21"/>
          <w:u w:val="single"/>
        </w:rPr>
        <w:t xml:space="preserve">                  </w:t>
      </w:r>
    </w:p>
    <w:p>
      <w:pPr>
        <w:spacing w:line="380" w:lineRule="exact"/>
        <w:ind w:firstLine="630" w:firstLineChars="300"/>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18. 投标文件的补充、修改和撤回</w:t>
      </w:r>
    </w:p>
    <w:p>
      <w:pPr>
        <w:spacing w:line="380" w:lineRule="exact"/>
        <w:ind w:firstLine="435"/>
        <w:rPr>
          <w:rFonts w:hint="eastAsia" w:ascii="宋体" w:hAnsi="宋体"/>
          <w:color w:val="000000"/>
          <w:szCs w:val="21"/>
        </w:rPr>
      </w:pPr>
      <w:r>
        <w:rPr>
          <w:rFonts w:ascii="宋体" w:hAnsi="宋体"/>
          <w:color w:val="000000"/>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19. 投标文件的递交</w:t>
      </w:r>
    </w:p>
    <w:p>
      <w:pPr>
        <w:tabs>
          <w:tab w:val="left" w:pos="7200"/>
        </w:tabs>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19.1投标截止时间：2020年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日9时00分。</w:t>
      </w:r>
    </w:p>
    <w:p>
      <w:pPr>
        <w:spacing w:line="370" w:lineRule="exact"/>
        <w:ind w:firstLine="840" w:firstLineChars="400"/>
        <w:rPr>
          <w:rFonts w:hint="eastAsia" w:ascii="宋体" w:hAnsi="宋体" w:cs="宋体"/>
          <w:color w:val="000000"/>
        </w:rPr>
      </w:pPr>
      <w:r>
        <w:rPr>
          <w:rFonts w:hint="eastAsia" w:ascii="宋体" w:hAnsi="宋体" w:cs="宋体"/>
          <w:color w:val="000000"/>
          <w:szCs w:val="21"/>
        </w:rPr>
        <w:t>投标人应于2020年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日8时30分至9时00分止，携带授权委托书（以上材料均须加盖投标人公章，不须密封，单独提交），将投标文件密封提交至荔浦市公共资源交易中心第1开标室（荔浦市荔城镇荔柳路86-96号3楼）</w:t>
      </w:r>
      <w:r>
        <w:rPr>
          <w:rFonts w:hint="eastAsia" w:ascii="宋体" w:hAnsi="宋体" w:cs="宋体"/>
          <w:color w:val="000000"/>
        </w:rPr>
        <w:t>，未携带以上相关材料递交的或逾期送达的或未招标文件要求密封的投标文件将予以拒收。</w:t>
      </w:r>
    </w:p>
    <w:p>
      <w:pPr>
        <w:spacing w:line="300" w:lineRule="exact"/>
        <w:rPr>
          <w:rFonts w:hint="eastAsia" w:ascii="宋体" w:hAnsi="宋体" w:cs="宋体"/>
          <w:color w:val="000000"/>
        </w:rPr>
      </w:pPr>
      <w:r>
        <w:rPr>
          <w:rFonts w:hint="eastAsia" w:ascii="宋体" w:hAnsi="宋体" w:cs="宋体"/>
          <w:color w:val="000000"/>
        </w:rPr>
        <w:t>投标文件递交起止时间：</w:t>
      </w:r>
      <w:r>
        <w:rPr>
          <w:rFonts w:hint="eastAsia" w:ascii="宋体" w:hAnsi="宋体" w:cs="宋体"/>
          <w:color w:val="000000"/>
          <w:szCs w:val="21"/>
        </w:rPr>
        <w:t>2020年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日8时30分至9时00分止</w:t>
      </w:r>
      <w:r>
        <w:rPr>
          <w:rFonts w:hint="eastAsia" w:ascii="宋体" w:hAnsi="宋体" w:cs="宋体"/>
          <w:color w:val="000000"/>
        </w:rPr>
        <w:t>。</w:t>
      </w:r>
    </w:p>
    <w:p>
      <w:pPr>
        <w:spacing w:line="300" w:lineRule="exact"/>
        <w:rPr>
          <w:rFonts w:hint="eastAsia" w:ascii="宋体" w:hAnsi="宋体" w:cs="宋体"/>
          <w:color w:val="000000"/>
          <w:szCs w:val="21"/>
        </w:rPr>
      </w:pPr>
      <w:r>
        <w:rPr>
          <w:rFonts w:hint="eastAsia" w:ascii="宋体" w:hAnsi="宋体" w:cs="宋体"/>
          <w:color w:val="000000"/>
          <w:szCs w:val="21"/>
        </w:rPr>
        <w:t>投标人在递交投标文件时，同时递交投标文件电子版。</w:t>
      </w:r>
    </w:p>
    <w:p>
      <w:pPr>
        <w:spacing w:line="300" w:lineRule="exact"/>
        <w:ind w:firstLine="420" w:firstLineChars="200"/>
        <w:rPr>
          <w:rFonts w:hint="eastAsia" w:ascii="宋体" w:hAnsi="宋体" w:cs="宋体"/>
          <w:b/>
          <w:bCs/>
          <w:color w:val="000000"/>
          <w:szCs w:val="21"/>
        </w:rPr>
      </w:pPr>
      <w:r>
        <w:rPr>
          <w:rFonts w:hint="eastAsia" w:ascii="宋体" w:hAnsi="宋体" w:cs="宋体"/>
          <w:color w:val="000000"/>
          <w:szCs w:val="21"/>
        </w:rPr>
        <w:t>（1）投标文件电子版内容：</w:t>
      </w:r>
      <w:r>
        <w:rPr>
          <w:rFonts w:hint="eastAsia" w:ascii="宋体" w:hAnsi="宋体"/>
          <w:color w:val="000000"/>
          <w:szCs w:val="21"/>
        </w:rPr>
        <w:t>投标函、投标报价表（包括产品的名称、规格型号、数量、单价），技术规格偏离表，售后服务承诺书</w:t>
      </w:r>
      <w:r>
        <w:rPr>
          <w:rFonts w:hint="eastAsia" w:ascii="宋体" w:hAnsi="宋体" w:cs="宋体"/>
          <w:color w:val="000000"/>
          <w:szCs w:val="21"/>
        </w:rPr>
        <w:t>；</w:t>
      </w:r>
    </w:p>
    <w:p>
      <w:pPr>
        <w:spacing w:line="300" w:lineRule="exact"/>
        <w:ind w:firstLine="420" w:firstLineChars="200"/>
        <w:rPr>
          <w:rFonts w:hint="eastAsia" w:ascii="宋体" w:hAnsi="宋体" w:cs="宋体"/>
          <w:color w:val="000000"/>
          <w:szCs w:val="21"/>
        </w:rPr>
      </w:pPr>
      <w:r>
        <w:rPr>
          <w:rFonts w:hint="eastAsia" w:ascii="宋体" w:hAnsi="宋体" w:cs="宋体"/>
          <w:color w:val="000000"/>
          <w:szCs w:val="21"/>
        </w:rPr>
        <w:t>（2）投标文件电子版份数：1份；</w:t>
      </w:r>
    </w:p>
    <w:p>
      <w:pPr>
        <w:spacing w:line="300" w:lineRule="exact"/>
        <w:ind w:firstLine="420" w:firstLineChars="200"/>
        <w:rPr>
          <w:rFonts w:hint="eastAsia" w:ascii="宋体" w:hAnsi="宋体" w:cs="宋体"/>
          <w:color w:val="000000"/>
          <w:szCs w:val="21"/>
        </w:rPr>
      </w:pPr>
      <w:r>
        <w:rPr>
          <w:rFonts w:hint="eastAsia" w:ascii="宋体" w:hAnsi="宋体" w:cs="宋体"/>
          <w:color w:val="000000"/>
          <w:szCs w:val="21"/>
        </w:rPr>
        <w:t>（3）投标文件电子版形式：可编辑的word文档格式及PDF格式各一份；</w:t>
      </w:r>
    </w:p>
    <w:p>
      <w:pPr>
        <w:spacing w:line="380" w:lineRule="exact"/>
        <w:ind w:left="420" w:leftChars="200" w:firstLine="14" w:firstLineChars="7"/>
        <w:rPr>
          <w:rFonts w:hint="eastAsia" w:ascii="宋体" w:hAnsi="宋体" w:cs="宋体"/>
          <w:color w:val="000000"/>
          <w:szCs w:val="21"/>
        </w:rPr>
      </w:pPr>
      <w:r>
        <w:rPr>
          <w:rFonts w:hint="eastAsia" w:ascii="宋体" w:hAnsi="宋体" w:cs="宋体"/>
          <w:color w:val="000000"/>
          <w:szCs w:val="21"/>
        </w:rPr>
        <w:t>（4）投投标文件电子版密封方式：投标文件电子版U盘与纸质版投标文件一并装入投标文件袋中。</w:t>
      </w:r>
    </w:p>
    <w:p>
      <w:pPr>
        <w:spacing w:line="380" w:lineRule="exact"/>
        <w:ind w:left="420" w:leftChars="200" w:firstLine="14" w:firstLineChars="7"/>
        <w:rPr>
          <w:rFonts w:hint="eastAsia" w:ascii="宋体" w:hAnsi="宋体" w:cs="宋体"/>
          <w:color w:val="000000"/>
          <w:szCs w:val="21"/>
        </w:rPr>
      </w:pPr>
      <w:r>
        <w:rPr>
          <w:rFonts w:hint="eastAsia" w:ascii="宋体" w:hAnsi="宋体" w:cs="宋体"/>
          <w:color w:val="000000"/>
          <w:szCs w:val="21"/>
        </w:rPr>
        <w:t>19.2除招标文件另有规定外，投标人所递交的投标文件不予退还。</w:t>
      </w:r>
    </w:p>
    <w:p>
      <w:pPr>
        <w:spacing w:line="380" w:lineRule="exact"/>
        <w:ind w:firstLine="435"/>
        <w:rPr>
          <w:rFonts w:hint="eastAsia" w:ascii="宋体" w:hAnsi="宋体"/>
          <w:b/>
          <w:color w:val="000000"/>
          <w:sz w:val="28"/>
          <w:szCs w:val="28"/>
        </w:rPr>
      </w:pPr>
      <w:r>
        <w:rPr>
          <w:rFonts w:hint="eastAsia" w:ascii="宋体" w:hAnsi="宋体" w:cs="宋体"/>
          <w:color w:val="000000"/>
          <w:szCs w:val="21"/>
        </w:rPr>
        <w:t>19</w:t>
      </w:r>
      <w:r>
        <w:rPr>
          <w:rFonts w:hint="eastAsia" w:ascii="宋体" w:hAnsi="宋体" w:cs="宋体"/>
          <w:color w:val="000000"/>
        </w:rPr>
        <w:t>.3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tabs>
          <w:tab w:val="left" w:pos="1305"/>
        </w:tabs>
        <w:spacing w:line="380" w:lineRule="exact"/>
        <w:ind w:firstLine="562" w:firstLineChars="200"/>
        <w:jc w:val="center"/>
        <w:rPr>
          <w:rFonts w:hint="eastAsia" w:ascii="宋体" w:hAnsi="宋体"/>
          <w:b/>
          <w:color w:val="000000"/>
          <w:sz w:val="28"/>
          <w:szCs w:val="28"/>
        </w:rPr>
      </w:pPr>
      <w:r>
        <w:rPr>
          <w:rFonts w:hint="eastAsia" w:ascii="宋体" w:hAnsi="宋体"/>
          <w:b/>
          <w:color w:val="000000"/>
          <w:sz w:val="28"/>
          <w:szCs w:val="28"/>
        </w:rPr>
        <w:t>四、开标</w:t>
      </w:r>
    </w:p>
    <w:p>
      <w:pPr>
        <w:tabs>
          <w:tab w:val="left" w:pos="1305"/>
        </w:tabs>
        <w:spacing w:line="380" w:lineRule="exact"/>
        <w:ind w:firstLine="422" w:firstLineChars="200"/>
        <w:rPr>
          <w:rFonts w:ascii="宋体" w:hAnsi="宋体"/>
          <w:b/>
          <w:color w:val="000000"/>
          <w:szCs w:val="21"/>
        </w:rPr>
      </w:pPr>
      <w:r>
        <w:rPr>
          <w:rFonts w:hint="eastAsia" w:ascii="宋体" w:hAnsi="宋体"/>
          <w:b/>
          <w:color w:val="000000"/>
          <w:szCs w:val="21"/>
        </w:rPr>
        <w:t>20. 开标时间及地点</w:t>
      </w:r>
    </w:p>
    <w:p>
      <w:pPr>
        <w:spacing w:line="380" w:lineRule="exact"/>
        <w:ind w:firstLine="420" w:firstLineChars="200"/>
        <w:rPr>
          <w:rFonts w:hint="eastAsia" w:ascii="宋体" w:hAnsi="宋体"/>
          <w:b/>
          <w:color w:val="000000"/>
          <w:szCs w:val="21"/>
        </w:rPr>
      </w:pPr>
      <w:r>
        <w:rPr>
          <w:rFonts w:hint="eastAsia" w:ascii="宋体" w:hAnsi="宋体"/>
          <w:bCs/>
          <w:color w:val="000000"/>
          <w:szCs w:val="21"/>
        </w:rPr>
        <w:t>20.1开标时间及地点：开标时间：2020年</w:t>
      </w:r>
      <w:r>
        <w:rPr>
          <w:rFonts w:hint="eastAsia" w:ascii="宋体" w:hAnsi="宋体"/>
          <w:bCs/>
          <w:color w:val="000000"/>
          <w:szCs w:val="21"/>
          <w:lang w:val="en-US" w:eastAsia="zh-CN"/>
        </w:rPr>
        <w:t>10</w:t>
      </w:r>
      <w:r>
        <w:rPr>
          <w:rFonts w:hint="eastAsia" w:ascii="宋体" w:hAnsi="宋体"/>
          <w:bCs/>
          <w:color w:val="000000"/>
          <w:szCs w:val="21"/>
        </w:rPr>
        <w:t>月</w:t>
      </w:r>
      <w:r>
        <w:rPr>
          <w:rFonts w:hint="eastAsia" w:ascii="宋体" w:hAnsi="宋体"/>
          <w:bCs/>
          <w:color w:val="000000"/>
          <w:szCs w:val="21"/>
          <w:lang w:val="en-US" w:eastAsia="zh-CN"/>
        </w:rPr>
        <w:t>15</w:t>
      </w:r>
      <w:r>
        <w:rPr>
          <w:rFonts w:hint="eastAsia" w:ascii="宋体" w:hAnsi="宋体"/>
          <w:bCs/>
          <w:color w:val="000000"/>
          <w:szCs w:val="21"/>
        </w:rPr>
        <w:t xml:space="preserve">日9时00分；开标地点：荔浦市公共资源交易中心第1开标室（荔浦市荔城镇荔柳路86-96号3楼）开标。投标人可以由法定代表人、负责人、自然人或其委托代理人出席开标会议；投标人准时参加开标会并签字，如未按时签字的，视同放弃开标监督权利，认可开标结果。 </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20.2投标人不足3家的，不得开标，采购人或者采购代理机构应当重新组织采购。</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21. 开标程序</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（1）主持人宣布开标会正式开始，宣布开标程序、开标纪律，介绍项目情况和到会人员；</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（2）投标人对其投标文件的密封情况进行检查并确认签字；</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（3）按各投标人提交投标文件时间的先后顺序打开投标文件外包装；</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（4）唱标，宣读投标截止时间前接收的所有投标文件的投标人名称，投标报价表的投标报价、折扣；</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rPr>
        <w:t>（6</w:t>
      </w:r>
      <w:r>
        <w:rPr>
          <w:rFonts w:ascii="宋体" w:hAnsi="宋体"/>
          <w:color w:val="000000"/>
        </w:rPr>
        <w:t>）</w:t>
      </w:r>
      <w:r>
        <w:rPr>
          <w:rFonts w:ascii="宋体" w:hAnsi="宋体"/>
          <w:color w:val="00000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（7）宣布开标结束，采购人、投标人和有关方面代表退场，由工作人员将投标文件等材料移交评标室。</w:t>
      </w:r>
    </w:p>
    <w:p>
      <w:pPr>
        <w:tabs>
          <w:tab w:val="left" w:pos="1305"/>
        </w:tabs>
        <w:spacing w:line="380" w:lineRule="exact"/>
        <w:ind w:firstLine="562" w:firstLineChars="200"/>
        <w:jc w:val="center"/>
        <w:rPr>
          <w:rFonts w:hint="eastAsia" w:ascii="宋体" w:hAnsi="宋体"/>
          <w:b/>
          <w:color w:val="000000"/>
          <w:sz w:val="28"/>
          <w:szCs w:val="28"/>
        </w:rPr>
      </w:pPr>
    </w:p>
    <w:p>
      <w:pPr>
        <w:tabs>
          <w:tab w:val="left" w:pos="1305"/>
        </w:tabs>
        <w:spacing w:line="380" w:lineRule="exact"/>
        <w:ind w:firstLine="562" w:firstLineChars="200"/>
        <w:jc w:val="center"/>
        <w:rPr>
          <w:rFonts w:hint="eastAsia" w:ascii="宋体" w:hAnsi="宋体"/>
          <w:b/>
          <w:color w:val="000000"/>
          <w:sz w:val="28"/>
          <w:szCs w:val="28"/>
        </w:rPr>
      </w:pPr>
    </w:p>
    <w:p>
      <w:pPr>
        <w:tabs>
          <w:tab w:val="left" w:pos="1305"/>
        </w:tabs>
        <w:spacing w:line="380" w:lineRule="exact"/>
        <w:ind w:firstLine="562" w:firstLineChars="200"/>
        <w:jc w:val="center"/>
        <w:rPr>
          <w:rFonts w:hint="eastAsia" w:ascii="宋体" w:hAnsi="宋体"/>
          <w:b/>
          <w:color w:val="000000"/>
          <w:sz w:val="28"/>
          <w:szCs w:val="28"/>
        </w:rPr>
      </w:pPr>
      <w:r>
        <w:rPr>
          <w:rFonts w:hint="eastAsia" w:ascii="宋体" w:hAnsi="宋体"/>
          <w:b/>
          <w:color w:val="000000"/>
          <w:sz w:val="28"/>
          <w:szCs w:val="28"/>
        </w:rPr>
        <w:t>五、资格性审查</w:t>
      </w:r>
    </w:p>
    <w:p>
      <w:pPr>
        <w:tabs>
          <w:tab w:val="left" w:pos="1305"/>
        </w:tabs>
        <w:spacing w:line="380" w:lineRule="exact"/>
        <w:ind w:firstLine="422" w:firstLineChars="200"/>
        <w:rPr>
          <w:rFonts w:hint="eastAsia" w:ascii="宋体" w:hAnsi="宋体"/>
          <w:b/>
          <w:color w:val="000000"/>
          <w:szCs w:val="21"/>
        </w:rPr>
      </w:pPr>
      <w:r>
        <w:rPr>
          <w:rFonts w:hint="eastAsia" w:ascii="宋体" w:hAnsi="宋体"/>
          <w:b/>
          <w:color w:val="000000"/>
          <w:szCs w:val="21"/>
        </w:rPr>
        <w:t>22. 资格性审查</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22.1</w:t>
      </w:r>
      <w:r>
        <w:rPr>
          <w:rFonts w:ascii="宋体" w:hAnsi="宋体"/>
          <w:color w:val="000000"/>
          <w:szCs w:val="21"/>
        </w:rPr>
        <w:t>公开招标采购项目开标结束后，采购人或者采购代理机构应当依法对投标人的资格进行审查。</w:t>
      </w:r>
    </w:p>
    <w:p>
      <w:pPr>
        <w:tabs>
          <w:tab w:val="left" w:pos="1305"/>
        </w:tabs>
        <w:spacing w:line="380" w:lineRule="exact"/>
        <w:rPr>
          <w:rFonts w:hint="eastAsia" w:ascii="宋体" w:hAnsi="宋体"/>
          <w:color w:val="000000"/>
          <w:szCs w:val="21"/>
        </w:rPr>
      </w:pPr>
      <w:r>
        <w:rPr>
          <w:rFonts w:ascii="宋体" w:hAnsi="宋体"/>
          <w:color w:val="000000"/>
          <w:szCs w:val="21"/>
        </w:rPr>
        <w:t>合格投标人不足3家的，不得评标。</w:t>
      </w:r>
    </w:p>
    <w:p>
      <w:pPr>
        <w:spacing w:line="380" w:lineRule="exact"/>
        <w:ind w:firstLine="422" w:firstLineChars="200"/>
        <w:rPr>
          <w:rFonts w:ascii="宋体" w:hAnsi="宋体"/>
          <w:b/>
          <w:color w:val="000000"/>
          <w:szCs w:val="21"/>
        </w:rPr>
      </w:pPr>
      <w:r>
        <w:rPr>
          <w:rFonts w:hint="eastAsia" w:ascii="宋体" w:hAnsi="宋体"/>
          <w:b/>
          <w:color w:val="000000"/>
          <w:szCs w:val="21"/>
        </w:rPr>
        <w:t>22.2</w:t>
      </w:r>
      <w:r>
        <w:rPr>
          <w:rFonts w:ascii="宋体" w:hAnsi="宋体"/>
          <w:b/>
          <w:color w:val="000000"/>
          <w:szCs w:val="21"/>
        </w:rPr>
        <w:t>采购人或者采购代理机构</w:t>
      </w:r>
      <w:r>
        <w:rPr>
          <w:rFonts w:hint="eastAsia" w:ascii="宋体" w:hAnsi="宋体"/>
          <w:b/>
          <w:color w:val="000000"/>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hint="eastAsia" w:ascii="宋体" w:hAnsi="宋体"/>
          <w:color w:val="000000"/>
          <w:szCs w:val="21"/>
        </w:rPr>
      </w:pPr>
      <w:r>
        <w:rPr>
          <w:rFonts w:hint="eastAsia" w:ascii="宋体" w:hAnsi="宋体"/>
          <w:color w:val="000000"/>
          <w:szCs w:val="21"/>
        </w:rPr>
        <w:t>查询渠道：《国家企业信用信息公示系统》（网址：</w:t>
      </w:r>
      <w:r>
        <w:fldChar w:fldCharType="begin"/>
      </w:r>
      <w:r>
        <w:instrText xml:space="preserve"> HYPERLINK "http://www.gsxt.gov.cn/index.html" </w:instrText>
      </w:r>
      <w:r>
        <w:fldChar w:fldCharType="separate"/>
      </w:r>
      <w:r>
        <w:rPr>
          <w:rFonts w:ascii="宋体" w:hAnsi="宋体"/>
          <w:color w:val="000000"/>
          <w:szCs w:val="21"/>
        </w:rPr>
        <w:t>http://www.gsxt.gov.cn/index.html</w:t>
      </w:r>
      <w:r>
        <w:rPr>
          <w:rFonts w:ascii="宋体" w:hAnsi="宋体"/>
          <w:color w:val="000000"/>
          <w:szCs w:val="21"/>
        </w:rPr>
        <w:fldChar w:fldCharType="end"/>
      </w:r>
      <w:r>
        <w:rPr>
          <w:rFonts w:hint="eastAsia" w:ascii="宋体" w:hAnsi="宋体"/>
          <w:color w:val="000000"/>
          <w:szCs w:val="21"/>
        </w:rPr>
        <w:t>）</w:t>
      </w:r>
    </w:p>
    <w:p>
      <w:pPr>
        <w:spacing w:line="380" w:lineRule="exact"/>
        <w:ind w:firstLine="420" w:firstLineChars="200"/>
        <w:rPr>
          <w:rFonts w:hint="eastAsia" w:ascii="宋体" w:hAnsi="宋体"/>
          <w:color w:val="000000"/>
          <w:szCs w:val="21"/>
        </w:rPr>
      </w:pPr>
      <w:r>
        <w:rPr>
          <w:rFonts w:hint="eastAsia" w:ascii="宋体" w:hAnsi="宋体"/>
          <w:color w:val="000000"/>
          <w:szCs w:val="21"/>
        </w:rPr>
        <w:t>审查流程：</w:t>
      </w:r>
    </w:p>
    <w:p>
      <w:pPr>
        <w:spacing w:line="380" w:lineRule="exact"/>
        <w:ind w:firstLine="420" w:firstLineChars="200"/>
        <w:rPr>
          <w:rFonts w:ascii="宋体" w:hAnsi="宋体"/>
          <w:color w:val="000000"/>
          <w:szCs w:val="21"/>
        </w:rPr>
      </w:pPr>
      <w:r>
        <w:rPr>
          <w:rFonts w:hint="eastAsia" w:ascii="宋体" w:hAnsi="宋体"/>
          <w:color w:val="000000"/>
          <w:szCs w:val="21"/>
        </w:rPr>
        <w:t>（1）进入《国家企业信用信息公示系统》（网址：</w:t>
      </w:r>
      <w:r>
        <w:rPr>
          <w:rFonts w:ascii="宋体" w:hAnsi="宋体"/>
          <w:color w:val="000000"/>
          <w:szCs w:val="21"/>
        </w:rPr>
        <w:t>http://www.gsxt.gov.cn/index.html</w:t>
      </w:r>
      <w:r>
        <w:rPr>
          <w:rFonts w:hint="eastAsia" w:ascii="宋体" w:hAnsi="宋体"/>
          <w:color w:val="000000"/>
          <w:szCs w:val="21"/>
        </w:rPr>
        <w:t>），输入企业名称，进入企业信息主页面；</w:t>
      </w:r>
    </w:p>
    <w:p>
      <w:pPr>
        <w:spacing w:line="380" w:lineRule="exact"/>
        <w:ind w:firstLine="420" w:firstLineChars="200"/>
        <w:rPr>
          <w:rFonts w:ascii="宋体" w:hAnsi="宋体"/>
          <w:color w:val="000000"/>
          <w:szCs w:val="21"/>
        </w:rPr>
      </w:pPr>
      <w:r>
        <w:rPr>
          <w:rFonts w:hint="eastAsia" w:ascii="宋体" w:hAnsi="宋体"/>
          <w:color w:val="000000"/>
          <w:szCs w:val="21"/>
        </w:rPr>
        <w:t>（2）查看主页“股东及出资信息”栏，或年报中的“股东及出资信息”栏信息；</w:t>
      </w:r>
    </w:p>
    <w:p>
      <w:pPr>
        <w:spacing w:line="380" w:lineRule="exact"/>
        <w:ind w:firstLine="420" w:firstLineChars="200"/>
        <w:rPr>
          <w:rFonts w:hint="eastAsia" w:ascii="宋体" w:hAnsi="宋体"/>
          <w:color w:val="000000"/>
          <w:szCs w:val="21"/>
        </w:rPr>
      </w:pPr>
      <w:r>
        <w:rPr>
          <w:rFonts w:hint="eastAsia" w:ascii="宋体" w:hAnsi="宋体"/>
          <w:color w:val="000000"/>
          <w:szCs w:val="21"/>
        </w:rPr>
        <w:t>（3）将各投标人的股东及出资信息进行比对，得出审查结论；</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（4）将相关资料作为评审资料打印存档。</w:t>
      </w:r>
    </w:p>
    <w:p>
      <w:pPr>
        <w:tabs>
          <w:tab w:val="center" w:pos="4411"/>
          <w:tab w:val="left" w:pos="5475"/>
        </w:tabs>
        <w:spacing w:line="380" w:lineRule="exact"/>
        <w:jc w:val="center"/>
        <w:rPr>
          <w:rFonts w:hint="eastAsia" w:ascii="宋体" w:hAnsi="宋体"/>
          <w:b/>
          <w:color w:val="000000"/>
          <w:sz w:val="28"/>
          <w:szCs w:val="28"/>
        </w:rPr>
      </w:pPr>
    </w:p>
    <w:p>
      <w:pPr>
        <w:tabs>
          <w:tab w:val="center" w:pos="4411"/>
          <w:tab w:val="left" w:pos="5475"/>
        </w:tabs>
        <w:spacing w:line="380" w:lineRule="exact"/>
        <w:jc w:val="center"/>
        <w:rPr>
          <w:rFonts w:hint="eastAsia" w:ascii="宋体" w:hAnsi="宋体"/>
          <w:b/>
          <w:color w:val="000000"/>
          <w:sz w:val="28"/>
          <w:szCs w:val="28"/>
        </w:rPr>
      </w:pPr>
      <w:r>
        <w:rPr>
          <w:rFonts w:hint="eastAsia" w:ascii="宋体" w:hAnsi="宋体"/>
          <w:b/>
          <w:color w:val="000000"/>
          <w:sz w:val="28"/>
          <w:szCs w:val="28"/>
        </w:rPr>
        <w:t>六、评标</w:t>
      </w:r>
    </w:p>
    <w:p>
      <w:pPr>
        <w:tabs>
          <w:tab w:val="center" w:pos="4411"/>
          <w:tab w:val="left" w:pos="5475"/>
        </w:tabs>
        <w:spacing w:line="380" w:lineRule="exact"/>
        <w:ind w:firstLine="422" w:firstLineChars="200"/>
        <w:jc w:val="left"/>
        <w:rPr>
          <w:rFonts w:ascii="宋体" w:hAnsi="宋体"/>
          <w:b/>
          <w:color w:val="000000"/>
          <w:szCs w:val="21"/>
        </w:rPr>
      </w:pPr>
      <w:r>
        <w:rPr>
          <w:rFonts w:hint="eastAsia" w:ascii="宋体" w:hAnsi="宋体"/>
          <w:b/>
          <w:color w:val="000000"/>
          <w:szCs w:val="21"/>
        </w:rPr>
        <w:t>23. 评标委员会组成</w:t>
      </w:r>
    </w:p>
    <w:p>
      <w:pPr>
        <w:spacing w:line="380" w:lineRule="exact"/>
        <w:ind w:firstLine="420" w:firstLineChars="200"/>
        <w:rPr>
          <w:rFonts w:hint="eastAsia" w:ascii="宋体" w:hAnsi="宋体"/>
          <w:color w:val="000000"/>
          <w:szCs w:val="21"/>
        </w:rPr>
      </w:pPr>
      <w:r>
        <w:rPr>
          <w:rFonts w:ascii="宋体" w:hAnsi="宋体"/>
          <w:color w:val="000000"/>
          <w:szCs w:val="21"/>
        </w:rPr>
        <w:t>评标委员会由采购人代表和评审专家组成，成员人数</w:t>
      </w:r>
      <w:r>
        <w:rPr>
          <w:rFonts w:hint="eastAsia" w:ascii="宋体" w:hAnsi="宋体"/>
          <w:color w:val="000000"/>
          <w:szCs w:val="21"/>
        </w:rPr>
        <w:t>共5</w:t>
      </w:r>
      <w:r>
        <w:rPr>
          <w:rFonts w:ascii="宋体" w:hAnsi="宋体"/>
          <w:color w:val="000000"/>
          <w:szCs w:val="21"/>
        </w:rPr>
        <w:t>人</w:t>
      </w:r>
      <w:r>
        <w:rPr>
          <w:rFonts w:hint="eastAsia" w:ascii="宋体" w:hAnsi="宋体"/>
          <w:color w:val="000000"/>
          <w:szCs w:val="21"/>
        </w:rPr>
        <w:t xml:space="preserve"> </w:t>
      </w:r>
      <w:r>
        <w:rPr>
          <w:rFonts w:ascii="宋体" w:hAnsi="宋体"/>
          <w:color w:val="000000"/>
          <w:szCs w:val="21"/>
        </w:rPr>
        <w:t>。</w:t>
      </w:r>
    </w:p>
    <w:p>
      <w:pPr>
        <w:tabs>
          <w:tab w:val="left" w:pos="1140"/>
        </w:tabs>
        <w:spacing w:line="380" w:lineRule="exact"/>
        <w:ind w:left="420" w:leftChars="172" w:hanging="59" w:hangingChars="28"/>
        <w:rPr>
          <w:rFonts w:ascii="宋体" w:hAnsi="宋体"/>
          <w:b/>
          <w:color w:val="000000"/>
          <w:szCs w:val="21"/>
        </w:rPr>
      </w:pPr>
      <w:r>
        <w:rPr>
          <w:rFonts w:hint="eastAsia" w:ascii="宋体" w:hAnsi="宋体"/>
          <w:b/>
          <w:color w:val="000000"/>
          <w:szCs w:val="21"/>
        </w:rPr>
        <w:t>24. 评标办法</w:t>
      </w:r>
    </w:p>
    <w:p>
      <w:pPr>
        <w:tabs>
          <w:tab w:val="left" w:pos="1140"/>
        </w:tabs>
        <w:spacing w:line="380" w:lineRule="exact"/>
        <w:ind w:firstLine="420" w:firstLineChars="200"/>
        <w:rPr>
          <w:rFonts w:hint="eastAsia" w:ascii="宋体" w:hAnsi="宋体"/>
          <w:color w:val="000000"/>
          <w:szCs w:val="21"/>
        </w:rPr>
      </w:pPr>
      <w:r>
        <w:rPr>
          <w:rFonts w:hint="eastAsia" w:ascii="宋体" w:hAnsi="宋体"/>
          <w:color w:val="000000"/>
          <w:szCs w:val="21"/>
        </w:rPr>
        <w:t>24.1评标办法：</w:t>
      </w:r>
      <w:r>
        <w:rPr>
          <w:rFonts w:hint="eastAsia" w:hAnsi="宋体" w:cs="Arial"/>
          <w:color w:val="000000"/>
          <w:kern w:val="0"/>
          <w:szCs w:val="21"/>
        </w:rPr>
        <w:t>综合评分法</w:t>
      </w:r>
      <w:r>
        <w:rPr>
          <w:rFonts w:hint="eastAsia" w:ascii="宋体" w:hAnsi="宋体"/>
          <w:color w:val="000000"/>
          <w:szCs w:val="21"/>
        </w:rPr>
        <w:t>，具体评标内容及标准详见第四章。</w:t>
      </w:r>
    </w:p>
    <w:p>
      <w:pPr>
        <w:tabs>
          <w:tab w:val="left" w:pos="1140"/>
        </w:tabs>
        <w:spacing w:line="380" w:lineRule="exact"/>
        <w:ind w:firstLine="420" w:firstLineChars="200"/>
        <w:rPr>
          <w:rFonts w:hint="eastAsia" w:ascii="宋体" w:hAnsi="宋体"/>
          <w:color w:val="000000"/>
        </w:rPr>
      </w:pPr>
      <w:r>
        <w:rPr>
          <w:rFonts w:hint="eastAsia" w:ascii="宋体" w:hAnsi="宋体"/>
          <w:color w:val="000000"/>
          <w:szCs w:val="21"/>
        </w:rPr>
        <w:t>24.2评标委员会应按招标文件进行评标，不得擅自更改评标办法。</w:t>
      </w:r>
      <w:r>
        <w:rPr>
          <w:rFonts w:hint="eastAsia" w:ascii="宋体" w:hAnsi="宋体"/>
          <w:color w:val="000000"/>
        </w:rPr>
        <w:t>　　　　　　　　　　　　　　　　　　　　　　　　　　　　　　　　　　　　　　　　　　　　　　　　　　　　　　　　　　</w:t>
      </w:r>
    </w:p>
    <w:p>
      <w:pPr>
        <w:tabs>
          <w:tab w:val="left" w:pos="1140"/>
        </w:tabs>
        <w:spacing w:line="380" w:lineRule="exact"/>
        <w:ind w:firstLine="422" w:firstLineChars="200"/>
        <w:rPr>
          <w:rFonts w:hint="eastAsia" w:ascii="宋体" w:hAnsi="宋体"/>
          <w:b/>
          <w:color w:val="000000"/>
          <w:szCs w:val="21"/>
        </w:rPr>
      </w:pPr>
      <w:r>
        <w:rPr>
          <w:rFonts w:hint="eastAsia" w:ascii="宋体" w:hAnsi="宋体"/>
          <w:b/>
          <w:color w:val="000000"/>
          <w:szCs w:val="21"/>
        </w:rPr>
        <w:t>25. 评标</w:t>
      </w:r>
    </w:p>
    <w:p>
      <w:pPr>
        <w:spacing w:line="380" w:lineRule="exact"/>
        <w:ind w:firstLine="420" w:firstLineChars="200"/>
        <w:rPr>
          <w:rFonts w:hint="eastAsia" w:ascii="宋体" w:hAnsi="宋体"/>
          <w:color w:val="000000"/>
          <w:szCs w:val="21"/>
        </w:rPr>
      </w:pPr>
      <w:r>
        <w:rPr>
          <w:rFonts w:hint="eastAsia" w:ascii="宋体" w:hAnsi="宋体"/>
          <w:color w:val="000000"/>
          <w:szCs w:val="21"/>
        </w:rPr>
        <w:t>25.1采购代理机构负责评标组织工作；宣布评标工作纪律，</w:t>
      </w:r>
      <w:r>
        <w:rPr>
          <w:rFonts w:ascii="宋体" w:hAnsi="宋体"/>
          <w:color w:val="000000"/>
          <w:szCs w:val="21"/>
        </w:rPr>
        <w:t>公布投标人名单，告知评</w:t>
      </w:r>
      <w:r>
        <w:rPr>
          <w:rFonts w:hint="eastAsia" w:ascii="宋体" w:hAnsi="宋体"/>
          <w:color w:val="000000"/>
          <w:szCs w:val="21"/>
        </w:rPr>
        <w:t>标</w:t>
      </w:r>
      <w:r>
        <w:rPr>
          <w:rFonts w:ascii="宋体" w:hAnsi="宋体"/>
          <w:color w:val="000000"/>
          <w:szCs w:val="21"/>
        </w:rPr>
        <w:t>专家应当回避的情形</w:t>
      </w:r>
      <w:r>
        <w:rPr>
          <w:rFonts w:hint="eastAsia" w:ascii="宋体" w:hAnsi="宋体"/>
          <w:color w:val="000000"/>
          <w:szCs w:val="21"/>
        </w:rPr>
        <w:t>，</w:t>
      </w:r>
      <w:r>
        <w:rPr>
          <w:rFonts w:ascii="宋体" w:hAnsi="宋体"/>
          <w:color w:val="000000"/>
          <w:szCs w:val="21"/>
        </w:rPr>
        <w:t>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w:t>
      </w:r>
      <w:r>
        <w:rPr>
          <w:rFonts w:hint="eastAsia" w:ascii="宋体" w:hAnsi="宋体"/>
          <w:color w:val="000000"/>
          <w:szCs w:val="21"/>
        </w:rPr>
        <w:t>标</w:t>
      </w:r>
      <w:r>
        <w:rPr>
          <w:rFonts w:ascii="宋体" w:hAnsi="宋体"/>
          <w:color w:val="000000"/>
          <w:szCs w:val="21"/>
        </w:rPr>
        <w:t>专家的倾向性言论或者违法违规行为；核对评标结果，有</w:t>
      </w:r>
      <w:r>
        <w:rPr>
          <w:rFonts w:hint="eastAsia" w:ascii="宋体" w:hAnsi="宋体"/>
          <w:color w:val="000000"/>
          <w:szCs w:val="21"/>
        </w:rPr>
        <w:t>投标无效</w:t>
      </w:r>
      <w:r>
        <w:rPr>
          <w:rFonts w:ascii="宋体" w:hAnsi="宋体"/>
          <w:color w:val="000000"/>
          <w:szCs w:val="21"/>
        </w:rPr>
        <w:t>情形的，要求评标委员会复核或者书面说明理由，评标委员会拒绝的，应予记录并向本级财政部门报告；评</w:t>
      </w:r>
      <w:r>
        <w:rPr>
          <w:rFonts w:hint="eastAsia" w:ascii="宋体" w:hAnsi="宋体"/>
          <w:color w:val="000000"/>
          <w:szCs w:val="21"/>
        </w:rPr>
        <w:t>标</w:t>
      </w:r>
      <w:r>
        <w:rPr>
          <w:rFonts w:ascii="宋体" w:hAnsi="宋体"/>
          <w:color w:val="000000"/>
          <w:szCs w:val="21"/>
        </w:rPr>
        <w:t>工作完成后，按照规定向评</w:t>
      </w:r>
      <w:r>
        <w:rPr>
          <w:rFonts w:hint="eastAsia" w:ascii="宋体" w:hAnsi="宋体"/>
          <w:color w:val="000000"/>
          <w:szCs w:val="21"/>
        </w:rPr>
        <w:t>标</w:t>
      </w:r>
      <w:r>
        <w:rPr>
          <w:rFonts w:ascii="宋体" w:hAnsi="宋体"/>
          <w:color w:val="000000"/>
          <w:szCs w:val="21"/>
        </w:rPr>
        <w:t>专家支付劳务报酬和异地评审差旅费，不得向评</w:t>
      </w:r>
      <w:r>
        <w:rPr>
          <w:rFonts w:hint="eastAsia" w:ascii="宋体" w:hAnsi="宋体"/>
          <w:color w:val="000000"/>
          <w:szCs w:val="21"/>
        </w:rPr>
        <w:t>标</w:t>
      </w:r>
      <w:r>
        <w:rPr>
          <w:rFonts w:ascii="宋体" w:hAnsi="宋体"/>
          <w:color w:val="000000"/>
          <w:szCs w:val="21"/>
        </w:rPr>
        <w:t>专家以外的其他人员支付评审劳务报酬；</w:t>
      </w:r>
    </w:p>
    <w:p>
      <w:pPr>
        <w:pStyle w:val="26"/>
        <w:shd w:val="clear" w:color="auto" w:fill="FFFFFF"/>
        <w:spacing w:before="0" w:beforeAutospacing="0" w:after="0" w:afterAutospacing="0" w:line="348" w:lineRule="atLeast"/>
        <w:ind w:firstLine="420" w:firstLineChars="200"/>
        <w:rPr>
          <w:rFonts w:hint="eastAsia" w:cs="Times New Roman"/>
          <w:color w:val="000000"/>
          <w:kern w:val="2"/>
          <w:sz w:val="21"/>
          <w:szCs w:val="21"/>
        </w:rPr>
      </w:pPr>
      <w:r>
        <w:rPr>
          <w:rFonts w:hint="eastAsia" w:cs="Times New Roman"/>
          <w:color w:val="000000"/>
          <w:kern w:val="2"/>
          <w:sz w:val="21"/>
          <w:szCs w:val="21"/>
        </w:rPr>
        <w:t>25.2评标委员会负责具体评标事务；</w:t>
      </w:r>
      <w:r>
        <w:rPr>
          <w:rFonts w:cs="Times New Roman"/>
          <w:color w:val="000000"/>
          <w:kern w:val="2"/>
          <w:sz w:val="21"/>
          <w:szCs w:val="21"/>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26"/>
        <w:shd w:val="clear" w:color="auto" w:fill="FFFFFF"/>
        <w:spacing w:before="0" w:beforeAutospacing="0" w:after="0" w:afterAutospacing="0" w:line="348" w:lineRule="atLeast"/>
        <w:ind w:firstLine="420" w:firstLineChars="200"/>
        <w:rPr>
          <w:rFonts w:cs="Times New Roman"/>
          <w:color w:val="000000"/>
          <w:kern w:val="2"/>
          <w:sz w:val="21"/>
          <w:szCs w:val="21"/>
        </w:rPr>
      </w:pPr>
      <w:r>
        <w:rPr>
          <w:rFonts w:hint="eastAsia" w:cs="Times New Roman"/>
          <w:color w:val="000000"/>
          <w:kern w:val="2"/>
          <w:sz w:val="21"/>
          <w:szCs w:val="21"/>
        </w:rPr>
        <w:t>25.3在评标过程中，评标委员会任何人不得对某个投标人发表任何倾向性意见，不得向其他专家评委明示或者暗示自己的评审意见。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hint="eastAsia" w:ascii="宋体" w:hAnsi="宋体"/>
          <w:color w:val="000000"/>
          <w:szCs w:val="21"/>
        </w:rPr>
      </w:pPr>
      <w:r>
        <w:rPr>
          <w:rFonts w:hint="eastAsia" w:ascii="宋体" w:hAnsi="宋体"/>
          <w:color w:val="000000"/>
          <w:szCs w:val="21"/>
        </w:rPr>
        <w:t>25.4</w:t>
      </w:r>
      <w:r>
        <w:rPr>
          <w:rFonts w:ascii="宋体" w:hAnsi="宋体"/>
          <w:color w:val="000000"/>
          <w:szCs w:val="21"/>
        </w:rPr>
        <w:t>评标委员会应当对符合资格的投标人的投标文件进行符合性审查，以确定其是否满足招标文件的实质性要求。</w:t>
      </w:r>
    </w:p>
    <w:p>
      <w:pPr>
        <w:tabs>
          <w:tab w:val="left" w:pos="1140"/>
        </w:tabs>
        <w:spacing w:line="380" w:lineRule="exact"/>
        <w:ind w:firstLine="420" w:firstLineChars="200"/>
        <w:rPr>
          <w:rFonts w:hint="eastAsia" w:ascii="宋体" w:hAnsi="宋体"/>
          <w:color w:val="000000"/>
          <w:szCs w:val="21"/>
        </w:rPr>
      </w:pPr>
      <w:r>
        <w:rPr>
          <w:rFonts w:hint="eastAsia" w:ascii="宋体" w:hAnsi="宋体"/>
          <w:color w:val="000000"/>
          <w:szCs w:val="21"/>
        </w:rPr>
        <w:t>25.5</w:t>
      </w:r>
      <w:r>
        <w:rPr>
          <w:rFonts w:ascii="宋体" w:hAnsi="宋体"/>
          <w:color w:val="000000"/>
          <w:szCs w:val="21"/>
        </w:rPr>
        <w:t>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hint="eastAsia" w:ascii="宋体" w:hAnsi="宋体"/>
          <w:color w:val="000000"/>
          <w:szCs w:val="21"/>
        </w:rPr>
      </w:pPr>
      <w:r>
        <w:rPr>
          <w:rFonts w:ascii="宋体" w:hAnsi="宋体"/>
          <w:color w:val="00000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20"/>
        <w:spacing w:line="380" w:lineRule="exact"/>
        <w:ind w:firstLine="411" w:firstLineChars="196"/>
        <w:rPr>
          <w:rFonts w:hint="eastAsia" w:hAnsi="宋体"/>
          <w:color w:val="000000"/>
          <w:szCs w:val="21"/>
        </w:rPr>
      </w:pPr>
      <w:r>
        <w:rPr>
          <w:rFonts w:hint="eastAsia" w:hAnsi="宋体"/>
          <w:color w:val="000000"/>
          <w:szCs w:val="21"/>
        </w:rPr>
        <w:t>25.6</w:t>
      </w:r>
      <w:r>
        <w:rPr>
          <w:rFonts w:hAnsi="宋体"/>
          <w:color w:val="000000"/>
          <w:szCs w:val="21"/>
        </w:rPr>
        <w:t>评标委员会应当按照招标文件中规定的评标方法和标准，对符合性审查合格的投标文件进行商务和技术评估，综合比较与评价。</w:t>
      </w:r>
    </w:p>
    <w:p>
      <w:pPr>
        <w:pStyle w:val="26"/>
        <w:shd w:val="clear" w:color="auto" w:fill="FFFFFF"/>
        <w:spacing w:before="0" w:beforeAutospacing="0" w:after="0" w:afterAutospacing="0" w:line="348" w:lineRule="atLeast"/>
        <w:ind w:firstLine="420" w:firstLineChars="200"/>
        <w:rPr>
          <w:rFonts w:cs="Times New Roman"/>
          <w:color w:val="000000"/>
          <w:kern w:val="2"/>
          <w:sz w:val="21"/>
          <w:szCs w:val="21"/>
        </w:rPr>
      </w:pPr>
      <w:r>
        <w:rPr>
          <w:rFonts w:hint="eastAsia" w:cs="Times New Roman"/>
          <w:color w:val="000000"/>
          <w:kern w:val="2"/>
          <w:sz w:val="21"/>
          <w:szCs w:val="21"/>
        </w:rPr>
        <w:t>25.7</w:t>
      </w:r>
      <w:r>
        <w:rPr>
          <w:rFonts w:cs="Times New Roman"/>
          <w:color w:val="000000"/>
          <w:kern w:val="2"/>
          <w:sz w:val="21"/>
          <w:szCs w:val="21"/>
        </w:rPr>
        <w:t>投标文件报价出现前后不一致的，除招标文件另有规定外，按照下列规定修正：</w:t>
      </w:r>
    </w:p>
    <w:p>
      <w:pPr>
        <w:pStyle w:val="26"/>
        <w:shd w:val="clear" w:color="auto" w:fill="FFFFFF"/>
        <w:spacing w:before="0" w:beforeAutospacing="0" w:after="0" w:afterAutospacing="0" w:line="348" w:lineRule="atLeast"/>
        <w:rPr>
          <w:rFonts w:cs="Times New Roman"/>
          <w:color w:val="000000"/>
          <w:kern w:val="2"/>
          <w:sz w:val="21"/>
          <w:szCs w:val="21"/>
        </w:rPr>
      </w:pPr>
      <w:r>
        <w:rPr>
          <w:rFonts w:cs="Times New Roman"/>
          <w:color w:val="000000"/>
          <w:kern w:val="2"/>
          <w:sz w:val="21"/>
          <w:szCs w:val="21"/>
        </w:rPr>
        <w:t>　　（</w:t>
      </w:r>
      <w:r>
        <w:rPr>
          <w:rFonts w:hint="eastAsia" w:cs="Times New Roman"/>
          <w:color w:val="000000"/>
          <w:kern w:val="2"/>
          <w:sz w:val="21"/>
          <w:szCs w:val="21"/>
        </w:rPr>
        <w:t>1</w:t>
      </w:r>
      <w:r>
        <w:rPr>
          <w:rFonts w:cs="Times New Roman"/>
          <w:color w:val="000000"/>
          <w:kern w:val="2"/>
          <w:sz w:val="21"/>
          <w:szCs w:val="21"/>
        </w:rPr>
        <w:t>）投标文件中</w:t>
      </w:r>
      <w:r>
        <w:rPr>
          <w:rFonts w:hint="eastAsia" w:cs="Times New Roman"/>
          <w:color w:val="000000"/>
          <w:kern w:val="2"/>
          <w:sz w:val="21"/>
          <w:szCs w:val="21"/>
        </w:rPr>
        <w:t>投标报价表</w:t>
      </w:r>
      <w:r>
        <w:rPr>
          <w:rFonts w:cs="Times New Roman"/>
          <w:color w:val="000000"/>
          <w:kern w:val="2"/>
          <w:sz w:val="21"/>
          <w:szCs w:val="21"/>
        </w:rPr>
        <w:t>内容与投标文件中相应内容不一致的，以</w:t>
      </w:r>
      <w:r>
        <w:rPr>
          <w:rFonts w:hint="eastAsia" w:cs="Times New Roman"/>
          <w:color w:val="000000"/>
          <w:kern w:val="2"/>
          <w:sz w:val="21"/>
          <w:szCs w:val="21"/>
        </w:rPr>
        <w:t>投标报价表</w:t>
      </w:r>
      <w:r>
        <w:rPr>
          <w:rFonts w:cs="Times New Roman"/>
          <w:color w:val="000000"/>
          <w:kern w:val="2"/>
          <w:sz w:val="21"/>
          <w:szCs w:val="21"/>
        </w:rPr>
        <w:t>为准；</w:t>
      </w:r>
    </w:p>
    <w:p>
      <w:pPr>
        <w:pStyle w:val="26"/>
        <w:shd w:val="clear" w:color="auto" w:fill="FFFFFF"/>
        <w:spacing w:before="0" w:beforeAutospacing="0" w:after="0" w:afterAutospacing="0" w:line="348" w:lineRule="atLeast"/>
        <w:rPr>
          <w:rFonts w:cs="Times New Roman"/>
          <w:color w:val="000000"/>
          <w:kern w:val="2"/>
          <w:sz w:val="21"/>
          <w:szCs w:val="21"/>
        </w:rPr>
      </w:pPr>
      <w:r>
        <w:rPr>
          <w:rFonts w:cs="Times New Roman"/>
          <w:color w:val="000000"/>
          <w:kern w:val="2"/>
          <w:sz w:val="21"/>
          <w:szCs w:val="21"/>
        </w:rPr>
        <w:t>　　（</w:t>
      </w:r>
      <w:r>
        <w:rPr>
          <w:rFonts w:hint="eastAsia" w:cs="Times New Roman"/>
          <w:color w:val="000000"/>
          <w:kern w:val="2"/>
          <w:sz w:val="21"/>
          <w:szCs w:val="21"/>
        </w:rPr>
        <w:t>2</w:t>
      </w:r>
      <w:r>
        <w:rPr>
          <w:rFonts w:cs="Times New Roman"/>
          <w:color w:val="000000"/>
          <w:kern w:val="2"/>
          <w:sz w:val="21"/>
          <w:szCs w:val="21"/>
        </w:rPr>
        <w:t>）大写金额和小写金额不一致的，以大写金额为准；</w:t>
      </w:r>
    </w:p>
    <w:p>
      <w:pPr>
        <w:pStyle w:val="26"/>
        <w:shd w:val="clear" w:color="auto" w:fill="FFFFFF"/>
        <w:spacing w:before="0" w:beforeAutospacing="0" w:after="0" w:afterAutospacing="0" w:line="348" w:lineRule="atLeast"/>
        <w:rPr>
          <w:rFonts w:cs="Times New Roman"/>
          <w:color w:val="000000"/>
          <w:kern w:val="2"/>
          <w:sz w:val="21"/>
          <w:szCs w:val="21"/>
        </w:rPr>
      </w:pPr>
      <w:r>
        <w:rPr>
          <w:rFonts w:cs="Times New Roman"/>
          <w:color w:val="000000"/>
          <w:kern w:val="2"/>
          <w:sz w:val="21"/>
          <w:szCs w:val="21"/>
        </w:rPr>
        <w:t>　　（</w:t>
      </w:r>
      <w:r>
        <w:rPr>
          <w:rFonts w:hint="eastAsia" w:cs="Times New Roman"/>
          <w:color w:val="000000"/>
          <w:kern w:val="2"/>
          <w:sz w:val="21"/>
          <w:szCs w:val="21"/>
        </w:rPr>
        <w:t>3</w:t>
      </w:r>
      <w:r>
        <w:rPr>
          <w:rFonts w:cs="Times New Roman"/>
          <w:color w:val="000000"/>
          <w:kern w:val="2"/>
          <w:sz w:val="21"/>
          <w:szCs w:val="21"/>
        </w:rPr>
        <w:t>）单价金额小数点或者百分比有明显错位的，以</w:t>
      </w:r>
      <w:r>
        <w:rPr>
          <w:rFonts w:hint="eastAsia" w:cs="Times New Roman"/>
          <w:color w:val="000000"/>
          <w:kern w:val="2"/>
          <w:sz w:val="21"/>
          <w:szCs w:val="21"/>
        </w:rPr>
        <w:t>报价</w:t>
      </w:r>
      <w:r>
        <w:rPr>
          <w:rFonts w:cs="Times New Roman"/>
          <w:color w:val="000000"/>
          <w:kern w:val="2"/>
          <w:sz w:val="21"/>
          <w:szCs w:val="21"/>
        </w:rPr>
        <w:t>表的总价为准，并修改单价；</w:t>
      </w:r>
    </w:p>
    <w:p>
      <w:pPr>
        <w:pStyle w:val="26"/>
        <w:shd w:val="clear" w:color="auto" w:fill="FFFFFF"/>
        <w:spacing w:before="0" w:beforeAutospacing="0" w:after="0" w:afterAutospacing="0" w:line="348" w:lineRule="atLeast"/>
        <w:rPr>
          <w:rFonts w:cs="Times New Roman"/>
          <w:color w:val="000000"/>
          <w:kern w:val="2"/>
          <w:sz w:val="21"/>
          <w:szCs w:val="21"/>
        </w:rPr>
      </w:pPr>
      <w:r>
        <w:rPr>
          <w:rFonts w:cs="Times New Roman"/>
          <w:color w:val="000000"/>
          <w:kern w:val="2"/>
          <w:sz w:val="21"/>
          <w:szCs w:val="21"/>
        </w:rPr>
        <w:t>　　（</w:t>
      </w:r>
      <w:r>
        <w:rPr>
          <w:rFonts w:hint="eastAsia" w:cs="Times New Roman"/>
          <w:color w:val="000000"/>
          <w:kern w:val="2"/>
          <w:sz w:val="21"/>
          <w:szCs w:val="21"/>
        </w:rPr>
        <w:t>4</w:t>
      </w:r>
      <w:r>
        <w:rPr>
          <w:rFonts w:cs="Times New Roman"/>
          <w:color w:val="000000"/>
          <w:kern w:val="2"/>
          <w:sz w:val="21"/>
          <w:szCs w:val="21"/>
        </w:rPr>
        <w:t>）总价金额与按单价汇总金额不一致的，以单价金额计算结果为准。</w:t>
      </w:r>
    </w:p>
    <w:p>
      <w:pPr>
        <w:pStyle w:val="26"/>
        <w:shd w:val="clear" w:color="auto" w:fill="FFFFFF"/>
        <w:spacing w:before="0" w:beforeAutospacing="0" w:after="0" w:afterAutospacing="0" w:line="348" w:lineRule="atLeast"/>
        <w:rPr>
          <w:rFonts w:cs="Times New Roman"/>
          <w:color w:val="000000"/>
          <w:kern w:val="2"/>
          <w:sz w:val="21"/>
          <w:szCs w:val="21"/>
        </w:rPr>
      </w:pPr>
      <w:r>
        <w:rPr>
          <w:rFonts w:cs="Times New Roman"/>
          <w:color w:val="000000"/>
          <w:kern w:val="2"/>
          <w:sz w:val="21"/>
          <w:szCs w:val="21"/>
        </w:rPr>
        <w:t>　　同时出现两种以上不一致的，按照前款规定的顺序修正。修正后的报价</w:t>
      </w:r>
      <w:r>
        <w:rPr>
          <w:rFonts w:hint="eastAsia" w:cs="Times New Roman"/>
          <w:color w:val="000000"/>
          <w:kern w:val="2"/>
          <w:sz w:val="21"/>
          <w:szCs w:val="21"/>
        </w:rPr>
        <w:t>（</w:t>
      </w:r>
      <w:r>
        <w:rPr>
          <w:rFonts w:cs="Times New Roman"/>
          <w:color w:val="000000"/>
          <w:kern w:val="2"/>
          <w:sz w:val="21"/>
          <w:szCs w:val="21"/>
        </w:rPr>
        <w:t>不得超出投标文件的范围或者改变投标文件的实质性内容</w:t>
      </w:r>
      <w:r>
        <w:rPr>
          <w:rFonts w:hint="eastAsia" w:cs="Times New Roman"/>
          <w:color w:val="000000"/>
          <w:kern w:val="2"/>
          <w:sz w:val="21"/>
          <w:szCs w:val="21"/>
        </w:rPr>
        <w:t>）</w:t>
      </w:r>
      <w:r>
        <w:rPr>
          <w:rFonts w:cs="Times New Roman"/>
          <w:color w:val="000000"/>
          <w:kern w:val="2"/>
          <w:sz w:val="21"/>
          <w:szCs w:val="21"/>
        </w:rPr>
        <w:t>经投标人确认后产生约束力，投标人不确认的，其投标无效。</w:t>
      </w:r>
    </w:p>
    <w:p>
      <w:pPr>
        <w:pStyle w:val="20"/>
        <w:spacing w:line="380" w:lineRule="exact"/>
        <w:ind w:firstLine="411" w:firstLineChars="196"/>
        <w:rPr>
          <w:rFonts w:hint="eastAsia" w:hAnsi="宋体"/>
          <w:color w:val="000000"/>
          <w:szCs w:val="21"/>
        </w:rPr>
      </w:pPr>
      <w:r>
        <w:rPr>
          <w:rFonts w:hint="eastAsia" w:hAnsi="宋体"/>
          <w:color w:val="000000"/>
          <w:szCs w:val="21"/>
        </w:rPr>
        <w:t>25.8</w:t>
      </w:r>
      <w:r>
        <w:rPr>
          <w:rFonts w:hAnsi="宋体"/>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0"/>
        <w:spacing w:line="380" w:lineRule="exact"/>
        <w:ind w:firstLine="411" w:firstLineChars="196"/>
        <w:rPr>
          <w:rFonts w:hint="eastAsia" w:hAnsi="宋体"/>
          <w:color w:val="000000"/>
          <w:szCs w:val="21"/>
        </w:rPr>
      </w:pPr>
      <w:r>
        <w:rPr>
          <w:rFonts w:hint="eastAsia" w:hAnsi="宋体"/>
          <w:color w:val="000000"/>
          <w:szCs w:val="21"/>
        </w:rPr>
        <w:t>25.9</w:t>
      </w:r>
      <w:r>
        <w:rPr>
          <w:rFonts w:hAnsi="宋体"/>
          <w:color w:val="000000"/>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25.10</w:t>
      </w:r>
      <w:r>
        <w:rPr>
          <w:rFonts w:ascii="宋体" w:hAnsi="宋体"/>
          <w:color w:val="000000"/>
          <w:szCs w:val="21"/>
        </w:rPr>
        <w:t>评标结果汇总完成后，除下列情形外，任何人不得修改评标结果：</w:t>
      </w:r>
    </w:p>
    <w:p>
      <w:pPr>
        <w:snapToGrid w:val="0"/>
        <w:spacing w:line="360" w:lineRule="exact"/>
        <w:ind w:firstLine="420" w:firstLineChars="200"/>
        <w:rPr>
          <w:rFonts w:ascii="宋体" w:hAnsi="宋体"/>
          <w:color w:val="000000"/>
          <w:szCs w:val="21"/>
        </w:rPr>
      </w:pPr>
      <w:r>
        <w:rPr>
          <w:rFonts w:ascii="宋体" w:hAnsi="宋体"/>
          <w:color w:val="000000"/>
          <w:szCs w:val="21"/>
        </w:rPr>
        <w:t>　　（一）分值汇总计算错误的；</w:t>
      </w:r>
    </w:p>
    <w:p>
      <w:pPr>
        <w:snapToGrid w:val="0"/>
        <w:spacing w:line="360" w:lineRule="exact"/>
        <w:ind w:firstLine="420" w:firstLineChars="200"/>
        <w:rPr>
          <w:rFonts w:ascii="宋体" w:hAnsi="宋体"/>
          <w:color w:val="000000"/>
          <w:szCs w:val="21"/>
        </w:rPr>
      </w:pPr>
      <w:r>
        <w:rPr>
          <w:rFonts w:ascii="宋体" w:hAnsi="宋体"/>
          <w:color w:val="000000"/>
          <w:szCs w:val="21"/>
        </w:rPr>
        <w:t>　　（二）分项评分超出评分标准范围的；</w:t>
      </w:r>
    </w:p>
    <w:p>
      <w:pPr>
        <w:snapToGrid w:val="0"/>
        <w:spacing w:line="360" w:lineRule="exact"/>
        <w:ind w:firstLine="420" w:firstLineChars="200"/>
        <w:rPr>
          <w:rFonts w:ascii="宋体" w:hAnsi="宋体"/>
          <w:color w:val="000000"/>
          <w:szCs w:val="21"/>
        </w:rPr>
      </w:pPr>
      <w:r>
        <w:rPr>
          <w:rFonts w:ascii="宋体" w:hAnsi="宋体"/>
          <w:color w:val="000000"/>
          <w:szCs w:val="21"/>
        </w:rPr>
        <w:t>　　（三）评标委员会成员对客观评审因素评分不一致的；</w:t>
      </w:r>
    </w:p>
    <w:p>
      <w:pPr>
        <w:snapToGrid w:val="0"/>
        <w:spacing w:line="360" w:lineRule="exact"/>
        <w:ind w:firstLine="420" w:firstLineChars="200"/>
        <w:rPr>
          <w:rFonts w:ascii="宋体" w:hAnsi="宋体"/>
          <w:color w:val="000000"/>
          <w:szCs w:val="21"/>
        </w:rPr>
      </w:pPr>
      <w:r>
        <w:rPr>
          <w:rFonts w:ascii="宋体" w:hAnsi="宋体"/>
          <w:color w:val="000000"/>
          <w:szCs w:val="21"/>
        </w:rPr>
        <w:t>　　（四）经评标委员会认定评分畸高、畸低的。</w:t>
      </w:r>
    </w:p>
    <w:p>
      <w:pPr>
        <w:snapToGrid w:val="0"/>
        <w:spacing w:line="360" w:lineRule="exact"/>
        <w:ind w:firstLine="420" w:firstLineChars="200"/>
        <w:rPr>
          <w:rFonts w:hint="eastAsia" w:ascii="宋体" w:hAnsi="宋体"/>
          <w:color w:val="000000"/>
          <w:szCs w:val="21"/>
        </w:rPr>
      </w:pPr>
      <w:r>
        <w:rPr>
          <w:rFonts w:ascii="宋体" w:hAnsi="宋体"/>
          <w:color w:val="000000"/>
          <w:szCs w:val="21"/>
        </w:rPr>
        <w:t>评标报告签署前，经复核发现存在以上情形之一的，评标委员会应当当场修改评标结果，并在评标</w:t>
      </w:r>
    </w:p>
    <w:p>
      <w:pPr>
        <w:snapToGrid w:val="0"/>
        <w:spacing w:line="360" w:lineRule="exact"/>
        <w:rPr>
          <w:rFonts w:ascii="宋体" w:hAnsi="宋体"/>
          <w:color w:val="000000"/>
          <w:szCs w:val="21"/>
        </w:rPr>
      </w:pPr>
      <w:r>
        <w:rPr>
          <w:rFonts w:ascii="宋体" w:hAnsi="宋体"/>
          <w:color w:val="000000"/>
          <w:szCs w:val="21"/>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olor w:val="000000"/>
          <w:szCs w:val="21"/>
        </w:rPr>
      </w:pPr>
      <w:r>
        <w:rPr>
          <w:rFonts w:ascii="宋体" w:hAnsi="宋体"/>
          <w:color w:val="000000"/>
          <w:szCs w:val="21"/>
        </w:rPr>
        <w:t>投标人对本条第一款情形提出质疑的，采购人或者采购代理机构可以组织原评标委员会进行重新评审，重新评审改变评标结果的，应当书面报告本级财政部门。</w:t>
      </w:r>
    </w:p>
    <w:p>
      <w:pPr>
        <w:pStyle w:val="20"/>
        <w:spacing w:line="380" w:lineRule="exact"/>
        <w:ind w:firstLine="411" w:firstLineChars="196"/>
        <w:rPr>
          <w:rFonts w:hint="eastAsia" w:hAnsi="宋体"/>
          <w:color w:val="000000"/>
          <w:szCs w:val="21"/>
        </w:rPr>
      </w:pPr>
      <w:r>
        <w:rPr>
          <w:rFonts w:hint="eastAsia" w:hAnsi="宋体"/>
          <w:color w:val="000000"/>
          <w:szCs w:val="21"/>
        </w:rPr>
        <w:t>25.11采购代理机构发现评标委员会有明显的违规倾向或歧视现象，或不按评标办法进行，或其他不正常行为的，应当及时制止。如制止无效，应及时向桂林市政府采购监督管理机构报告。</w:t>
      </w:r>
    </w:p>
    <w:p>
      <w:pPr>
        <w:pStyle w:val="20"/>
        <w:tabs>
          <w:tab w:val="left" w:pos="4214"/>
        </w:tabs>
        <w:spacing w:line="380" w:lineRule="exact"/>
        <w:ind w:firstLine="422" w:firstLineChars="200"/>
        <w:rPr>
          <w:rFonts w:hint="eastAsia" w:hAnsi="宋体"/>
          <w:b/>
          <w:color w:val="000000"/>
        </w:rPr>
      </w:pPr>
      <w:r>
        <w:rPr>
          <w:rFonts w:hint="eastAsia" w:hAnsi="宋体"/>
          <w:b/>
          <w:color w:val="000000"/>
        </w:rPr>
        <w:t>26</w:t>
      </w:r>
      <w:r>
        <w:rPr>
          <w:rFonts w:hint="eastAsia" w:hAnsi="宋体"/>
          <w:color w:val="000000"/>
        </w:rPr>
        <w:t xml:space="preserve">. </w:t>
      </w:r>
      <w:r>
        <w:rPr>
          <w:rFonts w:hint="eastAsia" w:hAnsi="宋体"/>
          <w:b/>
          <w:color w:val="000000"/>
        </w:rPr>
        <w:t>推荐及确定中标候选供应商原则</w:t>
      </w:r>
    </w:p>
    <w:p>
      <w:pPr>
        <w:pStyle w:val="20"/>
        <w:tabs>
          <w:tab w:val="left" w:pos="4214"/>
        </w:tabs>
        <w:spacing w:line="380" w:lineRule="exact"/>
        <w:ind w:firstLine="420" w:firstLineChars="200"/>
        <w:rPr>
          <w:rFonts w:hint="eastAsia" w:hAnsi="宋体"/>
          <w:color w:val="000000"/>
          <w:szCs w:val="21"/>
        </w:rPr>
      </w:pPr>
      <w:r>
        <w:rPr>
          <w:rFonts w:hint="eastAsia" w:hAnsi="宋体"/>
          <w:color w:val="000000"/>
          <w:szCs w:val="21"/>
        </w:rPr>
        <w:t>（1）评标委员会根据综合得分由高到低排列次序，若得分相同时，按评标价由低到高顺序排列；得分相同且评标价也相同的由评标委员会按照抽签的方式决定排次次序</w:t>
      </w:r>
      <w:r>
        <w:rPr>
          <w:rFonts w:hAnsi="宋体" w:cs="Arial"/>
          <w:color w:val="000000"/>
          <w:sz w:val="22"/>
          <w:szCs w:val="22"/>
        </w:rPr>
        <w:t>。</w:t>
      </w:r>
    </w:p>
    <w:p>
      <w:pPr>
        <w:pStyle w:val="20"/>
        <w:tabs>
          <w:tab w:val="left" w:pos="4214"/>
        </w:tabs>
        <w:spacing w:line="380" w:lineRule="exact"/>
        <w:ind w:firstLine="420" w:firstLineChars="200"/>
        <w:rPr>
          <w:rFonts w:hint="eastAsia" w:hAnsi="宋体"/>
          <w:color w:val="000000"/>
          <w:szCs w:val="21"/>
        </w:rPr>
      </w:pPr>
      <w:r>
        <w:rPr>
          <w:rFonts w:hint="eastAsia" w:hAnsi="宋体"/>
          <w:color w:val="000000"/>
          <w:szCs w:val="21"/>
        </w:rPr>
        <w:t>（2）评标委员会可推荐前三名为中标候选人，采购人应当确定评标委员会推荐排名第一的中标候选人为中标人。</w:t>
      </w:r>
    </w:p>
    <w:p>
      <w:pPr>
        <w:pStyle w:val="20"/>
        <w:spacing w:line="380" w:lineRule="exact"/>
        <w:ind w:firstLine="447" w:firstLineChars="213"/>
        <w:rPr>
          <w:rFonts w:hint="eastAsia" w:hAnsi="宋体"/>
          <w:color w:val="000000"/>
          <w:szCs w:val="21"/>
        </w:rPr>
      </w:pPr>
      <w:r>
        <w:rPr>
          <w:rFonts w:hint="eastAsia" w:hAnsi="宋体"/>
          <w:color w:val="000000"/>
          <w:szCs w:val="21"/>
        </w:rPr>
        <w:t>（3）排名第一的中标候选人放弃中标、因不可抗力提出不能履行合同或因失信行为被取消中标候选人资格的，采购人可以确定排名第二的中标候选人为中标人，并依此类推。</w:t>
      </w:r>
    </w:p>
    <w:p>
      <w:pPr>
        <w:snapToGrid w:val="0"/>
        <w:spacing w:line="380" w:lineRule="exact"/>
        <w:ind w:firstLine="422" w:firstLineChars="200"/>
        <w:outlineLvl w:val="4"/>
        <w:rPr>
          <w:rFonts w:hint="eastAsia" w:ascii="宋体" w:hAnsi="宋体"/>
          <w:b/>
          <w:color w:val="000000"/>
          <w:szCs w:val="21"/>
        </w:rPr>
      </w:pPr>
      <w:r>
        <w:rPr>
          <w:rFonts w:hint="eastAsia" w:ascii="宋体" w:hAnsi="宋体"/>
          <w:b/>
          <w:bCs/>
          <w:color w:val="000000"/>
          <w:szCs w:val="21"/>
        </w:rPr>
        <w:t>27</w:t>
      </w:r>
      <w:r>
        <w:rPr>
          <w:rFonts w:hint="eastAsia" w:ascii="宋体" w:hAnsi="宋体"/>
          <w:b/>
          <w:color w:val="000000"/>
        </w:rPr>
        <w:t xml:space="preserve">. </w:t>
      </w:r>
      <w:r>
        <w:rPr>
          <w:rFonts w:hint="eastAsia" w:ascii="宋体" w:hAnsi="宋体"/>
          <w:b/>
          <w:color w:val="000000"/>
          <w:szCs w:val="21"/>
        </w:rPr>
        <w:t>属于下列情况之一者，投标无效：</w:t>
      </w:r>
    </w:p>
    <w:p>
      <w:pPr>
        <w:snapToGrid w:val="0"/>
        <w:spacing w:line="380" w:lineRule="exact"/>
        <w:ind w:firstLine="411" w:firstLineChars="196"/>
        <w:outlineLvl w:val="4"/>
        <w:rPr>
          <w:rFonts w:hint="eastAsia" w:ascii="宋体" w:hAnsi="宋体"/>
          <w:color w:val="000000"/>
          <w:szCs w:val="21"/>
        </w:rPr>
      </w:pPr>
      <w:r>
        <w:rPr>
          <w:rFonts w:hint="eastAsia" w:ascii="宋体" w:hAnsi="宋体"/>
          <w:color w:val="000000"/>
          <w:szCs w:val="21"/>
        </w:rPr>
        <w:t>（1）未按照招标文件规定要求签字、盖章的；</w:t>
      </w:r>
    </w:p>
    <w:p>
      <w:pPr>
        <w:snapToGrid w:val="0"/>
        <w:spacing w:line="380" w:lineRule="exact"/>
        <w:ind w:firstLine="420" w:firstLineChars="200"/>
        <w:outlineLvl w:val="4"/>
        <w:rPr>
          <w:rFonts w:hint="eastAsia" w:ascii="宋体" w:hAnsi="宋体"/>
          <w:color w:val="000000"/>
          <w:szCs w:val="21"/>
        </w:rPr>
      </w:pPr>
      <w:r>
        <w:rPr>
          <w:rFonts w:hint="eastAsia" w:ascii="宋体" w:hAnsi="宋体"/>
          <w:color w:val="000000"/>
          <w:szCs w:val="21"/>
        </w:rPr>
        <w:t>（2）</w:t>
      </w:r>
      <w:r>
        <w:rPr>
          <w:rFonts w:ascii="宋体" w:hAnsi="宋体"/>
          <w:color w:val="000000"/>
          <w:szCs w:val="21"/>
        </w:rPr>
        <w:t>报价超过招标文件中规定的预算金额的；</w:t>
      </w:r>
    </w:p>
    <w:p>
      <w:pPr>
        <w:snapToGrid w:val="0"/>
        <w:spacing w:line="380" w:lineRule="exact"/>
        <w:ind w:firstLine="411" w:firstLineChars="196"/>
        <w:outlineLvl w:val="4"/>
        <w:rPr>
          <w:rFonts w:hint="eastAsia" w:ascii="宋体" w:hAnsi="宋体"/>
          <w:color w:val="000000"/>
          <w:szCs w:val="21"/>
        </w:rPr>
      </w:pPr>
      <w:r>
        <w:rPr>
          <w:rFonts w:hint="eastAsia" w:ascii="宋体" w:hAnsi="宋体"/>
          <w:color w:val="000000"/>
          <w:szCs w:val="21"/>
        </w:rPr>
        <w:t>（3）不具备招标文件中规定的资格要求的</w:t>
      </w:r>
      <w:r>
        <w:rPr>
          <w:rFonts w:hint="eastAsia" w:ascii="宋体" w:hAnsi="宋体"/>
          <w:color w:val="000000"/>
        </w:rPr>
        <w:t>；</w:t>
      </w:r>
    </w:p>
    <w:p>
      <w:pPr>
        <w:snapToGrid w:val="0"/>
        <w:spacing w:line="380" w:lineRule="exact"/>
        <w:ind w:firstLine="411" w:firstLineChars="196"/>
        <w:outlineLvl w:val="4"/>
        <w:rPr>
          <w:rFonts w:hint="eastAsia" w:ascii="宋体" w:hAnsi="宋体"/>
          <w:color w:val="000000"/>
          <w:szCs w:val="21"/>
        </w:rPr>
      </w:pPr>
      <w:r>
        <w:rPr>
          <w:rFonts w:hint="eastAsia" w:ascii="宋体" w:hAnsi="宋体"/>
          <w:color w:val="000000"/>
          <w:szCs w:val="21"/>
        </w:rPr>
        <w:t>（4）</w:t>
      </w:r>
      <w:r>
        <w:rPr>
          <w:rFonts w:ascii="宋体" w:hAnsi="宋体"/>
          <w:color w:val="000000"/>
          <w:szCs w:val="21"/>
        </w:rPr>
        <w:t>投标文件含有采购人不能接受的附加条件的</w:t>
      </w:r>
      <w:r>
        <w:rPr>
          <w:rFonts w:hint="eastAsia" w:ascii="宋体" w:hAnsi="宋体"/>
          <w:color w:val="000000"/>
          <w:szCs w:val="21"/>
        </w:rPr>
        <w:t>；</w:t>
      </w:r>
    </w:p>
    <w:p>
      <w:pPr>
        <w:snapToGrid w:val="0"/>
        <w:spacing w:line="380" w:lineRule="exact"/>
        <w:ind w:firstLine="411" w:firstLineChars="196"/>
        <w:outlineLvl w:val="4"/>
        <w:rPr>
          <w:rFonts w:hint="eastAsia" w:ascii="宋体" w:hAnsi="宋体"/>
          <w:color w:val="000000"/>
          <w:szCs w:val="21"/>
        </w:rPr>
      </w:pPr>
      <w:r>
        <w:rPr>
          <w:rFonts w:hint="eastAsia" w:ascii="宋体" w:hAnsi="宋体"/>
          <w:color w:val="000000"/>
          <w:szCs w:val="21"/>
        </w:rPr>
        <w:t>（5）投标文件未按招标文件的内容和要求编制，或提供虚假或无效材料的；</w:t>
      </w:r>
    </w:p>
    <w:p>
      <w:pPr>
        <w:snapToGrid w:val="0"/>
        <w:spacing w:line="380" w:lineRule="exact"/>
        <w:ind w:firstLine="411" w:firstLineChars="196"/>
        <w:outlineLvl w:val="4"/>
        <w:rPr>
          <w:rFonts w:hint="eastAsia" w:ascii="宋体" w:hAnsi="宋体"/>
          <w:color w:val="000000"/>
        </w:rPr>
      </w:pPr>
      <w:r>
        <w:rPr>
          <w:rFonts w:hint="eastAsia" w:ascii="宋体" w:hAnsi="宋体"/>
          <w:color w:val="000000"/>
          <w:szCs w:val="21"/>
        </w:rPr>
        <w:t>（6）</w:t>
      </w:r>
      <w:r>
        <w:rPr>
          <w:rFonts w:hint="eastAsia" w:ascii="宋体" w:hAnsi="宋体"/>
          <w:color w:val="000000"/>
        </w:rPr>
        <w:t>投标</w:t>
      </w:r>
      <w:r>
        <w:rPr>
          <w:rFonts w:hint="eastAsia" w:ascii="宋体" w:hAnsi="宋体"/>
          <w:color w:val="000000"/>
          <w:szCs w:val="21"/>
        </w:rPr>
        <w:t>人未就“货物采购需求” 中所有内容作完整唯一报价的</w:t>
      </w:r>
      <w:r>
        <w:rPr>
          <w:rFonts w:hint="eastAsia" w:ascii="宋体" w:hAnsi="宋体"/>
          <w:color w:val="000000"/>
        </w:rPr>
        <w:t>；</w:t>
      </w:r>
    </w:p>
    <w:p>
      <w:pPr>
        <w:snapToGrid w:val="0"/>
        <w:spacing w:line="380" w:lineRule="exact"/>
        <w:ind w:firstLine="411" w:firstLineChars="196"/>
        <w:outlineLvl w:val="4"/>
        <w:rPr>
          <w:rFonts w:hint="eastAsia" w:ascii="宋体" w:hAnsi="宋体"/>
          <w:color w:val="000000"/>
          <w:szCs w:val="21"/>
        </w:rPr>
      </w:pPr>
      <w:r>
        <w:rPr>
          <w:rFonts w:hint="eastAsia" w:ascii="宋体" w:hAnsi="宋体"/>
          <w:color w:val="000000"/>
          <w:szCs w:val="21"/>
        </w:rPr>
        <w:t>（7）未完全响应招标文件实质性要求的；</w:t>
      </w:r>
    </w:p>
    <w:p>
      <w:pPr>
        <w:pStyle w:val="20"/>
        <w:spacing w:line="380" w:lineRule="exact"/>
        <w:ind w:firstLine="420" w:firstLineChars="200"/>
        <w:rPr>
          <w:rFonts w:hint="eastAsia" w:hAnsi="宋体"/>
          <w:color w:val="000000"/>
          <w:szCs w:val="21"/>
        </w:rPr>
      </w:pPr>
      <w:r>
        <w:rPr>
          <w:rFonts w:hint="eastAsia" w:hAnsi="宋体"/>
          <w:color w:val="000000"/>
          <w:szCs w:val="21"/>
        </w:rPr>
        <w:t>（8）</w:t>
      </w:r>
      <w:r>
        <w:rPr>
          <w:rFonts w:hAnsi="宋体"/>
          <w:color w:val="000000"/>
          <w:szCs w:val="21"/>
        </w:rPr>
        <w:t>法律、法规和招标文件规定的其他无效情形。</w:t>
      </w:r>
    </w:p>
    <w:p>
      <w:pPr>
        <w:snapToGrid w:val="0"/>
        <w:spacing w:line="380" w:lineRule="exact"/>
        <w:ind w:left="355" w:leftChars="169" w:firstLine="103" w:firstLineChars="49"/>
        <w:outlineLvl w:val="4"/>
        <w:rPr>
          <w:rFonts w:hint="eastAsia" w:ascii="宋体" w:hAnsi="宋体"/>
          <w:b/>
          <w:color w:val="000000"/>
          <w:szCs w:val="21"/>
        </w:rPr>
      </w:pPr>
      <w:r>
        <w:rPr>
          <w:rFonts w:hint="eastAsia" w:ascii="宋体" w:hAnsi="宋体"/>
          <w:b/>
          <w:color w:val="000000"/>
          <w:szCs w:val="21"/>
        </w:rPr>
        <w:t>28.投标人有下列情形之一的，视为串通投标，投标文件将被视为无效：</w:t>
      </w:r>
    </w:p>
    <w:p>
      <w:pPr>
        <w:snapToGrid w:val="0"/>
        <w:spacing w:line="380" w:lineRule="exact"/>
        <w:ind w:left="355" w:leftChars="169" w:firstLine="102" w:firstLineChars="49"/>
        <w:outlineLvl w:val="4"/>
        <w:rPr>
          <w:rFonts w:hint="eastAsia" w:ascii="宋体" w:hAnsi="宋体"/>
          <w:color w:val="000000"/>
        </w:rPr>
      </w:pPr>
      <w:r>
        <w:rPr>
          <w:rFonts w:hint="eastAsia" w:ascii="宋体" w:hAnsi="宋体"/>
          <w:color w:val="000000"/>
        </w:rPr>
        <w:t>（1）不同投标人的投标文件由同一单位或者个人编制；或不同投标人报名的IP地址一致的；</w:t>
      </w:r>
    </w:p>
    <w:p>
      <w:pPr>
        <w:snapToGrid w:val="0"/>
        <w:spacing w:line="380" w:lineRule="exact"/>
        <w:ind w:left="355" w:leftChars="169" w:firstLine="102" w:firstLineChars="49"/>
        <w:outlineLvl w:val="4"/>
        <w:rPr>
          <w:rFonts w:hint="eastAsia" w:ascii="宋体" w:hAnsi="宋体"/>
          <w:color w:val="000000"/>
        </w:rPr>
      </w:pPr>
      <w:r>
        <w:rPr>
          <w:rFonts w:hint="eastAsia" w:ascii="宋体" w:hAnsi="宋体"/>
          <w:color w:val="000000"/>
        </w:rPr>
        <w:t>（2）不同投标人委托同一单位或者个人办理投标事宜；</w:t>
      </w:r>
    </w:p>
    <w:p>
      <w:pPr>
        <w:snapToGrid w:val="0"/>
        <w:spacing w:line="380" w:lineRule="exact"/>
        <w:ind w:left="355" w:leftChars="169" w:firstLine="102" w:firstLineChars="49"/>
        <w:outlineLvl w:val="4"/>
        <w:rPr>
          <w:rFonts w:hint="eastAsia" w:ascii="宋体" w:hAnsi="宋体"/>
          <w:color w:val="000000"/>
        </w:rPr>
      </w:pPr>
      <w:r>
        <w:rPr>
          <w:rFonts w:hint="eastAsia" w:ascii="宋体" w:hAnsi="宋体"/>
          <w:color w:val="000000"/>
        </w:rPr>
        <w:t>（3）不同的投标人的投标文件载明的项目管理员或者联系人员为同一个人；</w:t>
      </w:r>
    </w:p>
    <w:p>
      <w:pPr>
        <w:snapToGrid w:val="0"/>
        <w:spacing w:line="380" w:lineRule="exact"/>
        <w:ind w:left="355" w:leftChars="169" w:firstLine="102" w:firstLineChars="49"/>
        <w:outlineLvl w:val="4"/>
        <w:rPr>
          <w:rFonts w:hint="eastAsia" w:ascii="宋体" w:hAnsi="宋体"/>
          <w:color w:val="000000"/>
        </w:rPr>
      </w:pPr>
      <w:r>
        <w:rPr>
          <w:rFonts w:hint="eastAsia" w:ascii="宋体" w:hAnsi="宋体"/>
          <w:color w:val="000000"/>
        </w:rPr>
        <w:t xml:space="preserve">（4）不同投标人的投标文件异常一致或投标报价呈规律性差异； </w:t>
      </w:r>
    </w:p>
    <w:p>
      <w:pPr>
        <w:snapToGrid w:val="0"/>
        <w:spacing w:line="380" w:lineRule="exact"/>
        <w:ind w:left="355" w:leftChars="169" w:firstLine="102" w:firstLineChars="49"/>
        <w:outlineLvl w:val="4"/>
        <w:rPr>
          <w:rFonts w:hint="eastAsia" w:ascii="宋体" w:hAnsi="宋体"/>
          <w:color w:val="000000"/>
        </w:rPr>
      </w:pPr>
      <w:r>
        <w:rPr>
          <w:rFonts w:hint="eastAsia" w:ascii="宋体" w:hAnsi="宋体"/>
          <w:color w:val="000000"/>
        </w:rPr>
        <w:t>（5）不同投标人的投标文件相互混装；</w:t>
      </w:r>
    </w:p>
    <w:p>
      <w:pPr>
        <w:snapToGrid w:val="0"/>
        <w:spacing w:line="380" w:lineRule="exact"/>
        <w:ind w:firstLine="413" w:firstLineChars="196"/>
        <w:outlineLvl w:val="4"/>
        <w:rPr>
          <w:rFonts w:hint="eastAsia" w:ascii="宋体" w:hAnsi="宋体"/>
          <w:b/>
          <w:color w:val="000000"/>
          <w:szCs w:val="21"/>
        </w:rPr>
      </w:pPr>
      <w:r>
        <w:rPr>
          <w:rFonts w:hint="eastAsia" w:ascii="宋体" w:hAnsi="宋体"/>
          <w:b/>
          <w:color w:val="000000"/>
        </w:rPr>
        <w:t>29. 属于</w:t>
      </w:r>
      <w:r>
        <w:rPr>
          <w:rFonts w:hint="eastAsia" w:ascii="宋体" w:hAnsi="宋体"/>
          <w:b/>
          <w:color w:val="000000"/>
          <w:szCs w:val="21"/>
        </w:rPr>
        <w:t>下列情形之一的，应予废标：</w:t>
      </w:r>
    </w:p>
    <w:p>
      <w:pPr>
        <w:tabs>
          <w:tab w:val="left" w:pos="840"/>
        </w:tabs>
        <w:snapToGrid w:val="0"/>
        <w:spacing w:line="380" w:lineRule="exact"/>
        <w:ind w:left="330" w:leftChars="157" w:firstLine="102" w:firstLineChars="49"/>
        <w:outlineLvl w:val="4"/>
        <w:rPr>
          <w:rFonts w:hint="eastAsia" w:ascii="宋体" w:hAnsi="宋体"/>
          <w:color w:val="000000"/>
          <w:szCs w:val="21"/>
        </w:rPr>
      </w:pPr>
      <w:r>
        <w:rPr>
          <w:rFonts w:hint="eastAsia" w:ascii="宋体" w:hAnsi="宋体"/>
          <w:color w:val="000000"/>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hint="eastAsia" w:ascii="宋体" w:hAnsi="宋体"/>
          <w:color w:val="000000"/>
          <w:szCs w:val="21"/>
        </w:rPr>
      </w:pPr>
      <w:r>
        <w:rPr>
          <w:rFonts w:hint="eastAsia" w:ascii="宋体" w:hAnsi="宋体"/>
          <w:color w:val="000000"/>
          <w:szCs w:val="21"/>
        </w:rPr>
        <w:t>（2）出现影响采购公正的违法、违规行为的；</w:t>
      </w:r>
    </w:p>
    <w:p>
      <w:pPr>
        <w:tabs>
          <w:tab w:val="left" w:pos="840"/>
        </w:tabs>
        <w:snapToGrid w:val="0"/>
        <w:spacing w:line="380" w:lineRule="exact"/>
        <w:ind w:left="330" w:leftChars="157" w:firstLine="105" w:firstLineChars="50"/>
        <w:outlineLvl w:val="4"/>
        <w:rPr>
          <w:rFonts w:hint="eastAsia" w:ascii="宋体" w:hAnsi="宋体"/>
          <w:color w:val="000000"/>
        </w:rPr>
      </w:pPr>
      <w:r>
        <w:rPr>
          <w:rFonts w:hint="eastAsia" w:ascii="宋体" w:hAnsi="宋体"/>
          <w:color w:val="000000"/>
        </w:rPr>
        <w:t>（3）采购文件内容违反国家有关强制性规定的；</w:t>
      </w:r>
    </w:p>
    <w:p>
      <w:pPr>
        <w:tabs>
          <w:tab w:val="left" w:pos="840"/>
        </w:tabs>
        <w:snapToGrid w:val="0"/>
        <w:spacing w:line="380" w:lineRule="exact"/>
        <w:ind w:left="330" w:leftChars="157" w:firstLine="105" w:firstLineChars="50"/>
        <w:outlineLvl w:val="4"/>
        <w:rPr>
          <w:rFonts w:hint="eastAsia" w:ascii="宋体" w:hAnsi="宋体"/>
          <w:color w:val="000000"/>
        </w:rPr>
      </w:pPr>
      <w:r>
        <w:rPr>
          <w:rFonts w:hint="eastAsia" w:ascii="宋体" w:hAnsi="宋体"/>
          <w:color w:val="000000"/>
        </w:rPr>
        <w:t>（4）因重大变故，采购任务取消的。</w:t>
      </w:r>
    </w:p>
    <w:p>
      <w:pPr>
        <w:pStyle w:val="20"/>
        <w:spacing w:line="380" w:lineRule="exact"/>
        <w:ind w:firstLine="413" w:firstLineChars="196"/>
        <w:rPr>
          <w:rFonts w:hint="eastAsia" w:hAnsi="宋体"/>
          <w:b/>
          <w:color w:val="000000"/>
        </w:rPr>
      </w:pPr>
      <w:r>
        <w:rPr>
          <w:rFonts w:hint="eastAsia" w:hAnsi="宋体"/>
          <w:b/>
          <w:color w:val="000000"/>
        </w:rPr>
        <w:t>30. 开标、评标过程的监控</w:t>
      </w:r>
    </w:p>
    <w:p>
      <w:pPr>
        <w:pStyle w:val="20"/>
        <w:spacing w:line="380" w:lineRule="exact"/>
        <w:ind w:firstLine="411" w:firstLineChars="196"/>
        <w:rPr>
          <w:rFonts w:hint="eastAsia" w:hAnsi="宋体"/>
          <w:color w:val="000000"/>
        </w:rPr>
      </w:pPr>
      <w:r>
        <w:rPr>
          <w:rFonts w:hint="eastAsia" w:hAnsi="宋体"/>
          <w:color w:val="000000"/>
        </w:rPr>
        <w:t>本项目开标、评标过程实行全程录音、录像监控，投标人在评标过程中所进行的试图影响评标结果的不公正活动，可能导致其投标被拒绝。</w:t>
      </w:r>
    </w:p>
    <w:p>
      <w:pPr>
        <w:pStyle w:val="20"/>
        <w:spacing w:line="380" w:lineRule="exact"/>
        <w:ind w:firstLine="413" w:firstLineChars="196"/>
        <w:rPr>
          <w:rFonts w:hint="eastAsia" w:hAnsi="宋体"/>
          <w:b/>
          <w:color w:val="000000"/>
        </w:rPr>
      </w:pPr>
      <w:r>
        <w:rPr>
          <w:rFonts w:hint="eastAsia" w:hAnsi="宋体"/>
          <w:b/>
          <w:color w:val="000000"/>
        </w:rPr>
        <w:t>31. 信用查询</w:t>
      </w:r>
    </w:p>
    <w:p>
      <w:pPr>
        <w:pStyle w:val="20"/>
        <w:spacing w:line="380" w:lineRule="exact"/>
        <w:ind w:firstLine="411" w:firstLineChars="196"/>
        <w:rPr>
          <w:rFonts w:hAnsi="宋体"/>
          <w:color w:val="000000"/>
        </w:rPr>
      </w:pPr>
      <w:r>
        <w:rPr>
          <w:rFonts w:hint="eastAsia" w:hAnsi="宋体"/>
          <w:color w:val="000000"/>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20"/>
        <w:spacing w:line="380" w:lineRule="exact"/>
        <w:ind w:firstLine="411" w:firstLineChars="196"/>
        <w:rPr>
          <w:rFonts w:hAnsi="宋体"/>
          <w:color w:val="000000"/>
        </w:rPr>
      </w:pPr>
      <w:r>
        <w:rPr>
          <w:rFonts w:hint="eastAsia" w:hAnsi="宋体"/>
          <w:color w:val="000000"/>
        </w:rPr>
        <w:t>⑴查询渠道：“信用中国”网站（www.creditchina.gov.cn）、中国政府采购网（www.ccgp.gov.cn）等；</w:t>
      </w:r>
    </w:p>
    <w:p>
      <w:pPr>
        <w:pStyle w:val="20"/>
        <w:spacing w:line="380" w:lineRule="exact"/>
        <w:ind w:firstLine="411" w:firstLineChars="196"/>
        <w:rPr>
          <w:rFonts w:hAnsi="宋体"/>
          <w:color w:val="000000"/>
        </w:rPr>
      </w:pPr>
      <w:r>
        <w:rPr>
          <w:rFonts w:hint="eastAsia" w:hAnsi="宋体"/>
          <w:color w:val="000000"/>
        </w:rPr>
        <w:t>⑵查询截止时间：中标通知书发出前；</w:t>
      </w:r>
    </w:p>
    <w:p>
      <w:pPr>
        <w:pStyle w:val="20"/>
        <w:spacing w:line="380" w:lineRule="exact"/>
        <w:ind w:firstLine="411" w:firstLineChars="196"/>
        <w:rPr>
          <w:rFonts w:hAnsi="宋体"/>
          <w:color w:val="000000"/>
        </w:rPr>
      </w:pPr>
      <w:r>
        <w:rPr>
          <w:rFonts w:hint="eastAsia" w:hAnsi="宋体"/>
          <w:color w:val="000000"/>
        </w:rPr>
        <w:t>⑶信用信息查询记录和证据留存方式：在查询网站中直接打印查询记录，打印材料作为采购活动资料保存；</w:t>
      </w:r>
    </w:p>
    <w:p>
      <w:pPr>
        <w:pStyle w:val="20"/>
        <w:spacing w:line="380" w:lineRule="exact"/>
        <w:ind w:firstLine="411" w:firstLineChars="196"/>
        <w:rPr>
          <w:rFonts w:hAnsi="宋体"/>
          <w:color w:val="000000"/>
        </w:rPr>
      </w:pPr>
      <w:r>
        <w:rPr>
          <w:rFonts w:hint="eastAsia" w:hAnsi="宋体"/>
          <w:color w:val="000000"/>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20"/>
        <w:spacing w:line="380" w:lineRule="exact"/>
        <w:ind w:firstLine="413" w:firstLineChars="196"/>
        <w:rPr>
          <w:rFonts w:hAnsi="宋体"/>
          <w:b/>
          <w:color w:val="000000"/>
        </w:rPr>
      </w:pPr>
      <w:r>
        <w:rPr>
          <w:rFonts w:hint="eastAsia" w:hAnsi="宋体"/>
          <w:b/>
          <w:color w:val="000000"/>
        </w:rPr>
        <w:t>32. 中标公告及中标通知书</w:t>
      </w:r>
    </w:p>
    <w:p>
      <w:pPr>
        <w:pStyle w:val="20"/>
        <w:tabs>
          <w:tab w:val="left" w:pos="455"/>
        </w:tabs>
        <w:spacing w:line="380" w:lineRule="exact"/>
        <w:ind w:firstLine="420" w:firstLineChars="200"/>
        <w:rPr>
          <w:rFonts w:hint="eastAsia" w:hAnsi="宋体"/>
          <w:color w:val="000000"/>
        </w:rPr>
      </w:pPr>
      <w:r>
        <w:rPr>
          <w:rFonts w:hint="eastAsia" w:hAnsi="宋体"/>
          <w:color w:val="000000"/>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hAnsi="宋体"/>
          <w:color w:val="000000"/>
          <w:szCs w:val="21"/>
        </w:rPr>
        <w:t>中标公告期限为1个工作日</w:t>
      </w:r>
      <w:r>
        <w:rPr>
          <w:rFonts w:hint="eastAsia" w:hAnsi="宋体"/>
          <w:color w:val="000000"/>
          <w:szCs w:val="21"/>
        </w:rPr>
        <w:t>。</w:t>
      </w:r>
    </w:p>
    <w:p>
      <w:pPr>
        <w:pStyle w:val="20"/>
        <w:spacing w:line="380" w:lineRule="exact"/>
        <w:ind w:firstLine="420" w:firstLineChars="200"/>
        <w:rPr>
          <w:rFonts w:hint="eastAsia" w:hAnsi="宋体"/>
          <w:color w:val="000000"/>
        </w:rPr>
      </w:pPr>
      <w:r>
        <w:rPr>
          <w:rFonts w:hint="eastAsia" w:hAnsi="宋体"/>
          <w:color w:val="000000"/>
          <w:szCs w:val="21"/>
        </w:rPr>
        <w:t>32.2</w:t>
      </w:r>
      <w:r>
        <w:rPr>
          <w:rFonts w:hAnsi="宋体"/>
          <w:color w:val="000000"/>
          <w:szCs w:val="21"/>
        </w:rPr>
        <w:t>中标公告</w:t>
      </w:r>
      <w:r>
        <w:rPr>
          <w:rFonts w:hint="eastAsia" w:hAnsi="宋体"/>
          <w:color w:val="000000"/>
          <w:szCs w:val="21"/>
        </w:rPr>
        <w:t>同时采购代理机构向中标供应商发出中标通知书，中标供应商应自接到通知之日起七个工作日内，办理中标通知书领取手续。</w:t>
      </w:r>
    </w:p>
    <w:p>
      <w:pPr>
        <w:tabs>
          <w:tab w:val="left" w:pos="1140"/>
        </w:tabs>
        <w:spacing w:line="380" w:lineRule="exact"/>
        <w:ind w:left="420" w:leftChars="200"/>
        <w:jc w:val="center"/>
        <w:rPr>
          <w:rFonts w:hint="eastAsia" w:ascii="宋体" w:hAnsi="宋体"/>
          <w:b/>
          <w:color w:val="000000"/>
          <w:sz w:val="28"/>
          <w:szCs w:val="28"/>
        </w:rPr>
      </w:pPr>
    </w:p>
    <w:p>
      <w:pPr>
        <w:tabs>
          <w:tab w:val="left" w:pos="1140"/>
        </w:tabs>
        <w:spacing w:line="380" w:lineRule="exact"/>
        <w:ind w:left="420" w:leftChars="200"/>
        <w:jc w:val="center"/>
        <w:rPr>
          <w:rFonts w:hint="eastAsia" w:ascii="宋体" w:hAnsi="宋体"/>
          <w:b/>
          <w:color w:val="000000"/>
          <w:sz w:val="28"/>
          <w:szCs w:val="28"/>
        </w:rPr>
      </w:pPr>
      <w:r>
        <w:rPr>
          <w:rFonts w:hint="eastAsia" w:ascii="宋体" w:hAnsi="宋体"/>
          <w:b/>
          <w:color w:val="000000"/>
          <w:sz w:val="28"/>
          <w:szCs w:val="28"/>
        </w:rPr>
        <w:t>七、履约保证金及签订合同</w:t>
      </w:r>
    </w:p>
    <w:p>
      <w:pPr>
        <w:tabs>
          <w:tab w:val="left" w:pos="1305"/>
        </w:tabs>
        <w:spacing w:line="380" w:lineRule="exact"/>
        <w:ind w:firstLine="316" w:firstLineChars="150"/>
        <w:rPr>
          <w:rFonts w:hint="eastAsia" w:ascii="宋体" w:hAnsi="宋体"/>
          <w:b/>
          <w:color w:val="000000"/>
          <w:szCs w:val="21"/>
        </w:rPr>
      </w:pPr>
      <w:r>
        <w:rPr>
          <w:rFonts w:hint="eastAsia" w:ascii="宋体" w:hAnsi="宋体"/>
          <w:b/>
          <w:color w:val="000000"/>
        </w:rPr>
        <w:t>33</w:t>
      </w:r>
      <w:r>
        <w:rPr>
          <w:rFonts w:hint="eastAsia" w:ascii="宋体" w:hAnsi="宋体"/>
          <w:b/>
          <w:color w:val="000000"/>
          <w:szCs w:val="21"/>
        </w:rPr>
        <w:t>. 履约保证金</w:t>
      </w:r>
    </w:p>
    <w:p>
      <w:pPr>
        <w:pStyle w:val="15"/>
      </w:pPr>
      <w:r>
        <w:rPr>
          <w:rFonts w:hint="eastAsia"/>
          <w:lang w:val="en-US" w:eastAsia="zh-CN"/>
        </w:rPr>
        <w:t>本项目不收取履约保证金</w:t>
      </w:r>
    </w:p>
    <w:p>
      <w:pPr>
        <w:tabs>
          <w:tab w:val="left" w:pos="1140"/>
        </w:tabs>
        <w:spacing w:line="380" w:lineRule="exact"/>
        <w:ind w:firstLine="422" w:firstLineChars="200"/>
        <w:rPr>
          <w:rFonts w:hint="eastAsia" w:ascii="宋体" w:hAnsi="宋体"/>
          <w:b/>
          <w:color w:val="000000"/>
          <w:szCs w:val="21"/>
        </w:rPr>
      </w:pPr>
      <w:r>
        <w:rPr>
          <w:rFonts w:hint="eastAsia" w:ascii="宋体" w:hAnsi="宋体"/>
          <w:b/>
          <w:color w:val="000000"/>
          <w:szCs w:val="21"/>
        </w:rPr>
        <w:t>34. 签订合同</w:t>
      </w:r>
    </w:p>
    <w:p>
      <w:pPr>
        <w:pStyle w:val="20"/>
        <w:spacing w:line="380" w:lineRule="exact"/>
        <w:ind w:left="2" w:leftChars="1" w:firstLine="420" w:firstLineChars="200"/>
        <w:rPr>
          <w:rFonts w:hint="eastAsia" w:hAnsi="宋体"/>
          <w:color w:val="000000"/>
          <w:szCs w:val="21"/>
        </w:rPr>
      </w:pPr>
      <w:r>
        <w:rPr>
          <w:rFonts w:hint="eastAsia" w:hAnsi="宋体"/>
          <w:color w:val="000000"/>
          <w:szCs w:val="21"/>
        </w:rPr>
        <w:t>34.1签订合同时间：中标通知书发出之日起</w:t>
      </w:r>
      <w:r>
        <w:rPr>
          <w:rFonts w:hint="eastAsia" w:hAnsi="宋体"/>
          <w:color w:val="000000"/>
          <w:szCs w:val="21"/>
          <w:lang w:val="en-US" w:eastAsia="zh-CN"/>
        </w:rPr>
        <w:t>2</w:t>
      </w:r>
      <w:r>
        <w:rPr>
          <w:rFonts w:hint="eastAsia" w:hAnsi="宋体"/>
          <w:color w:val="000000"/>
          <w:szCs w:val="21"/>
        </w:rPr>
        <w:t>5日内。中标供应商领取中标通知书后，应按规定与采购人签订合同。</w:t>
      </w:r>
    </w:p>
    <w:p>
      <w:pPr>
        <w:pStyle w:val="20"/>
        <w:spacing w:line="380" w:lineRule="exact"/>
        <w:ind w:left="2" w:leftChars="1" w:firstLine="420" w:firstLineChars="200"/>
        <w:rPr>
          <w:rFonts w:hAnsi="宋体"/>
          <w:color w:val="000000"/>
          <w:szCs w:val="21"/>
        </w:rPr>
      </w:pPr>
      <w:r>
        <w:rPr>
          <w:rFonts w:hint="eastAsia" w:hAnsi="宋体"/>
          <w:color w:val="000000"/>
          <w:szCs w:val="21"/>
        </w:rPr>
        <w:t>34.2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20"/>
        <w:spacing w:line="380" w:lineRule="exact"/>
        <w:ind w:firstLine="315" w:firstLineChars="150"/>
        <w:rPr>
          <w:rFonts w:hAnsi="宋体"/>
          <w:color w:val="000000"/>
          <w:szCs w:val="21"/>
        </w:rPr>
      </w:pPr>
      <w:r>
        <w:rPr>
          <w:rFonts w:hint="eastAsia" w:hAnsi="宋体"/>
          <w:color w:val="000000"/>
          <w:szCs w:val="21"/>
        </w:rPr>
        <w:t>（1）中标后不与采购人签订合同的（不可抗力除外）；</w:t>
      </w:r>
    </w:p>
    <w:p>
      <w:pPr>
        <w:pStyle w:val="20"/>
        <w:spacing w:line="380" w:lineRule="exact"/>
        <w:ind w:left="2" w:leftChars="1" w:firstLine="315" w:firstLineChars="150"/>
        <w:rPr>
          <w:rFonts w:hAnsi="宋体"/>
          <w:color w:val="000000"/>
          <w:szCs w:val="21"/>
        </w:rPr>
      </w:pPr>
      <w:r>
        <w:rPr>
          <w:rFonts w:hint="eastAsia" w:hAnsi="宋体"/>
          <w:color w:val="000000"/>
          <w:szCs w:val="21"/>
        </w:rPr>
        <w:t>（2）将中标项目转让给他人，或者在投标文件中未说明，且未经采购人同意，将中标项目分包给他人的；</w:t>
      </w:r>
    </w:p>
    <w:p>
      <w:pPr>
        <w:pStyle w:val="20"/>
        <w:spacing w:line="380" w:lineRule="exact"/>
        <w:ind w:firstLine="315" w:firstLineChars="150"/>
        <w:rPr>
          <w:rFonts w:hint="eastAsia" w:hAnsi="宋体"/>
          <w:color w:val="000000"/>
          <w:szCs w:val="21"/>
        </w:rPr>
      </w:pPr>
      <w:r>
        <w:rPr>
          <w:rFonts w:hint="eastAsia" w:hAnsi="宋体"/>
          <w:color w:val="000000"/>
          <w:szCs w:val="21"/>
        </w:rPr>
        <w:t>（3）拒绝履行合同义务的。</w:t>
      </w:r>
    </w:p>
    <w:p>
      <w:pPr>
        <w:pStyle w:val="20"/>
        <w:spacing w:line="380" w:lineRule="exact"/>
        <w:ind w:left="2" w:leftChars="1" w:firstLine="420" w:firstLineChars="200"/>
        <w:rPr>
          <w:rFonts w:hint="eastAsia" w:hAnsi="宋体"/>
          <w:color w:val="000000"/>
          <w:szCs w:val="21"/>
        </w:rPr>
      </w:pPr>
      <w:r>
        <w:rPr>
          <w:rFonts w:hint="eastAsia" w:hAnsi="宋体"/>
          <w:color w:val="000000"/>
          <w:szCs w:val="21"/>
        </w:rPr>
        <w:t xml:space="preserve"> 34.3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hAnsi="宋体"/>
          <w:color w:val="000000"/>
          <w:szCs w:val="21"/>
          <w:lang w:eastAsia="zh-CN"/>
        </w:rPr>
        <w:t>阳朔县</w:t>
      </w:r>
      <w:r>
        <w:rPr>
          <w:rFonts w:hint="eastAsia" w:hAnsi="宋体"/>
          <w:color w:val="000000"/>
          <w:szCs w:val="21"/>
        </w:rPr>
        <w:t>政府采购管理办公室备案，一份由采购代理机构存档。</w:t>
      </w:r>
    </w:p>
    <w:p>
      <w:pPr>
        <w:pStyle w:val="20"/>
        <w:spacing w:line="380" w:lineRule="exact"/>
        <w:ind w:left="3"/>
        <w:jc w:val="center"/>
        <w:rPr>
          <w:rFonts w:hint="eastAsia" w:hAnsi="宋体"/>
          <w:color w:val="000000"/>
          <w:szCs w:val="21"/>
        </w:rPr>
      </w:pPr>
    </w:p>
    <w:p>
      <w:pPr>
        <w:pStyle w:val="20"/>
        <w:spacing w:line="380" w:lineRule="exact"/>
        <w:ind w:left="3"/>
        <w:jc w:val="center"/>
        <w:rPr>
          <w:rFonts w:hint="eastAsia" w:hAnsi="宋体"/>
          <w:color w:val="000000"/>
          <w:szCs w:val="21"/>
        </w:rPr>
      </w:pPr>
    </w:p>
    <w:p>
      <w:pPr>
        <w:pStyle w:val="20"/>
        <w:spacing w:line="380" w:lineRule="exact"/>
        <w:ind w:left="3"/>
        <w:jc w:val="center"/>
        <w:rPr>
          <w:rFonts w:hint="eastAsia" w:hAnsi="宋体"/>
          <w:color w:val="000000"/>
          <w:szCs w:val="21"/>
        </w:rPr>
      </w:pPr>
    </w:p>
    <w:p>
      <w:pPr>
        <w:pStyle w:val="20"/>
        <w:spacing w:line="380" w:lineRule="exact"/>
        <w:ind w:left="3"/>
        <w:jc w:val="center"/>
        <w:rPr>
          <w:rFonts w:hint="eastAsia" w:hAnsi="宋体"/>
          <w:b/>
          <w:color w:val="000000"/>
          <w:sz w:val="28"/>
          <w:szCs w:val="28"/>
        </w:rPr>
      </w:pPr>
      <w:r>
        <w:rPr>
          <w:rFonts w:hint="eastAsia" w:hAnsi="宋体"/>
          <w:b/>
          <w:color w:val="000000"/>
          <w:sz w:val="28"/>
          <w:szCs w:val="28"/>
        </w:rPr>
        <w:t>八、其他事项</w:t>
      </w:r>
    </w:p>
    <w:p>
      <w:pPr>
        <w:pStyle w:val="20"/>
        <w:spacing w:line="380" w:lineRule="exact"/>
        <w:ind w:firstLine="422" w:firstLineChars="200"/>
        <w:rPr>
          <w:rFonts w:hAnsi="宋体"/>
          <w:b/>
          <w:color w:val="000000"/>
        </w:rPr>
      </w:pPr>
      <w:r>
        <w:rPr>
          <w:rFonts w:hint="eastAsia" w:hAnsi="宋体"/>
          <w:b/>
          <w:color w:val="000000"/>
        </w:rPr>
        <w:t>35. 招标代理服务费</w:t>
      </w:r>
    </w:p>
    <w:p>
      <w:pPr>
        <w:pStyle w:val="20"/>
        <w:spacing w:line="400" w:lineRule="exact"/>
        <w:ind w:firstLine="420" w:firstLineChars="200"/>
        <w:rPr>
          <w:rFonts w:hAnsi="宋体"/>
          <w:color w:val="000000"/>
          <w:szCs w:val="21"/>
        </w:rPr>
      </w:pPr>
      <w:r>
        <w:rPr>
          <w:rFonts w:hint="eastAsia" w:hAnsi="宋体"/>
          <w:color w:val="000000"/>
          <w:szCs w:val="21"/>
        </w:rPr>
        <w:t>中标供应商领取中标通知书前，向广西新厦工程咨询有限公司一次性付清招标代理服务费，本项目的招标代理服务收费标准参照计价格</w:t>
      </w:r>
      <w:r>
        <w:rPr>
          <w:rFonts w:hAnsi="宋体"/>
          <w:color w:val="000000"/>
          <w:szCs w:val="21"/>
        </w:rPr>
        <w:t>[2002]1980</w:t>
      </w:r>
      <w:r>
        <w:rPr>
          <w:rFonts w:hint="eastAsia" w:hAnsi="宋体"/>
          <w:color w:val="000000"/>
          <w:szCs w:val="21"/>
        </w:rPr>
        <w:t>号《招标代理服务收费管理暂行办法》货物类收费标准向中标供应商收取。</w:t>
      </w:r>
    </w:p>
    <w:p>
      <w:pPr>
        <w:spacing w:line="400" w:lineRule="exact"/>
        <w:jc w:val="center"/>
        <w:rPr>
          <w:rFonts w:hint="eastAsia" w:ascii="宋体" w:hAnsi="宋体"/>
          <w:color w:val="000000"/>
          <w:szCs w:val="21"/>
        </w:rPr>
      </w:pPr>
      <w:r>
        <w:rPr>
          <w:rFonts w:hint="eastAsia" w:ascii="宋体" w:hAnsi="宋体"/>
          <w:color w:val="000000"/>
          <w:szCs w:val="21"/>
        </w:rPr>
        <w:t>招标代理服务收费标准</w:t>
      </w:r>
    </w:p>
    <w:p>
      <w:pPr>
        <w:pStyle w:val="17"/>
        <w:rPr>
          <w:color w:val="000000"/>
        </w:rPr>
      </w:pPr>
      <w:r>
        <w:rPr>
          <w:rFonts w:hint="eastAsia"/>
          <w:color w:val="000000"/>
        </w:rPr>
        <w:drawing>
          <wp:inline distT="0" distB="0" distL="0" distR="0">
            <wp:extent cx="5374005" cy="3933825"/>
            <wp:effectExtent l="0" t="0" r="0" b="9525"/>
            <wp:docPr id="1" name="图片 2" descr="8f774862afcbabc4d72f14ad00a0e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774862afcbabc4d72f14ad00a0e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74005" cy="3933825"/>
                    </a:xfrm>
                    <a:prstGeom prst="rect">
                      <a:avLst/>
                    </a:prstGeom>
                    <a:noFill/>
                    <a:ln>
                      <a:noFill/>
                    </a:ln>
                    <a:effectLst/>
                  </pic:spPr>
                </pic:pic>
              </a:graphicData>
            </a:graphic>
          </wp:inline>
        </w:drawing>
      </w:r>
    </w:p>
    <w:p>
      <w:pPr>
        <w:pStyle w:val="20"/>
        <w:spacing w:line="400" w:lineRule="exact"/>
        <w:ind w:left="25"/>
        <w:rPr>
          <w:rFonts w:hAnsi="宋体"/>
          <w:color w:val="000000"/>
          <w:szCs w:val="21"/>
        </w:rPr>
      </w:pPr>
      <w:r>
        <w:rPr>
          <w:rFonts w:hint="eastAsia" w:hAnsi="宋体"/>
          <w:color w:val="000000"/>
          <w:szCs w:val="21"/>
        </w:rPr>
        <w:t>注：招标代理服务收费按差额定率累进法计算。</w:t>
      </w:r>
    </w:p>
    <w:p>
      <w:pPr>
        <w:pStyle w:val="20"/>
        <w:ind w:firstLine="422" w:firstLineChars="200"/>
        <w:rPr>
          <w:rFonts w:hint="eastAsia" w:hAnsi="宋体"/>
          <w:b/>
          <w:bCs/>
          <w:color w:val="000000" w:themeColor="text1"/>
          <w:szCs w:val="21"/>
          <w14:textFill>
            <w14:solidFill>
              <w14:schemeClr w14:val="tx1"/>
            </w14:solidFill>
          </w14:textFill>
        </w:rPr>
      </w:pPr>
      <w:r>
        <w:rPr>
          <w:rFonts w:hint="eastAsia" w:hAnsi="宋体"/>
          <w:b/>
          <w:color w:val="000000" w:themeColor="text1"/>
          <w14:textFill>
            <w14:solidFill>
              <w14:schemeClr w14:val="tx1"/>
            </w14:solidFill>
          </w14:textFill>
        </w:rPr>
        <w:t>36.招标代理服务费缴纳账户：</w:t>
      </w:r>
    </w:p>
    <w:p>
      <w:pPr>
        <w:pStyle w:val="20"/>
        <w:tabs>
          <w:tab w:val="left" w:pos="8625"/>
        </w:tabs>
        <w:snapToGrid w:val="0"/>
        <w:spacing w:line="400" w:lineRule="exact"/>
        <w:ind w:firstLine="420" w:firstLineChars="200"/>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开户名称：广西新厦工程咨询有限公司桂林分公司</w:t>
      </w:r>
    </w:p>
    <w:p>
      <w:pPr>
        <w:pStyle w:val="20"/>
        <w:snapToGrid w:val="0"/>
        <w:spacing w:line="400" w:lineRule="exact"/>
        <w:ind w:firstLine="420" w:firstLineChars="200"/>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开户银行：桂林银行股份有限公司漓东支行</w:t>
      </w:r>
    </w:p>
    <w:p>
      <w:pPr>
        <w:pStyle w:val="20"/>
        <w:snapToGrid w:val="0"/>
        <w:spacing w:line="400" w:lineRule="exact"/>
        <w:ind w:firstLine="420" w:firstLineChars="200"/>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 xml:space="preserve">账    号：660012107303900010 </w:t>
      </w:r>
    </w:p>
    <w:p>
      <w:pPr>
        <w:pStyle w:val="20"/>
        <w:snapToGrid w:val="0"/>
        <w:spacing w:line="400" w:lineRule="exact"/>
        <w:ind w:firstLine="422" w:firstLineChars="200"/>
        <w:rPr>
          <w:rFonts w:hAnsi="宋体"/>
          <w:b/>
          <w:color w:val="000000"/>
          <w:szCs w:val="21"/>
        </w:rPr>
      </w:pPr>
      <w:r>
        <w:rPr>
          <w:rFonts w:hint="eastAsia" w:hAnsi="宋体"/>
          <w:b/>
          <w:color w:val="000000" w:themeColor="text1"/>
          <w:szCs w:val="21"/>
          <w14:textFill>
            <w14:solidFill>
              <w14:schemeClr w14:val="tx1"/>
            </w14:solidFill>
          </w14:textFill>
        </w:rPr>
        <w:t>37. 投标文件电子版：</w:t>
      </w:r>
      <w:r>
        <w:rPr>
          <w:rFonts w:hint="eastAsia" w:hAnsi="宋体"/>
          <w:color w:val="000000" w:themeColor="text1"/>
          <w:szCs w:val="21"/>
          <w14:textFill>
            <w14:solidFill>
              <w14:schemeClr w14:val="tx1"/>
            </w14:solidFill>
          </w14:textFill>
        </w:rPr>
        <w:t>投标人在递</w:t>
      </w:r>
      <w:r>
        <w:rPr>
          <w:rFonts w:hint="eastAsia" w:hAnsi="宋体"/>
          <w:color w:val="000000"/>
          <w:szCs w:val="21"/>
        </w:rPr>
        <w:t>交投标文件时，同时递交投标文件电子版。具体要求详见“投标人须知前附表”。</w:t>
      </w:r>
    </w:p>
    <w:p>
      <w:pPr>
        <w:pStyle w:val="20"/>
        <w:snapToGrid w:val="0"/>
        <w:spacing w:line="380" w:lineRule="exact"/>
        <w:ind w:firstLine="422" w:firstLineChars="200"/>
        <w:rPr>
          <w:rFonts w:hint="eastAsia" w:hAnsi="宋体"/>
          <w:color w:val="000000"/>
        </w:rPr>
      </w:pPr>
      <w:r>
        <w:rPr>
          <w:rFonts w:hint="eastAsia" w:hAnsi="宋体"/>
          <w:b/>
          <w:color w:val="000000"/>
        </w:rPr>
        <w:t>38. 解释权：</w:t>
      </w:r>
      <w:r>
        <w:rPr>
          <w:rFonts w:hint="eastAsia" w:hAnsi="宋体"/>
          <w:color w:val="000000"/>
        </w:rPr>
        <w:t>本招标文件是根据《中华人民共和国政府采购法》、《中华人民共和国政府采购法实施条例》及</w:t>
      </w:r>
      <w:r>
        <w:rPr>
          <w:rStyle w:val="28"/>
          <w:rFonts w:hAnsi="宋体" w:cs="Arial"/>
          <w:b w:val="0"/>
          <w:color w:val="000000"/>
          <w:sz w:val="22"/>
          <w:szCs w:val="22"/>
        </w:rPr>
        <w:t>财政部令第87号</w:t>
      </w:r>
      <w:r>
        <w:rPr>
          <w:rFonts w:hAnsi="宋体" w:cs="Arial"/>
          <w:color w:val="000000"/>
          <w:sz w:val="22"/>
          <w:szCs w:val="22"/>
        </w:rPr>
        <w:t>《政府采购货物和服务招标投标管理办法》</w:t>
      </w:r>
      <w:r>
        <w:rPr>
          <w:rFonts w:hint="eastAsia" w:hAnsi="宋体"/>
          <w:color w:val="000000"/>
        </w:rPr>
        <w:t>和政府采购管理有关规定编制，</w:t>
      </w:r>
      <w:r>
        <w:rPr>
          <w:rFonts w:hint="eastAsia" w:hAnsi="宋体"/>
          <w:color w:val="000000"/>
          <w:szCs w:val="21"/>
        </w:rPr>
        <w:t>本招标文件的解释权属于采购代理机构。</w:t>
      </w:r>
    </w:p>
    <w:p>
      <w:pPr>
        <w:pStyle w:val="20"/>
        <w:snapToGrid w:val="0"/>
        <w:spacing w:line="380" w:lineRule="exact"/>
        <w:ind w:firstLine="422" w:firstLineChars="200"/>
        <w:rPr>
          <w:rFonts w:hint="eastAsia" w:hAnsi="宋体"/>
          <w:b/>
          <w:color w:val="000000"/>
          <w:szCs w:val="21"/>
        </w:rPr>
      </w:pPr>
      <w:r>
        <w:rPr>
          <w:rFonts w:hint="eastAsia" w:hAnsi="宋体"/>
          <w:b/>
          <w:color w:val="000000"/>
        </w:rPr>
        <w:t xml:space="preserve">39. </w:t>
      </w:r>
      <w:r>
        <w:rPr>
          <w:rFonts w:hint="eastAsia" w:hAnsi="宋体"/>
          <w:b/>
          <w:color w:val="000000"/>
          <w:szCs w:val="21"/>
        </w:rPr>
        <w:t>监督管理机构：阳朔县政府采购管理办公室   联系电话：0773-8811598</w:t>
      </w:r>
    </w:p>
    <w:p>
      <w:pPr>
        <w:pStyle w:val="20"/>
        <w:snapToGrid w:val="0"/>
        <w:spacing w:line="380" w:lineRule="exact"/>
        <w:ind w:firstLine="420" w:firstLineChars="200"/>
        <w:rPr>
          <w:rFonts w:hint="eastAsia" w:hAnsi="宋体"/>
          <w:color w:val="000000"/>
          <w:szCs w:val="21"/>
        </w:rPr>
      </w:pPr>
    </w:p>
    <w:p>
      <w:pPr>
        <w:spacing w:line="360" w:lineRule="exact"/>
        <w:jc w:val="center"/>
        <w:outlineLvl w:val="0"/>
        <w:rPr>
          <w:rFonts w:hint="eastAsia" w:ascii="宋体" w:hAnsi="宋体"/>
          <w:b/>
          <w:color w:val="000000"/>
          <w:sz w:val="32"/>
          <w:szCs w:val="32"/>
        </w:rPr>
      </w:pPr>
      <w:r>
        <w:rPr>
          <w:rFonts w:ascii="宋体" w:hAnsi="宋体"/>
          <w:b/>
          <w:color w:val="000000"/>
          <w:sz w:val="32"/>
          <w:szCs w:val="32"/>
        </w:rPr>
        <w:br w:type="page"/>
      </w:r>
      <w:bookmarkStart w:id="35" w:name="_Toc13994"/>
      <w:r>
        <w:rPr>
          <w:rFonts w:hint="eastAsia" w:ascii="宋体" w:hAnsi="宋体"/>
          <w:b/>
          <w:color w:val="000000"/>
          <w:sz w:val="32"/>
          <w:szCs w:val="32"/>
        </w:rPr>
        <w:t>第三章　采购需求</w:t>
      </w:r>
      <w:bookmarkEnd w:id="35"/>
    </w:p>
    <w:p>
      <w:pPr>
        <w:spacing w:line="340" w:lineRule="exact"/>
        <w:rPr>
          <w:rFonts w:ascii="宋体" w:hAnsi="宋体"/>
          <w:b/>
          <w:bCs/>
          <w:szCs w:val="21"/>
        </w:rPr>
      </w:pPr>
      <w:bookmarkStart w:id="36" w:name="_Toc254970490"/>
      <w:bookmarkStart w:id="37" w:name="_Toc254970631"/>
      <w:r>
        <w:rPr>
          <w:rFonts w:hint="eastAsia" w:ascii="宋体" w:hAnsi="宋体"/>
          <w:b/>
          <w:bCs/>
          <w:szCs w:val="21"/>
        </w:rPr>
        <w:t>说明：</w:t>
      </w:r>
    </w:p>
    <w:bookmarkEnd w:id="36"/>
    <w:bookmarkEnd w:id="37"/>
    <w:p>
      <w:pPr>
        <w:adjustRightInd w:val="0"/>
        <w:spacing w:line="340" w:lineRule="exact"/>
        <w:ind w:firstLine="431"/>
        <w:rPr>
          <w:rFonts w:ascii="宋体" w:hAnsi="宋体"/>
          <w:b/>
          <w:bCs/>
          <w:szCs w:val="21"/>
        </w:rPr>
      </w:pPr>
      <w:r>
        <w:rPr>
          <w:rFonts w:hint="eastAsia" w:ascii="宋体" w:hAnsi="宋体"/>
          <w:b/>
          <w:bCs/>
          <w:szCs w:val="21"/>
        </w:rPr>
        <w:t>一、投标人选用的产品要实质上相当于或优于本需求中技术参数及性能（配置）要求。</w:t>
      </w:r>
    </w:p>
    <w:p>
      <w:pPr>
        <w:adjustRightInd w:val="0"/>
        <w:spacing w:line="340" w:lineRule="exact"/>
        <w:ind w:firstLine="431"/>
        <w:rPr>
          <w:rFonts w:ascii="宋体" w:hAnsi="宋体"/>
          <w:b/>
          <w:bCs/>
          <w:szCs w:val="21"/>
        </w:rPr>
      </w:pPr>
      <w:r>
        <w:rPr>
          <w:rFonts w:hint="eastAsia" w:ascii="宋体" w:hAnsi="宋体"/>
          <w:b/>
          <w:bCs/>
          <w:szCs w:val="21"/>
        </w:rPr>
        <w:t>二、本需求中的技术参数及性能（配置）不明确或有误的，投标人请以详细、正确的技术参 数性能（配置）同时填写投标报价表和技术规格偏离表。</w:t>
      </w:r>
    </w:p>
    <w:p>
      <w:pPr>
        <w:adjustRightInd w:val="0"/>
        <w:spacing w:line="340" w:lineRule="exact"/>
        <w:ind w:firstLine="431"/>
        <w:rPr>
          <w:rFonts w:ascii="宋体" w:hAnsi="宋体"/>
          <w:b/>
          <w:bCs/>
          <w:szCs w:val="21"/>
        </w:rPr>
      </w:pPr>
      <w:r>
        <w:rPr>
          <w:rFonts w:hint="eastAsia" w:ascii="宋体" w:hAnsi="宋体"/>
          <w:b/>
          <w:bCs/>
          <w:szCs w:val="21"/>
        </w:rPr>
        <w:t>三、评标时，如果评标委员会发现本一览表技术参数及性能（配置）要求中，含有唯一的参考品牌特定的技术参数要求的，有权认定不作为招标文件实质性要求。</w:t>
      </w:r>
    </w:p>
    <w:p>
      <w:pPr>
        <w:adjustRightInd w:val="0"/>
        <w:spacing w:line="340" w:lineRule="exact"/>
        <w:ind w:firstLine="431"/>
        <w:rPr>
          <w:rFonts w:ascii="宋体" w:hAnsi="宋体"/>
          <w:b/>
          <w:bCs/>
          <w:szCs w:val="21"/>
        </w:rPr>
      </w:pPr>
      <w:r>
        <w:rPr>
          <w:rFonts w:hint="eastAsia" w:ascii="宋体" w:hAnsi="宋体"/>
          <w:b/>
          <w:szCs w:val="21"/>
        </w:rPr>
        <w:t>四、</w:t>
      </w:r>
      <w:r>
        <w:rPr>
          <w:rFonts w:hint="eastAsia" w:ascii="宋体" w:hAnsi="宋体"/>
          <w:b/>
          <w:bCs/>
          <w:szCs w:val="21"/>
        </w:rPr>
        <w:t>根据财办库【2008】248号文件有关规定，本项目不允许进口产品参加投标。</w:t>
      </w:r>
    </w:p>
    <w:p>
      <w:pPr>
        <w:spacing w:line="340" w:lineRule="exact"/>
        <w:ind w:firstLine="413" w:firstLineChars="196"/>
        <w:rPr>
          <w:rFonts w:ascii="宋体" w:hAnsi="宋体"/>
          <w:b/>
          <w:szCs w:val="21"/>
        </w:rPr>
      </w:pPr>
      <w:r>
        <w:rPr>
          <w:rFonts w:hint="eastAsia" w:ascii="宋体" w:hAnsi="宋体"/>
          <w:b/>
          <w:bCs/>
          <w:szCs w:val="21"/>
        </w:rPr>
        <w:t>五、</w:t>
      </w:r>
      <w:r>
        <w:rPr>
          <w:rFonts w:hint="eastAsia" w:ascii="宋体" w:hAnsi="宋体"/>
          <w:b/>
          <w:szCs w:val="21"/>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pStyle w:val="20"/>
        <w:spacing w:line="340" w:lineRule="exact"/>
        <w:ind w:firstLine="379" w:firstLineChars="180"/>
        <w:rPr>
          <w:rFonts w:hAnsi="宋体"/>
          <w:b/>
        </w:rPr>
      </w:pPr>
      <w:r>
        <w:rPr>
          <w:rFonts w:hint="eastAsia" w:hAnsi="宋体"/>
          <w:b/>
        </w:rPr>
        <w:t>六、根据财政部《关于印发〈政府采购促进中小企业发展暂行办法〉的通知》（财库[2011]181号）第五条的规定，对小型和微型企业产品的价格给予</w:t>
      </w:r>
      <w:r>
        <w:rPr>
          <w:rFonts w:hint="eastAsia" w:hAnsi="宋体"/>
          <w:b/>
          <w:lang w:val="en-US" w:eastAsia="zh-CN"/>
        </w:rPr>
        <w:t>6</w:t>
      </w:r>
      <w:r>
        <w:rPr>
          <w:rFonts w:hint="eastAsia" w:hAnsi="宋体"/>
          <w:b/>
        </w:rPr>
        <w:t>﹪的扣除，用扣除后的价格参与评审。</w:t>
      </w:r>
    </w:p>
    <w:p>
      <w:pPr>
        <w:pStyle w:val="20"/>
        <w:spacing w:line="340" w:lineRule="exact"/>
        <w:ind w:firstLine="379" w:firstLineChars="180"/>
        <w:rPr>
          <w:rFonts w:hAnsi="宋体"/>
          <w:b/>
        </w:rPr>
      </w:pPr>
      <w:r>
        <w:rPr>
          <w:rFonts w:hint="eastAsia" w:hAnsi="宋体"/>
          <w:b/>
        </w:rPr>
        <w:t>七、根据财政部《关于促进残疾人就业政府采购政策的通知》（财库〔2017〕141号）第三条的规定，在政府采购活动中，残疾人福利性单位视同小型、微型企业，享受预留份额、评审中价格扣除等促进中小企业发展的政府采购政策。</w:t>
      </w:r>
    </w:p>
    <w:p>
      <w:pPr>
        <w:pStyle w:val="20"/>
        <w:spacing w:line="340" w:lineRule="exact"/>
        <w:ind w:firstLine="379" w:firstLineChars="180"/>
        <w:rPr>
          <w:rFonts w:hAnsi="宋体"/>
          <w:b/>
        </w:rPr>
      </w:pPr>
      <w:r>
        <w:rPr>
          <w:rFonts w:hint="eastAsia" w:hAnsi="宋体"/>
          <w:b/>
        </w:rPr>
        <w:t>八、根据三部门联合发布《关于政府采购支持监狱企业发展有关问题的通知》（财库[2014]68号）第二条的规定，在政府采购活动中，监狱企业视同小型、微型企业，享受预留份额、评审中价格扣除等政府采购促进中小企业发展的政府采购政策。</w:t>
      </w:r>
    </w:p>
    <w:p>
      <w:pPr>
        <w:pStyle w:val="20"/>
        <w:spacing w:line="340" w:lineRule="exact"/>
        <w:ind w:firstLine="379" w:firstLineChars="180"/>
        <w:rPr>
          <w:rFonts w:hAnsi="宋体"/>
          <w:b/>
        </w:rPr>
      </w:pPr>
      <w:r>
        <w:rPr>
          <w:rFonts w:hint="eastAsia" w:hAnsi="宋体"/>
          <w:b/>
        </w:rPr>
        <w:t>九、对于“招标项目采购需求”中带</w:t>
      </w:r>
      <w:r>
        <w:rPr>
          <w:rFonts w:hint="eastAsia" w:hAnsi="宋体" w:cs="宋体"/>
          <w:kern w:val="0"/>
        </w:rPr>
        <w:t>★</w:t>
      </w:r>
      <w:r>
        <w:rPr>
          <w:rFonts w:hint="eastAsia" w:hAnsi="宋体"/>
          <w:b/>
        </w:rPr>
        <w:t>号的为关键性技术规格和参数，所投货物必须满足，如有不满足，将视为对招标文件不响应；投标硬件设备及软件的技术参数、配置和性能指标必须为真实有效。</w:t>
      </w:r>
    </w:p>
    <w:p>
      <w:pPr>
        <w:pStyle w:val="20"/>
        <w:spacing w:line="340" w:lineRule="exact"/>
        <w:ind w:firstLine="379" w:firstLineChars="180"/>
        <w:rPr>
          <w:rFonts w:hAnsi="宋体"/>
          <w:b/>
        </w:rPr>
      </w:pPr>
      <w:r>
        <w:rPr>
          <w:rFonts w:hint="eastAsia" w:hAnsi="宋体"/>
          <w:b/>
        </w:rPr>
        <w:t>十、投标产品中有政府强制采购的节能产品的（包括：台式计算机，便携式计算机，平板式微型计算机，激光打印机，针式打印机，液晶显示器，制冷压缩机，空调机组，专用制冷、空调设备，镇流器，空调机，电热水器，普通照明用双端荧光灯，电视设备，视频设备，便器，水嘴等）。以上所罗列的设备为《节能产品政府采购品目清单》中政府强制采购节能产品，采购人拟采购的产品属于政府强制采购产品的，供应商投标时必须针对该产品出具依据国家确定的认证机构 出具的、处于有效期之内的节能产品认证证书复印件，并加盖供应商公章，否则投标无效。</w:t>
      </w:r>
    </w:p>
    <w:p>
      <w:pPr>
        <w:pStyle w:val="20"/>
        <w:spacing w:line="340" w:lineRule="exact"/>
        <w:ind w:firstLine="379" w:firstLineChars="180"/>
        <w:rPr>
          <w:rFonts w:hAnsi="宋体"/>
          <w:b/>
        </w:rPr>
      </w:pPr>
      <w:r>
        <w:rPr>
          <w:rFonts w:hint="eastAsia" w:hAnsi="宋体"/>
          <w:b/>
        </w:rPr>
        <w:t>十一、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pPr>
        <w:pStyle w:val="20"/>
        <w:spacing w:line="340" w:lineRule="exact"/>
        <w:ind w:firstLine="379" w:firstLineChars="180"/>
        <w:rPr>
          <w:rFonts w:hint="eastAsia" w:hAnsi="宋体" w:cs="宋体"/>
          <w:b/>
        </w:rPr>
      </w:pPr>
      <w:r>
        <w:rPr>
          <w:rFonts w:hint="eastAsia" w:hAnsi="宋体" w:cs="宋体"/>
          <w:b/>
        </w:rPr>
        <w:t>十二、本项目的核心产品：第1项—第5项全直流变频多联式空调室外机</w:t>
      </w:r>
    </w:p>
    <w:p>
      <w:pPr>
        <w:pStyle w:val="16"/>
      </w:pPr>
    </w:p>
    <w:p/>
    <w:p>
      <w:pPr>
        <w:pStyle w:val="15"/>
      </w:pPr>
    </w:p>
    <w:p>
      <w:pPr>
        <w:tabs>
          <w:tab w:val="left" w:pos="955"/>
        </w:tabs>
        <w:jc w:val="left"/>
      </w:pPr>
    </w:p>
    <w:tbl>
      <w:tblPr>
        <w:tblStyle w:val="43"/>
        <w:tblW w:w="105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9"/>
        <w:gridCol w:w="1594"/>
        <w:gridCol w:w="185"/>
        <w:gridCol w:w="5673"/>
        <w:gridCol w:w="736"/>
        <w:gridCol w:w="832"/>
        <w:gridCol w:w="1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95" w:type="dxa"/>
            <w:gridSpan w:val="7"/>
            <w:tcBorders>
              <w:top w:val="single" w:color="auto" w:sz="4" w:space="0"/>
              <w:left w:val="single" w:color="auto" w:sz="4" w:space="0"/>
              <w:bottom w:val="single" w:color="auto" w:sz="4" w:space="0"/>
              <w:right w:val="single" w:color="auto" w:sz="4" w:space="0"/>
            </w:tcBorders>
            <w:vAlign w:val="center"/>
          </w:tcPr>
          <w:p>
            <w:pPr>
              <w:tabs>
                <w:tab w:val="left" w:pos="1621"/>
              </w:tabs>
              <w:jc w:val="center"/>
              <w:rPr>
                <w:rFonts w:ascii="宋体" w:hAnsi="宋体" w:cs="宋体"/>
                <w:b/>
                <w:kern w:val="0"/>
                <w:szCs w:val="21"/>
              </w:rPr>
            </w:pPr>
            <w:r>
              <w:rPr>
                <w:rFonts w:hint="eastAsia" w:ascii="宋体" w:hAnsi="宋体" w:cs="宋体"/>
                <w:b/>
                <w:kern w:val="0"/>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420" w:lineRule="exact"/>
              <w:ind w:left="-107" w:leftChars="-51"/>
              <w:rPr>
                <w:rFonts w:ascii="宋体" w:hAnsi="宋体" w:cs="宋体"/>
                <w:b/>
                <w:szCs w:val="21"/>
              </w:rPr>
            </w:pPr>
            <w:r>
              <w:rPr>
                <w:rFonts w:hint="eastAsia" w:ascii="宋体" w:hAnsi="宋体" w:cs="宋体"/>
                <w:b/>
                <w:szCs w:val="21"/>
              </w:rPr>
              <w:t>序号</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
                <w:szCs w:val="21"/>
              </w:rPr>
            </w:pPr>
            <w:r>
              <w:rPr>
                <w:rFonts w:hint="eastAsia" w:ascii="宋体" w:hAnsi="宋体" w:cs="宋体"/>
                <w:b/>
                <w:szCs w:val="21"/>
              </w:rPr>
              <w:t>名  称</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
                <w:bCs/>
                <w:szCs w:val="21"/>
              </w:rPr>
            </w:pPr>
            <w:r>
              <w:rPr>
                <w:rFonts w:hint="eastAsia" w:ascii="宋体" w:hAnsi="宋体" w:cs="宋体"/>
                <w:b/>
                <w:szCs w:val="21"/>
              </w:rPr>
              <w:t>技术参数及性能（配置）要求</w:t>
            </w:r>
          </w:p>
        </w:tc>
        <w:tc>
          <w:tcPr>
            <w:tcW w:w="73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
                <w:szCs w:val="21"/>
              </w:rPr>
            </w:pPr>
            <w:r>
              <w:rPr>
                <w:rFonts w:hint="eastAsia" w:ascii="宋体" w:hAnsi="宋体" w:cs="宋体"/>
                <w:b/>
                <w:szCs w:val="21"/>
              </w:rPr>
              <w:t>单位</w:t>
            </w:r>
          </w:p>
        </w:tc>
        <w:tc>
          <w:tcPr>
            <w:tcW w:w="8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
                <w:szCs w:val="21"/>
              </w:rPr>
            </w:pPr>
            <w:r>
              <w:rPr>
                <w:rFonts w:hint="eastAsia" w:ascii="宋体" w:hAnsi="宋体" w:cs="宋体"/>
                <w:b/>
                <w:szCs w:val="21"/>
              </w:rPr>
              <w:t>数量</w:t>
            </w:r>
          </w:p>
        </w:tc>
        <w:tc>
          <w:tcPr>
            <w:tcW w:w="11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szCs w:val="21"/>
              </w:rPr>
            </w:pPr>
            <w:r>
              <w:rPr>
                <w:rFonts w:hint="eastAsia" w:ascii="宋体" w:hAnsi="宋体" w:cs="宋体"/>
                <w:b/>
                <w:szCs w:val="21"/>
              </w:rPr>
              <w:t>预算单价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全直流变频多联式空调室外机（48HP）</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1.额定制冷量≥134KW,额定制热量≥150KW（须为两模块组合）。</w:t>
            </w:r>
          </w:p>
          <w:p>
            <w:pPr>
              <w:widowControl/>
              <w:spacing w:line="400" w:lineRule="exact"/>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额定制冷功率≤42KW,额定制热功率≤40.2KW。</w:t>
            </w:r>
          </w:p>
          <w:p>
            <w:pPr>
              <w:widowControl/>
              <w:spacing w:line="400" w:lineRule="exact"/>
              <w:jc w:val="left"/>
              <w:rPr>
                <w:rFonts w:ascii="宋体" w:hAnsi="宋体" w:cs="宋体"/>
                <w:kern w:val="0"/>
                <w:szCs w:val="21"/>
              </w:rPr>
            </w:pPr>
            <w:r>
              <w:rPr>
                <w:rFonts w:hint="eastAsia" w:ascii="宋体" w:hAnsi="宋体" w:cs="宋体"/>
                <w:kern w:val="0"/>
                <w:szCs w:val="21"/>
              </w:rPr>
              <w:t>3.运行噪音≤67dB(A)。</w:t>
            </w:r>
          </w:p>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4.压缩机特性：采用喷气增焓技术。</w:t>
            </w:r>
          </w:p>
          <w:p>
            <w:pPr>
              <w:widowControl/>
              <w:spacing w:line="400" w:lineRule="exact"/>
              <w:jc w:val="left"/>
              <w:rPr>
                <w:rFonts w:ascii="宋体" w:hAnsi="宋体" w:cs="宋体"/>
                <w:kern w:val="0"/>
                <w:szCs w:val="21"/>
              </w:rPr>
            </w:pPr>
            <w:r>
              <w:rPr>
                <w:rFonts w:hint="eastAsia" w:ascii="宋体" w:hAnsi="宋体" w:cs="宋体"/>
                <w:kern w:val="0"/>
                <w:szCs w:val="21"/>
              </w:rPr>
              <w:t>5.多联式空调机室外机机组制冷运行范围-5℃～55℃；制热运行范围-30℃～24℃。</w:t>
            </w:r>
          </w:p>
          <w:p>
            <w:pPr>
              <w:widowControl/>
              <w:spacing w:line="400" w:lineRule="exact"/>
              <w:jc w:val="left"/>
              <w:rPr>
                <w:rFonts w:ascii="宋体" w:hAnsi="宋体" w:cs="宋体"/>
                <w:kern w:val="0"/>
                <w:szCs w:val="21"/>
              </w:rPr>
            </w:pPr>
            <w:r>
              <w:rPr>
                <w:rFonts w:hint="eastAsia" w:ascii="宋体" w:hAnsi="宋体" w:cs="宋体"/>
                <w:kern w:val="0"/>
                <w:szCs w:val="21"/>
              </w:rPr>
              <w:t>6.设备配管长度要求：最大实际单管长度≥200m，最大配管总长≥1000m，室内外机的最大落差≥105m，第一分岐管后最大允许长度≥115m。</w:t>
            </w:r>
          </w:p>
          <w:p>
            <w:pPr>
              <w:widowControl/>
              <w:spacing w:line="400" w:lineRule="exact"/>
              <w:jc w:val="left"/>
              <w:rPr>
                <w:rFonts w:ascii="宋体" w:hAnsi="宋体" w:cs="宋体"/>
                <w:kern w:val="0"/>
                <w:szCs w:val="21"/>
              </w:rPr>
            </w:pPr>
            <w:r>
              <w:rPr>
                <w:rFonts w:hint="eastAsia" w:ascii="宋体" w:hAnsi="宋体" w:cs="宋体"/>
                <w:kern w:val="0"/>
                <w:szCs w:val="21"/>
              </w:rPr>
              <w:t>7.多联式空调机组室外机排风静压最大可达 110Pa。</w:t>
            </w:r>
          </w:p>
          <w:p>
            <w:pPr>
              <w:widowControl/>
              <w:spacing w:line="400" w:lineRule="exact"/>
              <w:jc w:val="left"/>
              <w:rPr>
                <w:rFonts w:ascii="宋体" w:hAnsi="宋体" w:cs="宋体"/>
                <w:kern w:val="0"/>
                <w:szCs w:val="21"/>
              </w:rPr>
            </w:pPr>
            <w:r>
              <w:rPr>
                <w:rFonts w:hint="eastAsia" w:ascii="宋体" w:hAnsi="宋体" w:cs="宋体"/>
                <w:kern w:val="0"/>
                <w:szCs w:val="21"/>
              </w:rPr>
              <w:t>8.多联机采用双EEV增焓控制，可实现2400级精确调节。</w:t>
            </w:r>
          </w:p>
          <w:p>
            <w:pPr>
              <w:widowControl/>
              <w:spacing w:line="400" w:lineRule="exact"/>
              <w:jc w:val="left"/>
              <w:rPr>
                <w:rFonts w:ascii="宋体" w:hAnsi="宋体" w:cs="宋体"/>
                <w:kern w:val="0"/>
                <w:szCs w:val="21"/>
              </w:rPr>
            </w:pPr>
            <w:r>
              <w:rPr>
                <w:rFonts w:hint="eastAsia" w:ascii="宋体" w:hAnsi="宋体" w:cs="宋体"/>
                <w:kern w:val="0"/>
                <w:szCs w:val="21"/>
              </w:rPr>
              <w:t>9.多联机采用增焓脉动控制，可降低90%的冷媒脉动对管路的冲击，降低机组的振动，保证机组可靠性。</w:t>
            </w:r>
          </w:p>
          <w:p>
            <w:pPr>
              <w:widowControl/>
              <w:spacing w:line="400" w:lineRule="exact"/>
              <w:jc w:val="left"/>
              <w:rPr>
                <w:rFonts w:ascii="宋体" w:hAnsi="宋体" w:cs="宋体"/>
                <w:kern w:val="0"/>
                <w:szCs w:val="21"/>
              </w:rPr>
            </w:pPr>
            <w:r>
              <w:rPr>
                <w:rFonts w:hint="eastAsia" w:ascii="宋体" w:hAnsi="宋体" w:cs="宋体"/>
                <w:kern w:val="0"/>
                <w:szCs w:val="21"/>
              </w:rPr>
              <w:t>10.多联机采用高效换热器,采用高效多列小管径设计，提升换热系数和整体换热效果。</w:t>
            </w:r>
          </w:p>
          <w:p>
            <w:pPr>
              <w:widowControl/>
              <w:spacing w:line="400" w:lineRule="exact"/>
              <w:jc w:val="left"/>
              <w:rPr>
                <w:rFonts w:ascii="宋体" w:hAnsi="宋体" w:cs="宋体"/>
                <w:kern w:val="0"/>
                <w:szCs w:val="21"/>
              </w:rPr>
            </w:pPr>
            <w:r>
              <w:rPr>
                <w:rFonts w:hint="eastAsia" w:ascii="宋体" w:hAnsi="宋体" w:cs="宋体"/>
                <w:kern w:val="0"/>
                <w:szCs w:val="21"/>
              </w:rPr>
              <w:t>11.多联式空调机组配备功能：自动除尘功能；冷媒自动灌注功能；故障信息存储功能；防积雪功能；防雷功能；防逆风功能；自适应驱动技术；断电重启及断电记忆功能；紧急停机功能；四后备运转功能。</w:t>
            </w:r>
          </w:p>
          <w:p>
            <w:pPr>
              <w:widowControl/>
              <w:spacing w:line="400" w:lineRule="exact"/>
              <w:jc w:val="left"/>
              <w:rPr>
                <w:rFonts w:ascii="宋体" w:hAnsi="宋体" w:cs="宋体"/>
                <w:kern w:val="0"/>
                <w:szCs w:val="21"/>
              </w:rPr>
            </w:pPr>
            <w:r>
              <w:rPr>
                <w:rFonts w:hint="eastAsia" w:ascii="宋体" w:hAnsi="宋体" w:cs="宋体"/>
                <w:kern w:val="0"/>
                <w:szCs w:val="21"/>
              </w:rPr>
              <w:t>12.采用高效板式过冷器，最大过冷度≥34℃。</w:t>
            </w:r>
          </w:p>
          <w:p>
            <w:pPr>
              <w:widowControl/>
              <w:spacing w:line="400" w:lineRule="exact"/>
              <w:jc w:val="left"/>
              <w:rPr>
                <w:rFonts w:ascii="宋体" w:hAnsi="宋体" w:cs="宋体"/>
                <w:kern w:val="0"/>
                <w:szCs w:val="21"/>
              </w:rPr>
            </w:pPr>
            <w:r>
              <w:rPr>
                <w:rFonts w:hint="eastAsia" w:ascii="宋体" w:hAnsi="宋体" w:cs="宋体"/>
                <w:kern w:val="0"/>
                <w:szCs w:val="21"/>
              </w:rPr>
              <w:t>13.多联机机组应具有全面保护功能，应满足但不限于此要求：高/低电压保护、压缩机过载保护、排气高/低温保护、驱动板保护、缺冷媒保护、传感器保护、防结冻保护功能等。</w:t>
            </w:r>
          </w:p>
          <w:p>
            <w:pPr>
              <w:widowControl/>
              <w:spacing w:line="400" w:lineRule="exact"/>
              <w:jc w:val="left"/>
              <w:rPr>
                <w:rFonts w:ascii="宋体" w:hAnsi="宋体" w:cs="宋体"/>
                <w:kern w:val="0"/>
                <w:szCs w:val="21"/>
              </w:rPr>
            </w:pPr>
            <w:r>
              <w:rPr>
                <w:rFonts w:hint="eastAsia" w:ascii="宋体" w:hAnsi="宋体" w:cs="宋体"/>
                <w:kern w:val="0"/>
                <w:szCs w:val="21"/>
              </w:rPr>
              <w:t>14.多联式空调机组室外机具有双电子膨胀阀调节技术，主电子膨胀阀3000级，过冷电子膨胀阀480级，精确控制室内机和室外机模块间的流量。</w:t>
            </w:r>
          </w:p>
          <w:p>
            <w:pPr>
              <w:widowControl/>
              <w:spacing w:line="400" w:lineRule="exact"/>
              <w:jc w:val="left"/>
              <w:rPr>
                <w:rFonts w:ascii="宋体" w:hAnsi="宋体" w:cs="宋体"/>
                <w:kern w:val="0"/>
                <w:szCs w:val="21"/>
              </w:rPr>
            </w:pPr>
            <w:r>
              <w:rPr>
                <w:rFonts w:hint="eastAsia" w:ascii="宋体" w:hAnsi="宋体" w:cs="宋体"/>
                <w:kern w:val="0"/>
                <w:szCs w:val="21"/>
              </w:rPr>
              <w:t>15.多联式空调机组室外机单台综合能效系数 IPLV 值≥8.6,并提供相应的《中国节能产品认证证书》复印件。</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组</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ascii="宋体" w:hAnsi="宋体" w:cs="宋体"/>
                <w:kern w:val="0"/>
                <w:szCs w:val="21"/>
              </w:rPr>
              <w:t>13</w:t>
            </w:r>
            <w:r>
              <w:rPr>
                <w:rFonts w:hint="eastAsia" w:ascii="宋体" w:hAnsi="宋体" w:cs="宋体"/>
                <w:kern w:val="0"/>
                <w:szCs w:val="21"/>
              </w:rPr>
              <w:t>3264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kern w:val="0"/>
                <w:szCs w:val="21"/>
              </w:rPr>
              <w:t>全直流变频多联式空调室外机（46HP）</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1.额定制冷量≥128.5KW,额定制热量≥144KW（须为两模块组合）。</w:t>
            </w:r>
          </w:p>
          <w:p>
            <w:pPr>
              <w:widowControl/>
              <w:spacing w:line="400" w:lineRule="exact"/>
              <w:jc w:val="left"/>
              <w:rPr>
                <w:rFonts w:ascii="宋体" w:hAnsi="宋体" w:cs="宋体"/>
                <w:kern w:val="0"/>
                <w:szCs w:val="21"/>
              </w:rPr>
            </w:pPr>
            <w:r>
              <w:rPr>
                <w:rFonts w:hint="eastAsia" w:ascii="宋体" w:hAnsi="宋体" w:cs="宋体"/>
                <w:kern w:val="0"/>
                <w:szCs w:val="21"/>
              </w:rPr>
              <w:t>2. 额定制冷功率≤39.6KW,额定制热功率≤37.8KW。</w:t>
            </w:r>
          </w:p>
          <w:p>
            <w:pPr>
              <w:widowControl/>
              <w:spacing w:line="400" w:lineRule="exact"/>
              <w:jc w:val="left"/>
              <w:rPr>
                <w:rFonts w:ascii="宋体" w:hAnsi="宋体" w:cs="宋体"/>
                <w:kern w:val="0"/>
                <w:szCs w:val="21"/>
              </w:rPr>
            </w:pPr>
            <w:r>
              <w:rPr>
                <w:rFonts w:hint="eastAsia" w:ascii="宋体" w:hAnsi="宋体" w:cs="宋体"/>
                <w:kern w:val="0"/>
                <w:szCs w:val="21"/>
              </w:rPr>
              <w:t>3.运行噪音≤67dB(A)。</w:t>
            </w:r>
          </w:p>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4.压缩机特性：采用喷气增焓技术。</w:t>
            </w:r>
          </w:p>
          <w:p>
            <w:pPr>
              <w:widowControl/>
              <w:spacing w:line="400" w:lineRule="exact"/>
              <w:jc w:val="left"/>
              <w:rPr>
                <w:rFonts w:ascii="宋体" w:hAnsi="宋体" w:cs="宋体"/>
                <w:kern w:val="0"/>
                <w:szCs w:val="21"/>
              </w:rPr>
            </w:pPr>
            <w:r>
              <w:rPr>
                <w:rFonts w:hint="eastAsia" w:ascii="宋体" w:hAnsi="宋体" w:cs="宋体"/>
                <w:kern w:val="0"/>
                <w:szCs w:val="21"/>
              </w:rPr>
              <w:t>5.多联式空调机室外机机组制冷运行范围-5℃～55℃；制热运行范围-30℃～24℃。</w:t>
            </w:r>
          </w:p>
          <w:p>
            <w:pPr>
              <w:widowControl/>
              <w:spacing w:line="400" w:lineRule="exact"/>
              <w:jc w:val="left"/>
              <w:rPr>
                <w:rFonts w:ascii="宋体" w:hAnsi="宋体" w:cs="宋体"/>
                <w:kern w:val="0"/>
                <w:szCs w:val="21"/>
              </w:rPr>
            </w:pPr>
            <w:r>
              <w:rPr>
                <w:rFonts w:hint="eastAsia" w:ascii="宋体" w:hAnsi="宋体" w:cs="宋体"/>
                <w:kern w:val="0"/>
                <w:szCs w:val="21"/>
              </w:rPr>
              <w:t>6.设备配管长度要求：最大实际单管长度≥200m，最大配管总长≥1000m，室内外机的最大落差≥105m，第一分岐管后最大允许长度≥115m。</w:t>
            </w:r>
          </w:p>
          <w:p>
            <w:pPr>
              <w:widowControl/>
              <w:spacing w:line="400" w:lineRule="exact"/>
              <w:jc w:val="left"/>
              <w:rPr>
                <w:rFonts w:ascii="宋体" w:hAnsi="宋体" w:cs="宋体"/>
                <w:kern w:val="0"/>
                <w:szCs w:val="21"/>
              </w:rPr>
            </w:pPr>
            <w:r>
              <w:rPr>
                <w:rFonts w:hint="eastAsia" w:ascii="宋体" w:hAnsi="宋体" w:cs="宋体"/>
                <w:kern w:val="0"/>
                <w:szCs w:val="21"/>
              </w:rPr>
              <w:t>7.多联式空调机组室外机排风静压最大可达 110Pa。</w:t>
            </w:r>
          </w:p>
          <w:p>
            <w:pPr>
              <w:widowControl/>
              <w:spacing w:line="400" w:lineRule="exact"/>
              <w:jc w:val="left"/>
              <w:rPr>
                <w:rFonts w:ascii="宋体" w:hAnsi="宋体" w:cs="宋体"/>
                <w:kern w:val="0"/>
                <w:szCs w:val="21"/>
              </w:rPr>
            </w:pPr>
            <w:r>
              <w:rPr>
                <w:rFonts w:hint="eastAsia" w:ascii="宋体" w:hAnsi="宋体" w:cs="宋体"/>
                <w:kern w:val="0"/>
                <w:szCs w:val="21"/>
              </w:rPr>
              <w:t>8.多联机采用双EEV增焓控制，可实现2400级精确调节。</w:t>
            </w:r>
          </w:p>
          <w:p>
            <w:pPr>
              <w:widowControl/>
              <w:spacing w:line="400" w:lineRule="exact"/>
              <w:jc w:val="left"/>
              <w:rPr>
                <w:rFonts w:ascii="宋体" w:hAnsi="宋体" w:cs="宋体"/>
                <w:kern w:val="0"/>
                <w:szCs w:val="21"/>
              </w:rPr>
            </w:pPr>
            <w:r>
              <w:rPr>
                <w:rFonts w:hint="eastAsia" w:ascii="宋体" w:hAnsi="宋体" w:cs="宋体"/>
                <w:kern w:val="0"/>
                <w:szCs w:val="21"/>
              </w:rPr>
              <w:t>9.多联机采用增焓脉动控制，可降低90%的冷媒脉动对管路的冲击，降低机组的振动，保证机组可靠性。</w:t>
            </w:r>
          </w:p>
          <w:p>
            <w:pPr>
              <w:widowControl/>
              <w:spacing w:line="400" w:lineRule="exact"/>
              <w:jc w:val="left"/>
              <w:rPr>
                <w:rFonts w:ascii="宋体" w:hAnsi="宋体" w:cs="宋体"/>
                <w:kern w:val="0"/>
                <w:szCs w:val="21"/>
              </w:rPr>
            </w:pPr>
            <w:r>
              <w:rPr>
                <w:rFonts w:hint="eastAsia" w:ascii="宋体" w:hAnsi="宋体" w:cs="宋体"/>
                <w:kern w:val="0"/>
                <w:szCs w:val="21"/>
              </w:rPr>
              <w:t>10.多联机采用高效换热器,采用高效多列小管径设计，提升换热系数和整体换热效果。</w:t>
            </w:r>
          </w:p>
          <w:p>
            <w:pPr>
              <w:widowControl/>
              <w:spacing w:line="400" w:lineRule="exact"/>
              <w:jc w:val="left"/>
              <w:rPr>
                <w:rFonts w:ascii="宋体" w:hAnsi="宋体" w:cs="宋体"/>
                <w:kern w:val="0"/>
                <w:szCs w:val="21"/>
              </w:rPr>
            </w:pPr>
            <w:r>
              <w:rPr>
                <w:rFonts w:hint="eastAsia" w:ascii="宋体" w:hAnsi="宋体" w:cs="宋体"/>
                <w:kern w:val="0"/>
                <w:szCs w:val="21"/>
              </w:rPr>
              <w:t>11.多联式空调机组配备功能：自动除尘功能；冷媒自动灌注功能；故障信息存储功能；防积雪功能；防雷功能；防逆风功能；自适应驱动技术；断电重启及断电记忆功能；紧急停机功能；四后备运转功能。</w:t>
            </w:r>
          </w:p>
          <w:p>
            <w:pPr>
              <w:widowControl/>
              <w:spacing w:line="400" w:lineRule="exact"/>
              <w:jc w:val="left"/>
              <w:rPr>
                <w:rFonts w:ascii="宋体" w:hAnsi="宋体" w:cs="宋体"/>
                <w:kern w:val="0"/>
                <w:szCs w:val="21"/>
              </w:rPr>
            </w:pPr>
            <w:r>
              <w:rPr>
                <w:rFonts w:hint="eastAsia" w:ascii="宋体" w:hAnsi="宋体" w:cs="宋体"/>
                <w:kern w:val="0"/>
                <w:szCs w:val="21"/>
              </w:rPr>
              <w:t>12. 采用高效板式过冷器，最大过冷度≥34℃。</w:t>
            </w:r>
          </w:p>
          <w:p>
            <w:pPr>
              <w:widowControl/>
              <w:spacing w:line="400" w:lineRule="exact"/>
              <w:jc w:val="left"/>
              <w:rPr>
                <w:rFonts w:ascii="宋体" w:hAnsi="宋体" w:cs="宋体"/>
                <w:kern w:val="0"/>
                <w:szCs w:val="21"/>
              </w:rPr>
            </w:pPr>
            <w:r>
              <w:rPr>
                <w:rFonts w:hint="eastAsia" w:ascii="宋体" w:hAnsi="宋体" w:cs="宋体"/>
                <w:kern w:val="0"/>
                <w:szCs w:val="21"/>
              </w:rPr>
              <w:t>13.多联机机组应具有全面保护功能，应满足但不限于此要求：高/低电压保护、压缩机过载保护、排气高/低温保护、驱动板保护、缺冷媒保护、传感器保护、防结冻保护功能等。</w:t>
            </w:r>
          </w:p>
          <w:p>
            <w:pPr>
              <w:widowControl/>
              <w:spacing w:line="400" w:lineRule="exact"/>
              <w:jc w:val="left"/>
              <w:rPr>
                <w:rFonts w:ascii="宋体" w:hAnsi="宋体" w:cs="宋体"/>
                <w:kern w:val="0"/>
                <w:szCs w:val="21"/>
              </w:rPr>
            </w:pPr>
            <w:r>
              <w:rPr>
                <w:rFonts w:hint="eastAsia" w:ascii="宋体" w:hAnsi="宋体" w:cs="宋体"/>
                <w:kern w:val="0"/>
                <w:szCs w:val="21"/>
              </w:rPr>
              <w:t>14.多联式空调机组室外机具有双电子膨胀阀调节技术，主电子膨胀阀3000级，过冷电子膨胀阀480级，精确控制室内机和室外机模块间的流量。</w:t>
            </w:r>
          </w:p>
          <w:p>
            <w:pPr>
              <w:widowControl/>
              <w:spacing w:line="400" w:lineRule="exact"/>
              <w:jc w:val="left"/>
              <w:rPr>
                <w:rFonts w:ascii="宋体" w:hAnsi="宋体" w:cs="宋体"/>
                <w:kern w:val="0"/>
                <w:szCs w:val="21"/>
              </w:rPr>
            </w:pPr>
            <w:r>
              <w:rPr>
                <w:rFonts w:hint="eastAsia" w:ascii="宋体" w:hAnsi="宋体" w:cs="宋体"/>
                <w:kern w:val="0"/>
                <w:szCs w:val="21"/>
              </w:rPr>
              <w:t>15.多联式空调机组室外机单台综合能效系数 IPLV 值≥8.6,并提供相应的《中国节能产品认证证书》复印件。</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组</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ascii="宋体" w:hAnsi="宋体" w:cs="宋体"/>
                <w:kern w:val="0"/>
                <w:szCs w:val="21"/>
              </w:rPr>
              <w:t>128696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kern w:val="0"/>
                <w:szCs w:val="21"/>
              </w:rPr>
              <w:t>全直流变频多联式空调室外机（44HP）</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1.额定制冷量≥123KW,额定制热量≥138KW（须为两模块组合）。</w:t>
            </w:r>
          </w:p>
          <w:p>
            <w:pPr>
              <w:widowControl/>
              <w:spacing w:line="400" w:lineRule="exact"/>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额定制冷功率≤35.</w:t>
            </w:r>
            <w:r>
              <w:rPr>
                <w:rFonts w:ascii="宋体" w:hAnsi="宋体" w:cs="宋体"/>
                <w:kern w:val="0"/>
                <w:szCs w:val="21"/>
              </w:rPr>
              <w:t>52</w:t>
            </w:r>
            <w:r>
              <w:rPr>
                <w:rFonts w:hint="eastAsia" w:ascii="宋体" w:hAnsi="宋体" w:cs="宋体"/>
                <w:kern w:val="0"/>
                <w:szCs w:val="21"/>
              </w:rPr>
              <w:t>KW,额定制热功率≤35.6KW。</w:t>
            </w:r>
          </w:p>
          <w:p>
            <w:pPr>
              <w:widowControl/>
              <w:spacing w:line="400" w:lineRule="exact"/>
              <w:jc w:val="left"/>
              <w:rPr>
                <w:rFonts w:ascii="宋体" w:hAnsi="宋体" w:cs="宋体"/>
                <w:kern w:val="0"/>
                <w:szCs w:val="21"/>
              </w:rPr>
            </w:pPr>
            <w:r>
              <w:rPr>
                <w:rFonts w:hint="eastAsia" w:ascii="宋体" w:hAnsi="宋体" w:cs="宋体"/>
                <w:kern w:val="0"/>
                <w:szCs w:val="21"/>
              </w:rPr>
              <w:t>3.运行噪音≤67dB(A)。</w:t>
            </w:r>
          </w:p>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4.压缩机特性：采用喷气增焓技术。</w:t>
            </w:r>
          </w:p>
          <w:p>
            <w:pPr>
              <w:widowControl/>
              <w:spacing w:line="400" w:lineRule="exact"/>
              <w:jc w:val="left"/>
              <w:rPr>
                <w:rFonts w:ascii="宋体" w:hAnsi="宋体" w:cs="宋体"/>
                <w:kern w:val="0"/>
                <w:szCs w:val="21"/>
              </w:rPr>
            </w:pPr>
            <w:r>
              <w:rPr>
                <w:rFonts w:hint="eastAsia" w:ascii="宋体" w:hAnsi="宋体" w:cs="宋体"/>
                <w:kern w:val="0"/>
                <w:szCs w:val="21"/>
              </w:rPr>
              <w:t>5.多联式空调机室外机机组制冷运行范围-5℃～55℃；制热运行范围-30℃～24℃。</w:t>
            </w:r>
          </w:p>
          <w:p>
            <w:pPr>
              <w:widowControl/>
              <w:spacing w:line="400" w:lineRule="exact"/>
              <w:jc w:val="left"/>
              <w:rPr>
                <w:rFonts w:ascii="宋体" w:hAnsi="宋体" w:cs="宋体"/>
                <w:kern w:val="0"/>
                <w:szCs w:val="21"/>
              </w:rPr>
            </w:pPr>
            <w:r>
              <w:rPr>
                <w:rFonts w:hint="eastAsia" w:ascii="宋体" w:hAnsi="宋体" w:cs="宋体"/>
                <w:kern w:val="0"/>
                <w:szCs w:val="21"/>
              </w:rPr>
              <w:t>6.设备配管长度要求：最大实际单管长度≥200m，最大配管总长≥1000m，室内外机的最大落差≥105m，第一分岐管后最大允许长度≥115m。</w:t>
            </w:r>
          </w:p>
          <w:p>
            <w:pPr>
              <w:widowControl/>
              <w:spacing w:line="400" w:lineRule="exact"/>
              <w:jc w:val="left"/>
              <w:rPr>
                <w:rFonts w:ascii="宋体" w:hAnsi="宋体" w:cs="宋体"/>
                <w:kern w:val="0"/>
                <w:szCs w:val="21"/>
              </w:rPr>
            </w:pPr>
            <w:r>
              <w:rPr>
                <w:rFonts w:hint="eastAsia" w:ascii="宋体" w:hAnsi="宋体" w:cs="宋体"/>
                <w:kern w:val="0"/>
                <w:szCs w:val="21"/>
              </w:rPr>
              <w:t>7.多联式空调机组室外机排风静压最大可达 110Pa。</w:t>
            </w:r>
          </w:p>
          <w:p>
            <w:pPr>
              <w:widowControl/>
              <w:spacing w:line="400" w:lineRule="exact"/>
              <w:jc w:val="left"/>
              <w:rPr>
                <w:rFonts w:ascii="宋体" w:hAnsi="宋体" w:cs="宋体"/>
                <w:kern w:val="0"/>
                <w:szCs w:val="21"/>
              </w:rPr>
            </w:pPr>
            <w:r>
              <w:rPr>
                <w:rFonts w:hint="eastAsia" w:ascii="宋体" w:hAnsi="宋体" w:cs="宋体"/>
                <w:kern w:val="0"/>
                <w:szCs w:val="21"/>
              </w:rPr>
              <w:t>8.多联机采用双EEV增焓控制，可实现2400级精确调节。</w:t>
            </w:r>
          </w:p>
          <w:p>
            <w:pPr>
              <w:widowControl/>
              <w:spacing w:line="400" w:lineRule="exact"/>
              <w:jc w:val="left"/>
              <w:rPr>
                <w:rFonts w:ascii="宋体" w:hAnsi="宋体" w:cs="宋体"/>
                <w:kern w:val="0"/>
                <w:szCs w:val="21"/>
              </w:rPr>
            </w:pPr>
            <w:r>
              <w:rPr>
                <w:rFonts w:hint="eastAsia" w:ascii="宋体" w:hAnsi="宋体" w:cs="宋体"/>
                <w:kern w:val="0"/>
                <w:szCs w:val="21"/>
              </w:rPr>
              <w:t>9.多联机采用增焓脉动控制，可降低90%的冷媒脉动对管路的冲击，降低机组的振动，保证机组可靠性。</w:t>
            </w:r>
          </w:p>
          <w:p>
            <w:pPr>
              <w:widowControl/>
              <w:spacing w:line="400" w:lineRule="exact"/>
              <w:jc w:val="left"/>
              <w:rPr>
                <w:rFonts w:ascii="宋体" w:hAnsi="宋体" w:cs="宋体"/>
                <w:kern w:val="0"/>
                <w:szCs w:val="21"/>
              </w:rPr>
            </w:pPr>
            <w:r>
              <w:rPr>
                <w:rFonts w:hint="eastAsia" w:ascii="宋体" w:hAnsi="宋体" w:cs="宋体"/>
                <w:kern w:val="0"/>
                <w:szCs w:val="21"/>
              </w:rPr>
              <w:t>10.多联机采用高效换热器,采用高效多列小管径设计，提升换热系数和整体换热效果。</w:t>
            </w:r>
          </w:p>
          <w:p>
            <w:pPr>
              <w:widowControl/>
              <w:spacing w:line="400" w:lineRule="exact"/>
              <w:jc w:val="left"/>
              <w:rPr>
                <w:rFonts w:ascii="宋体" w:hAnsi="宋体" w:cs="宋体"/>
                <w:kern w:val="0"/>
                <w:szCs w:val="21"/>
              </w:rPr>
            </w:pPr>
            <w:r>
              <w:rPr>
                <w:rFonts w:hint="eastAsia" w:ascii="宋体" w:hAnsi="宋体" w:cs="宋体"/>
                <w:kern w:val="0"/>
                <w:szCs w:val="21"/>
              </w:rPr>
              <w:t>11.多联式空调机组配备功能：自动除尘功能；冷媒自动灌注功能；故障信息存储功能；防积雪功能；防雷功能；防逆风功能；自适应驱动技术；断电重启及断电记忆功能；紧急停机功能；四后备运转功能。</w:t>
            </w:r>
          </w:p>
          <w:p>
            <w:pPr>
              <w:widowControl/>
              <w:spacing w:line="400" w:lineRule="exact"/>
              <w:jc w:val="left"/>
              <w:rPr>
                <w:rFonts w:ascii="宋体" w:hAnsi="宋体" w:cs="宋体"/>
                <w:kern w:val="0"/>
                <w:szCs w:val="21"/>
              </w:rPr>
            </w:pPr>
            <w:r>
              <w:rPr>
                <w:rFonts w:hint="eastAsia" w:ascii="宋体" w:hAnsi="宋体" w:cs="宋体"/>
                <w:kern w:val="0"/>
                <w:szCs w:val="21"/>
              </w:rPr>
              <w:t>12. 采用高效板式过冷器，最大过冷度≥34℃。</w:t>
            </w:r>
          </w:p>
          <w:p>
            <w:pPr>
              <w:widowControl/>
              <w:spacing w:line="400" w:lineRule="exact"/>
              <w:jc w:val="left"/>
              <w:rPr>
                <w:rFonts w:ascii="宋体" w:hAnsi="宋体" w:cs="宋体"/>
                <w:kern w:val="0"/>
                <w:szCs w:val="21"/>
              </w:rPr>
            </w:pPr>
            <w:r>
              <w:rPr>
                <w:rFonts w:hint="eastAsia" w:ascii="宋体" w:hAnsi="宋体" w:cs="宋体"/>
                <w:kern w:val="0"/>
                <w:szCs w:val="21"/>
              </w:rPr>
              <w:t>13.多联机机组应具有全面保护功能，应满足但不限于此要求：高/低电压保护、压缩机过载保护、排气高/低温保护、驱动板保护、缺冷媒保护、传感器保护、防结冻保护功能等。</w:t>
            </w:r>
          </w:p>
          <w:p>
            <w:pPr>
              <w:widowControl/>
              <w:spacing w:line="400" w:lineRule="exact"/>
              <w:jc w:val="left"/>
              <w:rPr>
                <w:rFonts w:ascii="宋体" w:hAnsi="宋体" w:cs="宋体"/>
                <w:kern w:val="0"/>
                <w:szCs w:val="21"/>
              </w:rPr>
            </w:pPr>
            <w:r>
              <w:rPr>
                <w:rFonts w:hint="eastAsia" w:ascii="宋体" w:hAnsi="宋体" w:cs="宋体"/>
                <w:kern w:val="0"/>
                <w:szCs w:val="21"/>
              </w:rPr>
              <w:t>14.多联式空调机组室外机具有双电子膨胀阀调节技术，主电子膨胀阀3000级，过冷电子膨胀阀480级，精确控制室内机和室外机模块间的流量。</w:t>
            </w:r>
          </w:p>
          <w:p>
            <w:pPr>
              <w:widowControl/>
              <w:spacing w:line="400" w:lineRule="exact"/>
              <w:jc w:val="left"/>
              <w:rPr>
                <w:rFonts w:ascii="宋体" w:hAnsi="宋体" w:cs="宋体"/>
                <w:kern w:val="0"/>
                <w:szCs w:val="21"/>
              </w:rPr>
            </w:pPr>
            <w:r>
              <w:rPr>
                <w:rFonts w:hint="eastAsia" w:ascii="宋体" w:hAnsi="宋体" w:cs="宋体"/>
                <w:kern w:val="0"/>
                <w:szCs w:val="21"/>
              </w:rPr>
              <w:t>15.多联式空调机组室外机单台综合能效系数 IPLV 值≥8.7,并提供相应的《中国节能产品认证证书》复印件。</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组</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ascii="宋体" w:hAnsi="宋体" w:cs="宋体"/>
                <w:kern w:val="0"/>
                <w:szCs w:val="21"/>
              </w:rPr>
              <w:t>126122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kern w:val="0"/>
                <w:szCs w:val="21"/>
              </w:rPr>
              <w:t>全直流变频多联式空调室外机（42HP）</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1.额定制冷量≥117.5KW,额定制热量≥132KW（须为两模块组合）。</w:t>
            </w:r>
          </w:p>
          <w:p>
            <w:pPr>
              <w:widowControl/>
              <w:spacing w:line="400" w:lineRule="exact"/>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额定制冷功率≤3</w:t>
            </w:r>
            <w:r>
              <w:rPr>
                <w:rFonts w:ascii="宋体" w:hAnsi="宋体" w:cs="宋体"/>
                <w:kern w:val="0"/>
                <w:szCs w:val="21"/>
              </w:rPr>
              <w:t>3.5</w:t>
            </w:r>
            <w:r>
              <w:rPr>
                <w:rFonts w:hint="eastAsia" w:ascii="宋体" w:hAnsi="宋体" w:cs="宋体"/>
                <w:kern w:val="0"/>
                <w:szCs w:val="21"/>
              </w:rPr>
              <w:t>KW,额定制热功率≤33.6KW。</w:t>
            </w:r>
          </w:p>
          <w:p>
            <w:pPr>
              <w:widowControl/>
              <w:spacing w:line="400" w:lineRule="exact"/>
              <w:jc w:val="left"/>
              <w:rPr>
                <w:rFonts w:ascii="宋体" w:hAnsi="宋体" w:cs="宋体"/>
                <w:kern w:val="0"/>
                <w:szCs w:val="21"/>
              </w:rPr>
            </w:pPr>
            <w:r>
              <w:rPr>
                <w:rFonts w:hint="eastAsia" w:ascii="宋体" w:hAnsi="宋体" w:cs="宋体"/>
                <w:kern w:val="0"/>
                <w:szCs w:val="21"/>
              </w:rPr>
              <w:t>3.运行噪音≤67dB(A)。</w:t>
            </w:r>
          </w:p>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4.压缩机特性：采用喷气增焓技术。</w:t>
            </w:r>
          </w:p>
          <w:p>
            <w:pPr>
              <w:widowControl/>
              <w:spacing w:line="400" w:lineRule="exact"/>
              <w:jc w:val="left"/>
              <w:rPr>
                <w:rFonts w:ascii="宋体" w:hAnsi="宋体" w:cs="宋体"/>
                <w:kern w:val="0"/>
                <w:szCs w:val="21"/>
              </w:rPr>
            </w:pPr>
            <w:r>
              <w:rPr>
                <w:rFonts w:hint="eastAsia" w:ascii="宋体" w:hAnsi="宋体" w:cs="宋体"/>
                <w:kern w:val="0"/>
                <w:szCs w:val="21"/>
              </w:rPr>
              <w:t>5.多联式空调机室外机机组制冷运行范围-5℃～55℃；制热运行范围-30℃～24℃。</w:t>
            </w:r>
          </w:p>
          <w:p>
            <w:pPr>
              <w:widowControl/>
              <w:spacing w:line="400" w:lineRule="exact"/>
              <w:jc w:val="left"/>
              <w:rPr>
                <w:rFonts w:ascii="宋体" w:hAnsi="宋体" w:cs="宋体"/>
                <w:kern w:val="0"/>
                <w:szCs w:val="21"/>
              </w:rPr>
            </w:pPr>
            <w:r>
              <w:rPr>
                <w:rFonts w:hint="eastAsia" w:ascii="宋体" w:hAnsi="宋体" w:cs="宋体"/>
                <w:kern w:val="0"/>
                <w:szCs w:val="21"/>
              </w:rPr>
              <w:t>6.设备配管长度要求：最大实际单管长度≥200m，最大配管总长≥1000m，室内外机的最大落差≥105m，第一分岐管后最大允许长度≥115m。</w:t>
            </w:r>
          </w:p>
          <w:p>
            <w:pPr>
              <w:widowControl/>
              <w:spacing w:line="400" w:lineRule="exact"/>
              <w:jc w:val="left"/>
              <w:rPr>
                <w:rFonts w:ascii="宋体" w:hAnsi="宋体" w:cs="宋体"/>
                <w:kern w:val="0"/>
                <w:szCs w:val="21"/>
              </w:rPr>
            </w:pPr>
            <w:r>
              <w:rPr>
                <w:rFonts w:hint="eastAsia" w:ascii="宋体" w:hAnsi="宋体" w:cs="宋体"/>
                <w:kern w:val="0"/>
                <w:szCs w:val="21"/>
              </w:rPr>
              <w:t>7.多联式空调机组室外机排风静压最大可达 110Pa。</w:t>
            </w:r>
          </w:p>
          <w:p>
            <w:pPr>
              <w:widowControl/>
              <w:spacing w:line="400" w:lineRule="exact"/>
              <w:jc w:val="left"/>
              <w:rPr>
                <w:rFonts w:ascii="宋体" w:hAnsi="宋体" w:cs="宋体"/>
                <w:kern w:val="0"/>
                <w:szCs w:val="21"/>
              </w:rPr>
            </w:pPr>
            <w:r>
              <w:rPr>
                <w:rFonts w:hint="eastAsia" w:ascii="宋体" w:hAnsi="宋体" w:cs="宋体"/>
                <w:kern w:val="0"/>
                <w:szCs w:val="21"/>
              </w:rPr>
              <w:t>8.多联机采用双EEV增焓控制，可实现2400级精确调节。</w:t>
            </w:r>
          </w:p>
          <w:p>
            <w:pPr>
              <w:widowControl/>
              <w:spacing w:line="400" w:lineRule="exact"/>
              <w:jc w:val="left"/>
              <w:rPr>
                <w:rFonts w:ascii="宋体" w:hAnsi="宋体" w:cs="宋体"/>
                <w:kern w:val="0"/>
                <w:szCs w:val="21"/>
              </w:rPr>
            </w:pPr>
            <w:r>
              <w:rPr>
                <w:rFonts w:hint="eastAsia" w:ascii="宋体" w:hAnsi="宋体" w:cs="宋体"/>
                <w:kern w:val="0"/>
                <w:szCs w:val="21"/>
              </w:rPr>
              <w:t>9.多联机采用增焓脉动控制，可降低90%的冷媒脉动对管路的冲击，降低机组的振动，保证机组可靠性。</w:t>
            </w:r>
          </w:p>
          <w:p>
            <w:pPr>
              <w:widowControl/>
              <w:spacing w:line="400" w:lineRule="exact"/>
              <w:jc w:val="left"/>
              <w:rPr>
                <w:rFonts w:ascii="宋体" w:hAnsi="宋体" w:cs="宋体"/>
                <w:kern w:val="0"/>
                <w:szCs w:val="21"/>
              </w:rPr>
            </w:pPr>
            <w:r>
              <w:rPr>
                <w:rFonts w:hint="eastAsia" w:ascii="宋体" w:hAnsi="宋体" w:cs="宋体"/>
                <w:kern w:val="0"/>
                <w:szCs w:val="21"/>
              </w:rPr>
              <w:t>10.多联机采用高效换热器,采用高效多列小管径设计，提升换热系数和整体换热效果。</w:t>
            </w:r>
          </w:p>
          <w:p>
            <w:pPr>
              <w:widowControl/>
              <w:spacing w:line="400" w:lineRule="exact"/>
              <w:jc w:val="left"/>
              <w:rPr>
                <w:rFonts w:ascii="宋体" w:hAnsi="宋体" w:cs="宋体"/>
                <w:kern w:val="0"/>
                <w:szCs w:val="21"/>
              </w:rPr>
            </w:pPr>
            <w:r>
              <w:rPr>
                <w:rFonts w:hint="eastAsia" w:ascii="宋体" w:hAnsi="宋体" w:cs="宋体"/>
                <w:kern w:val="0"/>
                <w:szCs w:val="21"/>
              </w:rPr>
              <w:t>11.多联式空调机组配备功能：自动除尘功能；冷媒自动灌注功能；故障信息存储功能；防积雪功能；防雷功能；防逆风功能；自适应驱动技术；断电重启及断电记忆功能；紧急停机功能；四后备运转功能。</w:t>
            </w:r>
          </w:p>
          <w:p>
            <w:pPr>
              <w:widowControl/>
              <w:spacing w:line="400" w:lineRule="exact"/>
              <w:jc w:val="left"/>
              <w:rPr>
                <w:rFonts w:ascii="宋体" w:hAnsi="宋体" w:cs="宋体"/>
                <w:kern w:val="0"/>
                <w:szCs w:val="21"/>
              </w:rPr>
            </w:pPr>
            <w:r>
              <w:rPr>
                <w:rFonts w:hint="eastAsia" w:ascii="宋体" w:hAnsi="宋体" w:cs="宋体"/>
                <w:kern w:val="0"/>
                <w:szCs w:val="21"/>
              </w:rPr>
              <w:t>12. 采用高效板式过冷器，最大过冷度≥34℃。</w:t>
            </w:r>
          </w:p>
          <w:p>
            <w:pPr>
              <w:widowControl/>
              <w:spacing w:line="400" w:lineRule="exact"/>
              <w:jc w:val="left"/>
              <w:rPr>
                <w:rFonts w:ascii="宋体" w:hAnsi="宋体" w:cs="宋体"/>
                <w:kern w:val="0"/>
                <w:szCs w:val="21"/>
              </w:rPr>
            </w:pPr>
            <w:r>
              <w:rPr>
                <w:rFonts w:hint="eastAsia" w:ascii="宋体" w:hAnsi="宋体" w:cs="宋体"/>
                <w:kern w:val="0"/>
                <w:szCs w:val="21"/>
              </w:rPr>
              <w:t>13.多联机机组应具有全面保护功能，应满足但不限于此要求：高/低电压保护、压缩机过载保护、排气高/低温保护、驱动板保护、缺冷媒保护、传感器保护、防结冻保护功能等。</w:t>
            </w:r>
          </w:p>
          <w:p>
            <w:pPr>
              <w:widowControl/>
              <w:spacing w:line="400" w:lineRule="exact"/>
              <w:jc w:val="left"/>
              <w:rPr>
                <w:rFonts w:ascii="宋体" w:hAnsi="宋体" w:cs="宋体"/>
                <w:kern w:val="0"/>
                <w:szCs w:val="21"/>
              </w:rPr>
            </w:pPr>
            <w:r>
              <w:rPr>
                <w:rFonts w:hint="eastAsia" w:ascii="宋体" w:hAnsi="宋体" w:cs="宋体"/>
                <w:kern w:val="0"/>
                <w:szCs w:val="21"/>
              </w:rPr>
              <w:t>14.多联式空调机组室外机具有双电子膨胀阀调节技术，主电子膨胀阀3000级，过冷电子膨胀阀480级，精确控制室内机和室外机模块间的流量。</w:t>
            </w:r>
          </w:p>
          <w:p>
            <w:pPr>
              <w:widowControl/>
              <w:spacing w:line="400" w:lineRule="exact"/>
              <w:jc w:val="left"/>
              <w:rPr>
                <w:rFonts w:ascii="宋体" w:hAnsi="宋体" w:cs="宋体"/>
                <w:kern w:val="0"/>
                <w:szCs w:val="21"/>
              </w:rPr>
            </w:pPr>
            <w:r>
              <w:rPr>
                <w:rFonts w:hint="eastAsia" w:ascii="宋体" w:hAnsi="宋体" w:cs="宋体"/>
                <w:kern w:val="0"/>
                <w:szCs w:val="21"/>
              </w:rPr>
              <w:t>15.多联式空调机组室外机单台综合能效系数 IPLV 值≥8.8,并提供相应的《中国节能产品认证证书》复印件。</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组</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lang w:val="en-US" w:eastAsia="zh-CN"/>
              </w:rPr>
              <w:t>123547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5</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kern w:val="0"/>
                <w:szCs w:val="21"/>
              </w:rPr>
              <w:t>全直流变频多联式空调室外机（22HP）</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1.额定制冷量≥61.5KW,额定制热量≥69KW。</w:t>
            </w:r>
          </w:p>
          <w:p>
            <w:pPr>
              <w:widowControl/>
              <w:spacing w:line="400" w:lineRule="exact"/>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额定制冷功率:≤17.76KW,额定制热功率≤17.05KW。</w:t>
            </w:r>
          </w:p>
          <w:p>
            <w:pPr>
              <w:widowControl/>
              <w:spacing w:line="400" w:lineRule="exact"/>
              <w:jc w:val="left"/>
              <w:rPr>
                <w:rFonts w:ascii="宋体" w:hAnsi="宋体" w:cs="宋体"/>
                <w:kern w:val="0"/>
                <w:szCs w:val="21"/>
              </w:rPr>
            </w:pPr>
            <w:r>
              <w:rPr>
                <w:rFonts w:hint="eastAsia" w:ascii="宋体" w:hAnsi="宋体" w:cs="宋体"/>
                <w:kern w:val="0"/>
                <w:szCs w:val="21"/>
              </w:rPr>
              <w:t>3.运行噪音≤64dB(A)。</w:t>
            </w:r>
          </w:p>
          <w:p>
            <w:pPr>
              <w:widowControl/>
              <w:spacing w:line="400" w:lineRule="exact"/>
              <w:jc w:val="left"/>
              <w:rPr>
                <w:rFonts w:ascii="宋体" w:hAnsi="宋体" w:cs="宋体"/>
                <w:kern w:val="0"/>
                <w:szCs w:val="21"/>
              </w:rPr>
            </w:pPr>
            <w:r>
              <w:rPr>
                <w:rFonts w:hint="eastAsia" w:hAnsi="宋体" w:cs="宋体"/>
                <w:kern w:val="0"/>
              </w:rPr>
              <w:t>★</w:t>
            </w:r>
            <w:r>
              <w:rPr>
                <w:rFonts w:hint="eastAsia" w:ascii="宋体" w:hAnsi="宋体" w:cs="宋体"/>
                <w:kern w:val="0"/>
                <w:szCs w:val="21"/>
              </w:rPr>
              <w:t>4.压缩机特性：采用喷气增焓技术。</w:t>
            </w:r>
          </w:p>
          <w:p>
            <w:pPr>
              <w:widowControl/>
              <w:spacing w:line="400" w:lineRule="exact"/>
              <w:jc w:val="left"/>
              <w:rPr>
                <w:rFonts w:ascii="宋体" w:hAnsi="宋体" w:cs="宋体"/>
                <w:kern w:val="0"/>
                <w:szCs w:val="21"/>
              </w:rPr>
            </w:pPr>
            <w:r>
              <w:rPr>
                <w:rFonts w:hint="eastAsia" w:ascii="宋体" w:hAnsi="宋体" w:cs="宋体"/>
                <w:kern w:val="0"/>
                <w:szCs w:val="21"/>
              </w:rPr>
              <w:t>5.多联式空调机室外机机组制冷运行范围-5℃～55℃；制热运行范围-30℃～24℃。</w:t>
            </w:r>
          </w:p>
          <w:p>
            <w:pPr>
              <w:widowControl/>
              <w:spacing w:line="400" w:lineRule="exact"/>
              <w:jc w:val="left"/>
              <w:rPr>
                <w:rFonts w:ascii="宋体" w:hAnsi="宋体" w:cs="宋体"/>
                <w:kern w:val="0"/>
                <w:szCs w:val="21"/>
              </w:rPr>
            </w:pPr>
            <w:r>
              <w:rPr>
                <w:rFonts w:hint="eastAsia" w:ascii="宋体" w:hAnsi="宋体" w:cs="宋体"/>
                <w:kern w:val="0"/>
                <w:szCs w:val="21"/>
              </w:rPr>
              <w:t>6.设备配管长度要求：最大实际单管长度≥200m，最大配管总长≥1000m，室内外机的最大落差≥105m，第一分岐管后最大允许长度≥115m。</w:t>
            </w:r>
          </w:p>
          <w:p>
            <w:pPr>
              <w:widowControl/>
              <w:spacing w:line="400" w:lineRule="exact"/>
              <w:jc w:val="left"/>
              <w:rPr>
                <w:rFonts w:ascii="宋体" w:hAnsi="宋体" w:cs="宋体"/>
                <w:kern w:val="0"/>
                <w:szCs w:val="21"/>
              </w:rPr>
            </w:pPr>
            <w:r>
              <w:rPr>
                <w:rFonts w:hint="eastAsia" w:ascii="宋体" w:hAnsi="宋体" w:cs="宋体"/>
                <w:kern w:val="0"/>
                <w:szCs w:val="21"/>
              </w:rPr>
              <w:t>7.多联式空调机组室外机排风静压最大可达 110Pa。</w:t>
            </w:r>
          </w:p>
          <w:p>
            <w:pPr>
              <w:widowControl/>
              <w:spacing w:line="400" w:lineRule="exact"/>
              <w:jc w:val="left"/>
              <w:rPr>
                <w:rFonts w:ascii="宋体" w:hAnsi="宋体" w:cs="宋体"/>
                <w:kern w:val="0"/>
                <w:szCs w:val="21"/>
              </w:rPr>
            </w:pPr>
            <w:r>
              <w:rPr>
                <w:rFonts w:hint="eastAsia" w:ascii="宋体" w:hAnsi="宋体" w:cs="宋体"/>
                <w:kern w:val="0"/>
                <w:szCs w:val="21"/>
              </w:rPr>
              <w:t>8.多联机采用双EEV增焓控制，可实现2400级精确调节。</w:t>
            </w:r>
          </w:p>
          <w:p>
            <w:pPr>
              <w:widowControl/>
              <w:spacing w:line="400" w:lineRule="exact"/>
              <w:jc w:val="left"/>
              <w:rPr>
                <w:rFonts w:ascii="宋体" w:hAnsi="宋体" w:cs="宋体"/>
                <w:kern w:val="0"/>
                <w:szCs w:val="21"/>
              </w:rPr>
            </w:pPr>
            <w:r>
              <w:rPr>
                <w:rFonts w:hint="eastAsia" w:ascii="宋体" w:hAnsi="宋体" w:cs="宋体"/>
                <w:kern w:val="0"/>
                <w:szCs w:val="21"/>
              </w:rPr>
              <w:t>9.多联机采用增焓脉动控制，可降低90%的冷媒脉动对管路的冲击，降低机组的振动，保证机组可靠性。</w:t>
            </w:r>
          </w:p>
          <w:p>
            <w:pPr>
              <w:widowControl/>
              <w:spacing w:line="400" w:lineRule="exact"/>
              <w:jc w:val="left"/>
              <w:rPr>
                <w:rFonts w:ascii="宋体" w:hAnsi="宋体" w:cs="宋体"/>
                <w:kern w:val="0"/>
                <w:szCs w:val="21"/>
              </w:rPr>
            </w:pPr>
            <w:r>
              <w:rPr>
                <w:rFonts w:hint="eastAsia" w:ascii="宋体" w:hAnsi="宋体" w:cs="宋体"/>
                <w:kern w:val="0"/>
                <w:szCs w:val="21"/>
              </w:rPr>
              <w:t>10.多联机采用高效换热器,采用高效多列小管径设计，提升换热系数和整体换热效果。</w:t>
            </w:r>
          </w:p>
          <w:p>
            <w:pPr>
              <w:widowControl/>
              <w:spacing w:line="400" w:lineRule="exact"/>
              <w:jc w:val="left"/>
              <w:rPr>
                <w:rFonts w:ascii="宋体" w:hAnsi="宋体" w:cs="宋体"/>
                <w:kern w:val="0"/>
                <w:szCs w:val="21"/>
              </w:rPr>
            </w:pPr>
            <w:r>
              <w:rPr>
                <w:rFonts w:hint="eastAsia" w:ascii="宋体" w:hAnsi="宋体" w:cs="宋体"/>
                <w:kern w:val="0"/>
                <w:szCs w:val="21"/>
              </w:rPr>
              <w:t>11.多联式空调机组配备功能：自动除尘功能；冷媒自动灌注功能；故障信息存储功能；防积雪功能；防雷功能；防逆风功能；自适应驱动技术；断电重启及断电记忆功能；紧急停机功能；四后备运转功能。</w:t>
            </w:r>
          </w:p>
          <w:p>
            <w:pPr>
              <w:widowControl/>
              <w:spacing w:line="400" w:lineRule="exact"/>
              <w:jc w:val="left"/>
              <w:rPr>
                <w:rFonts w:ascii="宋体" w:hAnsi="宋体" w:cs="宋体"/>
                <w:kern w:val="0"/>
                <w:szCs w:val="21"/>
              </w:rPr>
            </w:pPr>
            <w:r>
              <w:rPr>
                <w:rFonts w:hint="eastAsia" w:ascii="宋体" w:hAnsi="宋体" w:cs="宋体"/>
                <w:kern w:val="0"/>
                <w:szCs w:val="21"/>
              </w:rPr>
              <w:t>12. 采用高效板式过冷器，最大过冷度≥34℃。</w:t>
            </w:r>
          </w:p>
          <w:p>
            <w:pPr>
              <w:widowControl/>
              <w:spacing w:line="400" w:lineRule="exact"/>
              <w:jc w:val="left"/>
              <w:rPr>
                <w:rFonts w:ascii="宋体" w:hAnsi="宋体" w:cs="宋体"/>
                <w:kern w:val="0"/>
                <w:szCs w:val="21"/>
              </w:rPr>
            </w:pPr>
            <w:r>
              <w:rPr>
                <w:rFonts w:hint="eastAsia" w:ascii="宋体" w:hAnsi="宋体" w:cs="宋体"/>
                <w:kern w:val="0"/>
                <w:szCs w:val="21"/>
              </w:rPr>
              <w:t>13.多联机机组应具有全面保护功能，应满足但不限于此要求：高/低电压保护、压缩机过载保护、排气高/低温保护、驱动板保护、缺冷媒保护、传感器保护、防结冻保护功能等。</w:t>
            </w:r>
          </w:p>
          <w:p>
            <w:pPr>
              <w:widowControl/>
              <w:spacing w:line="400" w:lineRule="exact"/>
              <w:jc w:val="left"/>
              <w:rPr>
                <w:rFonts w:ascii="宋体" w:hAnsi="宋体" w:cs="宋体"/>
                <w:kern w:val="0"/>
                <w:szCs w:val="21"/>
              </w:rPr>
            </w:pPr>
            <w:r>
              <w:rPr>
                <w:rFonts w:hint="eastAsia" w:ascii="宋体" w:hAnsi="宋体" w:cs="宋体"/>
                <w:kern w:val="0"/>
                <w:szCs w:val="21"/>
              </w:rPr>
              <w:t>14.多联式空调机组室外机具有双电子膨胀阀调节技术，主电子膨胀阀3000级，过冷电子膨胀阀480级，精确控制室内机和室外机模块间的流量。</w:t>
            </w:r>
          </w:p>
          <w:p>
            <w:pPr>
              <w:widowControl/>
              <w:spacing w:line="400" w:lineRule="exact"/>
              <w:jc w:val="left"/>
              <w:rPr>
                <w:rFonts w:ascii="宋体" w:hAnsi="宋体" w:cs="宋体"/>
                <w:kern w:val="0"/>
                <w:szCs w:val="21"/>
              </w:rPr>
            </w:pPr>
            <w:r>
              <w:rPr>
                <w:rFonts w:hint="eastAsia" w:ascii="宋体" w:hAnsi="宋体" w:cs="宋体"/>
                <w:kern w:val="0"/>
                <w:szCs w:val="21"/>
              </w:rPr>
              <w:t>15.多联式空调机组室外机综合能效系数 IPLV 值≥8.8,并提供相应的《中国节能产品认证证书》复印件。</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ascii="宋体" w:hAnsi="宋体" w:cs="宋体"/>
                <w:kern w:val="0"/>
                <w:szCs w:val="21"/>
              </w:rPr>
              <w:t>63060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6</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1、制冷量≥2.2KW，制热量≥2.5KW；额定功率≤0.03KW；</w:t>
            </w:r>
          </w:p>
          <w:p>
            <w:pPr>
              <w:widowControl/>
              <w:spacing w:line="400" w:lineRule="exact"/>
              <w:jc w:val="left"/>
              <w:rPr>
                <w:rFonts w:ascii="宋体" w:hAnsi="宋体" w:cs="宋体"/>
                <w:kern w:val="0"/>
                <w:szCs w:val="21"/>
              </w:rPr>
            </w:pPr>
            <w:r>
              <w:rPr>
                <w:rFonts w:hint="eastAsia" w:ascii="宋体" w:hAnsi="宋体" w:cs="宋体"/>
                <w:kern w:val="0"/>
                <w:szCs w:val="21"/>
              </w:rPr>
              <w:t>2、噪音≤29dB（A)（高速运行）；                                         3、循环风量≥450m3/h（高速运行）；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14</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lang w:val="en-US" w:eastAsia="zh-CN"/>
              </w:rPr>
              <w:t>2333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7</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1、制冷量≥2.5KW，制热量≥2.8KW；额定功率≤0.03KW；</w:t>
            </w:r>
          </w:p>
          <w:p>
            <w:pPr>
              <w:widowControl/>
              <w:spacing w:line="400" w:lineRule="exact"/>
              <w:jc w:val="left"/>
              <w:rPr>
                <w:rFonts w:ascii="宋体" w:hAnsi="宋体" w:cs="宋体"/>
                <w:kern w:val="0"/>
                <w:szCs w:val="21"/>
              </w:rPr>
            </w:pPr>
            <w:r>
              <w:rPr>
                <w:rFonts w:hint="eastAsia" w:ascii="宋体" w:hAnsi="宋体" w:cs="宋体"/>
                <w:kern w:val="0"/>
                <w:szCs w:val="21"/>
              </w:rPr>
              <w:t>2、噪音≤29dB（A)（高速运行）；                                         3、循环风量≥450m3/h（高速运行）；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ascii="宋体" w:hAnsi="宋体" w:cs="宋体"/>
                <w:kern w:val="0"/>
                <w:szCs w:val="21"/>
              </w:rPr>
              <w:t>2358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8</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1、制冷量≥2.8KW，制热量≥3.2KW；额定功率≤0.03KW；</w:t>
            </w:r>
          </w:p>
          <w:p>
            <w:pPr>
              <w:widowControl/>
              <w:spacing w:line="400" w:lineRule="exact"/>
              <w:jc w:val="left"/>
              <w:rPr>
                <w:rFonts w:ascii="宋体" w:hAnsi="宋体" w:cs="宋体"/>
                <w:kern w:val="0"/>
                <w:szCs w:val="21"/>
              </w:rPr>
            </w:pPr>
            <w:r>
              <w:rPr>
                <w:rFonts w:hint="eastAsia" w:ascii="宋体" w:hAnsi="宋体" w:cs="宋体"/>
                <w:kern w:val="0"/>
                <w:szCs w:val="21"/>
              </w:rPr>
              <w:t>2、噪音≤29dB（A)（高速运行）；                                         3、循环风量≥450m3/h（高速运行）；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10</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ascii="宋体" w:hAnsi="宋体" w:cs="宋体"/>
                <w:kern w:val="0"/>
                <w:szCs w:val="21"/>
              </w:rPr>
              <w:t>2372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9</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1、制冷量≥4.5KW，制热量≥5KW；额定功率≤0.042KW；</w:t>
            </w:r>
          </w:p>
          <w:p>
            <w:pPr>
              <w:widowControl/>
              <w:spacing w:line="400" w:lineRule="exact"/>
              <w:jc w:val="left"/>
              <w:rPr>
                <w:rFonts w:ascii="宋体" w:hAnsi="宋体" w:cs="宋体"/>
                <w:kern w:val="0"/>
                <w:szCs w:val="21"/>
              </w:rPr>
            </w:pPr>
            <w:r>
              <w:rPr>
                <w:rFonts w:hint="eastAsia" w:ascii="宋体" w:hAnsi="宋体" w:cs="宋体"/>
                <w:kern w:val="0"/>
                <w:szCs w:val="21"/>
              </w:rPr>
              <w:t>2、噪音≤33dB（A)（高速运行）；                                         3、循环风量≥700m3/h（高速运行）；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ascii="宋体" w:hAnsi="宋体" w:cs="宋体"/>
                <w:kern w:val="0"/>
                <w:szCs w:val="21"/>
              </w:rPr>
              <w:t>2761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10</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1、制冷量≥5KW，制热量≥5.6KW；额定功率≤0.042KW；</w:t>
            </w:r>
          </w:p>
          <w:p>
            <w:pPr>
              <w:widowControl/>
              <w:spacing w:line="400" w:lineRule="exact"/>
              <w:jc w:val="left"/>
              <w:rPr>
                <w:rFonts w:ascii="宋体" w:hAnsi="宋体" w:cs="宋体"/>
                <w:kern w:val="0"/>
                <w:szCs w:val="21"/>
              </w:rPr>
            </w:pPr>
            <w:r>
              <w:rPr>
                <w:rFonts w:hint="eastAsia" w:ascii="宋体" w:hAnsi="宋体" w:cs="宋体"/>
                <w:kern w:val="0"/>
                <w:szCs w:val="21"/>
              </w:rPr>
              <w:t>2、噪音≤33dB（A)（高速运行）；                                         3、循环风量≥700m3/h（高速运行）；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lang w:val="en-US" w:eastAsia="zh-CN"/>
              </w:rPr>
              <w:t>2800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11</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1、制冷量≥5.6KW，制热量≥6.3KW；额定功率≤0.06KW；</w:t>
            </w:r>
          </w:p>
          <w:p>
            <w:pPr>
              <w:widowControl/>
              <w:spacing w:line="400" w:lineRule="exact"/>
              <w:jc w:val="left"/>
              <w:rPr>
                <w:rFonts w:ascii="宋体" w:hAnsi="宋体" w:cs="宋体"/>
                <w:kern w:val="0"/>
                <w:szCs w:val="21"/>
              </w:rPr>
            </w:pPr>
            <w:r>
              <w:rPr>
                <w:rFonts w:hint="eastAsia" w:ascii="宋体" w:hAnsi="宋体" w:cs="宋体"/>
                <w:kern w:val="0"/>
                <w:szCs w:val="21"/>
              </w:rPr>
              <w:t>2、噪音≤35dB（A)（高速运行）；                                         3、循环风量≥850m3/h（高速运行）；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6</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lang w:val="en-US" w:eastAsia="zh-CN"/>
              </w:rPr>
              <w:t>3084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12</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1、制冷量≥6.3KW，制热量≥7.1KW；额定功率≤0.06KW；</w:t>
            </w:r>
          </w:p>
          <w:p>
            <w:pPr>
              <w:widowControl/>
              <w:spacing w:line="400" w:lineRule="exact"/>
              <w:jc w:val="left"/>
              <w:rPr>
                <w:rFonts w:ascii="宋体" w:hAnsi="宋体" w:cs="宋体"/>
                <w:kern w:val="0"/>
                <w:szCs w:val="21"/>
              </w:rPr>
            </w:pPr>
            <w:r>
              <w:rPr>
                <w:rFonts w:hint="eastAsia" w:ascii="宋体" w:hAnsi="宋体" w:cs="宋体"/>
                <w:kern w:val="0"/>
                <w:szCs w:val="21"/>
              </w:rPr>
              <w:t>2、噪音≤35dB（A)（高速运行）；                                         3、循环风量≥850m3/h（高速运行）；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ascii="宋体" w:hAnsi="宋体" w:cs="宋体"/>
                <w:kern w:val="0"/>
                <w:szCs w:val="21"/>
              </w:rPr>
              <w:t>3239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13</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1、制冷量≥7.1KW，制热量≥8KW；额定功率≤0.06KW；</w:t>
            </w:r>
          </w:p>
          <w:p>
            <w:pPr>
              <w:widowControl/>
              <w:spacing w:line="400" w:lineRule="exact"/>
              <w:jc w:val="left"/>
              <w:rPr>
                <w:rFonts w:ascii="宋体" w:hAnsi="宋体" w:cs="宋体"/>
                <w:kern w:val="0"/>
                <w:szCs w:val="21"/>
              </w:rPr>
            </w:pPr>
            <w:r>
              <w:rPr>
                <w:rFonts w:hint="eastAsia" w:ascii="宋体" w:hAnsi="宋体" w:cs="宋体"/>
                <w:kern w:val="0"/>
                <w:szCs w:val="21"/>
              </w:rPr>
              <w:t>2、噪音≤37dB（A)（高速运行）；                                         3、循环风量≥1100m3/h（高速运行）；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6</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lang w:val="en-US" w:eastAsia="zh-CN"/>
              </w:rPr>
              <w:t>3407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14</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1、制冷量≥8KW，制热量≥9KW；额定功率≤0.11KW；</w:t>
            </w:r>
          </w:p>
          <w:p>
            <w:pPr>
              <w:widowControl/>
              <w:spacing w:line="400" w:lineRule="exact"/>
              <w:jc w:val="left"/>
              <w:rPr>
                <w:rFonts w:ascii="宋体" w:hAnsi="宋体" w:cs="宋体"/>
                <w:kern w:val="0"/>
                <w:szCs w:val="21"/>
              </w:rPr>
            </w:pPr>
            <w:r>
              <w:rPr>
                <w:rFonts w:hint="eastAsia" w:ascii="宋体" w:hAnsi="宋体" w:cs="宋体"/>
                <w:kern w:val="0"/>
                <w:szCs w:val="21"/>
              </w:rPr>
              <w:t>2、噪音≤38dB（A)（高速运行）；                                         3、循环风量≥1200m3/h（高速运行）；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lang w:val="en-US" w:eastAsia="zh-CN"/>
              </w:rPr>
              <w:t>3796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15</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1、制冷量≥9KW，制热量≥10KW；额定功率≤0.12KW；</w:t>
            </w:r>
          </w:p>
          <w:p>
            <w:pPr>
              <w:widowControl/>
              <w:spacing w:line="400" w:lineRule="exact"/>
              <w:jc w:val="left"/>
              <w:rPr>
                <w:rFonts w:ascii="宋体" w:hAnsi="宋体" w:cs="宋体"/>
                <w:kern w:val="0"/>
                <w:szCs w:val="21"/>
              </w:rPr>
            </w:pPr>
            <w:r>
              <w:rPr>
                <w:rFonts w:hint="eastAsia" w:ascii="宋体" w:hAnsi="宋体" w:cs="宋体"/>
                <w:kern w:val="0"/>
                <w:szCs w:val="21"/>
              </w:rPr>
              <w:t>2、噪音≤40dB（A)（高速运行）；                                         3、循环风量≥1500m3/h（高速运行）；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8</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lang w:val="en-US" w:eastAsia="zh-CN"/>
              </w:rPr>
              <w:t>4640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16</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风管式室内机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1、制冷量≥10KW，制热量≥11.2KW；额定功率≤0.12KW；</w:t>
            </w:r>
          </w:p>
          <w:p>
            <w:pPr>
              <w:widowControl/>
              <w:spacing w:line="400" w:lineRule="exact"/>
              <w:jc w:val="left"/>
              <w:rPr>
                <w:rFonts w:ascii="宋体" w:hAnsi="宋体" w:cs="宋体"/>
                <w:kern w:val="0"/>
                <w:szCs w:val="21"/>
              </w:rPr>
            </w:pPr>
            <w:r>
              <w:rPr>
                <w:rFonts w:hint="eastAsia" w:ascii="宋体" w:hAnsi="宋体" w:cs="宋体"/>
                <w:kern w:val="0"/>
                <w:szCs w:val="21"/>
              </w:rPr>
              <w:t>2、噪音≤40dB（A)（高速运行）；                                         3、循环风量≥1500m3/h（高速运行）；</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lang w:val="en-US" w:eastAsia="zh-CN"/>
              </w:rPr>
              <w:t>4600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17</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四面出风天井式室内机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1、制冷量≥8KW，制热量≥9KW；额定功率≤0.09KW；</w:t>
            </w:r>
          </w:p>
          <w:p>
            <w:pPr>
              <w:widowControl/>
              <w:spacing w:line="400" w:lineRule="exact"/>
              <w:jc w:val="left"/>
              <w:rPr>
                <w:rFonts w:ascii="宋体" w:hAnsi="宋体" w:cs="宋体"/>
                <w:kern w:val="0"/>
                <w:szCs w:val="21"/>
              </w:rPr>
            </w:pPr>
            <w:r>
              <w:rPr>
                <w:rFonts w:hint="eastAsia" w:ascii="宋体" w:hAnsi="宋体" w:cs="宋体"/>
                <w:kern w:val="0"/>
                <w:szCs w:val="21"/>
              </w:rPr>
              <w:t>2、设备带提升水泵，扬程≥1200mm；</w:t>
            </w:r>
          </w:p>
          <w:p>
            <w:pPr>
              <w:widowControl/>
              <w:spacing w:line="400" w:lineRule="exact"/>
              <w:jc w:val="left"/>
              <w:rPr>
                <w:rFonts w:ascii="宋体" w:hAnsi="宋体" w:cs="宋体"/>
                <w:kern w:val="0"/>
                <w:szCs w:val="21"/>
              </w:rPr>
            </w:pPr>
            <w:r>
              <w:rPr>
                <w:rFonts w:hint="eastAsia" w:ascii="宋体" w:hAnsi="宋体" w:cs="宋体"/>
                <w:kern w:val="0"/>
                <w:szCs w:val="21"/>
              </w:rPr>
              <w:t>3、循环风量≥1050m3/h（高风量）；</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p>
            <w:pPr>
              <w:widowControl/>
              <w:spacing w:line="400" w:lineRule="exact"/>
              <w:jc w:val="left"/>
              <w:rPr>
                <w:rFonts w:ascii="宋体" w:hAnsi="宋体" w:cs="宋体"/>
                <w:kern w:val="0"/>
                <w:szCs w:val="21"/>
              </w:rPr>
            </w:pPr>
            <w:r>
              <w:rPr>
                <w:rFonts w:hint="eastAsia" w:ascii="宋体" w:hAnsi="宋体" w:cs="宋体"/>
                <w:kern w:val="0"/>
                <w:szCs w:val="21"/>
              </w:rPr>
              <w:t>5、超薄机身，机身厚度≤200mm。</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9</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lang w:val="en-US" w:eastAsia="zh-CN"/>
              </w:rPr>
              <w:t>4963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18</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四面出风天井式室内机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1、制冷量≥9KW，制热量≥10KW；额定功率≤0.11KW；</w:t>
            </w:r>
          </w:p>
          <w:p>
            <w:pPr>
              <w:widowControl/>
              <w:spacing w:line="400" w:lineRule="exact"/>
              <w:jc w:val="left"/>
              <w:rPr>
                <w:rFonts w:ascii="宋体" w:hAnsi="宋体" w:cs="宋体"/>
                <w:kern w:val="0"/>
                <w:szCs w:val="21"/>
              </w:rPr>
            </w:pPr>
            <w:r>
              <w:rPr>
                <w:rFonts w:hint="eastAsia" w:ascii="宋体" w:hAnsi="宋体" w:cs="宋体"/>
                <w:kern w:val="0"/>
                <w:szCs w:val="21"/>
              </w:rPr>
              <w:t>2、设备带提升水泵，扬程≥1200mm；</w:t>
            </w:r>
          </w:p>
          <w:p>
            <w:pPr>
              <w:widowControl/>
              <w:spacing w:line="400" w:lineRule="exact"/>
              <w:jc w:val="left"/>
              <w:rPr>
                <w:rFonts w:ascii="宋体" w:hAnsi="宋体" w:cs="宋体"/>
                <w:kern w:val="0"/>
                <w:szCs w:val="21"/>
              </w:rPr>
            </w:pPr>
            <w:r>
              <w:rPr>
                <w:rFonts w:hint="eastAsia" w:ascii="宋体" w:hAnsi="宋体" w:cs="宋体"/>
                <w:kern w:val="0"/>
                <w:szCs w:val="21"/>
              </w:rPr>
              <w:t>3、循环风量≥1150m3/h（高风量）；</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p>
            <w:pPr>
              <w:widowControl/>
              <w:spacing w:line="400" w:lineRule="exact"/>
              <w:jc w:val="left"/>
              <w:rPr>
                <w:rFonts w:ascii="宋体" w:hAnsi="宋体" w:cs="宋体"/>
                <w:kern w:val="0"/>
                <w:szCs w:val="21"/>
              </w:rPr>
            </w:pPr>
            <w:r>
              <w:rPr>
                <w:rFonts w:hint="eastAsia" w:ascii="宋体" w:hAnsi="宋体" w:cs="宋体"/>
                <w:kern w:val="0"/>
                <w:szCs w:val="21"/>
              </w:rPr>
              <w:t>5、超薄机身，机身厚度≤240mm。</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lang w:val="en-US" w:eastAsia="zh-CN"/>
              </w:rPr>
              <w:t>5170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19</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四面出风天井式室内机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1、制冷量≥10KW，制热量≥11.2KW；额定功率≤0.11KW；</w:t>
            </w:r>
          </w:p>
          <w:p>
            <w:pPr>
              <w:widowControl/>
              <w:spacing w:line="400" w:lineRule="exact"/>
              <w:jc w:val="left"/>
              <w:rPr>
                <w:rFonts w:ascii="宋体" w:hAnsi="宋体" w:cs="宋体"/>
                <w:kern w:val="0"/>
                <w:szCs w:val="21"/>
              </w:rPr>
            </w:pPr>
            <w:r>
              <w:rPr>
                <w:rFonts w:hint="eastAsia" w:ascii="宋体" w:hAnsi="宋体" w:cs="宋体"/>
                <w:kern w:val="0"/>
                <w:szCs w:val="21"/>
              </w:rPr>
              <w:t>2、设备带提升水泵，扬程≥1200mm；</w:t>
            </w:r>
          </w:p>
          <w:p>
            <w:pPr>
              <w:widowControl/>
              <w:spacing w:line="400" w:lineRule="exact"/>
              <w:jc w:val="left"/>
              <w:rPr>
                <w:rFonts w:ascii="宋体" w:hAnsi="宋体" w:cs="宋体"/>
                <w:kern w:val="0"/>
                <w:szCs w:val="21"/>
              </w:rPr>
            </w:pPr>
            <w:r>
              <w:rPr>
                <w:rFonts w:hint="eastAsia" w:ascii="宋体" w:hAnsi="宋体" w:cs="宋体"/>
                <w:kern w:val="0"/>
                <w:szCs w:val="21"/>
              </w:rPr>
              <w:t>3、循环风量≥1150m3/h（高风量）；</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p>
            <w:pPr>
              <w:widowControl/>
              <w:spacing w:line="400" w:lineRule="exact"/>
              <w:jc w:val="left"/>
              <w:rPr>
                <w:rFonts w:ascii="宋体" w:hAnsi="宋体" w:cs="宋体"/>
                <w:kern w:val="0"/>
                <w:szCs w:val="21"/>
              </w:rPr>
            </w:pPr>
            <w:r>
              <w:rPr>
                <w:rFonts w:hint="eastAsia" w:ascii="宋体" w:hAnsi="宋体" w:cs="宋体"/>
                <w:kern w:val="0"/>
                <w:szCs w:val="21"/>
              </w:rPr>
              <w:t>5、超薄机身，机身厚度≤240mm。</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21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lang w:val="en-US" w:eastAsia="zh-CN"/>
              </w:rPr>
              <w:t>5416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20</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四面出风天井式室内机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1、制冷量≥11.2KW，制热量≥12.5KW；额定功率≤0.11KW；</w:t>
            </w:r>
          </w:p>
          <w:p>
            <w:pPr>
              <w:widowControl/>
              <w:spacing w:line="400" w:lineRule="exact"/>
              <w:jc w:val="left"/>
              <w:rPr>
                <w:rFonts w:ascii="宋体" w:hAnsi="宋体" w:cs="宋体"/>
                <w:kern w:val="0"/>
                <w:szCs w:val="21"/>
              </w:rPr>
            </w:pPr>
            <w:r>
              <w:rPr>
                <w:rFonts w:hint="eastAsia" w:ascii="宋体" w:hAnsi="宋体" w:cs="宋体"/>
                <w:kern w:val="0"/>
                <w:szCs w:val="21"/>
              </w:rPr>
              <w:t>2、设备带提升水泵，扬程≥1200mm；</w:t>
            </w:r>
          </w:p>
          <w:p>
            <w:pPr>
              <w:widowControl/>
              <w:spacing w:line="400" w:lineRule="exact"/>
              <w:jc w:val="left"/>
              <w:rPr>
                <w:rFonts w:ascii="宋体" w:hAnsi="宋体" w:cs="宋体"/>
                <w:kern w:val="0"/>
                <w:szCs w:val="21"/>
              </w:rPr>
            </w:pPr>
            <w:r>
              <w:rPr>
                <w:rFonts w:hint="eastAsia" w:ascii="宋体" w:hAnsi="宋体" w:cs="宋体"/>
                <w:kern w:val="0"/>
                <w:szCs w:val="21"/>
              </w:rPr>
              <w:t>3、循环风量≥1150m3/h（高风量）；</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p>
            <w:pPr>
              <w:widowControl/>
              <w:spacing w:line="400" w:lineRule="exact"/>
              <w:jc w:val="left"/>
              <w:rPr>
                <w:rFonts w:ascii="宋体" w:hAnsi="宋体" w:cs="宋体"/>
                <w:kern w:val="0"/>
                <w:szCs w:val="21"/>
              </w:rPr>
            </w:pPr>
            <w:r>
              <w:rPr>
                <w:rFonts w:hint="eastAsia" w:ascii="宋体" w:hAnsi="宋体" w:cs="宋体"/>
                <w:kern w:val="0"/>
                <w:szCs w:val="21"/>
              </w:rPr>
              <w:t>5、超薄机身，机身厚度≤240mm。</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lang w:val="en-US" w:eastAsia="zh-CN"/>
              </w:rPr>
              <w:t>5443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21</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四面出风天井式室内机</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1、制冷量≥14KW，制热量≥16KW；额定功率≤0.19KW；</w:t>
            </w:r>
          </w:p>
          <w:p>
            <w:pPr>
              <w:widowControl/>
              <w:spacing w:line="400" w:lineRule="exact"/>
              <w:jc w:val="left"/>
              <w:rPr>
                <w:rFonts w:ascii="宋体" w:hAnsi="宋体" w:cs="宋体"/>
                <w:kern w:val="0"/>
                <w:szCs w:val="21"/>
              </w:rPr>
            </w:pPr>
            <w:r>
              <w:rPr>
                <w:rFonts w:hint="eastAsia" w:ascii="宋体" w:hAnsi="宋体" w:cs="宋体"/>
                <w:kern w:val="0"/>
                <w:szCs w:val="21"/>
              </w:rPr>
              <w:t>2、设备带提升水泵，扬程≥1200mm；</w:t>
            </w:r>
          </w:p>
          <w:p>
            <w:pPr>
              <w:widowControl/>
              <w:spacing w:line="400" w:lineRule="exact"/>
              <w:jc w:val="left"/>
              <w:rPr>
                <w:rFonts w:ascii="宋体" w:hAnsi="宋体" w:cs="宋体"/>
                <w:kern w:val="0"/>
                <w:szCs w:val="21"/>
              </w:rPr>
            </w:pPr>
            <w:r>
              <w:rPr>
                <w:rFonts w:hint="eastAsia" w:ascii="宋体" w:hAnsi="宋体" w:cs="宋体"/>
                <w:kern w:val="0"/>
                <w:szCs w:val="21"/>
              </w:rPr>
              <w:t>3、循环风量≥1600m3/h（高风量）；</w:t>
            </w:r>
          </w:p>
          <w:p>
            <w:pPr>
              <w:widowControl/>
              <w:spacing w:line="400" w:lineRule="exact"/>
              <w:jc w:val="left"/>
              <w:rPr>
                <w:rFonts w:ascii="宋体" w:hAnsi="宋体" w:cs="宋体"/>
                <w:kern w:val="0"/>
                <w:szCs w:val="21"/>
              </w:rPr>
            </w:pPr>
            <w:r>
              <w:rPr>
                <w:rFonts w:hint="eastAsia" w:ascii="宋体" w:hAnsi="宋体" w:cs="宋体"/>
                <w:kern w:val="0"/>
                <w:szCs w:val="21"/>
              </w:rPr>
              <w:t>4、电源：220V~50HZ；</w:t>
            </w:r>
          </w:p>
          <w:p>
            <w:pPr>
              <w:widowControl/>
              <w:spacing w:line="400" w:lineRule="exact"/>
              <w:jc w:val="left"/>
              <w:rPr>
                <w:rFonts w:ascii="宋体" w:hAnsi="宋体" w:cs="宋体"/>
                <w:kern w:val="0"/>
                <w:szCs w:val="21"/>
              </w:rPr>
            </w:pPr>
            <w:r>
              <w:rPr>
                <w:rFonts w:hint="eastAsia" w:ascii="宋体" w:hAnsi="宋体" w:cs="宋体"/>
                <w:kern w:val="0"/>
                <w:szCs w:val="21"/>
              </w:rPr>
              <w:t>5、超薄机身，机身厚度≤290mm。</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lang w:val="en-US" w:eastAsia="zh-CN"/>
              </w:rPr>
              <w:t>5780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22</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内机线控器</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400" w:lineRule="exact"/>
              <w:jc w:val="left"/>
            </w:pPr>
            <w:r>
              <w:rPr>
                <w:rFonts w:hint="eastAsia"/>
              </w:rPr>
              <w:t>背景灯光</w:t>
            </w:r>
            <w:r>
              <w:rPr>
                <w:rFonts w:hint="eastAsia" w:ascii="宋体" w:hAnsi="宋体" w:cs="宋体"/>
                <w:kern w:val="0"/>
                <w:szCs w:val="21"/>
              </w:rPr>
              <w:t>；</w:t>
            </w:r>
          </w:p>
          <w:p>
            <w:pPr>
              <w:pStyle w:val="89"/>
              <w:numPr>
                <w:ilvl w:val="0"/>
                <w:numId w:val="5"/>
              </w:numPr>
            </w:pPr>
            <w:r>
              <w:rPr>
                <w:rFonts w:hint="eastAsia"/>
              </w:rPr>
              <w:t>触摸按键；</w:t>
            </w:r>
          </w:p>
          <w:p>
            <w:pPr>
              <w:pStyle w:val="89"/>
              <w:numPr>
                <w:ilvl w:val="0"/>
                <w:numId w:val="5"/>
              </w:numPr>
            </w:pPr>
            <w:r>
              <w:rPr>
                <w:rFonts w:hint="eastAsia"/>
              </w:rPr>
              <w:t>定时开关设定</w:t>
            </w:r>
            <w:r>
              <w:rPr>
                <w:rFonts w:hint="eastAsia" w:hAnsi="宋体" w:cs="宋体"/>
                <w:kern w:val="0"/>
              </w:rPr>
              <w:t>；</w:t>
            </w:r>
          </w:p>
          <w:p>
            <w:pPr>
              <w:pStyle w:val="89"/>
              <w:numPr>
                <w:ilvl w:val="0"/>
                <w:numId w:val="5"/>
              </w:numPr>
            </w:pPr>
            <w:r>
              <w:rPr>
                <w:rFonts w:hint="eastAsia" w:hAnsi="宋体" w:cs="宋体"/>
                <w:kern w:val="0"/>
              </w:rPr>
              <w:t>时钟显示；</w:t>
            </w:r>
          </w:p>
          <w:p>
            <w:pPr>
              <w:pStyle w:val="89"/>
              <w:numPr>
                <w:ilvl w:val="0"/>
                <w:numId w:val="5"/>
              </w:numPr>
            </w:pPr>
            <w:r>
              <w:rPr>
                <w:rFonts w:hint="eastAsia" w:hAnsi="宋体" w:cs="宋体"/>
                <w:kern w:val="0"/>
              </w:rPr>
              <w:t>儿童锁功能；</w:t>
            </w:r>
          </w:p>
          <w:p>
            <w:pPr>
              <w:pStyle w:val="89"/>
              <w:numPr>
                <w:ilvl w:val="0"/>
                <w:numId w:val="5"/>
              </w:numPr>
            </w:pPr>
            <w:r>
              <w:rPr>
                <w:rFonts w:hint="eastAsia" w:hAnsi="宋体" w:cs="宋体"/>
                <w:kern w:val="0"/>
              </w:rPr>
              <w:t>结构防潮设计。</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个</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112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lang w:val="en-US" w:eastAsia="zh-CN"/>
              </w:rPr>
              <w:t>180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22</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color w:val="000000"/>
                <w:kern w:val="0"/>
                <w:szCs w:val="21"/>
                <w:lang w:bidi="ar"/>
              </w:rPr>
              <w:t>Φ41.3，含人工及调试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85 </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1"/>
              </w:rPr>
            </w:pPr>
            <w:r>
              <w:rPr>
                <w:rFonts w:hint="eastAsia" w:ascii="宋体" w:hAnsi="宋体"/>
                <w:kern w:val="1"/>
                <w:lang w:val="en-US" w:eastAsia="zh-CN"/>
              </w:rPr>
              <w:t>185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23</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color w:val="000000"/>
                <w:kern w:val="0"/>
                <w:szCs w:val="21"/>
                <w:lang w:bidi="ar"/>
              </w:rPr>
              <w:t>Φ38.1，含人工及调试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227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24</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lang w:bidi="ar"/>
              </w:rPr>
              <w:t>φ31.8，含人工及调试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102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25</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lang w:bidi="ar"/>
              </w:rPr>
              <w:t>φ28.6，含人工及调试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221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26</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lang w:bidi="ar"/>
              </w:rPr>
              <w:t>φ22.2，含人工及调试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115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27</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lang w:bidi="ar"/>
              </w:rPr>
              <w:t>φ19.1，含人工及调试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351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28</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lang w:bidi="ar"/>
              </w:rPr>
              <w:t>φ15.9，含人工及调试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642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29</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lang w:bidi="ar"/>
              </w:rPr>
              <w:t>φ12.7，含人工及调试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259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30</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lang w:bidi="ar"/>
              </w:rPr>
              <w:t>φ9.5，含人工及调试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795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31</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ascii="宋体" w:hAnsi="宋体" w:cs="宋体"/>
              </w:rPr>
              <w:t>冷媒铜管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lang w:bidi="ar"/>
              </w:rPr>
              <w:t>φ6.4，含人工及调试</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183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r>
              <w:rPr>
                <w:rFonts w:hint="eastAsia" w:ascii="宋体" w:hAnsi="宋体" w:cs="宋体"/>
                <w:kern w:val="0"/>
                <w:szCs w:val="21"/>
              </w:rPr>
              <w:t>32</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color w:val="000000"/>
                <w:kern w:val="0"/>
                <w:szCs w:val="21"/>
                <w:lang w:bidi="ar"/>
              </w:rPr>
              <w:t>Φ41.3*20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85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color w:val="000000"/>
                <w:kern w:val="0"/>
                <w:szCs w:val="21"/>
                <w:lang w:bidi="ar"/>
              </w:rPr>
              <w:t>φ38.1*20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227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φ31.8*20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102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φ28.6*20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221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φ22.2*20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115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Φ19.1*20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351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φ15.9*15</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642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φ12.7*15</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259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Φ9.5*15</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795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rPr>
            </w:pPr>
            <w:r>
              <w:rPr>
                <w:rFonts w:hint="eastAsia" w:hAnsi="宋体" w:cs="宋体"/>
                <w:bCs/>
              </w:rPr>
              <w:t>橡塑保温套管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φ6.4*15</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183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PVC排水管（含保温套）</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Φ25</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142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1"/>
              </w:rPr>
            </w:pPr>
            <w:r>
              <w:rPr>
                <w:rFonts w:hint="eastAsia" w:ascii="宋体" w:hAnsi="宋体"/>
                <w:kern w:val="1"/>
                <w:lang w:val="en-US" w:eastAsia="zh-CN"/>
              </w:rPr>
              <w:t>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PVC排水管（含保温套）</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Φ32</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240</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PVC排水管（含保温套）</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Φ40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340</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PVC排水管（含保温套）</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Φ50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196</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分歧管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批</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冷媒</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hAnsi="宋体" w:cs="宋体"/>
                <w:bCs/>
              </w:rPr>
              <w:t>R410a</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公斤</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160</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lang w:val="en-US" w:eastAsia="zh-C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szCs w:val="21"/>
              </w:rPr>
            </w:pPr>
            <w:r>
              <w:rPr>
                <w:rFonts w:hint="eastAsia" w:ascii="宋体" w:hAnsi="宋体" w:cs="宋体"/>
                <w:color w:val="000000"/>
                <w:kern w:val="0"/>
                <w:szCs w:val="21"/>
                <w:lang w:bidi="ar"/>
              </w:rPr>
              <w:t>配套辅助材料</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铜管管件、焊条、支吊架、氮气、保温胶水紧固件、其他五金等</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项</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35565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酚醛复合材料风管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平方米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492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lang w:val="en-US" w:eastAsia="zh-CN"/>
              </w:rPr>
              <w:t>145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侧送风口</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12000*200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条</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方形散流器</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200*200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个</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24</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1"/>
              </w:rPr>
            </w:pPr>
            <w:r>
              <w:rPr>
                <w:rFonts w:hint="eastAsia" w:ascii="宋体" w:hAnsi="宋体"/>
                <w:kern w:val="1"/>
                <w:lang w:val="en-US" w:eastAsia="zh-CN"/>
              </w:rPr>
              <w:t>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方形散流器</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250*250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个</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33</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方形散流器</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300*300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个</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31</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门铰式回风百叶风口</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500*350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个</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29</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门铰式回风百叶风口</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700*350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个</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7</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门铰式回风百叶风口</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1000*400</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个</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19</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ascii="宋体" w:hAnsi="宋体" w:cs="宋体"/>
                <w:color w:val="000000"/>
                <w:kern w:val="0"/>
                <w:szCs w:val="21"/>
                <w:lang w:bidi="ar"/>
              </w:rPr>
              <w:t>配套辅助材料</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项</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25650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屏蔽信号线</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3*0.75mm²</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2800</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1"/>
              </w:rPr>
            </w:pPr>
            <w:r>
              <w:rPr>
                <w:rFonts w:hint="eastAsia" w:ascii="宋体" w:hAnsi="宋体"/>
                <w:kern w:val="1"/>
                <w:lang w:val="en-US" w:eastAsia="zh-CN"/>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PVC线管</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color w:val="000000"/>
                <w:kern w:val="0"/>
                <w:szCs w:val="21"/>
                <w:lang w:bidi="ar"/>
              </w:rPr>
              <w:t>Φ16</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2800</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空调主机电缆</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3*16mm²+2*10mm²</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200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空调主电缆</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3*185mm²+2*95mm²</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80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592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电缆桥架</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200*100mm</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200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电缆桥架</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300*150mm</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米</w:t>
            </w:r>
          </w:p>
        </w:tc>
        <w:tc>
          <w:tcPr>
            <w:tcW w:w="8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1"/>
                <w:szCs w:val="21"/>
              </w:rPr>
            </w:pPr>
            <w:r>
              <w:rPr>
                <w:rFonts w:hint="eastAsia" w:ascii="宋体" w:hAnsi="宋体" w:cs="宋体"/>
                <w:color w:val="000000"/>
                <w:kern w:val="0"/>
                <w:szCs w:val="21"/>
                <w:lang w:bidi="ar"/>
              </w:rPr>
              <w:t xml:space="preserve">80 </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lang w:val="en-US" w:eastAsia="zh-CN"/>
              </w:rPr>
              <w:t>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jc w:val="center"/>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hAnsi="宋体" w:cs="宋体"/>
                <w:bCs/>
              </w:rPr>
              <w:t>空调主机配电柜</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台</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rPr>
              <w:t>7500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pStyle w:val="108"/>
              <w:widowControl/>
              <w:numPr>
                <w:ilvl w:val="0"/>
                <w:numId w:val="4"/>
              </w:numPr>
              <w:spacing w:line="420" w:lineRule="exact"/>
              <w:ind w:firstLineChars="0"/>
              <w:rPr>
                <w:rFonts w:ascii="宋体" w:hAnsi="宋体" w:cs="宋体"/>
                <w:kern w:val="0"/>
                <w:szCs w:val="21"/>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Ansi="宋体" w:cs="宋体"/>
                <w:bCs/>
              </w:rPr>
            </w:pPr>
            <w:r>
              <w:rPr>
                <w:rFonts w:hint="eastAsia" w:ascii="宋体" w:hAnsi="宋体" w:cs="宋体"/>
                <w:color w:val="000000"/>
                <w:kern w:val="0"/>
                <w:szCs w:val="21"/>
                <w:lang w:bidi="ar"/>
              </w:rPr>
              <w:t>配套辅助材料</w:t>
            </w:r>
          </w:p>
        </w:tc>
        <w:tc>
          <w:tcPr>
            <w:tcW w:w="585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铜线耳、电缆头组件、电工胶布、紧固件等</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项</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kern w:val="1"/>
              </w:rPr>
            </w:pPr>
            <w:r>
              <w:rPr>
                <w:rFonts w:hint="eastAsia" w:ascii="宋体" w:hAnsi="宋体"/>
                <w:kern w:val="1"/>
              </w:rPr>
              <w:t>1</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1"/>
              </w:rPr>
            </w:pPr>
            <w:r>
              <w:rPr>
                <w:rFonts w:hint="eastAsia" w:ascii="宋体" w:hAnsi="宋体"/>
                <w:kern w:val="1"/>
              </w:rPr>
              <w:t>17500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0595" w:type="dxa"/>
            <w:gridSpan w:val="7"/>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hint="eastAsia" w:ascii="宋体" w:hAnsi="宋体"/>
                <w:b/>
                <w:color w:val="000000" w:themeColor="text1"/>
                <w:kern w:val="1"/>
                <w14:textFill>
                  <w14:solidFill>
                    <w14:schemeClr w14:val="tx1"/>
                  </w14:solidFill>
                </w14:textFill>
              </w:rPr>
            </w:pPr>
            <w:r>
              <w:rPr>
                <w:rFonts w:hint="eastAsia" w:ascii="宋体" w:hAnsi="宋体"/>
                <w:b/>
                <w:color w:val="000000" w:themeColor="text1"/>
                <w:kern w:val="1"/>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2228"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b/>
                <w:color w:val="000000" w:themeColor="text1"/>
                <w:kern w:val="1"/>
                <w14:textFill>
                  <w14:solidFill>
                    <w14:schemeClr w14:val="tx1"/>
                  </w14:solidFill>
                </w14:textFill>
              </w:rPr>
            </w:pPr>
            <w:r>
              <w:rPr>
                <w:rFonts w:hint="eastAsia" w:ascii="宋体" w:hAnsi="宋体"/>
                <w:b/>
                <w:color w:val="000000" w:themeColor="text1"/>
                <w:kern w:val="1"/>
                <w14:textFill>
                  <w14:solidFill>
                    <w14:schemeClr w14:val="tx1"/>
                  </w14:solidFill>
                </w14:textFill>
              </w:rPr>
              <w:t>售后服务及其他要求</w:t>
            </w:r>
          </w:p>
          <w:p>
            <w:pPr>
              <w:widowControl/>
              <w:spacing w:line="420" w:lineRule="exact"/>
              <w:jc w:val="center"/>
              <w:rPr>
                <w:rFonts w:ascii="宋体" w:hAnsi="宋体"/>
                <w:b/>
                <w:color w:val="000000" w:themeColor="text1"/>
                <w:kern w:val="1"/>
                <w14:textFill>
                  <w14:solidFill>
                    <w14:schemeClr w14:val="tx1"/>
                  </w14:solidFill>
                </w14:textFill>
              </w:rPr>
            </w:pPr>
          </w:p>
        </w:tc>
        <w:tc>
          <w:tcPr>
            <w:tcW w:w="836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r>
              <w:rPr>
                <w:rFonts w:ascii="Calibri" w:hAnsi="Calibri" w:cs="Calibri"/>
                <w:color w:val="000000" w:themeColor="text1"/>
                <w:kern w:val="0"/>
                <w:sz w:val="20"/>
                <w:szCs w:val="20"/>
                <w:lang w:bidi="ar"/>
                <w14:textFill>
                  <w14:solidFill>
                    <w14:schemeClr w14:val="tx1"/>
                  </w14:solidFill>
                </w14:textFill>
              </w:rPr>
              <w:t>1.</w:t>
            </w:r>
            <w:r>
              <w:rPr>
                <w:rFonts w:hint="eastAsia" w:ascii="宋体" w:hAnsi="宋体" w:cs="宋体"/>
                <w:color w:val="000000" w:themeColor="text1"/>
                <w:kern w:val="0"/>
                <w:sz w:val="20"/>
                <w:szCs w:val="20"/>
                <w:lang w:bidi="ar"/>
                <w14:textFill>
                  <w14:solidFill>
                    <w14:schemeClr w14:val="tx1"/>
                  </w14:solidFill>
                </w14:textFill>
              </w:rPr>
              <w:t>免费保修期按国家有关产品“三包”规定执行“三包”。整套系统免费保修期不得少于</w:t>
            </w:r>
            <w:r>
              <w:rPr>
                <w:rFonts w:hint="eastAsia" w:ascii="Calibri" w:hAnsi="Calibri" w:cs="Calibri"/>
                <w:color w:val="000000" w:themeColor="text1"/>
                <w:kern w:val="0"/>
                <w:sz w:val="20"/>
                <w:szCs w:val="20"/>
                <w:lang w:bidi="ar"/>
                <w14:textFill>
                  <w14:solidFill>
                    <w14:schemeClr w14:val="tx1"/>
                  </w14:solidFill>
                </w14:textFill>
              </w:rPr>
              <w:t>2</w:t>
            </w:r>
            <w:r>
              <w:rPr>
                <w:rFonts w:hint="eastAsia" w:ascii="宋体" w:hAnsi="宋体" w:cs="宋体"/>
                <w:color w:val="000000" w:themeColor="text1"/>
                <w:kern w:val="0"/>
                <w:sz w:val="20"/>
                <w:szCs w:val="20"/>
                <w:lang w:bidi="ar"/>
                <w14:textFill>
                  <w14:solidFill>
                    <w14:schemeClr w14:val="tx1"/>
                  </w14:solidFill>
                </w14:textFill>
              </w:rPr>
              <w:t>年（免费保修期从设备验收合格之日起计算）</w:t>
            </w:r>
            <w:r>
              <w:rPr>
                <w:rFonts w:ascii="Calibri" w:hAnsi="Calibri" w:cs="Calibri"/>
                <w:color w:val="000000" w:themeColor="text1"/>
                <w:kern w:val="0"/>
                <w:sz w:val="20"/>
                <w:szCs w:val="20"/>
                <w:lang w:bidi="ar"/>
                <w14:textFill>
                  <w14:solidFill>
                    <w14:schemeClr w14:val="tx1"/>
                  </w14:solidFill>
                </w14:textFill>
              </w:rPr>
              <w:t>,</w:t>
            </w:r>
            <w:r>
              <w:rPr>
                <w:rFonts w:hint="eastAsia" w:ascii="宋体" w:hAnsi="宋体" w:cs="宋体"/>
                <w:color w:val="000000" w:themeColor="text1"/>
                <w:kern w:val="0"/>
                <w:sz w:val="20"/>
                <w:szCs w:val="20"/>
                <w:lang w:bidi="ar"/>
                <w14:textFill>
                  <w14:solidFill>
                    <w14:schemeClr w14:val="tx1"/>
                  </w14:solidFill>
                </w14:textFill>
              </w:rPr>
              <w:t xml:space="preserve">验收时提供原厂售后服务承诺书原件。 </w:t>
            </w:r>
          </w:p>
          <w:p>
            <w:pPr>
              <w:widowControl/>
              <w:jc w:val="left"/>
              <w:rPr>
                <w:color w:val="000000" w:themeColor="text1"/>
                <w14:textFill>
                  <w14:solidFill>
                    <w14:schemeClr w14:val="tx1"/>
                  </w14:solidFill>
                </w14:textFill>
              </w:rPr>
            </w:pPr>
            <w:r>
              <w:rPr>
                <w:rFonts w:ascii="Calibri" w:hAnsi="Calibri" w:cs="Calibri"/>
                <w:color w:val="000000" w:themeColor="text1"/>
                <w:kern w:val="0"/>
                <w:sz w:val="20"/>
                <w:szCs w:val="20"/>
                <w:lang w:bidi="ar"/>
                <w14:textFill>
                  <w14:solidFill>
                    <w14:schemeClr w14:val="tx1"/>
                  </w14:solidFill>
                </w14:textFill>
              </w:rPr>
              <w:t>2.</w:t>
            </w:r>
            <w:r>
              <w:rPr>
                <w:rFonts w:hint="eastAsia" w:ascii="宋体" w:hAnsi="宋体" w:cs="宋体"/>
                <w:color w:val="000000" w:themeColor="text1"/>
                <w:kern w:val="0"/>
                <w:sz w:val="20"/>
                <w:szCs w:val="20"/>
                <w:lang w:bidi="ar"/>
                <w14:textFill>
                  <w14:solidFill>
                    <w14:schemeClr w14:val="tx1"/>
                  </w14:solidFill>
                </w14:textFill>
              </w:rPr>
              <w:t xml:space="preserve">质保期内免费上门维修、更换配件，免费培训使用人员和维护人员，培训内容主要为：系统配置调试及使用，质保期内每半年至少进行一次定期回访以及对设备保养。 </w:t>
            </w:r>
          </w:p>
          <w:p>
            <w:pPr>
              <w:widowControl/>
              <w:jc w:val="left"/>
              <w:rPr>
                <w:color w:val="000000" w:themeColor="text1"/>
                <w14:textFill>
                  <w14:solidFill>
                    <w14:schemeClr w14:val="tx1"/>
                  </w14:solidFill>
                </w14:textFill>
              </w:rPr>
            </w:pPr>
            <w:r>
              <w:rPr>
                <w:rFonts w:ascii="Calibri" w:hAnsi="Calibri" w:cs="Calibri"/>
                <w:color w:val="000000" w:themeColor="text1"/>
                <w:kern w:val="0"/>
                <w:sz w:val="20"/>
                <w:szCs w:val="20"/>
                <w:lang w:bidi="ar"/>
                <w14:textFill>
                  <w14:solidFill>
                    <w14:schemeClr w14:val="tx1"/>
                  </w14:solidFill>
                </w14:textFill>
              </w:rPr>
              <w:t>3.</w:t>
            </w:r>
            <w:r>
              <w:rPr>
                <w:rFonts w:hint="eastAsia" w:ascii="宋体" w:hAnsi="宋体" w:cs="宋体"/>
                <w:color w:val="000000" w:themeColor="text1"/>
                <w:kern w:val="0"/>
                <w:sz w:val="20"/>
                <w:szCs w:val="20"/>
                <w:lang w:bidi="ar"/>
                <w14:textFill>
                  <w14:solidFill>
                    <w14:schemeClr w14:val="tx1"/>
                  </w14:solidFill>
                </w14:textFill>
              </w:rPr>
              <w:t xml:space="preserve">故障响应时间，接到故障通知后在 </w:t>
            </w:r>
            <w:r>
              <w:rPr>
                <w:rFonts w:ascii="Calibri" w:hAnsi="Calibri" w:cs="Calibri"/>
                <w:color w:val="000000" w:themeColor="text1"/>
                <w:kern w:val="0"/>
                <w:sz w:val="20"/>
                <w:szCs w:val="20"/>
                <w:lang w:bidi="ar"/>
                <w14:textFill>
                  <w14:solidFill>
                    <w14:schemeClr w14:val="tx1"/>
                  </w14:solidFill>
                </w14:textFill>
              </w:rPr>
              <w:t xml:space="preserve">6 </w:t>
            </w:r>
            <w:r>
              <w:rPr>
                <w:rFonts w:hint="eastAsia" w:ascii="宋体" w:hAnsi="宋体" w:cs="宋体"/>
                <w:color w:val="000000" w:themeColor="text1"/>
                <w:kern w:val="0"/>
                <w:sz w:val="20"/>
                <w:szCs w:val="20"/>
                <w:lang w:bidi="ar"/>
                <w14:textFill>
                  <w14:solidFill>
                    <w14:schemeClr w14:val="tx1"/>
                  </w14:solidFill>
                </w14:textFill>
              </w:rPr>
              <w:t>小时内到达故障现场进行维修，按国家及行业标准对故障进行及时处理。</w:t>
            </w:r>
            <w:r>
              <w:rPr>
                <w:rFonts w:hint="eastAsia" w:ascii="宋体" w:hAnsi="宋体" w:eastAsia="宋体" w:cs="宋体"/>
                <w:color w:val="000000" w:themeColor="text1"/>
                <w:kern w:val="0"/>
                <w:sz w:val="20"/>
                <w:szCs w:val="20"/>
                <w:lang w:val="en-US" w:eastAsia="zh-CN" w:bidi="ar"/>
                <w14:textFill>
                  <w14:solidFill>
                    <w14:schemeClr w14:val="tx1"/>
                  </w14:solidFill>
                </w14:textFill>
              </w:rPr>
              <w:t>设备出现故障时，在</w:t>
            </w:r>
            <w:r>
              <w:rPr>
                <w:rFonts w:hint="eastAsia" w:ascii="宋体" w:hAnsi="宋体" w:cs="宋体"/>
                <w:color w:val="000000" w:themeColor="text1"/>
                <w:kern w:val="0"/>
                <w:sz w:val="20"/>
                <w:szCs w:val="20"/>
                <w:lang w:val="en-US" w:eastAsia="zh-CN" w:bidi="ar"/>
                <w14:textFill>
                  <w14:solidFill>
                    <w14:schemeClr w14:val="tx1"/>
                  </w14:solidFill>
                </w14:textFill>
              </w:rPr>
              <w:t>72</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小时内不能解决的，中标人必须在三个工作日内提供与原设备技术参数要求相同或高于原设备技术参数要求的备用产品，以保证采购人的正常工作。 </w:t>
            </w:r>
          </w:p>
          <w:p>
            <w:pPr>
              <w:widowControl/>
              <w:jc w:val="left"/>
              <w:rPr>
                <w:rFonts w:ascii="宋体" w:hAnsi="宋体"/>
                <w:b/>
                <w:color w:val="000000" w:themeColor="text1"/>
                <w:kern w:val="1"/>
                <w14:textFill>
                  <w14:solidFill>
                    <w14:schemeClr w14:val="tx1"/>
                  </w14:solidFill>
                </w14:textFill>
              </w:rPr>
            </w:pPr>
            <w:r>
              <w:rPr>
                <w:rFonts w:ascii="Calibri" w:hAnsi="Calibri" w:cs="Calibri"/>
                <w:color w:val="000000" w:themeColor="text1"/>
                <w:kern w:val="0"/>
                <w:sz w:val="20"/>
                <w:szCs w:val="20"/>
                <w:lang w:bidi="ar"/>
                <w14:textFill>
                  <w14:solidFill>
                    <w14:schemeClr w14:val="tx1"/>
                  </w14:solidFill>
                </w14:textFill>
              </w:rPr>
              <w:t>4.</w:t>
            </w:r>
            <w:r>
              <w:rPr>
                <w:rFonts w:hint="eastAsia" w:ascii="宋体" w:hAnsi="宋体" w:cs="宋体"/>
                <w:color w:val="000000" w:themeColor="text1"/>
                <w:kern w:val="0"/>
                <w:sz w:val="20"/>
                <w:szCs w:val="20"/>
                <w:lang w:bidi="ar"/>
                <w14:textFill>
                  <w14:solidFill>
                    <w14:schemeClr w14:val="tx1"/>
                  </w14:solidFill>
                </w14:textFill>
              </w:rPr>
              <w:t>技术支持服务：免费保修期内定期对产品进行检修，提供永久性电话技术指导。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9" w:hRule="atLeast"/>
          <w:jc w:val="center"/>
        </w:trPr>
        <w:tc>
          <w:tcPr>
            <w:tcW w:w="22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themeColor="text1"/>
                <w:kern w:val="0"/>
                <w:sz w:val="20"/>
                <w:szCs w:val="20"/>
                <w:lang w:bidi="ar"/>
                <w14:textFill>
                  <w14:solidFill>
                    <w14:schemeClr w14:val="tx1"/>
                  </w14:solidFill>
                </w14:textFill>
              </w:rPr>
            </w:pPr>
          </w:p>
          <w:p>
            <w:pPr>
              <w:widowControl/>
              <w:jc w:val="center"/>
              <w:rPr>
                <w:b/>
                <w:bCs/>
                <w:color w:val="000000" w:themeColor="text1"/>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交付使用期及地点</w:t>
            </w:r>
          </w:p>
          <w:p>
            <w:pPr>
              <w:widowControl/>
              <w:spacing w:line="420" w:lineRule="exact"/>
              <w:jc w:val="center"/>
              <w:rPr>
                <w:rFonts w:ascii="宋体" w:hAnsi="宋体"/>
                <w:b/>
                <w:bCs/>
                <w:color w:val="000000" w:themeColor="text1"/>
                <w:kern w:val="1"/>
                <w14:textFill>
                  <w14:solidFill>
                    <w14:schemeClr w14:val="tx1"/>
                  </w14:solidFill>
                </w14:textFill>
              </w:rPr>
            </w:pPr>
          </w:p>
        </w:tc>
        <w:tc>
          <w:tcPr>
            <w:tcW w:w="8367" w:type="dxa"/>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ascii="宋体" w:hAnsi="宋体"/>
                <w:color w:val="000000" w:themeColor="text1"/>
                <w:kern w:val="1"/>
                <w14:textFill>
                  <w14:solidFill>
                    <w14:schemeClr w14:val="tx1"/>
                  </w14:solidFill>
                </w14:textFill>
              </w:rPr>
            </w:pPr>
            <w:r>
              <w:rPr>
                <w:rFonts w:ascii="宋体" w:hAnsi="宋体"/>
                <w:color w:val="000000" w:themeColor="text1"/>
                <w:kern w:val="1"/>
                <w14:textFill>
                  <w14:solidFill>
                    <w14:schemeClr w14:val="tx1"/>
                  </w14:solidFill>
                </w14:textFill>
              </w:rPr>
              <w:t>1.</w:t>
            </w:r>
            <w:r>
              <w:rPr>
                <w:rFonts w:hint="eastAsia" w:ascii="宋体" w:hAnsi="宋体"/>
                <w:color w:val="000000" w:themeColor="text1"/>
                <w:kern w:val="1"/>
                <w14:textFill>
                  <w14:solidFill>
                    <w14:schemeClr w14:val="tx1"/>
                  </w14:solidFill>
                </w14:textFill>
              </w:rPr>
              <w:t xml:space="preserve">交付使用期：自签订合同之日起 60 个日历日内全部安装调试合格完毕并交付使用。 </w:t>
            </w:r>
          </w:p>
          <w:p>
            <w:pPr>
              <w:widowControl/>
              <w:spacing w:line="420" w:lineRule="exact"/>
              <w:rPr>
                <w:rFonts w:ascii="宋体" w:hAnsi="宋体"/>
                <w:b/>
                <w:bCs/>
                <w:color w:val="000000" w:themeColor="text1"/>
                <w:kern w:val="1"/>
                <w14:textFill>
                  <w14:solidFill>
                    <w14:schemeClr w14:val="tx1"/>
                  </w14:solidFill>
                </w14:textFill>
              </w:rPr>
            </w:pPr>
            <w:r>
              <w:rPr>
                <w:rFonts w:ascii="宋体" w:hAnsi="宋体"/>
                <w:color w:val="000000" w:themeColor="text1"/>
                <w:kern w:val="1"/>
                <w14:textFill>
                  <w14:solidFill>
                    <w14:schemeClr w14:val="tx1"/>
                  </w14:solidFill>
                </w14:textFill>
              </w:rPr>
              <w:t>2.</w:t>
            </w:r>
            <w:r>
              <w:rPr>
                <w:rFonts w:hint="eastAsia" w:ascii="宋体" w:hAnsi="宋体"/>
                <w:color w:val="000000" w:themeColor="text1"/>
                <w:kern w:val="1"/>
                <w14:textFill>
                  <w14:solidFill>
                    <w14:schemeClr w14:val="tx1"/>
                  </w14:solidFill>
                </w14:textFill>
              </w:rPr>
              <w:t>交付地点：采购人指定地点。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2228"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b/>
                <w:color w:val="000000" w:themeColor="text1"/>
                <w:kern w:val="1"/>
                <w14:textFill>
                  <w14:solidFill>
                    <w14:schemeClr w14:val="tx1"/>
                  </w14:solidFill>
                </w14:textFill>
              </w:rPr>
            </w:pPr>
            <w:r>
              <w:rPr>
                <w:rFonts w:hint="eastAsia" w:ascii="宋体" w:hAnsi="宋体"/>
                <w:b/>
                <w:color w:val="000000" w:themeColor="text1"/>
                <w:kern w:val="1"/>
                <w14:textFill>
                  <w14:solidFill>
                    <w14:schemeClr w14:val="tx1"/>
                  </w14:solidFill>
                </w14:textFill>
              </w:rPr>
              <w:t>付款方式</w:t>
            </w:r>
          </w:p>
        </w:tc>
        <w:tc>
          <w:tcPr>
            <w:tcW w:w="836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kern w:val="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设备全部进场支付合同金额的50% ，项目验收调试完毕支付至合同金额的95%，剩余5%作为质保金，在免费保修期结束后支付。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2228"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bCs/>
                <w:color w:val="000000" w:themeColor="text1"/>
                <w:kern w:val="1"/>
                <w14:textFill>
                  <w14:solidFill>
                    <w14:schemeClr w14:val="tx1"/>
                  </w14:solidFill>
                </w14:textFill>
              </w:rPr>
            </w:pPr>
            <w:r>
              <w:rPr>
                <w:rFonts w:hint="eastAsia" w:ascii="宋体" w:hAnsi="宋体"/>
                <w:b/>
                <w:color w:val="000000" w:themeColor="text1"/>
                <w:kern w:val="1"/>
                <w14:textFill>
                  <w14:solidFill>
                    <w14:schemeClr w14:val="tx1"/>
                  </w14:solidFill>
                </w14:textFill>
              </w:rPr>
              <w:t>其他要求</w:t>
            </w:r>
          </w:p>
        </w:tc>
        <w:tc>
          <w:tcPr>
            <w:tcW w:w="836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 xml:space="preserve">免费送货上门，免费按招标人要求安装调试，免费技术培训，直至操作人员熟练操作产品的各项功能。 </w:t>
            </w:r>
          </w:p>
          <w:p>
            <w:pPr>
              <w:widowControl/>
              <w:jc w:val="left"/>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 xml:space="preserve">政府采购预算金额为人民币：大写：壹佰柒拾柒万元整（￥1770000.00），报价超过采购预算金额的，其投标文件作无效处理。 </w:t>
            </w:r>
          </w:p>
          <w:p>
            <w:pPr>
              <w:widowControl/>
              <w:jc w:val="left"/>
              <w:rPr>
                <w:bCs/>
                <w:color w:val="000000" w:themeColor="text1"/>
                <w14:textFill>
                  <w14:solidFill>
                    <w14:schemeClr w14:val="tx1"/>
                  </w14:solidFill>
                </w14:textFill>
              </w:rPr>
            </w:pPr>
            <w:r>
              <w:rPr>
                <w:bCs/>
                <w:color w:val="000000" w:themeColor="text1"/>
                <w14:textFill>
                  <w14:solidFill>
                    <w14:schemeClr w14:val="tx1"/>
                  </w14:solidFill>
                </w14:textFill>
              </w:rPr>
              <w:t>3.</w:t>
            </w:r>
            <w:r>
              <w:rPr>
                <w:rFonts w:hint="eastAsia"/>
                <w:bCs/>
                <w:color w:val="000000" w:themeColor="text1"/>
                <w14:textFill>
                  <w14:solidFill>
                    <w14:schemeClr w14:val="tx1"/>
                  </w14:solidFill>
                </w14:textFill>
              </w:rPr>
              <w:t xml:space="preserve">投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 </w:t>
            </w:r>
          </w:p>
          <w:p>
            <w:pPr>
              <w:widowControl/>
              <w:jc w:val="left"/>
              <w:rPr>
                <w:bCs/>
                <w:color w:val="000000" w:themeColor="text1"/>
                <w14:textFill>
                  <w14:solidFill>
                    <w14:schemeClr w14:val="tx1"/>
                  </w14:solidFill>
                </w14:textFill>
              </w:rPr>
            </w:pPr>
            <w:r>
              <w:rPr>
                <w:bCs/>
                <w:color w:val="000000" w:themeColor="text1"/>
                <w14:textFill>
                  <w14:solidFill>
                    <w14:schemeClr w14:val="tx1"/>
                  </w14:solidFill>
                </w14:textFill>
              </w:rPr>
              <w:t>4.</w:t>
            </w:r>
            <w:r>
              <w:rPr>
                <w:rFonts w:hint="eastAsia"/>
                <w:bCs/>
                <w:color w:val="000000" w:themeColor="text1"/>
                <w14:textFill>
                  <w14:solidFill>
                    <w14:schemeClr w14:val="tx1"/>
                  </w14:solidFill>
                </w14:textFill>
              </w:rPr>
              <w:t xml:space="preserve">投标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供应商负责承担全部赔偿责任。 </w:t>
            </w:r>
          </w:p>
          <w:p>
            <w:pPr>
              <w:widowControl/>
              <w:jc w:val="left"/>
              <w:rPr>
                <w:bCs/>
                <w:color w:val="000000" w:themeColor="text1"/>
                <w14:textFill>
                  <w14:solidFill>
                    <w14:schemeClr w14:val="tx1"/>
                  </w14:solidFill>
                </w14:textFill>
              </w:rPr>
            </w:pPr>
            <w:r>
              <w:rPr>
                <w:bCs/>
                <w:color w:val="000000" w:themeColor="text1"/>
                <w14:textFill>
                  <w14:solidFill>
                    <w14:schemeClr w14:val="tx1"/>
                  </w14:solidFill>
                </w14:textFill>
              </w:rPr>
              <w:t>4.</w:t>
            </w:r>
            <w:r>
              <w:rPr>
                <w:rFonts w:hint="eastAsia"/>
                <w:bCs/>
                <w:color w:val="000000" w:themeColor="text1"/>
                <w14:textFill>
                  <w14:solidFill>
                    <w14:schemeClr w14:val="tx1"/>
                  </w14:solidFill>
                </w14:textFill>
              </w:rPr>
              <w:t xml:space="preserve">“货物采购需求”中所有★号技术参数条款均为实质性要求，若有任意一项负偏离，响应文件作无效处理。 </w:t>
            </w:r>
          </w:p>
          <w:p>
            <w:pPr>
              <w:widowControl/>
              <w:jc w:val="left"/>
              <w:rPr>
                <w:rFonts w:hint="eastAsia"/>
                <w:bCs/>
                <w:color w:val="000000" w:themeColor="text1"/>
                <w14:textFill>
                  <w14:solidFill>
                    <w14:schemeClr w14:val="tx1"/>
                  </w14:solidFill>
                </w14:textFill>
              </w:rPr>
            </w:pPr>
            <w:r>
              <w:rPr>
                <w:bCs/>
                <w:color w:val="000000" w:themeColor="text1"/>
                <w14:textFill>
                  <w14:solidFill>
                    <w14:schemeClr w14:val="tx1"/>
                  </w14:solidFill>
                </w14:textFill>
              </w:rPr>
              <w:t>5.</w:t>
            </w:r>
            <w:r>
              <w:rPr>
                <w:rFonts w:hint="eastAsia"/>
                <w:bCs/>
                <w:color w:val="000000" w:themeColor="text1"/>
                <w14:textFill>
                  <w14:solidFill>
                    <w14:schemeClr w14:val="tx1"/>
                  </w14:solidFill>
                </w14:textFill>
              </w:rPr>
              <w:t>技术性能及功能有优于的，投标人须在投标文件中提供投标产品的相应的资料作为佐证，以上材料均需加盖供应商公章，否则评标委员会有权不接受其优于。</w:t>
            </w:r>
          </w:p>
          <w:p>
            <w:pPr>
              <w:widowControl/>
              <w:jc w:val="left"/>
              <w:rPr>
                <w:bCs/>
                <w:color w:val="000000" w:themeColor="text1"/>
                <w14:textFill>
                  <w14:solidFill>
                    <w14:schemeClr w14:val="tx1"/>
                  </w14:solidFill>
                </w14:textFill>
              </w:rPr>
            </w:pPr>
            <w:r>
              <w:rPr>
                <w:rFonts w:hint="eastAsia" w:ascii="宋体" w:hAnsi="宋体" w:cs="宋体"/>
                <w:bCs/>
                <w:color w:val="000000" w:themeColor="text1"/>
                <w:kern w:val="0"/>
                <w:sz w:val="20"/>
                <w:szCs w:val="20"/>
                <w:lang w:bidi="ar"/>
                <w14:textFill>
                  <w14:solidFill>
                    <w14:schemeClr w14:val="tx1"/>
                  </w14:solidFill>
                </w14:textFill>
              </w:rPr>
              <w:t>6.</w:t>
            </w:r>
            <w:r>
              <w:rPr>
                <w:rFonts w:hint="eastAsia" w:ascii="宋体" w:hAnsi="宋体" w:cs="宋体"/>
                <w:bCs/>
                <w:color w:val="000000" w:themeColor="text1"/>
                <w:kern w:val="0"/>
                <w:szCs w:val="21"/>
                <w:lang w:bidi="ar"/>
                <w14:textFill>
                  <w14:solidFill>
                    <w14:schemeClr w14:val="tx1"/>
                  </w14:solidFill>
                </w14:textFill>
              </w:rPr>
              <w:t xml:space="preserve">本项目货物不接受进口产品（即通过中国海关报关验放进入中国境内且产自关境外的产 </w:t>
            </w:r>
          </w:p>
          <w:p>
            <w:pPr>
              <w:widowControl/>
              <w:jc w:val="left"/>
              <w:rPr>
                <w:bCs/>
                <w:color w:val="000000" w:themeColor="text1"/>
                <w14:textFill>
                  <w14:solidFill>
                    <w14:schemeClr w14:val="tx1"/>
                  </w14:solidFill>
                </w14:textFill>
              </w:rPr>
            </w:pPr>
            <w:r>
              <w:rPr>
                <w:rFonts w:hint="eastAsia" w:ascii="宋体" w:hAnsi="宋体" w:cs="宋体"/>
                <w:bCs/>
                <w:color w:val="000000" w:themeColor="text1"/>
                <w:kern w:val="0"/>
                <w:szCs w:val="21"/>
                <w:lang w:bidi="ar"/>
                <w14:textFill>
                  <w14:solidFill>
                    <w14:schemeClr w14:val="tx1"/>
                  </w14:solidFill>
                </w14:textFill>
              </w:rPr>
              <w:t>品）参与竞标，如有此类产品参与竞标的作无效响应处理。</w:t>
            </w:r>
          </w:p>
        </w:tc>
      </w:tr>
    </w:tbl>
    <w:p>
      <w:pPr>
        <w:pStyle w:val="89"/>
        <w:sectPr>
          <w:pgSz w:w="11906" w:h="16838"/>
          <w:pgMar w:top="1440" w:right="1800" w:bottom="1440" w:left="1800" w:header="851" w:footer="992" w:gutter="0"/>
          <w:cols w:space="720" w:num="1"/>
          <w:docGrid w:type="lines" w:linePitch="312" w:charSpace="0"/>
        </w:sectPr>
      </w:pPr>
    </w:p>
    <w:p>
      <w:pPr>
        <w:pStyle w:val="20"/>
        <w:spacing w:line="360" w:lineRule="exact"/>
        <w:ind w:firstLine="420"/>
        <w:jc w:val="center"/>
        <w:rPr>
          <w:rFonts w:hAnsi="宋体"/>
          <w:b/>
          <w:sz w:val="32"/>
          <w:szCs w:val="32"/>
        </w:rPr>
      </w:pPr>
      <w:r>
        <w:rPr>
          <w:rFonts w:hint="eastAsia" w:hAnsi="宋体"/>
          <w:b/>
          <w:bCs/>
          <w:sz w:val="32"/>
          <w:szCs w:val="32"/>
        </w:rPr>
        <w:t>二、评标方法及评标标准</w:t>
      </w:r>
    </w:p>
    <w:p>
      <w:pPr>
        <w:pStyle w:val="20"/>
        <w:spacing w:line="400" w:lineRule="exact"/>
        <w:ind w:firstLine="42" w:firstLineChars="20"/>
        <w:jc w:val="left"/>
        <w:rPr>
          <w:rFonts w:hAnsi="宋体"/>
          <w:b/>
          <w:bCs/>
        </w:rPr>
      </w:pPr>
      <w:r>
        <w:rPr>
          <w:rFonts w:hint="eastAsia" w:hAnsi="宋体"/>
          <w:b/>
          <w:bCs/>
        </w:rPr>
        <w:t>一、评标原则</w:t>
      </w:r>
    </w:p>
    <w:p>
      <w:pPr>
        <w:pStyle w:val="20"/>
        <w:spacing w:line="400" w:lineRule="exact"/>
        <w:ind w:firstLine="480" w:firstLineChars="229"/>
        <w:jc w:val="left"/>
        <w:rPr>
          <w:rFonts w:hAnsi="宋体"/>
          <w:bCs/>
        </w:rPr>
      </w:pPr>
      <w:r>
        <w:rPr>
          <w:rFonts w:hint="eastAsia" w:hAnsi="宋体"/>
          <w:bCs/>
        </w:rPr>
        <w:t>(一)评委构成：本招标采购项目的评委分别由依法组成的专家、采购单位代表共五人构成，其中专家人数不少于成员总数的三分之二。</w:t>
      </w:r>
    </w:p>
    <w:p>
      <w:pPr>
        <w:pStyle w:val="20"/>
        <w:spacing w:line="400" w:lineRule="exact"/>
        <w:ind w:firstLine="480" w:firstLineChars="229"/>
        <w:jc w:val="left"/>
        <w:rPr>
          <w:rFonts w:hAnsi="宋体"/>
          <w:bCs/>
        </w:rPr>
      </w:pPr>
      <w:r>
        <w:rPr>
          <w:rFonts w:hint="eastAsia" w:hAnsi="宋体"/>
          <w:bCs/>
        </w:rPr>
        <w:t>(二)评标依据：评委将以招投标文件为评标依据，对投标人的价格分、技术分、能力信誉分、业绩分、售后服务分、政策功能分等方面内容按百分制打分。</w:t>
      </w:r>
    </w:p>
    <w:p>
      <w:pPr>
        <w:pStyle w:val="20"/>
        <w:spacing w:line="400" w:lineRule="exact"/>
        <w:ind w:firstLine="480" w:firstLineChars="229"/>
        <w:jc w:val="left"/>
        <w:rPr>
          <w:rFonts w:hAnsi="宋体"/>
          <w:bCs/>
        </w:rPr>
      </w:pPr>
      <w:r>
        <w:rPr>
          <w:rFonts w:hint="eastAsia" w:hAnsi="宋体"/>
          <w:bCs/>
        </w:rPr>
        <w:t>(三)评标方式：以封闭方式进行。</w:t>
      </w:r>
    </w:p>
    <w:p>
      <w:pPr>
        <w:pStyle w:val="20"/>
        <w:spacing w:line="400" w:lineRule="exact"/>
        <w:ind w:firstLine="480" w:firstLineChars="229"/>
        <w:jc w:val="left"/>
        <w:rPr>
          <w:rFonts w:hint="eastAsia" w:hAnsi="宋体"/>
          <w:bCs/>
        </w:rPr>
      </w:pPr>
      <w:r>
        <w:rPr>
          <w:rFonts w:hint="eastAsia" w:hAnsi="宋体"/>
          <w:bCs/>
        </w:rPr>
        <w:t>(四)根据财政部《关于印发〈政府采购促进中小企业发展暂行办法〉的通知》（财库[2011]181号）第五条的规定，对小型和微型企业产品的价格给予6﹪的扣除，用扣除后的价格参与评审，即评标报价=投标报价×（1-6%）。</w:t>
      </w:r>
    </w:p>
    <w:p>
      <w:pPr>
        <w:pStyle w:val="20"/>
        <w:spacing w:line="400" w:lineRule="exact"/>
        <w:ind w:firstLine="480" w:firstLineChars="229"/>
        <w:jc w:val="left"/>
        <w:rPr>
          <w:rFonts w:hAnsi="宋体"/>
          <w:bCs/>
        </w:rPr>
      </w:pPr>
      <w:r>
        <w:rPr>
          <w:rFonts w:hint="eastAsia" w:hAnsi="宋体"/>
          <w:bCs/>
        </w:rPr>
        <w:t>即对投标人投标总价中的小型和微型企业产品的价格给予6﹪的扣除后加上原来未享受优惠政策的部分投标价格作为评标价计算价格分（提供《中小企业声明函》，详见附件，否则不予价格扣除）。</w:t>
      </w:r>
    </w:p>
    <w:p>
      <w:pPr>
        <w:pStyle w:val="20"/>
        <w:spacing w:line="400" w:lineRule="exact"/>
        <w:ind w:firstLine="420"/>
        <w:jc w:val="left"/>
        <w:rPr>
          <w:rFonts w:hAnsi="宋体"/>
          <w:bCs/>
        </w:rPr>
      </w:pPr>
      <w:r>
        <w:rPr>
          <w:rFonts w:hint="eastAsia" w:hAnsi="宋体"/>
          <w:bCs/>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0"/>
        <w:spacing w:line="400" w:lineRule="exact"/>
        <w:ind w:firstLine="420"/>
        <w:jc w:val="left"/>
        <w:rPr>
          <w:rFonts w:hAnsi="宋体"/>
          <w:bCs/>
          <w:spacing w:val="-6"/>
        </w:rPr>
      </w:pPr>
      <w:r>
        <w:rPr>
          <w:rFonts w:hint="eastAsia" w:hAnsi="宋体"/>
          <w:bCs/>
          <w:spacing w:val="-6"/>
        </w:rPr>
        <w:t>投标产品提供企业按三部门联合发布的《关于促进残疾人就业政府采购政策的通知》（财库[2017]141号）认定为残疾人福利性单位的，视同小型、微型企业；残疾人福利性单位参加政府采购活动时，应当提供《残疾人福利性单位声明函》（详见附件）。残疾人福利性单位属于小型、微型企业的，不重复享受政策。</w:t>
      </w:r>
    </w:p>
    <w:p>
      <w:pPr>
        <w:pStyle w:val="20"/>
        <w:numPr>
          <w:ilvl w:val="0"/>
          <w:numId w:val="6"/>
        </w:numPr>
        <w:spacing w:line="400" w:lineRule="exact"/>
        <w:ind w:firstLine="273" w:firstLineChars="130"/>
        <w:jc w:val="left"/>
        <w:rPr>
          <w:rFonts w:hAnsi="宋体"/>
          <w:bCs/>
        </w:rPr>
      </w:pPr>
      <w:r>
        <w:rPr>
          <w:rFonts w:hint="eastAsia" w:hAnsi="宋体"/>
          <w:bCs/>
        </w:rPr>
        <w:t>未享受优惠政策的投标人的投标报价即为评标价。</w:t>
      </w:r>
    </w:p>
    <w:p>
      <w:pPr>
        <w:pStyle w:val="20"/>
        <w:numPr>
          <w:ilvl w:val="0"/>
          <w:numId w:val="6"/>
        </w:numPr>
        <w:spacing w:line="400" w:lineRule="exact"/>
        <w:ind w:firstLine="273" w:firstLineChars="130"/>
        <w:jc w:val="left"/>
        <w:rPr>
          <w:rFonts w:hAnsi="宋体"/>
          <w:bCs/>
        </w:rPr>
      </w:pPr>
      <w:r>
        <w:rPr>
          <w:rFonts w:hint="eastAsia" w:hAnsi="宋体"/>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0"/>
        <w:spacing w:line="400" w:lineRule="exact"/>
        <w:ind w:firstLine="42" w:firstLineChars="20"/>
        <w:jc w:val="left"/>
        <w:rPr>
          <w:rFonts w:hAnsi="宋体"/>
          <w:b/>
          <w:bCs/>
        </w:rPr>
      </w:pPr>
      <w:r>
        <w:rPr>
          <w:rFonts w:hint="eastAsia" w:hAnsi="宋体"/>
          <w:b/>
          <w:bCs/>
        </w:rPr>
        <w:t>二、评定方法</w:t>
      </w:r>
    </w:p>
    <w:p>
      <w:pPr>
        <w:pStyle w:val="20"/>
        <w:spacing w:line="400" w:lineRule="exact"/>
        <w:ind w:firstLine="420" w:firstLineChars="200"/>
        <w:jc w:val="left"/>
        <w:rPr>
          <w:rFonts w:hAnsi="宋体"/>
          <w:bCs/>
        </w:rPr>
      </w:pPr>
      <w:r>
        <w:rPr>
          <w:rFonts w:hint="eastAsia" w:hAnsi="宋体"/>
          <w:bCs/>
        </w:rPr>
        <w:t>（一）对进入详评的，采用百分制综合评分法。</w:t>
      </w:r>
    </w:p>
    <w:p>
      <w:pPr>
        <w:pStyle w:val="20"/>
        <w:spacing w:line="400" w:lineRule="exact"/>
        <w:ind w:firstLine="420" w:firstLineChars="200"/>
        <w:jc w:val="left"/>
        <w:rPr>
          <w:rFonts w:hAnsi="宋体"/>
          <w:bCs/>
        </w:rPr>
      </w:pPr>
      <w:r>
        <w:rPr>
          <w:rFonts w:hint="eastAsia" w:hAnsi="宋体"/>
          <w:bCs/>
        </w:rPr>
        <w:t>（二）计分办法（按四舍五入取至百分位）：</w:t>
      </w:r>
    </w:p>
    <w:p>
      <w:pPr>
        <w:pStyle w:val="20"/>
        <w:spacing w:line="400" w:lineRule="exact"/>
        <w:ind w:firstLine="422" w:firstLineChars="200"/>
        <w:jc w:val="left"/>
        <w:rPr>
          <w:rFonts w:hAnsi="宋体"/>
          <w:b/>
          <w:bCs/>
        </w:rPr>
      </w:pPr>
      <w:r>
        <w:rPr>
          <w:rFonts w:hint="eastAsia" w:hAnsi="宋体"/>
          <w:b/>
          <w:bCs/>
        </w:rPr>
        <w:t>1、价格分…………………………………………………………………………………50分</w:t>
      </w:r>
    </w:p>
    <w:p>
      <w:pPr>
        <w:spacing w:line="400" w:lineRule="exact"/>
        <w:ind w:firstLine="420" w:firstLineChars="200"/>
        <w:jc w:val="left"/>
        <w:rPr>
          <w:rFonts w:ascii="宋体" w:hAnsi="宋体"/>
          <w:bCs/>
          <w:szCs w:val="21"/>
        </w:rPr>
      </w:pPr>
      <w:r>
        <w:rPr>
          <w:rFonts w:hint="eastAsia" w:ascii="宋体" w:hAnsi="宋体"/>
          <w:bCs/>
          <w:szCs w:val="21"/>
        </w:rPr>
        <w:t>（1）以满足招标文件要求且进入综合评分环节的最低的评审报价为基准价，其价格分为满分50分；</w:t>
      </w:r>
    </w:p>
    <w:p>
      <w:pPr>
        <w:spacing w:line="400" w:lineRule="exact"/>
        <w:ind w:firstLine="420" w:firstLineChars="200"/>
        <w:jc w:val="left"/>
        <w:rPr>
          <w:rFonts w:ascii="宋体" w:hAnsi="宋体"/>
          <w:bCs/>
          <w:szCs w:val="21"/>
        </w:rPr>
      </w:pPr>
      <w:r>
        <w:rPr>
          <w:rFonts w:hint="eastAsia" w:ascii="宋体" w:hAnsi="宋体"/>
          <w:bCs/>
          <w:szCs w:val="21"/>
        </w:rPr>
        <w:t>（2）价格分计算公式：</w:t>
      </w:r>
    </w:p>
    <w:p>
      <w:pPr>
        <w:spacing w:before="156" w:beforeLines="50" w:after="156" w:afterLines="50" w:line="400" w:lineRule="exact"/>
        <w:ind w:firstLine="420" w:firstLineChars="200"/>
        <w:jc w:val="left"/>
        <w:rPr>
          <w:rFonts w:ascii="宋体" w:hAnsi="宋体"/>
          <w:bCs/>
          <w:szCs w:val="21"/>
        </w:rPr>
      </w:pPr>
      <w:r>
        <w:rPr>
          <w:rFonts w:hint="eastAsia" w:ascii="宋体" w:hAnsi="宋体"/>
          <w:bCs/>
          <w:szCs w:val="21"/>
        </w:rPr>
        <w:t xml:space="preserve">     某投标人价格得分 ＝</w:t>
      </w:r>
      <w:r>
        <w:rPr>
          <w:rFonts w:hint="eastAsia" w:hAnsi="宋体"/>
          <w:bCs/>
          <w:szCs w:val="21"/>
        </w:rPr>
        <w:t xml:space="preserve">  </w:t>
      </w:r>
      <w:r>
        <w:rPr>
          <w:rFonts w:hint="eastAsia" w:ascii="宋体" w:hAnsi="宋体"/>
          <w:bCs/>
          <w:szCs w:val="21"/>
        </w:rPr>
        <w:fldChar w:fldCharType="begin"/>
      </w:r>
      <w:r>
        <w:rPr>
          <w:rFonts w:hint="eastAsia" w:ascii="宋体" w:hAnsi="宋体"/>
          <w:bCs/>
          <w:szCs w:val="21"/>
        </w:rPr>
        <w:instrText xml:space="preserve"> EQ \F(投标人最低评标价（金额）,某投标人评标价（金额）) </w:instrText>
      </w:r>
      <w:r>
        <w:rPr>
          <w:rFonts w:hint="eastAsia" w:ascii="宋体" w:hAnsi="宋体"/>
          <w:bCs/>
          <w:szCs w:val="21"/>
        </w:rPr>
        <w:fldChar w:fldCharType="end"/>
      </w:r>
      <w:r>
        <w:rPr>
          <w:rFonts w:hint="eastAsia" w:ascii="宋体" w:hAnsi="宋体"/>
          <w:bCs/>
          <w:szCs w:val="21"/>
        </w:rPr>
        <w:t xml:space="preserve">×50分 </w:t>
      </w:r>
    </w:p>
    <w:p>
      <w:pPr>
        <w:pStyle w:val="20"/>
        <w:spacing w:line="400" w:lineRule="exact"/>
        <w:jc w:val="left"/>
        <w:rPr>
          <w:rFonts w:hAnsi="宋体"/>
          <w:b/>
          <w:bCs/>
        </w:rPr>
      </w:pPr>
      <w:r>
        <w:rPr>
          <w:rFonts w:hint="eastAsia" w:hAnsi="宋体"/>
          <w:b/>
          <w:bCs/>
        </w:rPr>
        <w:t>2、技术分………………………………………………………………………………………</w:t>
      </w:r>
      <w:r>
        <w:rPr>
          <w:rFonts w:hint="eastAsia" w:hAnsi="宋体"/>
          <w:b/>
          <w:bCs/>
          <w:lang w:val="en-US" w:eastAsia="zh-CN"/>
        </w:rPr>
        <w:t>26</w:t>
      </w:r>
      <w:r>
        <w:rPr>
          <w:rFonts w:hint="eastAsia" w:hAnsi="宋体"/>
          <w:b/>
          <w:bCs/>
        </w:rPr>
        <w:t>分</w:t>
      </w:r>
    </w:p>
    <w:p>
      <w:pPr>
        <w:snapToGrid w:val="0"/>
        <w:spacing w:line="400" w:lineRule="exact"/>
        <w:rPr>
          <w:rFonts w:ascii="宋体" w:hAnsi="宋体" w:cs="宋体"/>
          <w:b/>
          <w:bCs/>
          <w:kern w:val="0"/>
          <w:szCs w:val="21"/>
        </w:rPr>
      </w:pPr>
      <w:r>
        <w:rPr>
          <w:rFonts w:hint="eastAsia" w:ascii="宋体" w:hAnsi="宋体" w:cs="宋体"/>
          <w:kern w:val="0"/>
          <w:szCs w:val="21"/>
        </w:rPr>
        <w:t xml:space="preserve">   </w:t>
      </w:r>
      <w:r>
        <w:rPr>
          <w:rFonts w:hint="eastAsia" w:ascii="宋体" w:hAnsi="宋体" w:cs="宋体"/>
          <w:b/>
          <w:bCs/>
          <w:kern w:val="0"/>
          <w:szCs w:val="21"/>
        </w:rPr>
        <w:t xml:space="preserve">  </w:t>
      </w:r>
      <w:r>
        <w:rPr>
          <w:rFonts w:hint="eastAsia" w:ascii="宋体" w:hAnsi="宋体" w:cs="宋体"/>
          <w:b/>
          <w:bCs/>
          <w:szCs w:val="21"/>
          <w:lang w:bidi="ar"/>
        </w:rPr>
        <w:t>（1）</w:t>
      </w:r>
      <w:r>
        <w:rPr>
          <w:rFonts w:hint="eastAsia" w:ascii="宋体" w:hAnsi="宋体" w:cs="宋体"/>
          <w:b/>
          <w:bCs/>
          <w:kern w:val="0"/>
          <w:szCs w:val="21"/>
          <w:lang w:bidi="ar"/>
        </w:rPr>
        <w:t xml:space="preserve">货物技术性能配置分 </w:t>
      </w:r>
      <w:r>
        <w:rPr>
          <w:rFonts w:hint="eastAsia" w:ascii="宋体" w:hAnsi="宋体" w:cs="宋体"/>
          <w:b/>
          <w:bCs/>
          <w:color w:val="000000" w:themeColor="text1"/>
          <w:kern w:val="0"/>
          <w:szCs w:val="21"/>
          <w:lang w:bidi="ar"/>
          <w14:textFill>
            <w14:solidFill>
              <w14:schemeClr w14:val="tx1"/>
            </w14:solidFill>
          </w14:textFill>
        </w:rPr>
        <w:t xml:space="preserve"> (满分20分)</w:t>
      </w:r>
    </w:p>
    <w:p>
      <w:pPr>
        <w:pStyle w:val="20"/>
        <w:spacing w:line="420" w:lineRule="exact"/>
        <w:ind w:firstLine="420" w:firstLineChars="200"/>
        <w:outlineLvl w:val="0"/>
        <w:rPr>
          <w:rFonts w:hint="eastAsia"/>
          <w:bCs/>
        </w:rPr>
      </w:pPr>
      <w:r>
        <w:rPr>
          <w:rFonts w:hint="eastAsia" w:hAnsi="宋体" w:cs="宋体"/>
          <w:kern w:val="1"/>
        </w:rPr>
        <w:t>评委根据招标文件要求，对通过资格性和符合性审查进入详评的各投标人投标文件中</w:t>
      </w:r>
      <w:r>
        <w:rPr>
          <w:rFonts w:hint="eastAsia" w:hAnsi="宋体"/>
          <w:bCs/>
        </w:rPr>
        <w:t>《技术偏离表》或</w:t>
      </w:r>
      <w:r>
        <w:rPr>
          <w:rFonts w:hint="eastAsia" w:hAnsi="宋体" w:cs="宋体"/>
          <w:kern w:val="1"/>
        </w:rPr>
        <w:t>“项目要求及技术需求”响应情况进行集体讨论，</w:t>
      </w:r>
      <w:r>
        <w:rPr>
          <w:rFonts w:hint="eastAsia" w:hAnsi="宋体"/>
          <w:bCs/>
        </w:rPr>
        <w:t>并根据投标人提供的</w:t>
      </w:r>
      <w:r>
        <w:rPr>
          <w:rFonts w:hint="eastAsia" w:hAnsi="宋体" w:cs="宋体"/>
          <w:kern w:val="1"/>
        </w:rPr>
        <w:t>产品彩页（加盖公章）上</w:t>
      </w:r>
      <w:r>
        <w:rPr>
          <w:rFonts w:hint="eastAsia" w:hAnsi="宋体"/>
          <w:bCs/>
        </w:rPr>
        <w:t>的参数和功能描述，对投标人所投产品的每一项技术参数及产品功能进行核对，若未提供</w:t>
      </w:r>
      <w:r>
        <w:rPr>
          <w:rFonts w:hint="eastAsia" w:hAnsi="宋体" w:cs="宋体"/>
          <w:kern w:val="1"/>
        </w:rPr>
        <w:t>相关证明材料</w:t>
      </w:r>
      <w:r>
        <w:rPr>
          <w:rFonts w:hint="eastAsia" w:hAnsi="宋体"/>
          <w:bCs/>
        </w:rPr>
        <w:t>的，则本项货物技术性能配置分不得分。</w:t>
      </w:r>
    </w:p>
    <w:p>
      <w:pPr>
        <w:spacing w:line="360" w:lineRule="auto"/>
        <w:ind w:firstLine="420"/>
        <w:rPr>
          <w:rFonts w:ascii="宋体" w:hAnsi="宋体" w:cs="宋体"/>
          <w:color w:val="000000" w:themeColor="text1"/>
          <w:kern w:val="1"/>
          <w:szCs w:val="21"/>
          <w14:textFill>
            <w14:solidFill>
              <w14:schemeClr w14:val="tx1"/>
            </w14:solidFill>
          </w14:textFill>
        </w:rPr>
      </w:pPr>
      <w:r>
        <w:rPr>
          <w:rFonts w:hint="eastAsia" w:ascii="宋体" w:hAnsi="宋体" w:cs="宋体"/>
          <w:kern w:val="1"/>
          <w:szCs w:val="21"/>
        </w:rPr>
        <w:t>一档（5分）：投标货物（第1—22项）每一条性能、技术参数基本满足招标文件要求，但“项目要求及技术</w:t>
      </w:r>
      <w:r>
        <w:rPr>
          <w:rFonts w:hint="eastAsia" w:ascii="宋体" w:hAnsi="宋体" w:cs="宋体"/>
          <w:color w:val="000000" w:themeColor="text1"/>
          <w:kern w:val="1"/>
          <w:szCs w:val="21"/>
          <w14:textFill>
            <w14:solidFill>
              <w14:schemeClr w14:val="tx1"/>
            </w14:solidFill>
          </w14:textFill>
        </w:rPr>
        <w:t>需求“或“其他技术要求”规定的指标存在负偏离的，综合评定一般；</w:t>
      </w:r>
    </w:p>
    <w:p>
      <w:pPr>
        <w:spacing w:line="360" w:lineRule="auto"/>
        <w:ind w:firstLine="420"/>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 xml:space="preserve">二档（12分）：投标货物（第1—22项）每一条性能、技术参数满足招标文件要求，所有技术参数没有负偏离，相比该产品稳定性好，实际使用性能、综合评定相对良好； </w:t>
      </w:r>
    </w:p>
    <w:p>
      <w:pPr>
        <w:spacing w:line="360" w:lineRule="auto"/>
        <w:ind w:firstLine="420"/>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三档（20分）：投标货物（第1—22项）每一条性能、技术参数完全满足招标文件要求，所有技术参数没有负偏离，且有15项以上技术参数指标优于招标文件（获得正偏离）要求，并能提供制造商出具的核心产品零部件配置清单原件的，综合评定相对优秀。</w:t>
      </w:r>
    </w:p>
    <w:p>
      <w:pPr>
        <w:snapToGrid w:val="0"/>
        <w:spacing w:line="400" w:lineRule="exact"/>
        <w:ind w:firstLine="422" w:firstLineChars="200"/>
        <w:rPr>
          <w:rFonts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w:t>
      </w:r>
      <w:r>
        <w:rPr>
          <w:rFonts w:hint="eastAsia" w:ascii="宋体" w:hAnsi="宋体" w:cs="宋体"/>
          <w:b/>
          <w:bCs/>
          <w:color w:val="000000" w:themeColor="text1"/>
          <w:kern w:val="0"/>
          <w:szCs w:val="21"/>
          <w:lang w:val="en-US" w:eastAsia="zh-CN" w:bidi="ar"/>
          <w14:textFill>
            <w14:solidFill>
              <w14:schemeClr w14:val="tx1"/>
            </w14:solidFill>
          </w14:textFill>
        </w:rPr>
        <w:t>2</w:t>
      </w:r>
      <w:r>
        <w:rPr>
          <w:rFonts w:hint="eastAsia" w:ascii="宋体" w:hAnsi="宋体" w:cs="宋体"/>
          <w:b/>
          <w:bCs/>
          <w:color w:val="000000" w:themeColor="text1"/>
          <w:kern w:val="0"/>
          <w:szCs w:val="21"/>
          <w:lang w:bidi="ar"/>
          <w14:textFill>
            <w14:solidFill>
              <w14:schemeClr w14:val="tx1"/>
            </w14:solidFill>
          </w14:textFill>
        </w:rPr>
        <w:t>）项目实施方案分（满分6分）</w:t>
      </w:r>
    </w:p>
    <w:p>
      <w:pPr>
        <w:pStyle w:val="14"/>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一档（2分）：投标产品的技术力量及技术措施、保证工期的施工组织方案等基本满足本项目需求。</w:t>
      </w:r>
    </w:p>
    <w:p>
      <w:pPr>
        <w:pStyle w:val="14"/>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二档（4分）：投标人所提供的对本项目总体要求的理解，含功能说明、性能指标、技术解决方案较详细、进度有保障，较好的满足项目实施需要。</w:t>
      </w:r>
    </w:p>
    <w:p>
      <w:pPr>
        <w:pStyle w:val="14"/>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三档（6分）：投标人所提供的对本项目总体要求的理解，含功能说明、性能指标、技术解决方案等方案详细，实施流</w:t>
      </w:r>
      <w:r>
        <w:rPr>
          <w:rFonts w:hint="eastAsia" w:hAnsi="宋体" w:cs="宋体"/>
          <w:bCs/>
        </w:rPr>
        <w:t>程合理，方案考虑周全，有保证工程质量的技术力量及技术措施、保证工期的施工组织方案，充分满足本项目的实施需要。</w:t>
      </w:r>
    </w:p>
    <w:p>
      <w:pPr>
        <w:spacing w:line="400" w:lineRule="exact"/>
        <w:ind w:firstLine="422" w:firstLineChars="20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3、信誉业绩分</w:t>
      </w:r>
      <w:r>
        <w:rPr>
          <w:rFonts w:hint="eastAsia"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………………………5分</w:t>
      </w:r>
    </w:p>
    <w:p>
      <w:pPr>
        <w:pStyle w:val="20"/>
        <w:spacing w:line="400" w:lineRule="exact"/>
        <w:ind w:firstLine="420" w:firstLineChars="200"/>
        <w:jc w:val="left"/>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（1）</w:t>
      </w:r>
      <w:r>
        <w:rPr>
          <w:rFonts w:hint="eastAsia" w:hAnsi="宋体" w:cs="宋体"/>
          <w:bCs/>
          <w:color w:val="000000" w:themeColor="text1"/>
          <w:spacing w:val="-6"/>
          <w14:textFill>
            <w14:solidFill>
              <w14:schemeClr w14:val="tx1"/>
            </w14:solidFill>
          </w14:textFill>
        </w:rPr>
        <w:t>投标人或投标产品制造商有效的通过ISO9001质量管理体系认证提供证书复印件，得1分，满分1分。</w:t>
      </w:r>
    </w:p>
    <w:p>
      <w:pPr>
        <w:pStyle w:val="20"/>
        <w:spacing w:line="400" w:lineRule="exact"/>
        <w:ind w:firstLine="420" w:firstLineChars="200"/>
        <w:jc w:val="left"/>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所投</w:t>
      </w:r>
      <w:r>
        <w:rPr>
          <w:rFonts w:hint="eastAsia" w:hAnsi="宋体" w:cs="宋体"/>
          <w:bCs/>
          <w:color w:val="000000" w:themeColor="text1"/>
          <w14:textFill>
            <w14:solidFill>
              <w14:schemeClr w14:val="tx1"/>
            </w14:solidFill>
          </w14:textFill>
        </w:rPr>
        <w:t>核心</w:t>
      </w:r>
      <w:r>
        <w:rPr>
          <w:rFonts w:hint="eastAsia" w:hAnsi="宋体"/>
          <w:color w:val="000000" w:themeColor="text1"/>
          <w14:textFill>
            <w14:solidFill>
              <w14:schemeClr w14:val="tx1"/>
            </w14:solidFill>
          </w14:textFill>
        </w:rPr>
        <w:t>产品制造商2018年以来获得企业AAA级信用证书,</w:t>
      </w:r>
      <w:r>
        <w:rPr>
          <w:rFonts w:hint="eastAsia" w:hAnsi="宋体" w:cs="宋体"/>
          <w:bCs/>
          <w:color w:val="000000" w:themeColor="text1"/>
          <w14:textFill>
            <w14:solidFill>
              <w14:schemeClr w14:val="tx1"/>
            </w14:solidFill>
          </w14:textFill>
        </w:rPr>
        <w:t>提供证书复印件，</w:t>
      </w:r>
      <w:r>
        <w:rPr>
          <w:rFonts w:hint="eastAsia" w:hAnsi="宋体"/>
          <w:color w:val="000000" w:themeColor="text1"/>
          <w14:textFill>
            <w14:solidFill>
              <w14:schemeClr w14:val="tx1"/>
            </w14:solidFill>
          </w14:textFill>
        </w:rPr>
        <w:t>得1</w:t>
      </w:r>
      <w:r>
        <w:rPr>
          <w:rFonts w:hint="eastAsia" w:hAnsi="宋体" w:cs="宋体"/>
          <w:color w:val="000000" w:themeColor="text1"/>
          <w14:textFill>
            <w14:solidFill>
              <w14:schemeClr w14:val="tx1"/>
            </w14:solidFill>
          </w14:textFill>
        </w:rPr>
        <w:t>分</w:t>
      </w:r>
      <w:r>
        <w:rPr>
          <w:rFonts w:hint="eastAsia" w:hAnsi="宋体" w:cs="宋体"/>
          <w:bCs/>
          <w:color w:val="000000" w:themeColor="text1"/>
          <w14:textFill>
            <w14:solidFill>
              <w14:schemeClr w14:val="tx1"/>
            </w14:solidFill>
          </w14:textFill>
        </w:rPr>
        <w:t>。</w:t>
      </w:r>
    </w:p>
    <w:p>
      <w:pPr>
        <w:pStyle w:val="20"/>
        <w:spacing w:line="400" w:lineRule="exact"/>
        <w:ind w:firstLine="420" w:firstLineChars="200"/>
        <w:jc w:val="left"/>
        <w:rPr>
          <w:rFonts w:hAnsi="宋体"/>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所投</w:t>
      </w:r>
      <w:r>
        <w:rPr>
          <w:rFonts w:hint="eastAsia" w:hAnsi="宋体" w:cs="宋体"/>
          <w:bCs/>
          <w:color w:val="000000" w:themeColor="text1"/>
          <w14:textFill>
            <w14:solidFill>
              <w14:schemeClr w14:val="tx1"/>
            </w14:solidFill>
          </w14:textFill>
        </w:rPr>
        <w:t>核心</w:t>
      </w:r>
      <w:r>
        <w:rPr>
          <w:rFonts w:hint="eastAsia" w:hAnsi="宋体"/>
          <w:color w:val="000000" w:themeColor="text1"/>
          <w14:textFill>
            <w14:solidFill>
              <w14:schemeClr w14:val="tx1"/>
            </w14:solidFill>
          </w14:textFill>
        </w:rPr>
        <w:t>产品制造商设有电机与控制院士工作站和建筑节能院士工作站的，提供相应证明文件复印件,</w:t>
      </w:r>
      <w:r>
        <w:rPr>
          <w:rFonts w:hint="eastAsia" w:hAnsi="宋体" w:cs="宋体"/>
          <w:bCs/>
          <w:color w:val="000000" w:themeColor="text1"/>
          <w14:textFill>
            <w14:solidFill>
              <w14:schemeClr w14:val="tx1"/>
            </w14:solidFill>
          </w14:textFill>
        </w:rPr>
        <w:t>每项得1分，满分2分。</w:t>
      </w:r>
      <w:r>
        <w:rPr>
          <w:rFonts w:hint="eastAsia" w:hAnsi="宋体"/>
          <w:color w:val="000000" w:themeColor="text1"/>
          <w14:textFill>
            <w14:solidFill>
              <w14:schemeClr w14:val="tx1"/>
            </w14:solidFill>
          </w14:textFill>
        </w:rPr>
        <w:t xml:space="preserve">     </w:t>
      </w:r>
    </w:p>
    <w:p>
      <w:pPr>
        <w:pStyle w:val="20"/>
        <w:spacing w:line="400" w:lineRule="exact"/>
        <w:ind w:firstLine="420" w:firstLineChars="200"/>
        <w:jc w:val="left"/>
        <w:rPr>
          <w:rFonts w:hAnsi="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（5）投标人2017年1月1日以来的</w:t>
      </w:r>
      <w:r>
        <w:rPr>
          <w:rFonts w:hint="eastAsia" w:hAnsi="宋体" w:cs="宋体"/>
          <w:color w:val="000000" w:themeColor="text1"/>
          <w14:textFill>
            <w14:solidFill>
              <w14:schemeClr w14:val="tx1"/>
            </w14:solidFill>
          </w14:textFill>
        </w:rPr>
        <w:t>同类产品的销售业绩（以投标人同类项目实施情况一览表、合同复印件</w:t>
      </w:r>
      <w:r>
        <w:rPr>
          <w:rFonts w:hint="eastAsia" w:hAnsi="宋体" w:cs="宋体"/>
          <w:bCs/>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每项得1分，</w:t>
      </w:r>
      <w:r>
        <w:rPr>
          <w:rFonts w:hint="eastAsia" w:hAnsi="宋体"/>
          <w:bCs/>
          <w:color w:val="000000" w:themeColor="text1"/>
          <w14:textFill>
            <w14:solidFill>
              <w14:schemeClr w14:val="tx1"/>
            </w14:solidFill>
          </w14:textFill>
        </w:rPr>
        <w:t>满分1分。</w:t>
      </w:r>
    </w:p>
    <w:p>
      <w:pPr>
        <w:pStyle w:val="20"/>
        <w:spacing w:line="400" w:lineRule="exact"/>
        <w:ind w:firstLine="422" w:firstLineChars="200"/>
        <w:jc w:val="left"/>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4、售后服务分…………………………………………………………………………18分</w:t>
      </w:r>
    </w:p>
    <w:p>
      <w:pPr>
        <w:pStyle w:val="20"/>
        <w:spacing w:line="400" w:lineRule="exact"/>
        <w:ind w:firstLine="420" w:firstLineChars="200"/>
        <w:jc w:val="left"/>
        <w:rPr>
          <w:rFonts w:hAnsi="宋体"/>
        </w:rPr>
      </w:pPr>
      <w:r>
        <w:rPr>
          <w:rFonts w:hint="eastAsia" w:hAnsi="宋体"/>
          <w:color w:val="000000" w:themeColor="text1"/>
          <w14:textFill>
            <w14:solidFill>
              <w14:schemeClr w14:val="tx1"/>
            </w14:solidFill>
          </w14:textFill>
        </w:rPr>
        <w:t>根据投标文件中售后服务承诺书内容的完整性、可行性，到达故障现场时间、故障出现解</w:t>
      </w:r>
      <w:r>
        <w:rPr>
          <w:rFonts w:hint="eastAsia" w:hAnsi="宋体"/>
        </w:rPr>
        <w:t>决方案、定期维护 (注明时间)、免费技术培训方案、免费保修期外维修方案，其他优惠措施和售后服务保证原件等方面，独立确定各投标人各所属等级并在相应档次内打分。</w:t>
      </w:r>
    </w:p>
    <w:p>
      <w:pPr>
        <w:pStyle w:val="20"/>
        <w:spacing w:line="400" w:lineRule="exact"/>
        <w:ind w:firstLine="420" w:firstLineChars="200"/>
        <w:jc w:val="left"/>
        <w:rPr>
          <w:rFonts w:hAnsi="宋体"/>
        </w:rPr>
      </w:pPr>
      <w:r>
        <w:rPr>
          <w:rFonts w:hint="eastAsia" w:hAnsi="宋体"/>
        </w:rPr>
        <w:t>一档（6分）：售后服务承诺书内容基本完整，售后服务时间等招标文件服务要求方面基本满足；</w:t>
      </w:r>
    </w:p>
    <w:p>
      <w:pPr>
        <w:pStyle w:val="20"/>
        <w:spacing w:line="400" w:lineRule="exact"/>
        <w:ind w:firstLine="420" w:firstLineChars="200"/>
        <w:jc w:val="left"/>
        <w:rPr>
          <w:rFonts w:hAnsi="宋体"/>
        </w:rPr>
      </w:pPr>
      <w:r>
        <w:rPr>
          <w:rFonts w:hint="eastAsia" w:hAnsi="宋体"/>
        </w:rPr>
        <w:t>二档（12分）：售后服务承诺书内容完整、可行，到达故障现场时间、故障出现解决方案、定期维护 (注明时间)、免费技术培训方案、免费保修期外维修方案、售后时间等招标文件服务要求方面有优于招标文件要求的内容；</w:t>
      </w:r>
    </w:p>
    <w:p>
      <w:pPr>
        <w:pStyle w:val="20"/>
        <w:spacing w:line="400" w:lineRule="exact"/>
        <w:ind w:firstLine="420" w:firstLineChars="200"/>
        <w:jc w:val="left"/>
        <w:rPr>
          <w:rFonts w:hAnsi="宋体"/>
        </w:rPr>
      </w:pPr>
      <w:r>
        <w:rPr>
          <w:rFonts w:hint="eastAsia" w:hAnsi="宋体"/>
        </w:rPr>
        <w:t>三档（18分）：售后服务承诺书内容完整、可行，到达故障现场时间、故障出现解决方案、定期维护 (注明时间)、免费技术培训方案、免费保修期外维修方案、售后时间等招标文件服务要求方面优于招标文件要求，证明其到达故障现场时间并具备及时解决出现的故障的能力经评委认可的，且投标</w:t>
      </w:r>
      <w:r>
        <w:rPr>
          <w:rFonts w:hint="eastAsia" w:hAnsi="宋体" w:cs="宋体"/>
        </w:rPr>
        <w:t>核心产品的制造商</w:t>
      </w:r>
      <w:r>
        <w:rPr>
          <w:rFonts w:hint="eastAsia" w:hAnsi="宋体"/>
        </w:rPr>
        <w:t>提供</w:t>
      </w:r>
      <w:r>
        <w:rPr>
          <w:rFonts w:hint="eastAsia" w:hAnsi="宋体" w:cs="宋体"/>
        </w:rPr>
        <w:t>权威机构颁发的“售后服务五星级认证证书”复印件的</w:t>
      </w:r>
      <w:r>
        <w:rPr>
          <w:rFonts w:hint="eastAsia" w:hAnsi="宋体"/>
        </w:rPr>
        <w:t>。</w:t>
      </w:r>
    </w:p>
    <w:p>
      <w:pPr>
        <w:pStyle w:val="20"/>
        <w:spacing w:line="400" w:lineRule="exact"/>
        <w:ind w:firstLine="422" w:firstLineChars="200"/>
        <w:jc w:val="left"/>
        <w:rPr>
          <w:rFonts w:hAnsi="宋体"/>
          <w:b/>
          <w:bCs/>
        </w:rPr>
      </w:pPr>
      <w:r>
        <w:rPr>
          <w:rFonts w:hint="eastAsia" w:hAnsi="宋体"/>
          <w:b/>
          <w:bCs/>
        </w:rPr>
        <w:t>5、政策功能分………………………………………………………………………</w:t>
      </w:r>
      <w:r>
        <w:rPr>
          <w:rFonts w:hint="eastAsia" w:hAnsi="宋体"/>
          <w:b/>
          <w:bCs/>
          <w:color w:val="000000" w:themeColor="text1"/>
          <w14:textFill>
            <w14:solidFill>
              <w14:schemeClr w14:val="tx1"/>
            </w14:solidFill>
          </w14:textFill>
        </w:rPr>
        <w:t>……1分</w:t>
      </w:r>
    </w:p>
    <w:p>
      <w:pPr>
        <w:pStyle w:val="20"/>
        <w:tabs>
          <w:tab w:val="left" w:pos="316"/>
        </w:tabs>
        <w:snapToGrid w:val="0"/>
        <w:spacing w:line="400" w:lineRule="exact"/>
        <w:ind w:firstLine="420" w:firstLineChars="200"/>
        <w:rPr>
          <w:rFonts w:hAnsi="宋体"/>
          <w:bCs/>
          <w:color w:val="000000" w:themeColor="text1"/>
          <w14:textFill>
            <w14:solidFill>
              <w14:schemeClr w14:val="tx1"/>
            </w14:solidFill>
          </w14:textFill>
        </w:rPr>
      </w:pPr>
      <w:r>
        <w:rPr>
          <w:rFonts w:hint="eastAsia" w:hAnsi="宋体" w:cs="宋体"/>
          <w:bCs/>
        </w:rPr>
        <w:t>（1）</w:t>
      </w:r>
      <w:r>
        <w:rPr>
          <w:rFonts w:hint="eastAsia" w:hAnsi="宋体" w:cs="宋体"/>
        </w:rPr>
        <w:t>根据《财政部 发展改革委 生态环境部 市场监管总局 关于调整优化节能产品、环境标志产品政府采购执行机制的通知》</w:t>
      </w:r>
      <w:r>
        <w:rPr>
          <w:rFonts w:hint="eastAsia" w:hAnsi="宋体" w:cs="宋体"/>
          <w:color w:val="000000" w:themeColor="text1"/>
          <w14:textFill>
            <w14:solidFill>
              <w14:schemeClr w14:val="tx1"/>
            </w14:solidFill>
          </w14:textFill>
        </w:rPr>
        <w:t>（财库〔2019〕9号）规定，</w:t>
      </w:r>
      <w:r>
        <w:rPr>
          <w:rFonts w:hint="eastAsia" w:hAnsi="宋体" w:cs="宋体"/>
          <w:bCs/>
          <w:color w:val="000000" w:themeColor="text1"/>
          <w14:textFill>
            <w14:solidFill>
              <w14:schemeClr w14:val="tx1"/>
            </w14:solidFill>
          </w14:textFill>
        </w:rPr>
        <w:t>投标人提供的产品为《环境标志产品政府采购品目清单》【财库〔2019〕18号】或《节能产品政府采购品目</w:t>
      </w:r>
      <w:r>
        <w:rPr>
          <w:rFonts w:hint="eastAsia" w:hAnsi="宋体"/>
          <w:bCs/>
          <w:color w:val="000000" w:themeColor="text1"/>
          <w14:textFill>
            <w14:solidFill>
              <w14:schemeClr w14:val="tx1"/>
            </w14:solidFill>
          </w14:textFill>
        </w:rPr>
        <w:t>清单》中【财库〔2019〕19号】品目清单内优先采购产品的，</w:t>
      </w:r>
      <w:r>
        <w:rPr>
          <w:rFonts w:hint="eastAsia" w:hAnsi="宋体" w:cs="宋体"/>
          <w:color w:val="000000" w:themeColor="text1"/>
          <w14:textFill>
            <w14:solidFill>
              <w14:schemeClr w14:val="tx1"/>
            </w14:solidFill>
          </w14:textFill>
        </w:rPr>
        <w:t>提供</w:t>
      </w:r>
      <w:r>
        <w:rPr>
          <w:rFonts w:hint="eastAsia" w:hAnsi="宋体" w:cs="宋体"/>
          <w:color w:val="000000" w:themeColor="text1"/>
          <w:shd w:val="clear" w:color="auto" w:fill="FFFFFF"/>
          <w14:textFill>
            <w14:solidFill>
              <w14:schemeClr w14:val="tx1"/>
            </w14:solidFill>
          </w14:textFill>
        </w:rPr>
        <w:t>国家确定的认证机构出具的、处于有效期之内的节能产品、环境标志产品认证证书</w:t>
      </w:r>
      <w:r>
        <w:rPr>
          <w:rFonts w:hint="eastAsia" w:hAnsi="宋体" w:cs="宋体"/>
          <w:color w:val="000000" w:themeColor="text1"/>
          <w14:textFill>
            <w14:solidFill>
              <w14:schemeClr w14:val="tx1"/>
            </w14:solidFill>
          </w14:textFill>
        </w:rPr>
        <w:t>复印件</w:t>
      </w:r>
      <w:r>
        <w:rPr>
          <w:rFonts w:hint="eastAsia" w:hAnsi="宋体"/>
          <w:bCs/>
          <w:color w:val="000000" w:themeColor="text1"/>
          <w14:textFill>
            <w14:solidFill>
              <w14:schemeClr w14:val="tx1"/>
            </w14:solidFill>
          </w14:textFill>
        </w:rPr>
        <w:t>，每有一项得0.5分，满分0.5分。</w:t>
      </w:r>
    </w:p>
    <w:p>
      <w:pPr>
        <w:pStyle w:val="20"/>
        <w:spacing w:line="400" w:lineRule="exact"/>
        <w:ind w:firstLine="420" w:firstLineChars="200"/>
        <w:jc w:val="left"/>
        <w:rPr>
          <w:rFonts w:hAnsi="宋体"/>
          <w:b/>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（2）广西工业产品分：投标产品使用广西工业产品80%以上的，得0.5分（以生产企业的工商营业执照注册地为准）。</w:t>
      </w:r>
    </w:p>
    <w:p>
      <w:pPr>
        <w:pStyle w:val="20"/>
        <w:numPr>
          <w:ilvl w:val="0"/>
          <w:numId w:val="7"/>
        </w:numPr>
        <w:spacing w:line="400" w:lineRule="exact"/>
        <w:ind w:left="-134" w:leftChars="-64" w:firstLine="527" w:firstLineChars="250"/>
        <w:jc w:val="left"/>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总得分=1+2+3+4+5</w:t>
      </w:r>
    </w:p>
    <w:p>
      <w:pPr>
        <w:pStyle w:val="20"/>
        <w:spacing w:line="400" w:lineRule="exact"/>
        <w:ind w:firstLine="422" w:firstLineChars="200"/>
        <w:jc w:val="left"/>
        <w:rPr>
          <w:rFonts w:hAnsi="宋体"/>
          <w:b/>
          <w:bCs/>
        </w:rPr>
      </w:pPr>
      <w:r>
        <w:rPr>
          <w:rFonts w:hint="eastAsia" w:hAnsi="宋体"/>
          <w:b/>
          <w:bCs/>
        </w:rPr>
        <w:t>三、中标标准及中标候选人推荐原则</w:t>
      </w:r>
    </w:p>
    <w:p>
      <w:pPr>
        <w:pStyle w:val="20"/>
        <w:tabs>
          <w:tab w:val="left" w:pos="4214"/>
        </w:tabs>
        <w:spacing w:line="380" w:lineRule="exact"/>
        <w:ind w:firstLine="420" w:firstLineChars="200"/>
        <w:rPr>
          <w:rFonts w:cs="宋体"/>
          <w:bCs/>
        </w:rPr>
      </w:pPr>
      <w:r>
        <w:rPr>
          <w:rFonts w:hint="eastAsia" w:hAnsi="宋体" w:cs="宋体"/>
          <w:bCs/>
        </w:rPr>
        <w:t>（1）评标委员会根据综合得分由高到低排列次序，若得分相同时，按评标报价由低到高顺序排列；得分相同且评标报价也相同的，以投标报价由低到高顺序排列；若仍相同的，按实施方案得分由高到低顺序排列并推选中标候选供应商。</w:t>
      </w:r>
    </w:p>
    <w:p>
      <w:pPr>
        <w:pStyle w:val="20"/>
        <w:tabs>
          <w:tab w:val="left" w:pos="4214"/>
        </w:tabs>
        <w:spacing w:line="380" w:lineRule="exact"/>
        <w:ind w:firstLine="420" w:firstLineChars="200"/>
        <w:rPr>
          <w:rFonts w:cs="宋体"/>
          <w:bCs/>
        </w:rPr>
      </w:pPr>
      <w:r>
        <w:rPr>
          <w:rFonts w:hint="eastAsia" w:hAnsi="宋体" w:cs="宋体"/>
          <w:bCs/>
        </w:rPr>
        <w:t>（2）相同品牌响应有效性认定：不同投标人提供的投标产品品牌相同时，评委小组须根据以下规定评审相同品牌的响应有效性。根据桂财采[2016]42号《关于防治政府采购招标中串通投标行为的通知》规定，若超过一家的供应商参加同一合同项(分标)时使用相同品牌产品投标，按如下方式认定投标(响应)有效性。本条款仅适用于货物类项目。</w:t>
      </w:r>
    </w:p>
    <w:p>
      <w:pPr>
        <w:pStyle w:val="20"/>
        <w:tabs>
          <w:tab w:val="left" w:pos="4214"/>
        </w:tabs>
        <w:spacing w:line="380" w:lineRule="exact"/>
        <w:ind w:firstLine="420" w:firstLineChars="200"/>
        <w:rPr>
          <w:rFonts w:cs="宋体"/>
          <w:bCs/>
        </w:rPr>
      </w:pPr>
      <w:r>
        <w:rPr>
          <w:rFonts w:hAnsi="宋体" w:cs="宋体"/>
          <w:bCs/>
        </w:rPr>
        <w:t>①</w:t>
      </w:r>
      <w:r>
        <w:rPr>
          <w:rFonts w:hint="eastAsia" w:hAnsi="宋体" w:cs="宋体"/>
          <w:bCs/>
        </w:rPr>
        <w:t>提供相同品牌的不同投标人以其中通过资格审查、符合性审查且最后报价最低的参加评标，报价相同的，由采购人自主选择确定一个参加评标的投标人，其他投标无效；</w:t>
      </w:r>
    </w:p>
    <w:p>
      <w:pPr>
        <w:pStyle w:val="20"/>
        <w:tabs>
          <w:tab w:val="left" w:pos="4214"/>
        </w:tabs>
        <w:spacing w:line="380" w:lineRule="exact"/>
        <w:ind w:firstLine="420" w:firstLineChars="200"/>
        <w:rPr>
          <w:rFonts w:cs="宋体"/>
          <w:bCs/>
        </w:rPr>
      </w:pPr>
      <w:r>
        <w:rPr>
          <w:rFonts w:hAnsi="宋体" w:cs="宋体"/>
          <w:bCs/>
        </w:rPr>
        <w:t>②</w:t>
      </w:r>
      <w:r>
        <w:rPr>
          <w:rFonts w:hint="eastAsia" w:hAnsi="宋体" w:cs="宋体"/>
          <w:bCs/>
        </w:rPr>
        <w:t>非单一产品采购项目中，多家投标人提供的核心产品品牌相同的，视为提供相同品牌产品，比较价格时以该合同项(分标)总价为准。</w:t>
      </w:r>
    </w:p>
    <w:p>
      <w:pPr>
        <w:pStyle w:val="20"/>
        <w:tabs>
          <w:tab w:val="left" w:pos="4214"/>
        </w:tabs>
        <w:spacing w:line="380" w:lineRule="exact"/>
        <w:ind w:firstLine="420" w:firstLineChars="200"/>
        <w:rPr>
          <w:rFonts w:cs="宋体"/>
          <w:bCs/>
        </w:rPr>
      </w:pPr>
      <w:r>
        <w:rPr>
          <w:rFonts w:hint="eastAsia" w:hAnsi="宋体" w:cs="宋体"/>
          <w:bCs/>
        </w:rPr>
        <w:t>（3）进入详评的投标人为五家以上(含五家)的，可推荐前三名为中标候选供应商，进入详评的投标人为四家以下(含四家)的，可推荐前两名为中标候选供应商。招标采购单位应当确定评标委员会推荐排名第一的中标候选供应商为中标供应商。</w:t>
      </w:r>
    </w:p>
    <w:p>
      <w:pPr>
        <w:pStyle w:val="20"/>
        <w:spacing w:line="380" w:lineRule="exact"/>
        <w:ind w:firstLine="447" w:firstLineChars="213"/>
        <w:rPr>
          <w:rFonts w:hint="eastAsia"/>
          <w:color w:val="000000"/>
        </w:rPr>
      </w:pPr>
      <w:r>
        <w:rPr>
          <w:rFonts w:hint="eastAsia" w:hAnsi="宋体" w:cs="宋体"/>
          <w:bCs/>
        </w:rPr>
        <w:t>（4）排名第一的中标候选人放弃中标、因不可抗力提出不能履行合同，招标采购单位可以确定排名第二的中标候选供应商为中标供应商，并依此类推。</w:t>
      </w:r>
    </w:p>
    <w:p>
      <w:pPr>
        <w:widowControl/>
        <w:spacing w:line="600" w:lineRule="exact"/>
        <w:jc w:val="left"/>
        <w:outlineLvl w:val="1"/>
        <w:rPr>
          <w:b/>
          <w:bCs/>
          <w:color w:val="000000"/>
          <w:szCs w:val="20"/>
        </w:rPr>
      </w:pPr>
      <w:bookmarkStart w:id="38" w:name="_Toc23297"/>
      <w:bookmarkStart w:id="39" w:name="_Toc38988365"/>
    </w:p>
    <w:p>
      <w:pPr>
        <w:pStyle w:val="15"/>
      </w:pPr>
    </w:p>
    <w:p>
      <w:pPr>
        <w:pStyle w:val="15"/>
      </w:pPr>
    </w:p>
    <w:p>
      <w:pPr>
        <w:pStyle w:val="15"/>
      </w:pPr>
    </w:p>
    <w:p>
      <w:pPr>
        <w:pStyle w:val="15"/>
      </w:pPr>
    </w:p>
    <w:p>
      <w:pPr>
        <w:pStyle w:val="15"/>
        <w:rPr>
          <w:b/>
          <w:bCs/>
          <w:color w:val="000000"/>
          <w:szCs w:val="20"/>
        </w:rPr>
      </w:pPr>
    </w:p>
    <w:p>
      <w:pPr>
        <w:pStyle w:val="15"/>
        <w:rPr>
          <w:b/>
          <w:bCs/>
          <w:color w:val="000000"/>
          <w:szCs w:val="20"/>
        </w:rPr>
      </w:pPr>
    </w:p>
    <w:p>
      <w:pPr>
        <w:widowControl/>
        <w:spacing w:line="600" w:lineRule="exact"/>
        <w:jc w:val="left"/>
        <w:outlineLvl w:val="1"/>
        <w:rPr>
          <w:b/>
          <w:bCs/>
          <w:color w:val="000000"/>
          <w:szCs w:val="20"/>
        </w:rPr>
      </w:pPr>
      <w:r>
        <w:rPr>
          <w:b/>
          <w:bCs/>
          <w:color w:val="000000"/>
          <w:szCs w:val="20"/>
        </w:rPr>
        <w:t>附表</w:t>
      </w:r>
      <w:bookmarkEnd w:id="38"/>
      <w:bookmarkEnd w:id="39"/>
    </w:p>
    <w:p>
      <w:pPr>
        <w:widowControl/>
        <w:spacing w:before="156" w:beforeLines="50" w:after="156" w:afterLines="50" w:line="400" w:lineRule="exact"/>
        <w:jc w:val="center"/>
        <w:outlineLvl w:val="0"/>
        <w:rPr>
          <w:b/>
          <w:bCs/>
          <w:color w:val="000000"/>
          <w:kern w:val="0"/>
          <w:sz w:val="30"/>
          <w:szCs w:val="30"/>
        </w:rPr>
      </w:pPr>
      <w:bookmarkStart w:id="40" w:name="_Toc28361_WPSOffice_Level2"/>
      <w:bookmarkStart w:id="41" w:name="_Toc5720"/>
      <w:r>
        <w:rPr>
          <w:b/>
          <w:bCs/>
          <w:color w:val="000000"/>
          <w:kern w:val="0"/>
          <w:sz w:val="30"/>
          <w:szCs w:val="30"/>
        </w:rPr>
        <w:t>统计上大中小微型企业划分标准</w:t>
      </w:r>
      <w:bookmarkEnd w:id="40"/>
      <w:bookmarkEnd w:id="41"/>
    </w:p>
    <w:tbl>
      <w:tblPr>
        <w:tblStyle w:val="43"/>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40" w:lineRule="exact"/>
              <w:jc w:val="center"/>
              <w:rPr>
                <w:b/>
                <w:bCs/>
                <w:color w:val="000000"/>
                <w:kern w:val="0"/>
                <w:sz w:val="18"/>
                <w:szCs w:val="21"/>
              </w:rPr>
            </w:pPr>
            <w:r>
              <w:rPr>
                <w:b/>
                <w:bCs/>
                <w:color w:val="000000"/>
                <w:kern w:val="0"/>
                <w:sz w:val="18"/>
                <w:szCs w:val="21"/>
              </w:rPr>
              <w:t>行业名称</w:t>
            </w:r>
          </w:p>
        </w:tc>
        <w:tc>
          <w:tcPr>
            <w:tcW w:w="1369" w:type="dxa"/>
            <w:shd w:val="clear" w:color="auto" w:fill="8DB3E2"/>
            <w:vAlign w:val="center"/>
          </w:tcPr>
          <w:p>
            <w:pPr>
              <w:widowControl/>
              <w:jc w:val="center"/>
              <w:rPr>
                <w:b/>
                <w:bCs/>
                <w:color w:val="000000"/>
                <w:kern w:val="0"/>
                <w:sz w:val="18"/>
                <w:szCs w:val="18"/>
              </w:rPr>
            </w:pPr>
            <w:r>
              <w:rPr>
                <w:b/>
                <w:bCs/>
                <w:color w:val="000000"/>
                <w:kern w:val="0"/>
                <w:sz w:val="18"/>
                <w:szCs w:val="18"/>
              </w:rPr>
              <w:t>指标名称</w:t>
            </w:r>
          </w:p>
        </w:tc>
        <w:tc>
          <w:tcPr>
            <w:tcW w:w="709" w:type="dxa"/>
            <w:shd w:val="clear" w:color="auto" w:fill="8DB3E2"/>
            <w:vAlign w:val="center"/>
          </w:tcPr>
          <w:p>
            <w:pPr>
              <w:widowControl/>
              <w:jc w:val="center"/>
              <w:rPr>
                <w:b/>
                <w:bCs/>
                <w:color w:val="000000"/>
                <w:kern w:val="0"/>
                <w:sz w:val="18"/>
                <w:szCs w:val="18"/>
              </w:rPr>
            </w:pPr>
            <w:r>
              <w:rPr>
                <w:b/>
                <w:bCs/>
                <w:color w:val="000000"/>
                <w:kern w:val="0"/>
                <w:sz w:val="18"/>
                <w:szCs w:val="18"/>
              </w:rPr>
              <w:t>计量</w:t>
            </w:r>
            <w:r>
              <w:rPr>
                <w:b/>
                <w:bCs/>
                <w:color w:val="000000"/>
                <w:kern w:val="0"/>
                <w:sz w:val="18"/>
                <w:szCs w:val="18"/>
              </w:rPr>
              <w:br w:type="textWrapping"/>
            </w:r>
            <w:r>
              <w:rPr>
                <w:b/>
                <w:bCs/>
                <w:color w:val="000000"/>
                <w:kern w:val="0"/>
                <w:sz w:val="18"/>
                <w:szCs w:val="18"/>
              </w:rPr>
              <w:t>单位</w:t>
            </w:r>
          </w:p>
        </w:tc>
        <w:tc>
          <w:tcPr>
            <w:tcW w:w="1125" w:type="dxa"/>
            <w:shd w:val="clear" w:color="auto" w:fill="8DB3E2"/>
            <w:vAlign w:val="center"/>
          </w:tcPr>
          <w:p>
            <w:pPr>
              <w:widowControl/>
              <w:jc w:val="center"/>
              <w:rPr>
                <w:b/>
                <w:bCs/>
                <w:color w:val="000000"/>
                <w:kern w:val="0"/>
                <w:sz w:val="18"/>
                <w:szCs w:val="18"/>
              </w:rPr>
            </w:pPr>
            <w:r>
              <w:rPr>
                <w:b/>
                <w:bCs/>
                <w:color w:val="000000"/>
                <w:kern w:val="0"/>
                <w:sz w:val="18"/>
                <w:szCs w:val="18"/>
              </w:rPr>
              <w:t>大型</w:t>
            </w:r>
          </w:p>
        </w:tc>
        <w:tc>
          <w:tcPr>
            <w:tcW w:w="1701" w:type="dxa"/>
            <w:shd w:val="clear" w:color="auto" w:fill="8DB3E2"/>
            <w:vAlign w:val="center"/>
          </w:tcPr>
          <w:p>
            <w:pPr>
              <w:widowControl/>
              <w:jc w:val="center"/>
              <w:rPr>
                <w:b/>
                <w:bCs/>
                <w:color w:val="000000"/>
                <w:kern w:val="0"/>
                <w:sz w:val="18"/>
                <w:szCs w:val="18"/>
              </w:rPr>
            </w:pPr>
            <w:r>
              <w:rPr>
                <w:b/>
                <w:bCs/>
                <w:color w:val="000000"/>
                <w:kern w:val="0"/>
                <w:sz w:val="18"/>
                <w:szCs w:val="18"/>
              </w:rPr>
              <w:t>中型</w:t>
            </w:r>
          </w:p>
        </w:tc>
        <w:tc>
          <w:tcPr>
            <w:tcW w:w="1426" w:type="dxa"/>
            <w:shd w:val="clear" w:color="auto" w:fill="8DB3E2"/>
            <w:vAlign w:val="center"/>
          </w:tcPr>
          <w:p>
            <w:pPr>
              <w:widowControl/>
              <w:jc w:val="center"/>
              <w:rPr>
                <w:b/>
                <w:bCs/>
                <w:color w:val="000000"/>
                <w:kern w:val="0"/>
                <w:sz w:val="18"/>
                <w:szCs w:val="18"/>
              </w:rPr>
            </w:pPr>
            <w:r>
              <w:rPr>
                <w:b/>
                <w:bCs/>
                <w:color w:val="000000"/>
                <w:kern w:val="0"/>
                <w:sz w:val="18"/>
                <w:szCs w:val="18"/>
              </w:rPr>
              <w:t>小型</w:t>
            </w:r>
          </w:p>
        </w:tc>
        <w:tc>
          <w:tcPr>
            <w:tcW w:w="992" w:type="dxa"/>
            <w:shd w:val="clear" w:color="auto" w:fill="8DB3E2"/>
            <w:vAlign w:val="center"/>
          </w:tcPr>
          <w:p>
            <w:pPr>
              <w:widowControl/>
              <w:jc w:val="center"/>
              <w:rPr>
                <w:b/>
                <w:bCs/>
                <w:color w:val="000000"/>
                <w:kern w:val="0"/>
                <w:sz w:val="18"/>
                <w:szCs w:val="18"/>
              </w:rPr>
            </w:pPr>
            <w:r>
              <w:rPr>
                <w:b/>
                <w:bCs/>
                <w:color w:val="000000"/>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color w:val="000000"/>
                <w:kern w:val="0"/>
                <w:sz w:val="18"/>
                <w:szCs w:val="18"/>
              </w:rPr>
            </w:pPr>
            <w:r>
              <w:rPr>
                <w:color w:val="000000"/>
                <w:kern w:val="0"/>
                <w:sz w:val="18"/>
                <w:szCs w:val="18"/>
              </w:rPr>
              <w:t>农、林、牧、渔业</w:t>
            </w:r>
          </w:p>
        </w:tc>
        <w:tc>
          <w:tcPr>
            <w:tcW w:w="1369" w:type="dxa"/>
            <w:vAlign w:val="center"/>
          </w:tcPr>
          <w:p>
            <w:pPr>
              <w:widowControl/>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Y≥20000</w:t>
            </w:r>
          </w:p>
        </w:tc>
        <w:tc>
          <w:tcPr>
            <w:tcW w:w="1701" w:type="dxa"/>
            <w:vAlign w:val="center"/>
          </w:tcPr>
          <w:p>
            <w:pPr>
              <w:widowControl/>
              <w:jc w:val="center"/>
              <w:rPr>
                <w:color w:val="000000"/>
                <w:kern w:val="0"/>
                <w:sz w:val="18"/>
                <w:szCs w:val="18"/>
              </w:rPr>
            </w:pPr>
            <w:r>
              <w:rPr>
                <w:color w:val="000000"/>
                <w:kern w:val="0"/>
                <w:sz w:val="18"/>
                <w:szCs w:val="18"/>
              </w:rPr>
              <w:t>500≤Y＜20000</w:t>
            </w:r>
          </w:p>
        </w:tc>
        <w:tc>
          <w:tcPr>
            <w:tcW w:w="1426" w:type="dxa"/>
            <w:vAlign w:val="center"/>
          </w:tcPr>
          <w:p>
            <w:pPr>
              <w:widowControl/>
              <w:jc w:val="center"/>
              <w:rPr>
                <w:color w:val="000000"/>
                <w:kern w:val="0"/>
                <w:sz w:val="18"/>
                <w:szCs w:val="18"/>
              </w:rPr>
            </w:pPr>
            <w:r>
              <w:rPr>
                <w:color w:val="000000"/>
                <w:kern w:val="0"/>
                <w:sz w:val="18"/>
                <w:szCs w:val="18"/>
              </w:rPr>
              <w:t>50≤Y＜500</w:t>
            </w:r>
          </w:p>
        </w:tc>
        <w:tc>
          <w:tcPr>
            <w:tcW w:w="992" w:type="dxa"/>
            <w:vAlign w:val="center"/>
          </w:tcPr>
          <w:p>
            <w:pPr>
              <w:widowControl/>
              <w:jc w:val="center"/>
              <w:rPr>
                <w:color w:val="000000"/>
                <w:kern w:val="0"/>
                <w:sz w:val="18"/>
                <w:szCs w:val="18"/>
              </w:rPr>
            </w:pPr>
            <w:r>
              <w:rPr>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工业 *</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X≥1000</w:t>
            </w:r>
          </w:p>
        </w:tc>
        <w:tc>
          <w:tcPr>
            <w:tcW w:w="1701" w:type="dxa"/>
            <w:vAlign w:val="center"/>
          </w:tcPr>
          <w:p>
            <w:pPr>
              <w:widowControl/>
              <w:jc w:val="center"/>
              <w:rPr>
                <w:color w:val="000000"/>
                <w:kern w:val="0"/>
                <w:sz w:val="18"/>
                <w:szCs w:val="18"/>
              </w:rPr>
            </w:pPr>
            <w:r>
              <w:rPr>
                <w:color w:val="000000"/>
                <w:kern w:val="0"/>
                <w:sz w:val="18"/>
                <w:szCs w:val="18"/>
              </w:rPr>
              <w:t>300≤X＜1000</w:t>
            </w:r>
          </w:p>
        </w:tc>
        <w:tc>
          <w:tcPr>
            <w:tcW w:w="1426" w:type="dxa"/>
            <w:vAlign w:val="center"/>
          </w:tcPr>
          <w:p>
            <w:pPr>
              <w:widowControl/>
              <w:jc w:val="center"/>
              <w:rPr>
                <w:color w:val="000000"/>
                <w:kern w:val="0"/>
                <w:sz w:val="18"/>
                <w:szCs w:val="18"/>
              </w:rPr>
            </w:pPr>
            <w:r>
              <w:rPr>
                <w:color w:val="000000"/>
                <w:kern w:val="0"/>
                <w:sz w:val="18"/>
                <w:szCs w:val="18"/>
              </w:rPr>
              <w:t>20≤X＜300</w:t>
            </w:r>
          </w:p>
        </w:tc>
        <w:tc>
          <w:tcPr>
            <w:tcW w:w="992" w:type="dxa"/>
            <w:vAlign w:val="center"/>
          </w:tcPr>
          <w:p>
            <w:pPr>
              <w:widowControl/>
              <w:jc w:val="center"/>
              <w:rPr>
                <w:color w:val="000000"/>
                <w:kern w:val="0"/>
                <w:sz w:val="18"/>
                <w:szCs w:val="18"/>
              </w:rPr>
            </w:pPr>
            <w:r>
              <w:rPr>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Y≥40000</w:t>
            </w:r>
          </w:p>
        </w:tc>
        <w:tc>
          <w:tcPr>
            <w:tcW w:w="1701" w:type="dxa"/>
            <w:vAlign w:val="center"/>
          </w:tcPr>
          <w:p>
            <w:pPr>
              <w:widowControl/>
              <w:jc w:val="center"/>
              <w:rPr>
                <w:color w:val="000000"/>
                <w:kern w:val="0"/>
                <w:sz w:val="18"/>
                <w:szCs w:val="18"/>
              </w:rPr>
            </w:pPr>
            <w:r>
              <w:rPr>
                <w:color w:val="000000"/>
                <w:kern w:val="0"/>
                <w:sz w:val="18"/>
                <w:szCs w:val="18"/>
              </w:rPr>
              <w:t>2000≤Y＜40000</w:t>
            </w:r>
          </w:p>
        </w:tc>
        <w:tc>
          <w:tcPr>
            <w:tcW w:w="1426" w:type="dxa"/>
            <w:vAlign w:val="center"/>
          </w:tcPr>
          <w:p>
            <w:pPr>
              <w:widowControl/>
              <w:jc w:val="center"/>
              <w:rPr>
                <w:color w:val="000000"/>
                <w:kern w:val="0"/>
                <w:sz w:val="18"/>
                <w:szCs w:val="18"/>
              </w:rPr>
            </w:pPr>
            <w:r>
              <w:rPr>
                <w:color w:val="000000"/>
                <w:kern w:val="0"/>
                <w:sz w:val="18"/>
                <w:szCs w:val="18"/>
              </w:rPr>
              <w:t>300≤Y＜2000</w:t>
            </w:r>
          </w:p>
        </w:tc>
        <w:tc>
          <w:tcPr>
            <w:tcW w:w="992" w:type="dxa"/>
            <w:vAlign w:val="center"/>
          </w:tcPr>
          <w:p>
            <w:pPr>
              <w:widowControl/>
              <w:jc w:val="center"/>
              <w:rPr>
                <w:color w:val="000000"/>
                <w:kern w:val="0"/>
                <w:sz w:val="18"/>
                <w:szCs w:val="18"/>
              </w:rPr>
            </w:pPr>
            <w:r>
              <w:rPr>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建筑业</w:t>
            </w:r>
          </w:p>
        </w:tc>
        <w:tc>
          <w:tcPr>
            <w:tcW w:w="1369" w:type="dxa"/>
            <w:vAlign w:val="center"/>
          </w:tcPr>
          <w:p>
            <w:pPr>
              <w:widowControl/>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Y≥80000</w:t>
            </w:r>
          </w:p>
        </w:tc>
        <w:tc>
          <w:tcPr>
            <w:tcW w:w="1701" w:type="dxa"/>
            <w:vAlign w:val="center"/>
          </w:tcPr>
          <w:p>
            <w:pPr>
              <w:widowControl/>
              <w:jc w:val="center"/>
              <w:rPr>
                <w:color w:val="000000"/>
                <w:kern w:val="0"/>
                <w:sz w:val="18"/>
                <w:szCs w:val="18"/>
              </w:rPr>
            </w:pPr>
            <w:r>
              <w:rPr>
                <w:color w:val="000000"/>
                <w:kern w:val="0"/>
                <w:sz w:val="18"/>
                <w:szCs w:val="18"/>
              </w:rPr>
              <w:t>6000≤Y＜80000</w:t>
            </w:r>
          </w:p>
        </w:tc>
        <w:tc>
          <w:tcPr>
            <w:tcW w:w="1426" w:type="dxa"/>
            <w:vAlign w:val="center"/>
          </w:tcPr>
          <w:p>
            <w:pPr>
              <w:widowControl/>
              <w:jc w:val="center"/>
              <w:rPr>
                <w:color w:val="000000"/>
                <w:kern w:val="0"/>
                <w:sz w:val="18"/>
                <w:szCs w:val="18"/>
              </w:rPr>
            </w:pPr>
            <w:r>
              <w:rPr>
                <w:color w:val="000000"/>
                <w:kern w:val="0"/>
                <w:sz w:val="18"/>
                <w:szCs w:val="18"/>
              </w:rPr>
              <w:t>300≤Y＜6000</w:t>
            </w:r>
          </w:p>
        </w:tc>
        <w:tc>
          <w:tcPr>
            <w:tcW w:w="992" w:type="dxa"/>
            <w:vAlign w:val="center"/>
          </w:tcPr>
          <w:p>
            <w:pPr>
              <w:widowControl/>
              <w:jc w:val="center"/>
              <w:rPr>
                <w:color w:val="000000"/>
                <w:kern w:val="0"/>
                <w:sz w:val="18"/>
                <w:szCs w:val="18"/>
              </w:rPr>
            </w:pPr>
            <w:r>
              <w:rPr>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资产总额(Z)</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Z≥80000</w:t>
            </w:r>
          </w:p>
        </w:tc>
        <w:tc>
          <w:tcPr>
            <w:tcW w:w="1701" w:type="dxa"/>
            <w:vAlign w:val="center"/>
          </w:tcPr>
          <w:p>
            <w:pPr>
              <w:widowControl/>
              <w:jc w:val="center"/>
              <w:rPr>
                <w:color w:val="000000"/>
                <w:kern w:val="0"/>
                <w:sz w:val="18"/>
                <w:szCs w:val="18"/>
              </w:rPr>
            </w:pPr>
            <w:r>
              <w:rPr>
                <w:color w:val="000000"/>
                <w:kern w:val="0"/>
                <w:sz w:val="18"/>
                <w:szCs w:val="18"/>
              </w:rPr>
              <w:t>5000≤Z＜80000</w:t>
            </w:r>
          </w:p>
        </w:tc>
        <w:tc>
          <w:tcPr>
            <w:tcW w:w="1426" w:type="dxa"/>
            <w:vAlign w:val="center"/>
          </w:tcPr>
          <w:p>
            <w:pPr>
              <w:widowControl/>
              <w:jc w:val="center"/>
              <w:rPr>
                <w:color w:val="000000"/>
                <w:kern w:val="0"/>
                <w:sz w:val="18"/>
                <w:szCs w:val="18"/>
              </w:rPr>
            </w:pPr>
            <w:r>
              <w:rPr>
                <w:color w:val="000000"/>
                <w:kern w:val="0"/>
                <w:sz w:val="18"/>
                <w:szCs w:val="18"/>
              </w:rPr>
              <w:t>300≤Z＜5000</w:t>
            </w:r>
          </w:p>
        </w:tc>
        <w:tc>
          <w:tcPr>
            <w:tcW w:w="992" w:type="dxa"/>
            <w:vAlign w:val="center"/>
          </w:tcPr>
          <w:p>
            <w:pPr>
              <w:widowControl/>
              <w:jc w:val="center"/>
              <w:rPr>
                <w:color w:val="000000"/>
                <w:kern w:val="0"/>
                <w:sz w:val="18"/>
                <w:szCs w:val="18"/>
              </w:rPr>
            </w:pPr>
            <w:r>
              <w:rPr>
                <w:color w:val="000000"/>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批发业</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X≥200</w:t>
            </w:r>
          </w:p>
        </w:tc>
        <w:tc>
          <w:tcPr>
            <w:tcW w:w="1701" w:type="dxa"/>
            <w:vAlign w:val="center"/>
          </w:tcPr>
          <w:p>
            <w:pPr>
              <w:widowControl/>
              <w:jc w:val="center"/>
              <w:rPr>
                <w:color w:val="000000"/>
                <w:kern w:val="0"/>
                <w:sz w:val="18"/>
                <w:szCs w:val="18"/>
              </w:rPr>
            </w:pPr>
            <w:r>
              <w:rPr>
                <w:color w:val="000000"/>
                <w:kern w:val="0"/>
                <w:sz w:val="18"/>
                <w:szCs w:val="18"/>
              </w:rPr>
              <w:t>20≤X＜200</w:t>
            </w:r>
          </w:p>
        </w:tc>
        <w:tc>
          <w:tcPr>
            <w:tcW w:w="1426" w:type="dxa"/>
            <w:vAlign w:val="center"/>
          </w:tcPr>
          <w:p>
            <w:pPr>
              <w:widowControl/>
              <w:jc w:val="center"/>
              <w:rPr>
                <w:color w:val="000000"/>
                <w:kern w:val="0"/>
                <w:sz w:val="18"/>
                <w:szCs w:val="18"/>
              </w:rPr>
            </w:pPr>
            <w:r>
              <w:rPr>
                <w:color w:val="000000"/>
                <w:kern w:val="0"/>
                <w:sz w:val="18"/>
                <w:szCs w:val="18"/>
              </w:rPr>
              <w:t>5≤X＜20</w:t>
            </w:r>
          </w:p>
        </w:tc>
        <w:tc>
          <w:tcPr>
            <w:tcW w:w="992" w:type="dxa"/>
            <w:vAlign w:val="center"/>
          </w:tcPr>
          <w:p>
            <w:pPr>
              <w:widowControl/>
              <w:jc w:val="center"/>
              <w:rPr>
                <w:color w:val="000000"/>
                <w:kern w:val="0"/>
                <w:sz w:val="18"/>
                <w:szCs w:val="18"/>
              </w:rPr>
            </w:pPr>
            <w:r>
              <w:rPr>
                <w:color w:val="000000"/>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Y≥40000</w:t>
            </w:r>
          </w:p>
        </w:tc>
        <w:tc>
          <w:tcPr>
            <w:tcW w:w="1701" w:type="dxa"/>
            <w:vAlign w:val="center"/>
          </w:tcPr>
          <w:p>
            <w:pPr>
              <w:widowControl/>
              <w:jc w:val="center"/>
              <w:rPr>
                <w:color w:val="000000"/>
                <w:kern w:val="0"/>
                <w:sz w:val="18"/>
                <w:szCs w:val="18"/>
              </w:rPr>
            </w:pPr>
            <w:r>
              <w:rPr>
                <w:color w:val="000000"/>
                <w:kern w:val="0"/>
                <w:sz w:val="18"/>
                <w:szCs w:val="18"/>
              </w:rPr>
              <w:t>5000≤Y＜40000</w:t>
            </w:r>
          </w:p>
        </w:tc>
        <w:tc>
          <w:tcPr>
            <w:tcW w:w="1426" w:type="dxa"/>
            <w:vAlign w:val="center"/>
          </w:tcPr>
          <w:p>
            <w:pPr>
              <w:widowControl/>
              <w:ind w:left="-1" w:leftChars="-1" w:hanging="1"/>
              <w:jc w:val="center"/>
              <w:rPr>
                <w:color w:val="000000"/>
                <w:kern w:val="0"/>
                <w:sz w:val="18"/>
                <w:szCs w:val="18"/>
              </w:rPr>
            </w:pPr>
            <w:r>
              <w:rPr>
                <w:color w:val="000000"/>
                <w:kern w:val="0"/>
                <w:sz w:val="18"/>
                <w:szCs w:val="18"/>
              </w:rPr>
              <w:t>1000≤Y＜5000</w:t>
            </w:r>
          </w:p>
        </w:tc>
        <w:tc>
          <w:tcPr>
            <w:tcW w:w="992" w:type="dxa"/>
            <w:vAlign w:val="center"/>
          </w:tcPr>
          <w:p>
            <w:pPr>
              <w:widowControl/>
              <w:jc w:val="center"/>
              <w:rPr>
                <w:color w:val="000000"/>
                <w:kern w:val="0"/>
                <w:sz w:val="18"/>
                <w:szCs w:val="18"/>
              </w:rPr>
            </w:pPr>
            <w:r>
              <w:rPr>
                <w:color w:val="000000"/>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零售业</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X≥300</w:t>
            </w:r>
          </w:p>
        </w:tc>
        <w:tc>
          <w:tcPr>
            <w:tcW w:w="1701" w:type="dxa"/>
            <w:vAlign w:val="center"/>
          </w:tcPr>
          <w:p>
            <w:pPr>
              <w:widowControl/>
              <w:jc w:val="center"/>
              <w:rPr>
                <w:color w:val="000000"/>
                <w:kern w:val="0"/>
                <w:sz w:val="18"/>
                <w:szCs w:val="18"/>
              </w:rPr>
            </w:pPr>
            <w:r>
              <w:rPr>
                <w:color w:val="000000"/>
                <w:kern w:val="0"/>
                <w:sz w:val="18"/>
                <w:szCs w:val="18"/>
              </w:rPr>
              <w:t>50≤X＜300</w:t>
            </w:r>
          </w:p>
        </w:tc>
        <w:tc>
          <w:tcPr>
            <w:tcW w:w="1426" w:type="dxa"/>
            <w:vAlign w:val="center"/>
          </w:tcPr>
          <w:p>
            <w:pPr>
              <w:widowControl/>
              <w:ind w:left="-1" w:leftChars="-1" w:hanging="1"/>
              <w:jc w:val="center"/>
              <w:rPr>
                <w:color w:val="000000"/>
                <w:kern w:val="0"/>
                <w:sz w:val="18"/>
                <w:szCs w:val="18"/>
              </w:rPr>
            </w:pPr>
            <w:r>
              <w:rPr>
                <w:color w:val="000000"/>
                <w:kern w:val="0"/>
                <w:sz w:val="18"/>
                <w:szCs w:val="18"/>
              </w:rPr>
              <w:t xml:space="preserve">10≤X＜50 </w:t>
            </w:r>
          </w:p>
        </w:tc>
        <w:tc>
          <w:tcPr>
            <w:tcW w:w="992" w:type="dxa"/>
            <w:vAlign w:val="center"/>
          </w:tcPr>
          <w:p>
            <w:pPr>
              <w:widowControl/>
              <w:jc w:val="center"/>
              <w:rPr>
                <w:color w:val="000000"/>
                <w:kern w:val="0"/>
                <w:sz w:val="18"/>
                <w:szCs w:val="18"/>
              </w:rPr>
            </w:pPr>
            <w:r>
              <w:rPr>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Y≥20000</w:t>
            </w:r>
          </w:p>
        </w:tc>
        <w:tc>
          <w:tcPr>
            <w:tcW w:w="1701" w:type="dxa"/>
            <w:vAlign w:val="center"/>
          </w:tcPr>
          <w:p>
            <w:pPr>
              <w:widowControl/>
              <w:jc w:val="center"/>
              <w:rPr>
                <w:color w:val="000000"/>
                <w:kern w:val="0"/>
                <w:sz w:val="18"/>
                <w:szCs w:val="18"/>
              </w:rPr>
            </w:pPr>
            <w:r>
              <w:rPr>
                <w:color w:val="000000"/>
                <w:kern w:val="0"/>
                <w:sz w:val="18"/>
                <w:szCs w:val="18"/>
              </w:rPr>
              <w:t>500≤Y＜20000</w:t>
            </w:r>
          </w:p>
        </w:tc>
        <w:tc>
          <w:tcPr>
            <w:tcW w:w="1426" w:type="dxa"/>
            <w:vAlign w:val="center"/>
          </w:tcPr>
          <w:p>
            <w:pPr>
              <w:widowControl/>
              <w:ind w:left="-1" w:leftChars="-1" w:hanging="1"/>
              <w:jc w:val="center"/>
              <w:rPr>
                <w:color w:val="000000"/>
                <w:kern w:val="0"/>
                <w:sz w:val="18"/>
                <w:szCs w:val="18"/>
              </w:rPr>
            </w:pPr>
            <w:r>
              <w:rPr>
                <w:color w:val="000000"/>
                <w:kern w:val="0"/>
                <w:sz w:val="18"/>
                <w:szCs w:val="18"/>
              </w:rPr>
              <w:t>100≤Y＜500</w:t>
            </w:r>
          </w:p>
        </w:tc>
        <w:tc>
          <w:tcPr>
            <w:tcW w:w="992" w:type="dxa"/>
            <w:vAlign w:val="center"/>
          </w:tcPr>
          <w:p>
            <w:pPr>
              <w:widowControl/>
              <w:jc w:val="center"/>
              <w:rPr>
                <w:color w:val="000000"/>
                <w:kern w:val="0"/>
                <w:sz w:val="18"/>
                <w:szCs w:val="18"/>
              </w:rPr>
            </w:pPr>
            <w:r>
              <w:rPr>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交通运输业 *</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X≥1000</w:t>
            </w:r>
          </w:p>
        </w:tc>
        <w:tc>
          <w:tcPr>
            <w:tcW w:w="1701" w:type="dxa"/>
            <w:vAlign w:val="center"/>
          </w:tcPr>
          <w:p>
            <w:pPr>
              <w:widowControl/>
              <w:jc w:val="center"/>
              <w:rPr>
                <w:color w:val="000000"/>
                <w:kern w:val="0"/>
                <w:sz w:val="18"/>
                <w:szCs w:val="18"/>
              </w:rPr>
            </w:pPr>
            <w:r>
              <w:rPr>
                <w:color w:val="000000"/>
                <w:kern w:val="0"/>
                <w:sz w:val="18"/>
                <w:szCs w:val="18"/>
              </w:rPr>
              <w:t>300≤X＜1000</w:t>
            </w:r>
          </w:p>
        </w:tc>
        <w:tc>
          <w:tcPr>
            <w:tcW w:w="1426" w:type="dxa"/>
            <w:vAlign w:val="center"/>
          </w:tcPr>
          <w:p>
            <w:pPr>
              <w:widowControl/>
              <w:jc w:val="center"/>
              <w:rPr>
                <w:color w:val="000000"/>
                <w:kern w:val="0"/>
                <w:sz w:val="18"/>
                <w:szCs w:val="18"/>
              </w:rPr>
            </w:pPr>
            <w:r>
              <w:rPr>
                <w:color w:val="000000"/>
                <w:kern w:val="0"/>
                <w:sz w:val="18"/>
                <w:szCs w:val="18"/>
              </w:rPr>
              <w:t>20≤X＜300</w:t>
            </w:r>
          </w:p>
        </w:tc>
        <w:tc>
          <w:tcPr>
            <w:tcW w:w="992" w:type="dxa"/>
            <w:vAlign w:val="center"/>
          </w:tcPr>
          <w:p>
            <w:pPr>
              <w:widowControl/>
              <w:jc w:val="center"/>
              <w:rPr>
                <w:color w:val="000000"/>
                <w:kern w:val="0"/>
                <w:sz w:val="18"/>
                <w:szCs w:val="18"/>
              </w:rPr>
            </w:pPr>
            <w:r>
              <w:rPr>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Y≥30000</w:t>
            </w:r>
          </w:p>
        </w:tc>
        <w:tc>
          <w:tcPr>
            <w:tcW w:w="1701" w:type="dxa"/>
            <w:vAlign w:val="center"/>
          </w:tcPr>
          <w:p>
            <w:pPr>
              <w:widowControl/>
              <w:jc w:val="center"/>
              <w:rPr>
                <w:color w:val="000000"/>
                <w:kern w:val="0"/>
                <w:sz w:val="18"/>
                <w:szCs w:val="18"/>
              </w:rPr>
            </w:pPr>
            <w:r>
              <w:rPr>
                <w:color w:val="000000"/>
                <w:kern w:val="0"/>
                <w:sz w:val="18"/>
                <w:szCs w:val="18"/>
              </w:rPr>
              <w:t>3000≤Y＜30000</w:t>
            </w:r>
          </w:p>
        </w:tc>
        <w:tc>
          <w:tcPr>
            <w:tcW w:w="1426" w:type="dxa"/>
            <w:vAlign w:val="center"/>
          </w:tcPr>
          <w:p>
            <w:pPr>
              <w:widowControl/>
              <w:jc w:val="center"/>
              <w:rPr>
                <w:color w:val="000000"/>
                <w:kern w:val="0"/>
                <w:sz w:val="18"/>
                <w:szCs w:val="18"/>
              </w:rPr>
            </w:pPr>
            <w:r>
              <w:rPr>
                <w:color w:val="000000"/>
                <w:kern w:val="0"/>
                <w:sz w:val="18"/>
                <w:szCs w:val="18"/>
              </w:rPr>
              <w:t>200≤Y＜3000</w:t>
            </w:r>
          </w:p>
        </w:tc>
        <w:tc>
          <w:tcPr>
            <w:tcW w:w="992" w:type="dxa"/>
            <w:vAlign w:val="center"/>
          </w:tcPr>
          <w:p>
            <w:pPr>
              <w:widowControl/>
              <w:jc w:val="center"/>
              <w:rPr>
                <w:color w:val="000000"/>
                <w:kern w:val="0"/>
                <w:sz w:val="18"/>
                <w:szCs w:val="18"/>
              </w:rPr>
            </w:pPr>
            <w:r>
              <w:rPr>
                <w:color w:val="000000"/>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仓储业*</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X≥200</w:t>
            </w:r>
          </w:p>
        </w:tc>
        <w:tc>
          <w:tcPr>
            <w:tcW w:w="1701" w:type="dxa"/>
            <w:vAlign w:val="center"/>
          </w:tcPr>
          <w:p>
            <w:pPr>
              <w:widowControl/>
              <w:ind w:left="1" w:leftChars="-51" w:hanging="108" w:hangingChars="60"/>
              <w:jc w:val="center"/>
              <w:rPr>
                <w:color w:val="000000"/>
                <w:kern w:val="0"/>
                <w:sz w:val="18"/>
                <w:szCs w:val="18"/>
              </w:rPr>
            </w:pPr>
            <w:r>
              <w:rPr>
                <w:color w:val="000000"/>
                <w:kern w:val="0"/>
                <w:sz w:val="18"/>
                <w:szCs w:val="18"/>
              </w:rPr>
              <w:t>100≤X＜200</w:t>
            </w:r>
          </w:p>
        </w:tc>
        <w:tc>
          <w:tcPr>
            <w:tcW w:w="1426" w:type="dxa"/>
            <w:vAlign w:val="center"/>
          </w:tcPr>
          <w:p>
            <w:pPr>
              <w:widowControl/>
              <w:jc w:val="center"/>
              <w:rPr>
                <w:color w:val="000000"/>
                <w:kern w:val="0"/>
                <w:sz w:val="18"/>
                <w:szCs w:val="18"/>
              </w:rPr>
            </w:pPr>
            <w:r>
              <w:rPr>
                <w:color w:val="000000"/>
                <w:kern w:val="0"/>
                <w:sz w:val="18"/>
                <w:szCs w:val="18"/>
              </w:rPr>
              <w:t>20≤X＜100</w:t>
            </w:r>
          </w:p>
        </w:tc>
        <w:tc>
          <w:tcPr>
            <w:tcW w:w="992" w:type="dxa"/>
            <w:vAlign w:val="center"/>
          </w:tcPr>
          <w:p>
            <w:pPr>
              <w:widowControl/>
              <w:jc w:val="center"/>
              <w:rPr>
                <w:color w:val="000000"/>
                <w:kern w:val="0"/>
                <w:sz w:val="18"/>
                <w:szCs w:val="18"/>
              </w:rPr>
            </w:pPr>
            <w:r>
              <w:rPr>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Y≥30000</w:t>
            </w:r>
          </w:p>
        </w:tc>
        <w:tc>
          <w:tcPr>
            <w:tcW w:w="1701" w:type="dxa"/>
            <w:vAlign w:val="center"/>
          </w:tcPr>
          <w:p>
            <w:pPr>
              <w:widowControl/>
              <w:jc w:val="center"/>
              <w:rPr>
                <w:color w:val="000000"/>
                <w:kern w:val="0"/>
                <w:sz w:val="18"/>
                <w:szCs w:val="18"/>
              </w:rPr>
            </w:pPr>
            <w:r>
              <w:rPr>
                <w:color w:val="000000"/>
                <w:kern w:val="0"/>
                <w:sz w:val="18"/>
                <w:szCs w:val="18"/>
              </w:rPr>
              <w:t>1000≤Y＜30000</w:t>
            </w:r>
          </w:p>
        </w:tc>
        <w:tc>
          <w:tcPr>
            <w:tcW w:w="1426" w:type="dxa"/>
            <w:vAlign w:val="center"/>
          </w:tcPr>
          <w:p>
            <w:pPr>
              <w:widowControl/>
              <w:jc w:val="center"/>
              <w:rPr>
                <w:color w:val="000000"/>
                <w:kern w:val="0"/>
                <w:sz w:val="18"/>
                <w:szCs w:val="18"/>
              </w:rPr>
            </w:pPr>
            <w:r>
              <w:rPr>
                <w:color w:val="000000"/>
                <w:kern w:val="0"/>
                <w:sz w:val="18"/>
                <w:szCs w:val="18"/>
              </w:rPr>
              <w:t>100≤Y＜1000</w:t>
            </w:r>
          </w:p>
        </w:tc>
        <w:tc>
          <w:tcPr>
            <w:tcW w:w="992" w:type="dxa"/>
            <w:vAlign w:val="center"/>
          </w:tcPr>
          <w:p>
            <w:pPr>
              <w:widowControl/>
              <w:jc w:val="center"/>
              <w:rPr>
                <w:color w:val="000000"/>
                <w:kern w:val="0"/>
                <w:sz w:val="18"/>
                <w:szCs w:val="18"/>
              </w:rPr>
            </w:pPr>
            <w:r>
              <w:rPr>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邮政业</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X≥1000</w:t>
            </w:r>
          </w:p>
        </w:tc>
        <w:tc>
          <w:tcPr>
            <w:tcW w:w="1701" w:type="dxa"/>
            <w:vAlign w:val="center"/>
          </w:tcPr>
          <w:p>
            <w:pPr>
              <w:widowControl/>
              <w:jc w:val="center"/>
              <w:rPr>
                <w:color w:val="000000"/>
                <w:kern w:val="0"/>
                <w:sz w:val="18"/>
                <w:szCs w:val="18"/>
              </w:rPr>
            </w:pPr>
            <w:r>
              <w:rPr>
                <w:color w:val="000000"/>
                <w:kern w:val="0"/>
                <w:sz w:val="18"/>
                <w:szCs w:val="18"/>
              </w:rPr>
              <w:t>300≤X＜1000</w:t>
            </w:r>
          </w:p>
        </w:tc>
        <w:tc>
          <w:tcPr>
            <w:tcW w:w="1426" w:type="dxa"/>
            <w:vAlign w:val="center"/>
          </w:tcPr>
          <w:p>
            <w:pPr>
              <w:widowControl/>
              <w:jc w:val="center"/>
              <w:rPr>
                <w:color w:val="000000"/>
                <w:kern w:val="0"/>
                <w:sz w:val="18"/>
                <w:szCs w:val="18"/>
              </w:rPr>
            </w:pPr>
            <w:r>
              <w:rPr>
                <w:color w:val="000000"/>
                <w:kern w:val="0"/>
                <w:sz w:val="18"/>
                <w:szCs w:val="18"/>
              </w:rPr>
              <w:t>20≤X＜300</w:t>
            </w:r>
          </w:p>
        </w:tc>
        <w:tc>
          <w:tcPr>
            <w:tcW w:w="992" w:type="dxa"/>
            <w:vAlign w:val="center"/>
          </w:tcPr>
          <w:p>
            <w:pPr>
              <w:widowControl/>
              <w:jc w:val="center"/>
              <w:rPr>
                <w:color w:val="000000"/>
                <w:kern w:val="0"/>
                <w:sz w:val="18"/>
                <w:szCs w:val="18"/>
              </w:rPr>
            </w:pPr>
            <w:r>
              <w:rPr>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Y≥30000</w:t>
            </w:r>
          </w:p>
        </w:tc>
        <w:tc>
          <w:tcPr>
            <w:tcW w:w="1701" w:type="dxa"/>
            <w:vAlign w:val="center"/>
          </w:tcPr>
          <w:p>
            <w:pPr>
              <w:widowControl/>
              <w:jc w:val="center"/>
              <w:rPr>
                <w:color w:val="000000"/>
                <w:kern w:val="0"/>
                <w:sz w:val="18"/>
                <w:szCs w:val="18"/>
              </w:rPr>
            </w:pPr>
            <w:r>
              <w:rPr>
                <w:color w:val="000000"/>
                <w:kern w:val="0"/>
                <w:sz w:val="18"/>
                <w:szCs w:val="18"/>
              </w:rPr>
              <w:t>2000≤Y＜30000</w:t>
            </w:r>
          </w:p>
        </w:tc>
        <w:tc>
          <w:tcPr>
            <w:tcW w:w="1426" w:type="dxa"/>
            <w:vAlign w:val="center"/>
          </w:tcPr>
          <w:p>
            <w:pPr>
              <w:widowControl/>
              <w:jc w:val="center"/>
              <w:rPr>
                <w:color w:val="000000"/>
                <w:kern w:val="0"/>
                <w:sz w:val="18"/>
                <w:szCs w:val="18"/>
              </w:rPr>
            </w:pPr>
            <w:r>
              <w:rPr>
                <w:color w:val="000000"/>
                <w:kern w:val="0"/>
                <w:sz w:val="18"/>
                <w:szCs w:val="18"/>
              </w:rPr>
              <w:t>100≤Y＜2000</w:t>
            </w:r>
          </w:p>
        </w:tc>
        <w:tc>
          <w:tcPr>
            <w:tcW w:w="992" w:type="dxa"/>
            <w:vAlign w:val="center"/>
          </w:tcPr>
          <w:p>
            <w:pPr>
              <w:widowControl/>
              <w:jc w:val="center"/>
              <w:rPr>
                <w:color w:val="000000"/>
                <w:kern w:val="0"/>
                <w:sz w:val="18"/>
                <w:szCs w:val="18"/>
              </w:rPr>
            </w:pPr>
            <w:r>
              <w:rPr>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住宿业</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X≥300</w:t>
            </w:r>
          </w:p>
        </w:tc>
        <w:tc>
          <w:tcPr>
            <w:tcW w:w="1701" w:type="dxa"/>
            <w:vAlign w:val="center"/>
          </w:tcPr>
          <w:p>
            <w:pPr>
              <w:widowControl/>
              <w:ind w:left="1" w:leftChars="-51" w:hanging="108" w:hangingChars="60"/>
              <w:jc w:val="center"/>
              <w:rPr>
                <w:color w:val="000000"/>
                <w:kern w:val="0"/>
                <w:sz w:val="18"/>
                <w:szCs w:val="18"/>
              </w:rPr>
            </w:pPr>
            <w:r>
              <w:rPr>
                <w:color w:val="000000"/>
                <w:kern w:val="0"/>
                <w:sz w:val="18"/>
                <w:szCs w:val="18"/>
              </w:rPr>
              <w:t>100≤X＜300</w:t>
            </w:r>
          </w:p>
        </w:tc>
        <w:tc>
          <w:tcPr>
            <w:tcW w:w="1426" w:type="dxa"/>
            <w:vAlign w:val="center"/>
          </w:tcPr>
          <w:p>
            <w:pPr>
              <w:widowControl/>
              <w:jc w:val="center"/>
              <w:rPr>
                <w:color w:val="000000"/>
                <w:kern w:val="0"/>
                <w:sz w:val="18"/>
                <w:szCs w:val="18"/>
              </w:rPr>
            </w:pPr>
            <w:r>
              <w:rPr>
                <w:color w:val="000000"/>
                <w:kern w:val="0"/>
                <w:sz w:val="18"/>
                <w:szCs w:val="18"/>
              </w:rPr>
              <w:t>10≤X＜100</w:t>
            </w:r>
          </w:p>
        </w:tc>
        <w:tc>
          <w:tcPr>
            <w:tcW w:w="992" w:type="dxa"/>
            <w:vAlign w:val="center"/>
          </w:tcPr>
          <w:p>
            <w:pPr>
              <w:widowControl/>
              <w:jc w:val="center"/>
              <w:rPr>
                <w:color w:val="000000"/>
                <w:kern w:val="0"/>
                <w:sz w:val="18"/>
                <w:szCs w:val="18"/>
              </w:rPr>
            </w:pPr>
            <w:r>
              <w:rPr>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Y≥10000</w:t>
            </w:r>
          </w:p>
        </w:tc>
        <w:tc>
          <w:tcPr>
            <w:tcW w:w="1701" w:type="dxa"/>
            <w:vAlign w:val="center"/>
          </w:tcPr>
          <w:p>
            <w:pPr>
              <w:widowControl/>
              <w:jc w:val="center"/>
              <w:rPr>
                <w:color w:val="000000"/>
                <w:kern w:val="0"/>
                <w:sz w:val="18"/>
                <w:szCs w:val="18"/>
              </w:rPr>
            </w:pPr>
            <w:r>
              <w:rPr>
                <w:color w:val="000000"/>
                <w:kern w:val="0"/>
                <w:sz w:val="18"/>
                <w:szCs w:val="18"/>
              </w:rPr>
              <w:t>2000≤Y＜10000</w:t>
            </w:r>
          </w:p>
        </w:tc>
        <w:tc>
          <w:tcPr>
            <w:tcW w:w="1426" w:type="dxa"/>
            <w:vAlign w:val="center"/>
          </w:tcPr>
          <w:p>
            <w:pPr>
              <w:widowControl/>
              <w:jc w:val="center"/>
              <w:rPr>
                <w:color w:val="000000"/>
                <w:kern w:val="0"/>
                <w:sz w:val="18"/>
                <w:szCs w:val="18"/>
              </w:rPr>
            </w:pPr>
            <w:r>
              <w:rPr>
                <w:color w:val="000000"/>
                <w:kern w:val="0"/>
                <w:sz w:val="18"/>
                <w:szCs w:val="18"/>
              </w:rPr>
              <w:t>100≤Y＜2000</w:t>
            </w:r>
          </w:p>
        </w:tc>
        <w:tc>
          <w:tcPr>
            <w:tcW w:w="992" w:type="dxa"/>
            <w:vAlign w:val="center"/>
          </w:tcPr>
          <w:p>
            <w:pPr>
              <w:widowControl/>
              <w:jc w:val="center"/>
              <w:rPr>
                <w:color w:val="000000"/>
                <w:kern w:val="0"/>
                <w:sz w:val="18"/>
                <w:szCs w:val="18"/>
              </w:rPr>
            </w:pPr>
            <w:r>
              <w:rPr>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餐饮业</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X≥300</w:t>
            </w:r>
          </w:p>
        </w:tc>
        <w:tc>
          <w:tcPr>
            <w:tcW w:w="1701" w:type="dxa"/>
            <w:vAlign w:val="center"/>
          </w:tcPr>
          <w:p>
            <w:pPr>
              <w:widowControl/>
              <w:ind w:left="1" w:leftChars="-51" w:hanging="108" w:hangingChars="60"/>
              <w:jc w:val="center"/>
              <w:rPr>
                <w:color w:val="000000"/>
                <w:kern w:val="0"/>
                <w:sz w:val="18"/>
                <w:szCs w:val="18"/>
              </w:rPr>
            </w:pPr>
            <w:r>
              <w:rPr>
                <w:color w:val="000000"/>
                <w:kern w:val="0"/>
                <w:sz w:val="18"/>
                <w:szCs w:val="18"/>
              </w:rPr>
              <w:t xml:space="preserve">100≤X＜300 </w:t>
            </w:r>
          </w:p>
        </w:tc>
        <w:tc>
          <w:tcPr>
            <w:tcW w:w="1426" w:type="dxa"/>
            <w:vAlign w:val="center"/>
          </w:tcPr>
          <w:p>
            <w:pPr>
              <w:widowControl/>
              <w:jc w:val="center"/>
              <w:rPr>
                <w:color w:val="000000"/>
                <w:kern w:val="0"/>
                <w:sz w:val="18"/>
                <w:szCs w:val="18"/>
              </w:rPr>
            </w:pPr>
            <w:r>
              <w:rPr>
                <w:color w:val="000000"/>
                <w:kern w:val="0"/>
                <w:sz w:val="18"/>
                <w:szCs w:val="18"/>
              </w:rPr>
              <w:t>10≤X＜100</w:t>
            </w:r>
          </w:p>
        </w:tc>
        <w:tc>
          <w:tcPr>
            <w:tcW w:w="992" w:type="dxa"/>
            <w:vAlign w:val="center"/>
          </w:tcPr>
          <w:p>
            <w:pPr>
              <w:widowControl/>
              <w:jc w:val="center"/>
              <w:rPr>
                <w:color w:val="000000"/>
                <w:kern w:val="0"/>
                <w:sz w:val="18"/>
                <w:szCs w:val="18"/>
              </w:rPr>
            </w:pPr>
            <w:r>
              <w:rPr>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Y≥10000</w:t>
            </w:r>
          </w:p>
        </w:tc>
        <w:tc>
          <w:tcPr>
            <w:tcW w:w="1701" w:type="dxa"/>
            <w:vAlign w:val="center"/>
          </w:tcPr>
          <w:p>
            <w:pPr>
              <w:widowControl/>
              <w:jc w:val="center"/>
              <w:rPr>
                <w:color w:val="000000"/>
                <w:kern w:val="0"/>
                <w:sz w:val="18"/>
                <w:szCs w:val="18"/>
              </w:rPr>
            </w:pPr>
            <w:r>
              <w:rPr>
                <w:color w:val="000000"/>
                <w:kern w:val="0"/>
                <w:sz w:val="18"/>
                <w:szCs w:val="18"/>
              </w:rPr>
              <w:t>2000≤Y＜10000</w:t>
            </w:r>
          </w:p>
        </w:tc>
        <w:tc>
          <w:tcPr>
            <w:tcW w:w="1426" w:type="dxa"/>
            <w:vAlign w:val="center"/>
          </w:tcPr>
          <w:p>
            <w:pPr>
              <w:widowControl/>
              <w:jc w:val="center"/>
              <w:rPr>
                <w:color w:val="000000"/>
                <w:kern w:val="0"/>
                <w:sz w:val="18"/>
                <w:szCs w:val="18"/>
              </w:rPr>
            </w:pPr>
            <w:r>
              <w:rPr>
                <w:color w:val="000000"/>
                <w:kern w:val="0"/>
                <w:sz w:val="18"/>
                <w:szCs w:val="18"/>
              </w:rPr>
              <w:t>100≤Y＜2000</w:t>
            </w:r>
          </w:p>
        </w:tc>
        <w:tc>
          <w:tcPr>
            <w:tcW w:w="992" w:type="dxa"/>
            <w:vAlign w:val="center"/>
          </w:tcPr>
          <w:p>
            <w:pPr>
              <w:widowControl/>
              <w:jc w:val="center"/>
              <w:rPr>
                <w:color w:val="000000"/>
                <w:kern w:val="0"/>
                <w:sz w:val="18"/>
                <w:szCs w:val="18"/>
              </w:rPr>
            </w:pPr>
            <w:r>
              <w:rPr>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信息传输业 *</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X≥2000</w:t>
            </w:r>
          </w:p>
        </w:tc>
        <w:tc>
          <w:tcPr>
            <w:tcW w:w="1701" w:type="dxa"/>
            <w:vAlign w:val="center"/>
          </w:tcPr>
          <w:p>
            <w:pPr>
              <w:widowControl/>
              <w:jc w:val="center"/>
              <w:rPr>
                <w:color w:val="000000"/>
                <w:kern w:val="0"/>
                <w:sz w:val="18"/>
                <w:szCs w:val="18"/>
              </w:rPr>
            </w:pPr>
            <w:r>
              <w:rPr>
                <w:color w:val="000000"/>
                <w:kern w:val="0"/>
                <w:sz w:val="18"/>
                <w:szCs w:val="18"/>
              </w:rPr>
              <w:t>100≤X＜2000</w:t>
            </w:r>
          </w:p>
        </w:tc>
        <w:tc>
          <w:tcPr>
            <w:tcW w:w="1426" w:type="dxa"/>
            <w:vAlign w:val="center"/>
          </w:tcPr>
          <w:p>
            <w:pPr>
              <w:widowControl/>
              <w:jc w:val="center"/>
              <w:rPr>
                <w:color w:val="000000"/>
                <w:kern w:val="0"/>
                <w:sz w:val="18"/>
                <w:szCs w:val="18"/>
              </w:rPr>
            </w:pPr>
            <w:r>
              <w:rPr>
                <w:color w:val="000000"/>
                <w:kern w:val="0"/>
                <w:sz w:val="18"/>
                <w:szCs w:val="18"/>
              </w:rPr>
              <w:t>10≤X＜100</w:t>
            </w:r>
          </w:p>
        </w:tc>
        <w:tc>
          <w:tcPr>
            <w:tcW w:w="992" w:type="dxa"/>
            <w:vAlign w:val="center"/>
          </w:tcPr>
          <w:p>
            <w:pPr>
              <w:widowControl/>
              <w:jc w:val="center"/>
              <w:rPr>
                <w:color w:val="000000"/>
                <w:kern w:val="0"/>
                <w:sz w:val="18"/>
                <w:szCs w:val="18"/>
              </w:rPr>
            </w:pPr>
            <w:r>
              <w:rPr>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Y≥100000</w:t>
            </w:r>
          </w:p>
        </w:tc>
        <w:tc>
          <w:tcPr>
            <w:tcW w:w="1701" w:type="dxa"/>
            <w:vAlign w:val="center"/>
          </w:tcPr>
          <w:p>
            <w:pPr>
              <w:widowControl/>
              <w:jc w:val="center"/>
              <w:rPr>
                <w:color w:val="000000"/>
                <w:kern w:val="0"/>
                <w:sz w:val="18"/>
                <w:szCs w:val="18"/>
              </w:rPr>
            </w:pPr>
            <w:r>
              <w:rPr>
                <w:color w:val="000000"/>
                <w:kern w:val="0"/>
                <w:sz w:val="18"/>
                <w:szCs w:val="18"/>
              </w:rPr>
              <w:t>1000≤Y＜100000</w:t>
            </w:r>
          </w:p>
        </w:tc>
        <w:tc>
          <w:tcPr>
            <w:tcW w:w="1426" w:type="dxa"/>
            <w:vAlign w:val="center"/>
          </w:tcPr>
          <w:p>
            <w:pPr>
              <w:widowControl/>
              <w:jc w:val="center"/>
              <w:rPr>
                <w:color w:val="000000"/>
                <w:kern w:val="0"/>
                <w:sz w:val="18"/>
                <w:szCs w:val="18"/>
              </w:rPr>
            </w:pPr>
            <w:r>
              <w:rPr>
                <w:color w:val="000000"/>
                <w:kern w:val="0"/>
                <w:sz w:val="18"/>
                <w:szCs w:val="18"/>
              </w:rPr>
              <w:t>100≤Y＜1000</w:t>
            </w:r>
          </w:p>
        </w:tc>
        <w:tc>
          <w:tcPr>
            <w:tcW w:w="992" w:type="dxa"/>
            <w:vAlign w:val="center"/>
          </w:tcPr>
          <w:p>
            <w:pPr>
              <w:widowControl/>
              <w:jc w:val="center"/>
              <w:rPr>
                <w:color w:val="000000"/>
                <w:kern w:val="0"/>
                <w:sz w:val="18"/>
                <w:szCs w:val="18"/>
              </w:rPr>
            </w:pPr>
            <w:r>
              <w:rPr>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color w:val="000000"/>
                <w:spacing w:val="-12"/>
                <w:kern w:val="0"/>
                <w:sz w:val="18"/>
                <w:szCs w:val="18"/>
              </w:rPr>
            </w:pPr>
            <w:r>
              <w:rPr>
                <w:color w:val="000000"/>
                <w:spacing w:val="-12"/>
                <w:kern w:val="0"/>
                <w:sz w:val="18"/>
                <w:szCs w:val="18"/>
              </w:rPr>
              <w:t>软件和信息技术服</w:t>
            </w:r>
            <w:r>
              <w:rPr>
                <w:color w:val="000000"/>
                <w:kern w:val="0"/>
                <w:sz w:val="18"/>
                <w:szCs w:val="18"/>
              </w:rPr>
              <w:t>务业</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X≥300</w:t>
            </w:r>
          </w:p>
        </w:tc>
        <w:tc>
          <w:tcPr>
            <w:tcW w:w="1701" w:type="dxa"/>
            <w:vAlign w:val="center"/>
          </w:tcPr>
          <w:p>
            <w:pPr>
              <w:widowControl/>
              <w:ind w:left="1" w:leftChars="-51" w:hanging="108" w:hangingChars="60"/>
              <w:jc w:val="center"/>
              <w:rPr>
                <w:color w:val="000000"/>
                <w:kern w:val="0"/>
                <w:sz w:val="18"/>
                <w:szCs w:val="18"/>
              </w:rPr>
            </w:pPr>
            <w:r>
              <w:rPr>
                <w:color w:val="000000"/>
                <w:kern w:val="0"/>
                <w:sz w:val="18"/>
                <w:szCs w:val="18"/>
              </w:rPr>
              <w:t xml:space="preserve">100≤X＜300 </w:t>
            </w:r>
          </w:p>
        </w:tc>
        <w:tc>
          <w:tcPr>
            <w:tcW w:w="1426" w:type="dxa"/>
            <w:vAlign w:val="center"/>
          </w:tcPr>
          <w:p>
            <w:pPr>
              <w:widowControl/>
              <w:jc w:val="center"/>
              <w:rPr>
                <w:color w:val="000000"/>
                <w:kern w:val="0"/>
                <w:sz w:val="18"/>
                <w:szCs w:val="18"/>
              </w:rPr>
            </w:pPr>
            <w:r>
              <w:rPr>
                <w:color w:val="000000"/>
                <w:kern w:val="0"/>
                <w:sz w:val="18"/>
                <w:szCs w:val="18"/>
              </w:rPr>
              <w:t>10≤X＜100</w:t>
            </w:r>
          </w:p>
        </w:tc>
        <w:tc>
          <w:tcPr>
            <w:tcW w:w="992" w:type="dxa"/>
            <w:vAlign w:val="center"/>
          </w:tcPr>
          <w:p>
            <w:pPr>
              <w:widowControl/>
              <w:jc w:val="center"/>
              <w:rPr>
                <w:color w:val="000000"/>
                <w:kern w:val="0"/>
                <w:sz w:val="18"/>
                <w:szCs w:val="18"/>
              </w:rPr>
            </w:pPr>
            <w:r>
              <w:rPr>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color w:val="000000"/>
                <w:spacing w:val="-12"/>
                <w:kern w:val="0"/>
                <w:sz w:val="18"/>
                <w:szCs w:val="18"/>
              </w:rPr>
            </w:pPr>
          </w:p>
        </w:tc>
        <w:tc>
          <w:tcPr>
            <w:tcW w:w="1369" w:type="dxa"/>
            <w:vAlign w:val="center"/>
          </w:tcPr>
          <w:p>
            <w:pPr>
              <w:widowControl/>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Y≥10000</w:t>
            </w:r>
          </w:p>
        </w:tc>
        <w:tc>
          <w:tcPr>
            <w:tcW w:w="1701" w:type="dxa"/>
            <w:vAlign w:val="center"/>
          </w:tcPr>
          <w:p>
            <w:pPr>
              <w:widowControl/>
              <w:jc w:val="center"/>
              <w:rPr>
                <w:color w:val="000000"/>
                <w:kern w:val="0"/>
                <w:sz w:val="18"/>
                <w:szCs w:val="18"/>
              </w:rPr>
            </w:pPr>
            <w:r>
              <w:rPr>
                <w:color w:val="000000"/>
                <w:kern w:val="0"/>
                <w:sz w:val="18"/>
                <w:szCs w:val="18"/>
              </w:rPr>
              <w:t>1000≤Y＜10000</w:t>
            </w:r>
          </w:p>
        </w:tc>
        <w:tc>
          <w:tcPr>
            <w:tcW w:w="1426" w:type="dxa"/>
            <w:vAlign w:val="center"/>
          </w:tcPr>
          <w:p>
            <w:pPr>
              <w:widowControl/>
              <w:jc w:val="center"/>
              <w:rPr>
                <w:color w:val="000000"/>
                <w:kern w:val="0"/>
                <w:sz w:val="18"/>
                <w:szCs w:val="18"/>
              </w:rPr>
            </w:pPr>
            <w:r>
              <w:rPr>
                <w:color w:val="000000"/>
                <w:kern w:val="0"/>
                <w:sz w:val="18"/>
                <w:szCs w:val="18"/>
              </w:rPr>
              <w:t>50≤Y＜1000</w:t>
            </w:r>
          </w:p>
        </w:tc>
        <w:tc>
          <w:tcPr>
            <w:tcW w:w="992" w:type="dxa"/>
            <w:vAlign w:val="center"/>
          </w:tcPr>
          <w:p>
            <w:pPr>
              <w:widowControl/>
              <w:jc w:val="center"/>
              <w:rPr>
                <w:color w:val="000000"/>
                <w:kern w:val="0"/>
                <w:sz w:val="18"/>
                <w:szCs w:val="18"/>
              </w:rPr>
            </w:pPr>
            <w:r>
              <w:rPr>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房地产开发经营</w:t>
            </w:r>
          </w:p>
        </w:tc>
        <w:tc>
          <w:tcPr>
            <w:tcW w:w="1369" w:type="dxa"/>
            <w:vAlign w:val="center"/>
          </w:tcPr>
          <w:p>
            <w:pPr>
              <w:widowControl/>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Y≥200000</w:t>
            </w:r>
          </w:p>
        </w:tc>
        <w:tc>
          <w:tcPr>
            <w:tcW w:w="1701" w:type="dxa"/>
            <w:vAlign w:val="center"/>
          </w:tcPr>
          <w:p>
            <w:pPr>
              <w:widowControl/>
              <w:jc w:val="center"/>
              <w:rPr>
                <w:color w:val="000000"/>
                <w:kern w:val="0"/>
                <w:sz w:val="18"/>
                <w:szCs w:val="18"/>
              </w:rPr>
            </w:pPr>
            <w:r>
              <w:rPr>
                <w:color w:val="000000"/>
                <w:kern w:val="0"/>
                <w:sz w:val="18"/>
                <w:szCs w:val="18"/>
              </w:rPr>
              <w:t>1000≤Y＜200000</w:t>
            </w:r>
          </w:p>
        </w:tc>
        <w:tc>
          <w:tcPr>
            <w:tcW w:w="1426" w:type="dxa"/>
            <w:vAlign w:val="center"/>
          </w:tcPr>
          <w:p>
            <w:pPr>
              <w:widowControl/>
              <w:jc w:val="center"/>
              <w:rPr>
                <w:color w:val="000000"/>
                <w:kern w:val="0"/>
                <w:sz w:val="18"/>
                <w:szCs w:val="18"/>
              </w:rPr>
            </w:pPr>
            <w:r>
              <w:rPr>
                <w:color w:val="000000"/>
                <w:kern w:val="0"/>
                <w:sz w:val="18"/>
                <w:szCs w:val="18"/>
              </w:rPr>
              <w:t>100≤Y＜1000</w:t>
            </w:r>
          </w:p>
        </w:tc>
        <w:tc>
          <w:tcPr>
            <w:tcW w:w="992" w:type="dxa"/>
            <w:vAlign w:val="center"/>
          </w:tcPr>
          <w:p>
            <w:pPr>
              <w:widowControl/>
              <w:jc w:val="center"/>
              <w:rPr>
                <w:color w:val="000000"/>
                <w:kern w:val="0"/>
                <w:sz w:val="18"/>
                <w:szCs w:val="18"/>
              </w:rPr>
            </w:pPr>
            <w:r>
              <w:rPr>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资产总额(Z)</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Z≥10000</w:t>
            </w:r>
          </w:p>
        </w:tc>
        <w:tc>
          <w:tcPr>
            <w:tcW w:w="1701" w:type="dxa"/>
            <w:vAlign w:val="center"/>
          </w:tcPr>
          <w:p>
            <w:pPr>
              <w:widowControl/>
              <w:jc w:val="center"/>
              <w:rPr>
                <w:color w:val="000000"/>
                <w:kern w:val="0"/>
                <w:sz w:val="18"/>
                <w:szCs w:val="18"/>
              </w:rPr>
            </w:pPr>
            <w:r>
              <w:rPr>
                <w:color w:val="000000"/>
                <w:kern w:val="0"/>
                <w:sz w:val="18"/>
                <w:szCs w:val="18"/>
              </w:rPr>
              <w:t>5000≤Z＜10000</w:t>
            </w:r>
          </w:p>
        </w:tc>
        <w:tc>
          <w:tcPr>
            <w:tcW w:w="1426" w:type="dxa"/>
            <w:vAlign w:val="center"/>
          </w:tcPr>
          <w:p>
            <w:pPr>
              <w:widowControl/>
              <w:jc w:val="center"/>
              <w:rPr>
                <w:color w:val="000000"/>
                <w:kern w:val="0"/>
                <w:sz w:val="18"/>
                <w:szCs w:val="18"/>
              </w:rPr>
            </w:pPr>
            <w:r>
              <w:rPr>
                <w:color w:val="000000"/>
                <w:kern w:val="0"/>
                <w:sz w:val="18"/>
                <w:szCs w:val="18"/>
              </w:rPr>
              <w:t>2000≤Z＜5000</w:t>
            </w:r>
          </w:p>
        </w:tc>
        <w:tc>
          <w:tcPr>
            <w:tcW w:w="992" w:type="dxa"/>
            <w:vAlign w:val="center"/>
          </w:tcPr>
          <w:p>
            <w:pPr>
              <w:widowControl/>
              <w:jc w:val="center"/>
              <w:rPr>
                <w:color w:val="000000"/>
                <w:kern w:val="0"/>
                <w:sz w:val="18"/>
                <w:szCs w:val="18"/>
              </w:rPr>
            </w:pPr>
            <w:r>
              <w:rPr>
                <w:color w:val="000000"/>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物业管理</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X≥1000</w:t>
            </w:r>
          </w:p>
        </w:tc>
        <w:tc>
          <w:tcPr>
            <w:tcW w:w="1701" w:type="dxa"/>
            <w:vAlign w:val="center"/>
          </w:tcPr>
          <w:p>
            <w:pPr>
              <w:widowControl/>
              <w:jc w:val="center"/>
              <w:rPr>
                <w:color w:val="000000"/>
                <w:kern w:val="0"/>
                <w:sz w:val="18"/>
                <w:szCs w:val="18"/>
              </w:rPr>
            </w:pPr>
            <w:r>
              <w:rPr>
                <w:color w:val="000000"/>
                <w:kern w:val="0"/>
                <w:sz w:val="18"/>
                <w:szCs w:val="18"/>
              </w:rPr>
              <w:t>300≤X＜1000</w:t>
            </w:r>
          </w:p>
        </w:tc>
        <w:tc>
          <w:tcPr>
            <w:tcW w:w="1426" w:type="dxa"/>
            <w:vAlign w:val="center"/>
          </w:tcPr>
          <w:p>
            <w:pPr>
              <w:widowControl/>
              <w:jc w:val="center"/>
              <w:rPr>
                <w:color w:val="000000"/>
                <w:kern w:val="0"/>
                <w:sz w:val="18"/>
                <w:szCs w:val="18"/>
              </w:rPr>
            </w:pPr>
            <w:r>
              <w:rPr>
                <w:color w:val="000000"/>
                <w:kern w:val="0"/>
                <w:sz w:val="18"/>
                <w:szCs w:val="18"/>
              </w:rPr>
              <w:t>100≤X＜300</w:t>
            </w:r>
          </w:p>
        </w:tc>
        <w:tc>
          <w:tcPr>
            <w:tcW w:w="992" w:type="dxa"/>
            <w:vAlign w:val="center"/>
          </w:tcPr>
          <w:p>
            <w:pPr>
              <w:widowControl/>
              <w:jc w:val="center"/>
              <w:rPr>
                <w:color w:val="000000"/>
                <w:kern w:val="0"/>
                <w:sz w:val="18"/>
                <w:szCs w:val="18"/>
              </w:rPr>
            </w:pPr>
            <w:r>
              <w:rPr>
                <w:color w:val="000000"/>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营业收入(Y)</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Y≥5000</w:t>
            </w:r>
          </w:p>
        </w:tc>
        <w:tc>
          <w:tcPr>
            <w:tcW w:w="1701" w:type="dxa"/>
            <w:vAlign w:val="center"/>
          </w:tcPr>
          <w:p>
            <w:pPr>
              <w:widowControl/>
              <w:ind w:left="1" w:leftChars="-51" w:hanging="108" w:hangingChars="60"/>
              <w:jc w:val="center"/>
              <w:rPr>
                <w:color w:val="000000"/>
                <w:kern w:val="0"/>
                <w:sz w:val="18"/>
                <w:szCs w:val="18"/>
              </w:rPr>
            </w:pPr>
            <w:r>
              <w:rPr>
                <w:color w:val="000000"/>
                <w:kern w:val="0"/>
                <w:sz w:val="18"/>
                <w:szCs w:val="18"/>
              </w:rPr>
              <w:t>1000≤Y＜5000</w:t>
            </w:r>
          </w:p>
        </w:tc>
        <w:tc>
          <w:tcPr>
            <w:tcW w:w="1426" w:type="dxa"/>
            <w:vAlign w:val="center"/>
          </w:tcPr>
          <w:p>
            <w:pPr>
              <w:widowControl/>
              <w:jc w:val="center"/>
              <w:rPr>
                <w:color w:val="000000"/>
                <w:kern w:val="0"/>
                <w:sz w:val="18"/>
                <w:szCs w:val="18"/>
              </w:rPr>
            </w:pPr>
            <w:r>
              <w:rPr>
                <w:color w:val="000000"/>
                <w:kern w:val="0"/>
                <w:sz w:val="18"/>
                <w:szCs w:val="18"/>
              </w:rPr>
              <w:t>500≤Y＜1000</w:t>
            </w:r>
          </w:p>
        </w:tc>
        <w:tc>
          <w:tcPr>
            <w:tcW w:w="992" w:type="dxa"/>
            <w:vAlign w:val="center"/>
          </w:tcPr>
          <w:p>
            <w:pPr>
              <w:widowControl/>
              <w:jc w:val="center"/>
              <w:rPr>
                <w:color w:val="000000"/>
                <w:kern w:val="0"/>
                <w:sz w:val="18"/>
                <w:szCs w:val="18"/>
              </w:rPr>
            </w:pPr>
            <w:r>
              <w:rPr>
                <w:color w:val="000000"/>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color w:val="000000"/>
                <w:kern w:val="0"/>
                <w:sz w:val="18"/>
                <w:szCs w:val="18"/>
              </w:rPr>
            </w:pPr>
            <w:r>
              <w:rPr>
                <w:color w:val="000000"/>
                <w:kern w:val="0"/>
                <w:sz w:val="18"/>
                <w:szCs w:val="18"/>
              </w:rPr>
              <w:t>租赁和商务服务业</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X≥300</w:t>
            </w:r>
          </w:p>
        </w:tc>
        <w:tc>
          <w:tcPr>
            <w:tcW w:w="1701" w:type="dxa"/>
            <w:vAlign w:val="center"/>
          </w:tcPr>
          <w:p>
            <w:pPr>
              <w:widowControl/>
              <w:ind w:left="1" w:leftChars="-51" w:hanging="108" w:hangingChars="60"/>
              <w:jc w:val="center"/>
              <w:rPr>
                <w:color w:val="000000"/>
                <w:kern w:val="0"/>
                <w:sz w:val="18"/>
                <w:szCs w:val="18"/>
              </w:rPr>
            </w:pPr>
            <w:r>
              <w:rPr>
                <w:color w:val="000000"/>
                <w:kern w:val="0"/>
                <w:sz w:val="18"/>
                <w:szCs w:val="18"/>
              </w:rPr>
              <w:t>100≤X＜300</w:t>
            </w:r>
          </w:p>
        </w:tc>
        <w:tc>
          <w:tcPr>
            <w:tcW w:w="1426" w:type="dxa"/>
            <w:vAlign w:val="center"/>
          </w:tcPr>
          <w:p>
            <w:pPr>
              <w:widowControl/>
              <w:jc w:val="center"/>
              <w:rPr>
                <w:color w:val="000000"/>
                <w:kern w:val="0"/>
                <w:sz w:val="18"/>
                <w:szCs w:val="18"/>
              </w:rPr>
            </w:pPr>
            <w:r>
              <w:rPr>
                <w:color w:val="000000"/>
                <w:kern w:val="0"/>
                <w:sz w:val="18"/>
                <w:szCs w:val="18"/>
              </w:rPr>
              <w:t>10≤X＜100</w:t>
            </w:r>
          </w:p>
        </w:tc>
        <w:tc>
          <w:tcPr>
            <w:tcW w:w="992" w:type="dxa"/>
            <w:vAlign w:val="center"/>
          </w:tcPr>
          <w:p>
            <w:pPr>
              <w:widowControl/>
              <w:jc w:val="center"/>
              <w:rPr>
                <w:color w:val="000000"/>
                <w:kern w:val="0"/>
                <w:sz w:val="18"/>
                <w:szCs w:val="18"/>
              </w:rPr>
            </w:pPr>
            <w:r>
              <w:rPr>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color w:val="000000"/>
                <w:kern w:val="0"/>
                <w:sz w:val="18"/>
                <w:szCs w:val="18"/>
              </w:rPr>
            </w:pPr>
          </w:p>
        </w:tc>
        <w:tc>
          <w:tcPr>
            <w:tcW w:w="1369" w:type="dxa"/>
            <w:vAlign w:val="center"/>
          </w:tcPr>
          <w:p>
            <w:pPr>
              <w:widowControl/>
              <w:spacing w:line="240" w:lineRule="exact"/>
              <w:jc w:val="center"/>
              <w:rPr>
                <w:color w:val="000000"/>
                <w:kern w:val="0"/>
                <w:sz w:val="18"/>
                <w:szCs w:val="18"/>
              </w:rPr>
            </w:pPr>
            <w:r>
              <w:rPr>
                <w:color w:val="000000"/>
                <w:kern w:val="0"/>
                <w:sz w:val="18"/>
                <w:szCs w:val="18"/>
              </w:rPr>
              <w:t>资产总额(Z)</w:t>
            </w:r>
          </w:p>
        </w:tc>
        <w:tc>
          <w:tcPr>
            <w:tcW w:w="709" w:type="dxa"/>
            <w:vAlign w:val="center"/>
          </w:tcPr>
          <w:p>
            <w:pPr>
              <w:widowControl/>
              <w:jc w:val="center"/>
              <w:rPr>
                <w:color w:val="000000"/>
                <w:kern w:val="0"/>
                <w:sz w:val="18"/>
                <w:szCs w:val="18"/>
              </w:rPr>
            </w:pPr>
            <w:r>
              <w:rPr>
                <w:color w:val="000000"/>
                <w:kern w:val="0"/>
                <w:sz w:val="18"/>
                <w:szCs w:val="18"/>
              </w:rPr>
              <w:t>万元</w:t>
            </w:r>
          </w:p>
        </w:tc>
        <w:tc>
          <w:tcPr>
            <w:tcW w:w="1125" w:type="dxa"/>
            <w:vAlign w:val="center"/>
          </w:tcPr>
          <w:p>
            <w:pPr>
              <w:widowControl/>
              <w:jc w:val="center"/>
              <w:rPr>
                <w:color w:val="000000"/>
                <w:kern w:val="0"/>
                <w:sz w:val="18"/>
                <w:szCs w:val="18"/>
              </w:rPr>
            </w:pPr>
            <w:r>
              <w:rPr>
                <w:color w:val="000000"/>
                <w:kern w:val="0"/>
                <w:sz w:val="18"/>
                <w:szCs w:val="18"/>
              </w:rPr>
              <w:t>Z≥120000</w:t>
            </w:r>
          </w:p>
        </w:tc>
        <w:tc>
          <w:tcPr>
            <w:tcW w:w="1701" w:type="dxa"/>
            <w:vAlign w:val="center"/>
          </w:tcPr>
          <w:p>
            <w:pPr>
              <w:widowControl/>
              <w:jc w:val="center"/>
              <w:rPr>
                <w:color w:val="000000"/>
                <w:kern w:val="0"/>
                <w:sz w:val="18"/>
                <w:szCs w:val="18"/>
              </w:rPr>
            </w:pPr>
            <w:r>
              <w:rPr>
                <w:color w:val="000000"/>
                <w:kern w:val="0"/>
                <w:sz w:val="18"/>
                <w:szCs w:val="18"/>
              </w:rPr>
              <w:t>8000≤Z＜120000</w:t>
            </w:r>
          </w:p>
        </w:tc>
        <w:tc>
          <w:tcPr>
            <w:tcW w:w="1426" w:type="dxa"/>
            <w:vAlign w:val="center"/>
          </w:tcPr>
          <w:p>
            <w:pPr>
              <w:widowControl/>
              <w:jc w:val="center"/>
              <w:rPr>
                <w:color w:val="000000"/>
                <w:kern w:val="0"/>
                <w:sz w:val="18"/>
                <w:szCs w:val="18"/>
              </w:rPr>
            </w:pPr>
            <w:r>
              <w:rPr>
                <w:color w:val="000000"/>
                <w:kern w:val="0"/>
                <w:sz w:val="18"/>
                <w:szCs w:val="18"/>
              </w:rPr>
              <w:t>100≤Z＜8000</w:t>
            </w:r>
          </w:p>
        </w:tc>
        <w:tc>
          <w:tcPr>
            <w:tcW w:w="992" w:type="dxa"/>
            <w:vAlign w:val="center"/>
          </w:tcPr>
          <w:p>
            <w:pPr>
              <w:widowControl/>
              <w:jc w:val="center"/>
              <w:rPr>
                <w:color w:val="000000"/>
                <w:kern w:val="0"/>
                <w:sz w:val="18"/>
                <w:szCs w:val="18"/>
              </w:rPr>
            </w:pPr>
            <w:r>
              <w:rPr>
                <w:color w:val="000000"/>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color w:val="000000"/>
                <w:kern w:val="0"/>
                <w:sz w:val="18"/>
                <w:szCs w:val="18"/>
              </w:rPr>
            </w:pPr>
            <w:r>
              <w:rPr>
                <w:color w:val="000000"/>
                <w:kern w:val="0"/>
                <w:sz w:val="18"/>
                <w:szCs w:val="18"/>
              </w:rPr>
              <w:t>其他未列明行业 *</w:t>
            </w:r>
          </w:p>
        </w:tc>
        <w:tc>
          <w:tcPr>
            <w:tcW w:w="1369" w:type="dxa"/>
            <w:vAlign w:val="center"/>
          </w:tcPr>
          <w:p>
            <w:pPr>
              <w:widowControl/>
              <w:jc w:val="center"/>
              <w:rPr>
                <w:color w:val="000000"/>
                <w:kern w:val="0"/>
                <w:sz w:val="18"/>
                <w:szCs w:val="18"/>
              </w:rPr>
            </w:pPr>
            <w:r>
              <w:rPr>
                <w:color w:val="000000"/>
                <w:kern w:val="0"/>
                <w:sz w:val="18"/>
                <w:szCs w:val="18"/>
              </w:rPr>
              <w:t>从业人员(X)</w:t>
            </w:r>
          </w:p>
        </w:tc>
        <w:tc>
          <w:tcPr>
            <w:tcW w:w="709" w:type="dxa"/>
            <w:vAlign w:val="center"/>
          </w:tcPr>
          <w:p>
            <w:pPr>
              <w:widowControl/>
              <w:jc w:val="center"/>
              <w:rPr>
                <w:color w:val="000000"/>
                <w:kern w:val="0"/>
                <w:sz w:val="18"/>
                <w:szCs w:val="18"/>
              </w:rPr>
            </w:pPr>
            <w:r>
              <w:rPr>
                <w:color w:val="000000"/>
                <w:kern w:val="0"/>
                <w:sz w:val="18"/>
                <w:szCs w:val="18"/>
              </w:rPr>
              <w:t>人</w:t>
            </w:r>
          </w:p>
        </w:tc>
        <w:tc>
          <w:tcPr>
            <w:tcW w:w="1125" w:type="dxa"/>
            <w:vAlign w:val="center"/>
          </w:tcPr>
          <w:p>
            <w:pPr>
              <w:widowControl/>
              <w:jc w:val="center"/>
              <w:rPr>
                <w:color w:val="000000"/>
                <w:kern w:val="0"/>
                <w:sz w:val="18"/>
                <w:szCs w:val="18"/>
              </w:rPr>
            </w:pPr>
            <w:r>
              <w:rPr>
                <w:color w:val="000000"/>
                <w:kern w:val="0"/>
                <w:sz w:val="18"/>
                <w:szCs w:val="18"/>
              </w:rPr>
              <w:t>X≥300</w:t>
            </w:r>
          </w:p>
        </w:tc>
        <w:tc>
          <w:tcPr>
            <w:tcW w:w="1701" w:type="dxa"/>
            <w:vAlign w:val="center"/>
          </w:tcPr>
          <w:p>
            <w:pPr>
              <w:widowControl/>
              <w:ind w:left="1" w:leftChars="-51" w:hanging="108" w:hangingChars="60"/>
              <w:jc w:val="center"/>
              <w:rPr>
                <w:color w:val="000000"/>
                <w:kern w:val="0"/>
                <w:sz w:val="18"/>
                <w:szCs w:val="18"/>
              </w:rPr>
            </w:pPr>
            <w:r>
              <w:rPr>
                <w:color w:val="000000"/>
                <w:kern w:val="0"/>
                <w:sz w:val="18"/>
                <w:szCs w:val="18"/>
              </w:rPr>
              <w:t>100≤X＜300</w:t>
            </w:r>
          </w:p>
        </w:tc>
        <w:tc>
          <w:tcPr>
            <w:tcW w:w="1426" w:type="dxa"/>
            <w:vAlign w:val="center"/>
          </w:tcPr>
          <w:p>
            <w:pPr>
              <w:widowControl/>
              <w:jc w:val="center"/>
              <w:rPr>
                <w:color w:val="000000"/>
                <w:kern w:val="0"/>
                <w:sz w:val="18"/>
                <w:szCs w:val="18"/>
              </w:rPr>
            </w:pPr>
            <w:r>
              <w:rPr>
                <w:color w:val="000000"/>
                <w:kern w:val="0"/>
                <w:sz w:val="18"/>
                <w:szCs w:val="18"/>
              </w:rPr>
              <w:t>10≤X＜100</w:t>
            </w:r>
          </w:p>
        </w:tc>
        <w:tc>
          <w:tcPr>
            <w:tcW w:w="992" w:type="dxa"/>
            <w:vAlign w:val="center"/>
          </w:tcPr>
          <w:p>
            <w:pPr>
              <w:widowControl/>
              <w:jc w:val="center"/>
              <w:rPr>
                <w:color w:val="000000"/>
                <w:kern w:val="0"/>
                <w:sz w:val="18"/>
                <w:szCs w:val="18"/>
              </w:rPr>
            </w:pPr>
            <w:r>
              <w:rPr>
                <w:color w:val="000000"/>
                <w:kern w:val="0"/>
                <w:sz w:val="18"/>
                <w:szCs w:val="18"/>
              </w:rPr>
              <w:t>X＜10</w:t>
            </w:r>
          </w:p>
        </w:tc>
      </w:tr>
    </w:tbl>
    <w:p>
      <w:pPr>
        <w:widowControl/>
        <w:spacing w:line="540" w:lineRule="exact"/>
        <w:rPr>
          <w:rFonts w:hint="eastAsia" w:ascii="宋体" w:hAnsi="宋体" w:cs="宋体"/>
          <w:color w:val="000000"/>
          <w:spacing w:val="8"/>
          <w:kern w:val="0"/>
          <w:sz w:val="24"/>
        </w:rPr>
      </w:pPr>
      <w:r>
        <w:rPr>
          <w:rFonts w:hint="eastAsia" w:ascii="宋体" w:hAnsi="宋体" w:cs="宋体"/>
          <w:color w:val="000000"/>
          <w:spacing w:val="8"/>
          <w:kern w:val="0"/>
          <w:sz w:val="24"/>
        </w:rPr>
        <w:t>说明：</w:t>
      </w:r>
    </w:p>
    <w:p>
      <w:pPr>
        <w:pStyle w:val="20"/>
        <w:adjustRightInd w:val="0"/>
        <w:spacing w:line="380" w:lineRule="exact"/>
        <w:ind w:firstLine="512" w:firstLineChars="200"/>
        <w:contextualSpacing/>
        <w:rPr>
          <w:rFonts w:hint="eastAsia" w:hAnsi="宋体" w:cs="宋体"/>
          <w:color w:val="000000"/>
          <w:spacing w:val="8"/>
          <w:kern w:val="0"/>
          <w:sz w:val="24"/>
          <w:szCs w:val="24"/>
        </w:rPr>
      </w:pPr>
      <w:r>
        <w:rPr>
          <w:rFonts w:hint="eastAsia" w:hAnsi="宋体" w:cs="宋体"/>
          <w:color w:val="000000"/>
          <w:spacing w:val="8"/>
          <w:kern w:val="0"/>
          <w:sz w:val="24"/>
          <w:szCs w:val="24"/>
        </w:rPr>
        <w:t>1.大型、中型和小型企业须同时满足所列指标的下限，否则下划一档；微型企业只须满足所列指标中的一项即可。</w:t>
      </w:r>
    </w:p>
    <w:p>
      <w:pPr>
        <w:pStyle w:val="20"/>
        <w:adjustRightInd w:val="0"/>
        <w:spacing w:line="380" w:lineRule="exact"/>
        <w:ind w:firstLine="512" w:firstLineChars="200"/>
        <w:contextualSpacing/>
        <w:rPr>
          <w:rFonts w:hint="eastAsia" w:hAnsi="宋体" w:cs="宋体"/>
          <w:color w:val="000000"/>
          <w:spacing w:val="8"/>
          <w:kern w:val="0"/>
          <w:sz w:val="24"/>
          <w:szCs w:val="24"/>
        </w:rPr>
      </w:pPr>
      <w:r>
        <w:rPr>
          <w:rFonts w:hint="eastAsia" w:hAnsi="宋体" w:cs="宋体"/>
          <w:color w:val="000000"/>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0"/>
        <w:adjustRightInd w:val="0"/>
        <w:spacing w:line="380" w:lineRule="exact"/>
        <w:ind w:firstLine="512" w:firstLineChars="200"/>
        <w:contextualSpacing/>
        <w:rPr>
          <w:rFonts w:hint="eastAsia" w:hAnsi="宋体" w:cs="宋体"/>
          <w:bCs/>
          <w:color w:val="000000"/>
        </w:rPr>
      </w:pPr>
      <w:r>
        <w:rPr>
          <w:rFonts w:hint="eastAsia" w:hAnsi="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jc w:val="center"/>
        <w:rPr>
          <w:rFonts w:hint="eastAsia" w:ascii="宋体" w:hAnsi="宋体" w:cs="宋体"/>
          <w:b/>
          <w:bCs/>
          <w:color w:val="000000"/>
          <w:sz w:val="32"/>
          <w:szCs w:val="32"/>
        </w:rPr>
      </w:pPr>
    </w:p>
    <w:p>
      <w:pPr>
        <w:pStyle w:val="17"/>
        <w:ind w:firstLine="0"/>
        <w:jc w:val="center"/>
        <w:outlineLvl w:val="0"/>
        <w:rPr>
          <w:rFonts w:hint="eastAsia" w:hAnsi="宋体"/>
          <w:b/>
          <w:color w:val="000000"/>
          <w:sz w:val="32"/>
          <w:szCs w:val="32"/>
        </w:rPr>
      </w:pPr>
      <w:r>
        <w:rPr>
          <w:rFonts w:ascii="宋体" w:hAnsi="宋体"/>
          <w:b/>
          <w:color w:val="000000"/>
        </w:rPr>
        <w:br w:type="page"/>
      </w:r>
      <w:bookmarkStart w:id="42" w:name="_Toc21862"/>
      <w:r>
        <w:rPr>
          <w:rFonts w:hint="eastAsia" w:hAnsi="宋体"/>
          <w:b/>
          <w:color w:val="000000"/>
          <w:sz w:val="32"/>
          <w:szCs w:val="32"/>
        </w:rPr>
        <w:t>第五章  采购合同（合同主要条款及格式）</w:t>
      </w:r>
      <w:bookmarkEnd w:id="42"/>
    </w:p>
    <w:p>
      <w:pPr>
        <w:spacing w:line="400" w:lineRule="exact"/>
        <w:rPr>
          <w:rFonts w:hint="eastAsia" w:ascii="宋体" w:hAnsi="宋体"/>
          <w:color w:val="000000"/>
        </w:rPr>
      </w:pPr>
      <w:r>
        <w:rPr>
          <w:rFonts w:hint="eastAsia" w:ascii="宋体" w:hAnsi="宋体"/>
          <w:color w:val="000000"/>
        </w:rPr>
        <w:t>项目名称：</w:t>
      </w:r>
    </w:p>
    <w:p>
      <w:pPr>
        <w:spacing w:line="400" w:lineRule="exact"/>
        <w:rPr>
          <w:rFonts w:hint="eastAsia" w:ascii="宋体" w:hAnsi="宋体"/>
          <w:color w:val="000000"/>
        </w:rPr>
      </w:pPr>
      <w:r>
        <w:rPr>
          <w:rFonts w:hint="eastAsia" w:ascii="宋体" w:hAnsi="宋体"/>
          <w:color w:val="000000"/>
        </w:rPr>
        <w:t>项目编号：</w:t>
      </w:r>
    </w:p>
    <w:p>
      <w:pPr>
        <w:spacing w:line="400" w:lineRule="exact"/>
        <w:rPr>
          <w:rFonts w:hint="eastAsia" w:ascii="宋体" w:hAnsi="宋体"/>
          <w:color w:val="000000"/>
        </w:rPr>
      </w:pPr>
      <w:r>
        <w:rPr>
          <w:rFonts w:hint="eastAsia" w:ascii="宋体" w:hAnsi="宋体"/>
          <w:color w:val="000000"/>
        </w:rPr>
        <w:t>甲方：</w:t>
      </w:r>
      <w:r>
        <w:rPr>
          <w:rFonts w:hint="eastAsia" w:ascii="宋体" w:hAnsi="宋体"/>
          <w:color w:val="000000"/>
          <w:u w:val="single"/>
        </w:rPr>
        <w:t xml:space="preserve">                                                      </w:t>
      </w:r>
      <w:r>
        <w:rPr>
          <w:rFonts w:hint="eastAsia" w:ascii="宋体" w:hAnsi="宋体"/>
          <w:color w:val="000000"/>
        </w:rPr>
        <w:t>（采购人）</w:t>
      </w:r>
    </w:p>
    <w:p>
      <w:pPr>
        <w:spacing w:line="400" w:lineRule="exact"/>
        <w:rPr>
          <w:rFonts w:hint="eastAsia" w:ascii="宋体" w:hAnsi="宋体"/>
          <w:color w:val="000000"/>
        </w:rPr>
      </w:pPr>
      <w:r>
        <w:rPr>
          <w:rFonts w:hint="eastAsia" w:ascii="宋体" w:hAnsi="宋体"/>
          <w:color w:val="000000"/>
        </w:rPr>
        <w:t>乙方：</w:t>
      </w:r>
      <w:r>
        <w:rPr>
          <w:rFonts w:hint="eastAsia" w:ascii="宋体" w:hAnsi="宋体"/>
          <w:color w:val="000000"/>
          <w:u w:val="single"/>
        </w:rPr>
        <w:t xml:space="preserve">                                                      </w:t>
      </w:r>
      <w:r>
        <w:rPr>
          <w:rFonts w:hint="eastAsia" w:ascii="宋体" w:hAnsi="宋体"/>
          <w:color w:val="000000"/>
        </w:rPr>
        <w:t>（中标供应商）</w:t>
      </w:r>
    </w:p>
    <w:p>
      <w:pPr>
        <w:spacing w:line="400" w:lineRule="exact"/>
        <w:rPr>
          <w:rFonts w:hint="eastAsia" w:ascii="宋体" w:hAnsi="宋体"/>
          <w:color w:val="000000"/>
        </w:rPr>
      </w:pPr>
    </w:p>
    <w:p>
      <w:pPr>
        <w:spacing w:line="400" w:lineRule="exact"/>
        <w:ind w:firstLine="420" w:firstLineChars="200"/>
        <w:rPr>
          <w:rFonts w:hint="eastAsia" w:ascii="宋体" w:hAnsi="宋体"/>
          <w:color w:val="000000"/>
        </w:rPr>
      </w:pPr>
      <w:r>
        <w:rPr>
          <w:rFonts w:hint="eastAsia" w:ascii="宋体" w:hAnsi="宋体"/>
          <w:color w:val="000000"/>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8"/>
        </w:numPr>
        <w:spacing w:line="400" w:lineRule="exact"/>
        <w:rPr>
          <w:rFonts w:hint="eastAsia" w:ascii="宋体" w:hAnsi="宋体"/>
          <w:b/>
          <w:color w:val="000000"/>
          <w:szCs w:val="21"/>
        </w:rPr>
      </w:pPr>
      <w:r>
        <w:rPr>
          <w:rFonts w:hint="eastAsia" w:ascii="宋体" w:hAnsi="宋体"/>
          <w:b/>
          <w:color w:val="000000"/>
          <w:szCs w:val="21"/>
        </w:rPr>
        <w:t>合同标的及合同金额</w:t>
      </w:r>
    </w:p>
    <w:p>
      <w:pPr>
        <w:spacing w:line="400" w:lineRule="exact"/>
        <w:ind w:left="413"/>
        <w:rPr>
          <w:rFonts w:hint="eastAsia" w:ascii="宋体" w:hAnsi="宋体"/>
          <w:b/>
          <w:color w:val="000000"/>
          <w:szCs w:val="21"/>
        </w:rPr>
      </w:pPr>
    </w:p>
    <w:tbl>
      <w:tblPr>
        <w:tblStyle w:val="43"/>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709" w:type="dxa"/>
            <w:vAlign w:val="center"/>
          </w:tcPr>
          <w:p>
            <w:pPr>
              <w:snapToGrid w:val="0"/>
              <w:spacing w:line="280" w:lineRule="exact"/>
              <w:jc w:val="center"/>
              <w:rPr>
                <w:rFonts w:ascii="宋体" w:hAnsi="宋体"/>
                <w:color w:val="000000"/>
                <w:szCs w:val="21"/>
              </w:rPr>
            </w:pPr>
            <w:r>
              <w:rPr>
                <w:rFonts w:hint="eastAsia" w:ascii="宋体" w:hAnsi="宋体"/>
                <w:color w:val="000000"/>
                <w:szCs w:val="21"/>
              </w:rPr>
              <w:t>项号</w:t>
            </w:r>
          </w:p>
        </w:tc>
        <w:tc>
          <w:tcPr>
            <w:tcW w:w="1232" w:type="dxa"/>
            <w:vAlign w:val="center"/>
          </w:tcPr>
          <w:p>
            <w:pPr>
              <w:snapToGrid w:val="0"/>
              <w:spacing w:line="280" w:lineRule="exact"/>
              <w:jc w:val="center"/>
              <w:rPr>
                <w:rFonts w:ascii="宋体" w:hAnsi="宋体"/>
                <w:color w:val="000000"/>
                <w:szCs w:val="21"/>
              </w:rPr>
            </w:pPr>
            <w:r>
              <w:rPr>
                <w:rFonts w:hint="eastAsia" w:ascii="宋体" w:hAnsi="宋体"/>
                <w:color w:val="000000"/>
                <w:szCs w:val="21"/>
              </w:rPr>
              <w:t>货物名称</w:t>
            </w:r>
          </w:p>
        </w:tc>
        <w:tc>
          <w:tcPr>
            <w:tcW w:w="1445" w:type="dxa"/>
            <w:vAlign w:val="center"/>
          </w:tcPr>
          <w:p>
            <w:pPr>
              <w:snapToGrid w:val="0"/>
              <w:spacing w:line="280" w:lineRule="exact"/>
              <w:jc w:val="center"/>
              <w:rPr>
                <w:rFonts w:ascii="宋体" w:hAnsi="宋体"/>
                <w:color w:val="000000"/>
                <w:szCs w:val="21"/>
              </w:rPr>
            </w:pPr>
            <w:r>
              <w:rPr>
                <w:rFonts w:hint="eastAsia" w:ascii="宋体" w:hAnsi="宋体"/>
                <w:color w:val="000000"/>
                <w:szCs w:val="30"/>
              </w:rPr>
              <w:t>生产厂家及品牌</w:t>
            </w:r>
          </w:p>
        </w:tc>
        <w:tc>
          <w:tcPr>
            <w:tcW w:w="1483" w:type="dxa"/>
            <w:vAlign w:val="center"/>
          </w:tcPr>
          <w:p>
            <w:pPr>
              <w:snapToGrid w:val="0"/>
              <w:spacing w:line="280" w:lineRule="exact"/>
              <w:jc w:val="center"/>
              <w:rPr>
                <w:rFonts w:ascii="宋体" w:hAnsi="宋体"/>
                <w:color w:val="000000"/>
                <w:szCs w:val="21"/>
              </w:rPr>
            </w:pPr>
            <w:r>
              <w:rPr>
                <w:rFonts w:hint="eastAsia" w:ascii="宋体" w:hAnsi="宋体"/>
                <w:color w:val="000000"/>
                <w:szCs w:val="30"/>
              </w:rPr>
              <w:t>规格型号</w:t>
            </w:r>
          </w:p>
        </w:tc>
        <w:tc>
          <w:tcPr>
            <w:tcW w:w="1073" w:type="dxa"/>
            <w:vAlign w:val="center"/>
          </w:tcPr>
          <w:p>
            <w:pPr>
              <w:snapToGrid w:val="0"/>
              <w:spacing w:line="280" w:lineRule="exact"/>
              <w:jc w:val="center"/>
              <w:rPr>
                <w:rFonts w:ascii="宋体" w:hAnsi="宋体"/>
                <w:color w:val="000000"/>
                <w:szCs w:val="21"/>
              </w:rPr>
            </w:pPr>
            <w:r>
              <w:rPr>
                <w:rFonts w:hint="eastAsia" w:ascii="宋体" w:hAnsi="宋体"/>
                <w:color w:val="000000"/>
                <w:szCs w:val="21"/>
              </w:rPr>
              <w:t>数量</w:t>
            </w:r>
          </w:p>
          <w:p>
            <w:pPr>
              <w:snapToGrid w:val="0"/>
              <w:spacing w:line="280" w:lineRule="exact"/>
              <w:jc w:val="center"/>
              <w:rPr>
                <w:rFonts w:ascii="宋体" w:hAnsi="宋体"/>
                <w:color w:val="000000"/>
                <w:szCs w:val="21"/>
              </w:rPr>
            </w:pPr>
            <w:r>
              <w:rPr>
                <w:rFonts w:hint="eastAsia" w:ascii="宋体" w:hAnsi="宋体"/>
                <w:color w:val="000000"/>
                <w:szCs w:val="21"/>
              </w:rPr>
              <w:t>①</w:t>
            </w:r>
          </w:p>
        </w:tc>
        <w:tc>
          <w:tcPr>
            <w:tcW w:w="714" w:type="dxa"/>
            <w:vAlign w:val="center"/>
          </w:tcPr>
          <w:p>
            <w:pPr>
              <w:snapToGrid w:val="0"/>
              <w:spacing w:line="280" w:lineRule="exact"/>
              <w:jc w:val="center"/>
              <w:rPr>
                <w:rFonts w:ascii="宋体" w:hAnsi="宋体"/>
                <w:color w:val="000000"/>
                <w:szCs w:val="21"/>
              </w:rPr>
            </w:pPr>
            <w:r>
              <w:rPr>
                <w:rFonts w:hint="eastAsia" w:ascii="宋体" w:hAnsi="宋体"/>
                <w:color w:val="000000"/>
                <w:szCs w:val="21"/>
              </w:rPr>
              <w:t>单位</w:t>
            </w:r>
          </w:p>
        </w:tc>
        <w:tc>
          <w:tcPr>
            <w:tcW w:w="1545" w:type="dxa"/>
            <w:vAlign w:val="center"/>
          </w:tcPr>
          <w:p>
            <w:pPr>
              <w:snapToGrid w:val="0"/>
              <w:spacing w:line="280" w:lineRule="exact"/>
              <w:jc w:val="center"/>
              <w:rPr>
                <w:rFonts w:ascii="宋体" w:hAnsi="宋体"/>
                <w:color w:val="000000"/>
                <w:szCs w:val="21"/>
              </w:rPr>
            </w:pPr>
            <w:r>
              <w:rPr>
                <w:rFonts w:hint="eastAsia" w:ascii="宋体" w:hAnsi="宋体"/>
                <w:color w:val="000000"/>
                <w:szCs w:val="21"/>
              </w:rPr>
              <w:t>单价（元）</w:t>
            </w:r>
          </w:p>
          <w:p>
            <w:pPr>
              <w:snapToGrid w:val="0"/>
              <w:spacing w:line="280" w:lineRule="exact"/>
              <w:jc w:val="center"/>
              <w:rPr>
                <w:rFonts w:ascii="宋体" w:hAnsi="宋体"/>
                <w:color w:val="000000"/>
                <w:szCs w:val="21"/>
              </w:rPr>
            </w:pPr>
            <w:r>
              <w:rPr>
                <w:rFonts w:hint="eastAsia" w:ascii="宋体" w:hAnsi="宋体"/>
                <w:color w:val="000000"/>
                <w:szCs w:val="21"/>
              </w:rPr>
              <w:t>②</w:t>
            </w:r>
          </w:p>
        </w:tc>
        <w:tc>
          <w:tcPr>
            <w:tcW w:w="1575" w:type="dxa"/>
            <w:vAlign w:val="center"/>
          </w:tcPr>
          <w:p>
            <w:pPr>
              <w:snapToGrid w:val="0"/>
              <w:spacing w:line="280" w:lineRule="exact"/>
              <w:jc w:val="center"/>
              <w:rPr>
                <w:rFonts w:ascii="宋体" w:hAnsi="宋体"/>
                <w:color w:val="000000"/>
                <w:szCs w:val="21"/>
              </w:rPr>
            </w:pPr>
            <w:r>
              <w:rPr>
                <w:rFonts w:hint="eastAsia" w:ascii="宋体" w:hAnsi="宋体"/>
                <w:b/>
                <w:color w:val="000000"/>
                <w:szCs w:val="21"/>
              </w:rPr>
              <w:t>单项合计金额</w:t>
            </w:r>
            <w:r>
              <w:rPr>
                <w:rFonts w:hint="eastAsia" w:ascii="宋体" w:hAnsi="宋体"/>
                <w:color w:val="000000"/>
                <w:szCs w:val="21"/>
              </w:rPr>
              <w:t>（元）</w:t>
            </w:r>
          </w:p>
          <w:p>
            <w:pPr>
              <w:snapToGrid w:val="0"/>
              <w:spacing w:line="280" w:lineRule="exact"/>
              <w:jc w:val="center"/>
              <w:rPr>
                <w:rFonts w:ascii="宋体" w:hAnsi="宋体"/>
                <w:color w:val="000000"/>
                <w:szCs w:val="21"/>
              </w:rPr>
            </w:pPr>
            <w:r>
              <w:rPr>
                <w:rFonts w:hint="eastAsia" w:ascii="宋体" w:hAnsi="宋体"/>
                <w:color w:val="000000"/>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1</w:t>
            </w:r>
          </w:p>
        </w:tc>
        <w:tc>
          <w:tcPr>
            <w:tcW w:w="1232" w:type="dxa"/>
            <w:vAlign w:val="center"/>
          </w:tcPr>
          <w:p>
            <w:pPr>
              <w:snapToGrid w:val="0"/>
              <w:spacing w:line="360" w:lineRule="auto"/>
              <w:rPr>
                <w:rFonts w:hint="eastAsia" w:ascii="宋体" w:hAnsi="宋体"/>
                <w:color w:val="000000"/>
                <w:szCs w:val="21"/>
              </w:rPr>
            </w:pPr>
          </w:p>
        </w:tc>
        <w:tc>
          <w:tcPr>
            <w:tcW w:w="1445" w:type="dxa"/>
            <w:vAlign w:val="center"/>
          </w:tcPr>
          <w:p>
            <w:pPr>
              <w:snapToGrid w:val="0"/>
              <w:spacing w:line="360" w:lineRule="auto"/>
              <w:rPr>
                <w:rFonts w:hint="eastAsia" w:ascii="宋体" w:hAnsi="宋体"/>
                <w:color w:val="000000"/>
                <w:szCs w:val="21"/>
              </w:rPr>
            </w:pPr>
          </w:p>
        </w:tc>
        <w:tc>
          <w:tcPr>
            <w:tcW w:w="1483" w:type="dxa"/>
            <w:vAlign w:val="center"/>
          </w:tcPr>
          <w:p>
            <w:pPr>
              <w:snapToGrid w:val="0"/>
              <w:spacing w:line="360" w:lineRule="auto"/>
              <w:rPr>
                <w:rFonts w:hint="eastAsia" w:ascii="宋体" w:hAnsi="宋体"/>
                <w:color w:val="000000"/>
                <w:szCs w:val="21"/>
              </w:rPr>
            </w:pPr>
          </w:p>
        </w:tc>
        <w:tc>
          <w:tcPr>
            <w:tcW w:w="1073" w:type="dxa"/>
          </w:tcPr>
          <w:p>
            <w:pPr>
              <w:snapToGrid w:val="0"/>
              <w:spacing w:line="360" w:lineRule="auto"/>
              <w:rPr>
                <w:rFonts w:hint="eastAsia" w:ascii="宋体" w:hAnsi="宋体"/>
                <w:color w:val="000000"/>
                <w:szCs w:val="21"/>
              </w:rPr>
            </w:pPr>
          </w:p>
        </w:tc>
        <w:tc>
          <w:tcPr>
            <w:tcW w:w="714" w:type="dxa"/>
          </w:tcPr>
          <w:p>
            <w:pPr>
              <w:snapToGrid w:val="0"/>
              <w:spacing w:line="360" w:lineRule="auto"/>
              <w:rPr>
                <w:rFonts w:hint="eastAsia" w:ascii="宋体" w:hAnsi="宋体"/>
                <w:color w:val="000000"/>
                <w:szCs w:val="21"/>
              </w:rPr>
            </w:pPr>
          </w:p>
        </w:tc>
        <w:tc>
          <w:tcPr>
            <w:tcW w:w="1545" w:type="dxa"/>
            <w:vAlign w:val="center"/>
          </w:tcPr>
          <w:p>
            <w:pPr>
              <w:snapToGrid w:val="0"/>
              <w:spacing w:line="360" w:lineRule="auto"/>
              <w:rPr>
                <w:rFonts w:hint="eastAsia" w:ascii="宋体" w:hAnsi="宋体"/>
                <w:color w:val="000000"/>
                <w:szCs w:val="21"/>
              </w:rPr>
            </w:pPr>
          </w:p>
        </w:tc>
        <w:tc>
          <w:tcPr>
            <w:tcW w:w="1575" w:type="dxa"/>
            <w:vAlign w:val="center"/>
          </w:tcPr>
          <w:p>
            <w:pPr>
              <w:snapToGrid w:val="0"/>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201" w:type="dxa"/>
            <w:gridSpan w:val="7"/>
            <w:vAlign w:val="center"/>
          </w:tcPr>
          <w:p>
            <w:pPr>
              <w:snapToGrid w:val="0"/>
              <w:spacing w:line="360" w:lineRule="auto"/>
              <w:rPr>
                <w:rFonts w:hint="eastAsia" w:ascii="宋体" w:hAnsi="宋体"/>
                <w:color w:val="000000"/>
                <w:szCs w:val="21"/>
              </w:rPr>
            </w:pPr>
            <w:r>
              <w:rPr>
                <w:rFonts w:hint="eastAsia" w:ascii="宋体" w:hAnsi="宋体"/>
                <w:color w:val="000000"/>
                <w:szCs w:val="21"/>
              </w:rPr>
              <w:t xml:space="preserve">                                                      合     计</w:t>
            </w:r>
          </w:p>
        </w:tc>
        <w:tc>
          <w:tcPr>
            <w:tcW w:w="1575" w:type="dxa"/>
            <w:vAlign w:val="center"/>
          </w:tcPr>
          <w:p>
            <w:pPr>
              <w:snapToGrid w:val="0"/>
              <w:spacing w:line="360" w:lineRule="auto"/>
              <w:rPr>
                <w:rFonts w:hint="eastAsia" w:ascii="宋体" w:hAnsi="宋体"/>
                <w:color w:val="000000"/>
                <w:szCs w:val="21"/>
              </w:rPr>
            </w:pPr>
          </w:p>
        </w:tc>
      </w:tr>
    </w:tbl>
    <w:p>
      <w:pPr>
        <w:spacing w:line="400" w:lineRule="exact"/>
        <w:rPr>
          <w:rFonts w:hint="eastAsia" w:ascii="宋体" w:hAnsi="宋体"/>
          <w:color w:val="000000"/>
          <w:szCs w:val="21"/>
        </w:rPr>
      </w:pPr>
      <w:r>
        <w:rPr>
          <w:rFonts w:hint="eastAsia" w:ascii="宋体" w:hAnsi="宋体"/>
          <w:color w:val="000000"/>
          <w:szCs w:val="21"/>
        </w:rPr>
        <w:t>根据《中标通知书》的中标内容，合同的总金额为：（大写）</w:t>
      </w:r>
      <w:r>
        <w:rPr>
          <w:rFonts w:hint="eastAsia" w:ascii="宋体" w:hAnsi="宋体"/>
          <w:color w:val="000000"/>
          <w:szCs w:val="21"/>
          <w:u w:val="single"/>
        </w:rPr>
        <w:t>　　   　　　　</w:t>
      </w:r>
      <w:r>
        <w:rPr>
          <w:rFonts w:hint="eastAsia" w:ascii="宋体" w:hAnsi="宋体"/>
          <w:color w:val="000000"/>
          <w:szCs w:val="21"/>
        </w:rPr>
        <w:t>（￥</w:t>
      </w:r>
      <w:r>
        <w:rPr>
          <w:rFonts w:hint="eastAsia" w:ascii="宋体" w:hAnsi="宋体"/>
          <w:color w:val="000000"/>
          <w:szCs w:val="21"/>
          <w:u w:val="single"/>
        </w:rPr>
        <w:t>　　　　</w:t>
      </w:r>
      <w:r>
        <w:rPr>
          <w:rFonts w:hint="eastAsia" w:ascii="宋体" w:hAnsi="宋体"/>
          <w:color w:val="000000"/>
          <w:szCs w:val="21"/>
        </w:rPr>
        <w:t>元）人民币。</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第二条  质量保证</w:t>
      </w:r>
    </w:p>
    <w:p>
      <w:pPr>
        <w:spacing w:line="400" w:lineRule="exact"/>
        <w:ind w:firstLine="411" w:firstLineChars="196"/>
        <w:rPr>
          <w:rFonts w:hint="eastAsia" w:ascii="宋体" w:hAnsi="宋体"/>
          <w:color w:val="000000"/>
          <w:szCs w:val="21"/>
        </w:rPr>
      </w:pPr>
      <w:r>
        <w:rPr>
          <w:rFonts w:hint="eastAsia" w:ascii="宋体" w:hAnsi="宋体"/>
          <w:color w:val="000000"/>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hint="eastAsia" w:ascii="宋体" w:hAnsi="宋体"/>
          <w:color w:val="000000"/>
          <w:szCs w:val="21"/>
        </w:rPr>
      </w:pPr>
      <w:r>
        <w:rPr>
          <w:rFonts w:hint="eastAsia" w:ascii="宋体" w:hAnsi="宋体"/>
          <w:color w:val="000000"/>
          <w:szCs w:val="21"/>
        </w:rPr>
        <w:t>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spacing w:line="400" w:lineRule="exact"/>
        <w:ind w:firstLine="435"/>
        <w:rPr>
          <w:rFonts w:hint="eastAsia" w:ascii="宋体" w:hAnsi="宋体"/>
          <w:color w:val="000000"/>
          <w:szCs w:val="21"/>
        </w:rPr>
      </w:pPr>
      <w:r>
        <w:rPr>
          <w:rFonts w:hint="eastAsia" w:ascii="宋体" w:hAnsi="宋体"/>
          <w:color w:val="000000"/>
          <w:szCs w:val="21"/>
        </w:rPr>
        <w:t>（1）更换：由乙方承担所有发生的全部费用。</w:t>
      </w:r>
    </w:p>
    <w:p>
      <w:pPr>
        <w:spacing w:line="400" w:lineRule="exact"/>
        <w:ind w:firstLine="420" w:firstLineChars="200"/>
        <w:rPr>
          <w:rFonts w:hint="eastAsia" w:ascii="宋体" w:hAnsi="宋体"/>
          <w:color w:val="000000"/>
          <w:szCs w:val="21"/>
        </w:rPr>
      </w:pPr>
      <w:r>
        <w:rPr>
          <w:rFonts w:hint="eastAsia" w:ascii="宋体" w:hAnsi="宋体"/>
          <w:color w:val="000000"/>
          <w:szCs w:val="21"/>
        </w:rPr>
        <w:t>（2）贬值处理：由甲乙双方合议定价。</w:t>
      </w:r>
    </w:p>
    <w:p>
      <w:pPr>
        <w:spacing w:line="400" w:lineRule="exact"/>
        <w:ind w:firstLine="420" w:firstLineChars="200"/>
        <w:rPr>
          <w:rFonts w:hint="eastAsia" w:ascii="宋体" w:hAnsi="宋体"/>
          <w:color w:val="000000"/>
          <w:szCs w:val="21"/>
        </w:rPr>
      </w:pPr>
      <w:r>
        <w:rPr>
          <w:rFonts w:hint="eastAsia" w:ascii="宋体" w:hAnsi="宋体"/>
          <w:color w:val="000000"/>
          <w:szCs w:val="21"/>
        </w:rPr>
        <w:t>（3）退货处理：乙方应退还甲方支付的合同款，同时应承担该货物的直接费用（运输、保险、检验、贷款利息及银行手续费等）。</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第三条  权力保证</w:t>
      </w:r>
    </w:p>
    <w:p>
      <w:pPr>
        <w:spacing w:line="400" w:lineRule="exact"/>
        <w:ind w:firstLine="411" w:firstLineChars="196"/>
        <w:rPr>
          <w:rFonts w:hint="eastAsia" w:ascii="宋体" w:hAnsi="宋体"/>
          <w:color w:val="000000"/>
          <w:szCs w:val="21"/>
        </w:rPr>
      </w:pPr>
      <w:r>
        <w:rPr>
          <w:rFonts w:hint="eastAsia" w:ascii="宋体" w:hAnsi="宋体"/>
          <w:color w:val="000000"/>
          <w:szCs w:val="21"/>
        </w:rPr>
        <w:t>1.乙方应保证所提供货物在使用时不会侵犯任何第三方的专利权、商标权、工业设计权或其他权利。</w:t>
      </w:r>
    </w:p>
    <w:p>
      <w:pPr>
        <w:spacing w:line="400" w:lineRule="exact"/>
        <w:ind w:firstLine="420" w:firstLineChars="200"/>
        <w:rPr>
          <w:rFonts w:hint="eastAsia" w:ascii="宋体" w:hAnsi="宋体"/>
          <w:color w:val="000000"/>
          <w:szCs w:val="21"/>
        </w:rPr>
      </w:pPr>
      <w:r>
        <w:rPr>
          <w:rFonts w:hint="eastAsia" w:ascii="宋体" w:hAnsi="宋体"/>
          <w:color w:val="000000"/>
          <w:szCs w:val="21"/>
        </w:rPr>
        <w:t>2.乙方应按招标文件规定的时间向甲方提供使用货物的有关技术资料。</w:t>
      </w:r>
    </w:p>
    <w:p>
      <w:pPr>
        <w:spacing w:line="400" w:lineRule="exact"/>
        <w:rPr>
          <w:rFonts w:hint="eastAsia" w:ascii="宋体" w:hAnsi="宋体"/>
          <w:color w:val="000000"/>
          <w:szCs w:val="21"/>
        </w:rPr>
      </w:pPr>
      <w:r>
        <w:rPr>
          <w:rFonts w:hint="eastAsia" w:ascii="宋体" w:hAnsi="宋体"/>
          <w:color w:val="000000"/>
          <w:szCs w:val="21"/>
        </w:rPr>
        <w:t xml:space="preserve">    3.乙方保证所交付的货物的所有权完全属于乙方且无任何抵押、质押、查封等产权瑕疵。</w:t>
      </w:r>
    </w:p>
    <w:p>
      <w:pPr>
        <w:spacing w:line="400" w:lineRule="exact"/>
        <w:ind w:firstLine="422" w:firstLineChars="200"/>
        <w:rPr>
          <w:rFonts w:hint="eastAsia" w:ascii="宋体" w:hAnsi="宋体"/>
          <w:b/>
          <w:color w:val="000000"/>
          <w:szCs w:val="21"/>
        </w:rPr>
      </w:pPr>
      <w:r>
        <w:rPr>
          <w:rFonts w:hint="eastAsia" w:ascii="宋体" w:hAnsi="宋体"/>
          <w:b/>
          <w:color w:val="000000"/>
          <w:szCs w:val="21"/>
        </w:rPr>
        <w:t>第四条  货物包装、运输</w:t>
      </w:r>
    </w:p>
    <w:p>
      <w:pPr>
        <w:spacing w:line="400" w:lineRule="exact"/>
        <w:ind w:firstLine="420" w:firstLineChars="200"/>
        <w:rPr>
          <w:rFonts w:hint="eastAsia" w:ascii="宋体" w:hAnsi="宋体"/>
          <w:color w:val="000000"/>
          <w:szCs w:val="21"/>
        </w:rPr>
      </w:pPr>
      <w:r>
        <w:rPr>
          <w:rFonts w:hint="eastAsia" w:ascii="宋体" w:hAnsi="宋体"/>
          <w:color w:val="000000"/>
          <w:szCs w:val="21"/>
        </w:rPr>
        <w:t>1.乙方应在货物发运前对其进行满足运输距离、防潮、防震、防锈和防破损装卸等要求包装，以保证货物安全运达甲方指定地点。</w:t>
      </w:r>
    </w:p>
    <w:p>
      <w:pPr>
        <w:spacing w:line="400" w:lineRule="exact"/>
        <w:ind w:left="420"/>
        <w:rPr>
          <w:rFonts w:hint="eastAsia" w:ascii="宋体" w:hAnsi="宋体"/>
          <w:color w:val="000000"/>
          <w:szCs w:val="21"/>
        </w:rPr>
      </w:pPr>
      <w:r>
        <w:rPr>
          <w:rFonts w:hint="eastAsia" w:ascii="宋体" w:hAnsi="宋体"/>
          <w:color w:val="000000"/>
          <w:szCs w:val="21"/>
        </w:rPr>
        <w:t>2.使用中文说明书（货物属于进口产品的，供货时应同时附上中文使用说明书）、质量检验证明书、</w:t>
      </w:r>
    </w:p>
    <w:p>
      <w:pPr>
        <w:spacing w:line="400" w:lineRule="exact"/>
        <w:rPr>
          <w:rFonts w:hint="eastAsia" w:ascii="宋体" w:hAnsi="宋体"/>
          <w:color w:val="000000"/>
          <w:szCs w:val="21"/>
        </w:rPr>
      </w:pPr>
      <w:r>
        <w:rPr>
          <w:rFonts w:hint="eastAsia" w:ascii="宋体" w:hAnsi="宋体"/>
          <w:color w:val="000000"/>
          <w:szCs w:val="21"/>
        </w:rPr>
        <w:t>随配附件和工具以及清单一并附于货物内。</w:t>
      </w:r>
    </w:p>
    <w:p>
      <w:pPr>
        <w:spacing w:line="400" w:lineRule="exact"/>
        <w:ind w:firstLine="420" w:firstLineChars="200"/>
        <w:rPr>
          <w:rFonts w:hint="eastAsia" w:ascii="宋体" w:hAnsi="宋体"/>
          <w:color w:val="000000"/>
          <w:szCs w:val="21"/>
        </w:rPr>
      </w:pPr>
      <w:r>
        <w:rPr>
          <w:rFonts w:hint="eastAsia" w:ascii="宋体" w:hAnsi="宋体"/>
          <w:color w:val="000000"/>
          <w:szCs w:val="21"/>
        </w:rPr>
        <w:t>3.乙方在货物发运手续办理完毕后二十四小时内或货到甲方四十八小时前通知甲方，以准备接货。</w:t>
      </w:r>
    </w:p>
    <w:p>
      <w:pPr>
        <w:spacing w:line="400" w:lineRule="exact"/>
        <w:ind w:left="420"/>
        <w:rPr>
          <w:rFonts w:hint="eastAsia" w:ascii="宋体" w:hAnsi="宋体"/>
          <w:color w:val="000000"/>
          <w:szCs w:val="21"/>
        </w:rPr>
      </w:pPr>
      <w:r>
        <w:rPr>
          <w:rFonts w:hint="eastAsia" w:ascii="宋体" w:hAnsi="宋体"/>
          <w:color w:val="000000"/>
          <w:szCs w:val="21"/>
        </w:rPr>
        <w:t>4.货物在交付甲方前发生的风险均由乙方负责。</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第五条  交付</w:t>
      </w:r>
    </w:p>
    <w:p>
      <w:pPr>
        <w:spacing w:line="400" w:lineRule="exact"/>
        <w:ind w:firstLine="420" w:firstLineChars="200"/>
        <w:rPr>
          <w:rFonts w:hint="eastAsia" w:ascii="宋体" w:hAnsi="宋体"/>
          <w:color w:val="000000"/>
          <w:szCs w:val="21"/>
        </w:rPr>
      </w:pPr>
      <w:r>
        <w:rPr>
          <w:rFonts w:hint="eastAsia" w:ascii="宋体" w:hAnsi="宋体"/>
          <w:color w:val="000000"/>
          <w:szCs w:val="21"/>
        </w:rPr>
        <w:t>1.交付使用期：</w:t>
      </w:r>
      <w:r>
        <w:rPr>
          <w:rFonts w:hint="eastAsia" w:ascii="宋体" w:hAnsi="宋体"/>
          <w:color w:val="000000"/>
          <w:szCs w:val="21"/>
          <w:u w:val="single"/>
        </w:rPr>
        <w:t xml:space="preserve">自签订合同之日起 60 个日历日内全部安装调试合格完毕并交付使用。 </w:t>
      </w:r>
    </w:p>
    <w:p>
      <w:pPr>
        <w:spacing w:line="400" w:lineRule="exact"/>
        <w:ind w:firstLine="420" w:firstLineChars="200"/>
        <w:rPr>
          <w:rFonts w:hint="eastAsia" w:ascii="宋体" w:hAnsi="宋体"/>
          <w:color w:val="000000"/>
          <w:szCs w:val="21"/>
        </w:rPr>
      </w:pPr>
      <w:r>
        <w:rPr>
          <w:rFonts w:hint="eastAsia" w:ascii="宋体" w:hAnsi="宋体"/>
          <w:color w:val="000000"/>
          <w:szCs w:val="21"/>
        </w:rPr>
        <w:t>地点：</w:t>
      </w:r>
      <w:r>
        <w:rPr>
          <w:rFonts w:hint="eastAsia" w:ascii="宋体" w:hAnsi="宋体"/>
          <w:color w:val="000000"/>
          <w:szCs w:val="21"/>
          <w:u w:val="single"/>
        </w:rPr>
        <w:t>采购人指定地点</w:t>
      </w:r>
      <w:r>
        <w:rPr>
          <w:rFonts w:hint="eastAsia" w:ascii="宋体" w:hAnsi="宋体"/>
          <w:color w:val="000000"/>
          <w:szCs w:val="21"/>
        </w:rPr>
        <w:t>。</w:t>
      </w:r>
    </w:p>
    <w:p>
      <w:pPr>
        <w:spacing w:line="400" w:lineRule="exact"/>
        <w:rPr>
          <w:rFonts w:hint="eastAsia" w:ascii="宋体" w:hAnsi="宋体"/>
          <w:color w:val="000000"/>
          <w:szCs w:val="21"/>
        </w:rPr>
      </w:pPr>
      <w:r>
        <w:rPr>
          <w:rFonts w:hint="eastAsia" w:ascii="宋体" w:hAnsi="宋体"/>
          <w:color w:val="000000"/>
          <w:szCs w:val="21"/>
        </w:rPr>
        <w:t xml:space="preserve">    2.乙方提供不符合招投标文件和本合同规定的货物，甲方有权拒绝接受。</w:t>
      </w:r>
    </w:p>
    <w:p>
      <w:pPr>
        <w:spacing w:line="400" w:lineRule="exact"/>
        <w:rPr>
          <w:rFonts w:hint="eastAsia" w:ascii="宋体" w:hAnsi="宋体"/>
          <w:color w:val="000000"/>
          <w:szCs w:val="21"/>
        </w:rPr>
      </w:pPr>
      <w:r>
        <w:rPr>
          <w:rFonts w:hint="eastAsia" w:ascii="宋体" w:hAnsi="宋体"/>
          <w:color w:val="000000"/>
          <w:szCs w:val="21"/>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left="413"/>
        <w:rPr>
          <w:rFonts w:hint="eastAsia" w:ascii="宋体" w:hAnsi="宋体"/>
          <w:b/>
          <w:color w:val="000000"/>
          <w:szCs w:val="21"/>
        </w:rPr>
      </w:pPr>
      <w:r>
        <w:rPr>
          <w:rFonts w:hint="eastAsia" w:ascii="宋体" w:hAnsi="宋体"/>
          <w:b/>
          <w:color w:val="000000"/>
          <w:szCs w:val="21"/>
        </w:rPr>
        <w:t>第六条  调试和验收</w:t>
      </w:r>
    </w:p>
    <w:p>
      <w:pPr>
        <w:spacing w:line="400" w:lineRule="exact"/>
        <w:ind w:firstLine="420" w:firstLineChars="200"/>
        <w:rPr>
          <w:rFonts w:hint="eastAsia" w:ascii="宋体" w:hAnsi="宋体"/>
          <w:color w:val="000000"/>
          <w:szCs w:val="21"/>
        </w:rPr>
      </w:pPr>
      <w:r>
        <w:rPr>
          <w:rFonts w:hint="eastAsia" w:ascii="宋体" w:hAnsi="宋体"/>
          <w:color w:val="000000"/>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hint="eastAsia" w:ascii="宋体" w:hAnsi="宋体"/>
          <w:color w:val="000000"/>
          <w:szCs w:val="21"/>
        </w:rPr>
      </w:pPr>
      <w:r>
        <w:rPr>
          <w:rFonts w:hint="eastAsia" w:ascii="宋体" w:hAnsi="宋体"/>
          <w:color w:val="000000"/>
          <w:szCs w:val="21"/>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 </w:t>
      </w:r>
    </w:p>
    <w:p>
      <w:pPr>
        <w:spacing w:line="400" w:lineRule="exact"/>
        <w:ind w:firstLine="420" w:firstLineChars="200"/>
        <w:rPr>
          <w:rFonts w:hint="eastAsia" w:ascii="宋体" w:hAnsi="宋体"/>
          <w:color w:val="000000"/>
          <w:szCs w:val="21"/>
        </w:rPr>
      </w:pPr>
      <w:r>
        <w:rPr>
          <w:rFonts w:hint="eastAsia" w:ascii="宋体" w:hAnsi="宋体"/>
          <w:color w:val="000000"/>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hint="eastAsia" w:ascii="宋体" w:hAnsi="宋体"/>
          <w:color w:val="000000"/>
          <w:szCs w:val="21"/>
        </w:rPr>
      </w:pPr>
      <w:r>
        <w:rPr>
          <w:rFonts w:hint="eastAsia" w:ascii="宋体" w:hAnsi="宋体"/>
          <w:color w:val="000000"/>
          <w:szCs w:val="21"/>
        </w:rPr>
        <w:t>4.对技术复杂的货物，甲方应请国家认可的专业检测机构参与初步验收及最终验收，并由其出具质量检测报告。</w:t>
      </w:r>
    </w:p>
    <w:p>
      <w:pPr>
        <w:spacing w:line="400" w:lineRule="exact"/>
        <w:ind w:left="420"/>
        <w:rPr>
          <w:rFonts w:hint="eastAsia" w:ascii="宋体" w:hAnsi="宋体"/>
          <w:color w:val="000000"/>
          <w:szCs w:val="21"/>
        </w:rPr>
      </w:pPr>
      <w:r>
        <w:rPr>
          <w:rFonts w:hint="eastAsia" w:ascii="宋体" w:hAnsi="宋体"/>
          <w:color w:val="000000"/>
          <w:szCs w:val="21"/>
        </w:rPr>
        <w:t>5.验收时乙方必须在现场，验收完毕后作出验收结果报告，验收费用由乙方负责。</w:t>
      </w:r>
    </w:p>
    <w:p>
      <w:pPr>
        <w:spacing w:line="400" w:lineRule="exact"/>
        <w:ind w:firstLine="420" w:firstLineChars="200"/>
        <w:rPr>
          <w:rFonts w:hint="eastAsia" w:ascii="宋体" w:hAnsi="宋体"/>
          <w:color w:val="000000"/>
          <w:szCs w:val="21"/>
        </w:rPr>
      </w:pPr>
      <w:r>
        <w:rPr>
          <w:rFonts w:hint="eastAsia" w:ascii="宋体" w:hAnsi="宋体"/>
          <w:color w:val="000000"/>
          <w:szCs w:val="21"/>
        </w:rPr>
        <w:t>6.甲方对验收有异议的，在验收后五个工作日内以书面形式向乙方提出，乙方应自收到甲方书面异议后</w:t>
      </w:r>
      <w:r>
        <w:rPr>
          <w:rFonts w:hint="eastAsia" w:ascii="宋体" w:hAnsi="宋体"/>
          <w:color w:val="000000"/>
          <w:szCs w:val="21"/>
          <w:u w:val="single"/>
        </w:rPr>
        <w:t>　　　　</w:t>
      </w:r>
      <w:r>
        <w:rPr>
          <w:rFonts w:hint="eastAsia" w:ascii="宋体" w:hAnsi="宋体"/>
          <w:color w:val="000000"/>
          <w:szCs w:val="21"/>
        </w:rPr>
        <w:t>日内及时予以解决。</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第七条  安装和培训</w:t>
      </w:r>
    </w:p>
    <w:p>
      <w:pPr>
        <w:spacing w:line="400" w:lineRule="exact"/>
        <w:ind w:firstLine="315" w:firstLineChars="150"/>
        <w:rPr>
          <w:rFonts w:hint="eastAsia" w:ascii="宋体" w:hAnsi="宋体"/>
          <w:color w:val="000000"/>
          <w:szCs w:val="21"/>
        </w:rPr>
      </w:pPr>
      <w:r>
        <w:rPr>
          <w:rFonts w:hint="eastAsia" w:ascii="宋体" w:hAnsi="宋体"/>
          <w:color w:val="000000"/>
          <w:szCs w:val="21"/>
        </w:rPr>
        <w:t xml:space="preserve"> 1.甲方应提供必要安装条件（如场地、电源、水源等）。</w:t>
      </w:r>
    </w:p>
    <w:p>
      <w:pPr>
        <w:spacing w:line="400" w:lineRule="exact"/>
        <w:ind w:firstLine="315" w:firstLineChars="150"/>
        <w:rPr>
          <w:rFonts w:hint="eastAsia" w:ascii="宋体" w:hAnsi="宋体"/>
          <w:color w:val="000000"/>
          <w:szCs w:val="21"/>
        </w:rPr>
      </w:pPr>
      <w:r>
        <w:rPr>
          <w:rFonts w:hint="eastAsia" w:ascii="宋体" w:hAnsi="宋体"/>
          <w:color w:val="000000"/>
          <w:szCs w:val="21"/>
        </w:rPr>
        <w:t xml:space="preserve"> 2.乙方负责甲方有关人员的培训。培训时间、地点：</w:t>
      </w:r>
      <w:r>
        <w:rPr>
          <w:rFonts w:hint="eastAsia" w:ascii="宋体" w:hAnsi="宋体"/>
          <w:color w:val="000000"/>
          <w:szCs w:val="21"/>
          <w:u w:val="single"/>
        </w:rPr>
        <w:t>阳朔县政务服务管理办公室</w:t>
      </w:r>
      <w:r>
        <w:rPr>
          <w:rFonts w:hint="eastAsia" w:ascii="宋体" w:hAnsi="宋体"/>
          <w:color w:val="000000"/>
          <w:szCs w:val="21"/>
        </w:rPr>
        <w:t>。</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第八条  售后服务、保修期</w:t>
      </w:r>
    </w:p>
    <w:p>
      <w:pPr>
        <w:tabs>
          <w:tab w:val="left" w:pos="0"/>
        </w:tabs>
        <w:spacing w:line="400" w:lineRule="exact"/>
        <w:ind w:firstLine="420" w:firstLineChars="200"/>
        <w:rPr>
          <w:rFonts w:hint="eastAsia" w:ascii="宋体" w:hAnsi="宋体"/>
          <w:color w:val="000000"/>
          <w:szCs w:val="21"/>
        </w:rPr>
      </w:pPr>
      <w:r>
        <w:rPr>
          <w:rFonts w:hint="eastAsia" w:ascii="宋体" w:hAnsi="宋体"/>
          <w:color w:val="000000"/>
          <w:szCs w:val="21"/>
        </w:rPr>
        <w:t>1.乙方应按照国家有关法律规定和“三包”规定以及招投标文件和本合同所附《服务承诺》，为甲方提供售后服务。</w:t>
      </w:r>
    </w:p>
    <w:p>
      <w:pPr>
        <w:spacing w:line="400" w:lineRule="exact"/>
        <w:ind w:firstLine="420" w:firstLineChars="200"/>
        <w:rPr>
          <w:rFonts w:hint="eastAsia" w:ascii="宋体" w:hAnsi="宋体"/>
          <w:color w:val="000000"/>
          <w:szCs w:val="21"/>
        </w:rPr>
      </w:pPr>
      <w:r>
        <w:rPr>
          <w:rFonts w:hint="eastAsia" w:ascii="宋体" w:hAnsi="宋体"/>
          <w:color w:val="000000"/>
          <w:szCs w:val="21"/>
        </w:rPr>
        <w:t>2.如在使用过程中发生质量问题，乙方在接到甲方通知后在</w:t>
      </w:r>
      <w:r>
        <w:rPr>
          <w:rFonts w:hint="eastAsia" w:ascii="宋体" w:hAnsi="宋体"/>
          <w:color w:val="000000"/>
          <w:szCs w:val="21"/>
          <w:u w:val="single"/>
        </w:rPr>
        <w:t>投标文件承诺的时间</w:t>
      </w:r>
      <w:r>
        <w:rPr>
          <w:rFonts w:hint="eastAsia" w:ascii="宋体" w:hAnsi="宋体"/>
          <w:color w:val="000000"/>
          <w:szCs w:val="21"/>
        </w:rPr>
        <w:t>内到达甲方现场处理。</w:t>
      </w:r>
    </w:p>
    <w:p>
      <w:pPr>
        <w:spacing w:line="400" w:lineRule="exact"/>
        <w:ind w:firstLine="420" w:firstLineChars="200"/>
        <w:rPr>
          <w:rFonts w:hint="eastAsia" w:ascii="宋体" w:hAnsi="宋体"/>
          <w:color w:val="000000"/>
          <w:szCs w:val="21"/>
        </w:rPr>
      </w:pPr>
      <w:r>
        <w:rPr>
          <w:rFonts w:hint="eastAsia" w:ascii="宋体" w:hAnsi="宋体"/>
          <w:color w:val="000000"/>
          <w:szCs w:val="21"/>
        </w:rPr>
        <w:t>3.在质保期内，乙方应对货物出现的质量及安全问题负责处理解决并承担一切费用。</w:t>
      </w:r>
    </w:p>
    <w:p>
      <w:pPr>
        <w:spacing w:line="400" w:lineRule="exact"/>
        <w:ind w:firstLine="420" w:firstLineChars="200"/>
        <w:rPr>
          <w:rFonts w:hint="eastAsia" w:ascii="宋体" w:hAnsi="宋体"/>
          <w:color w:val="000000"/>
          <w:szCs w:val="21"/>
        </w:rPr>
      </w:pPr>
      <w:r>
        <w:rPr>
          <w:rFonts w:hint="eastAsia" w:ascii="宋体" w:hAnsi="宋体"/>
          <w:color w:val="000000"/>
          <w:szCs w:val="21"/>
        </w:rPr>
        <w:t>4.货物免费保修期为</w:t>
      </w:r>
      <w:r>
        <w:rPr>
          <w:rFonts w:hint="eastAsia" w:ascii="宋体" w:hAnsi="宋体"/>
          <w:color w:val="000000"/>
          <w:szCs w:val="21"/>
          <w:u w:val="single"/>
        </w:rPr>
        <w:t>按乙方投标文件中承诺且不低于采购要求的时间</w:t>
      </w:r>
      <w:r>
        <w:rPr>
          <w:rFonts w:hint="eastAsia" w:ascii="宋体" w:hAnsi="宋体"/>
          <w:color w:val="000000"/>
          <w:szCs w:val="21"/>
        </w:rPr>
        <w:t>，因人为因素出现的故障不在免费保修范围内。超过保修期的货物，终生维修，维修时只收部件成本费。</w:t>
      </w:r>
    </w:p>
    <w:p>
      <w:pPr>
        <w:spacing w:line="400" w:lineRule="exact"/>
        <w:ind w:firstLine="413" w:firstLineChars="196"/>
        <w:rPr>
          <w:rFonts w:hint="eastAsia" w:ascii="宋体" w:hAnsi="宋体"/>
          <w:color w:val="000000"/>
          <w:szCs w:val="21"/>
        </w:rPr>
      </w:pPr>
      <w:r>
        <w:rPr>
          <w:rFonts w:hint="eastAsia" w:ascii="宋体" w:hAnsi="宋体"/>
          <w:b/>
          <w:color w:val="000000"/>
          <w:szCs w:val="21"/>
        </w:rPr>
        <w:t>第九条  税费</w:t>
      </w:r>
    </w:p>
    <w:p>
      <w:pPr>
        <w:spacing w:line="400" w:lineRule="exact"/>
        <w:ind w:firstLine="411" w:firstLineChars="196"/>
        <w:rPr>
          <w:rFonts w:hint="eastAsia" w:ascii="宋体" w:hAnsi="宋体"/>
          <w:color w:val="000000"/>
          <w:szCs w:val="21"/>
        </w:rPr>
      </w:pPr>
      <w:r>
        <w:rPr>
          <w:rFonts w:hint="eastAsia" w:ascii="宋体" w:hAnsi="宋体"/>
          <w:color w:val="000000"/>
          <w:szCs w:val="21"/>
        </w:rPr>
        <w:t>本合同执行中相关的一切税费均由乙方负担。</w:t>
      </w:r>
    </w:p>
    <w:p>
      <w:pPr>
        <w:spacing w:line="400" w:lineRule="exact"/>
        <w:ind w:firstLine="422" w:firstLineChars="200"/>
        <w:rPr>
          <w:rFonts w:hint="eastAsia" w:ascii="宋体" w:hAnsi="宋体"/>
          <w:b/>
          <w:color w:val="000000"/>
          <w:szCs w:val="21"/>
        </w:rPr>
      </w:pPr>
      <w:r>
        <w:rPr>
          <w:rFonts w:hint="eastAsia" w:ascii="宋体" w:hAnsi="宋体"/>
          <w:b/>
          <w:color w:val="000000"/>
          <w:szCs w:val="21"/>
        </w:rPr>
        <w:t>第十条　付款方式</w:t>
      </w:r>
    </w:p>
    <w:p>
      <w:pPr>
        <w:spacing w:line="400" w:lineRule="exact"/>
        <w:ind w:firstLine="392" w:firstLineChars="196"/>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设备全部进场支付合同金额的50% ，项目验收调试完毕支付至合同金额的95%，剩余5%作为质保金，在免费保修期结束后支付。</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第十一条  违约责任</w:t>
      </w:r>
    </w:p>
    <w:p>
      <w:pPr>
        <w:spacing w:line="400" w:lineRule="exact"/>
        <w:ind w:firstLine="420" w:firstLineChars="200"/>
        <w:rPr>
          <w:rFonts w:hint="eastAsia" w:ascii="宋体" w:hAnsi="宋体"/>
          <w:color w:val="000000"/>
          <w:szCs w:val="21"/>
        </w:rPr>
      </w:pPr>
      <w:r>
        <w:rPr>
          <w:rFonts w:hint="eastAsia" w:ascii="宋体" w:hAnsi="宋体"/>
          <w:color w:val="000000"/>
          <w:szCs w:val="21"/>
        </w:rPr>
        <w:t>1. 乙方所提供的货物规格、技术标准、材料等质量不合格的，应及时更换，更换不及时的按逾期交货处罚，乙方应向甲方支付合同金额</w:t>
      </w:r>
      <w:r>
        <w:rPr>
          <w:rFonts w:hint="eastAsia" w:ascii="宋体" w:hAnsi="宋体"/>
          <w:color w:val="000000"/>
          <w:szCs w:val="21"/>
          <w:u w:val="single"/>
        </w:rPr>
        <w:t>5</w:t>
      </w:r>
      <w:r>
        <w:rPr>
          <w:rFonts w:hint="eastAsia" w:ascii="宋体" w:hAnsi="宋体"/>
          <w:color w:val="000000"/>
          <w:szCs w:val="21"/>
        </w:rPr>
        <w:t>%违约金并赔偿甲方经济损失。</w:t>
      </w:r>
    </w:p>
    <w:p>
      <w:pPr>
        <w:spacing w:line="400" w:lineRule="exact"/>
        <w:ind w:firstLine="359" w:firstLineChars="171"/>
        <w:rPr>
          <w:rFonts w:hint="eastAsia" w:ascii="宋体" w:hAnsi="宋体"/>
          <w:color w:val="000000"/>
          <w:szCs w:val="21"/>
        </w:rPr>
      </w:pPr>
      <w:r>
        <w:rPr>
          <w:rFonts w:hint="eastAsia" w:ascii="宋体" w:hAnsi="宋体"/>
          <w:color w:val="000000"/>
          <w:szCs w:val="21"/>
        </w:rPr>
        <w:t>2. 乙方提供的货物如果侵犯了第三方合法权益而引发的任何纠纷或诉讼，均由乙方负责交涉并承担全部责任。</w:t>
      </w:r>
    </w:p>
    <w:p>
      <w:pPr>
        <w:spacing w:line="400" w:lineRule="exact"/>
        <w:ind w:firstLine="420" w:firstLineChars="200"/>
        <w:rPr>
          <w:rFonts w:hint="eastAsia" w:ascii="宋体" w:hAnsi="宋体"/>
          <w:color w:val="000000"/>
          <w:szCs w:val="21"/>
        </w:rPr>
      </w:pPr>
      <w:r>
        <w:rPr>
          <w:rFonts w:hint="eastAsia" w:ascii="宋体" w:hAnsi="宋体"/>
          <w:color w:val="000000"/>
          <w:szCs w:val="21"/>
        </w:rPr>
        <w:t>3. 因包装、运输引起的货物损坏，按质量不合格处理。</w:t>
      </w:r>
    </w:p>
    <w:p>
      <w:pPr>
        <w:spacing w:line="400" w:lineRule="exact"/>
        <w:ind w:firstLine="420" w:firstLineChars="200"/>
        <w:rPr>
          <w:rFonts w:hint="eastAsia" w:ascii="宋体" w:hAnsi="宋体"/>
          <w:color w:val="000000"/>
          <w:szCs w:val="21"/>
        </w:rPr>
      </w:pPr>
      <w:r>
        <w:rPr>
          <w:rFonts w:hint="eastAsia" w:ascii="宋体" w:hAnsi="宋体"/>
          <w:color w:val="000000"/>
          <w:szCs w:val="21"/>
        </w:rPr>
        <w:t>4. 甲方无故延期接收货物、乙方逾期交货的，每天向对方偿付违约货款额</w:t>
      </w:r>
      <w:r>
        <w:rPr>
          <w:rFonts w:hint="eastAsia" w:ascii="宋体" w:hAnsi="宋体"/>
          <w:color w:val="000000"/>
          <w:szCs w:val="21"/>
          <w:u w:val="single"/>
        </w:rPr>
        <w:t>3‰</w:t>
      </w:r>
      <w:r>
        <w:rPr>
          <w:rFonts w:hint="eastAsia" w:ascii="宋体" w:hAnsi="宋体"/>
          <w:color w:val="000000"/>
          <w:szCs w:val="21"/>
        </w:rPr>
        <w:t>违约金，但违约金累计不得超过违约货款额</w:t>
      </w:r>
      <w:r>
        <w:rPr>
          <w:rFonts w:hint="eastAsia" w:ascii="宋体" w:hAnsi="宋体"/>
          <w:color w:val="000000"/>
          <w:szCs w:val="21"/>
          <w:u w:val="single"/>
        </w:rPr>
        <w:t>5 %</w:t>
      </w:r>
      <w:r>
        <w:rPr>
          <w:rFonts w:hint="eastAsia" w:ascii="宋体" w:hAnsi="宋体"/>
          <w:color w:val="000000"/>
          <w:szCs w:val="21"/>
        </w:rPr>
        <w:t>，超过</w:t>
      </w:r>
      <w:r>
        <w:rPr>
          <w:rFonts w:hint="eastAsia" w:ascii="宋体" w:hAnsi="宋体"/>
          <w:color w:val="000000"/>
          <w:szCs w:val="21"/>
          <w:u w:val="single"/>
        </w:rPr>
        <w:t>7天</w:t>
      </w:r>
      <w:r>
        <w:rPr>
          <w:rFonts w:hint="eastAsia" w:ascii="宋体" w:hAnsi="宋体"/>
          <w:color w:val="000000"/>
          <w:szCs w:val="21"/>
        </w:rPr>
        <w:t>对方有权解除合同，违约方承担因此给对方造成经济损失；甲方延期付货款的，每天向乙方偿付延期货款额3‰滞纳金，但滞纳金累计不得超过延期货款额</w:t>
      </w:r>
      <w:r>
        <w:rPr>
          <w:rFonts w:hint="eastAsia" w:ascii="宋体" w:hAnsi="宋体"/>
          <w:color w:val="000000"/>
          <w:szCs w:val="21"/>
          <w:u w:val="single"/>
        </w:rPr>
        <w:t xml:space="preserve"> 5 %</w:t>
      </w:r>
      <w:r>
        <w:rPr>
          <w:rFonts w:hint="eastAsia" w:ascii="宋体" w:hAnsi="宋体"/>
          <w:color w:val="000000"/>
          <w:szCs w:val="21"/>
        </w:rPr>
        <w:t>。</w:t>
      </w:r>
    </w:p>
    <w:p>
      <w:pPr>
        <w:spacing w:line="400" w:lineRule="exact"/>
        <w:ind w:firstLine="420" w:firstLineChars="200"/>
        <w:rPr>
          <w:rFonts w:hint="eastAsia" w:ascii="宋体" w:hAnsi="宋体"/>
          <w:color w:val="000000"/>
          <w:szCs w:val="21"/>
        </w:rPr>
      </w:pPr>
      <w:r>
        <w:rPr>
          <w:rFonts w:hint="eastAsia" w:ascii="宋体" w:hAnsi="宋体"/>
          <w:color w:val="000000"/>
          <w:szCs w:val="21"/>
        </w:rPr>
        <w:t>5. 乙方未按本合同和响应文件中规定的服务承诺提供售后服务的，乙方应按本合同合同金额</w:t>
      </w:r>
      <w:r>
        <w:rPr>
          <w:rFonts w:hint="eastAsia" w:ascii="宋体" w:hAnsi="宋体"/>
          <w:color w:val="000000"/>
          <w:szCs w:val="21"/>
          <w:u w:val="single"/>
        </w:rPr>
        <w:t>10</w:t>
      </w:r>
      <w:r>
        <w:rPr>
          <w:rFonts w:hint="eastAsia" w:ascii="宋体" w:hAnsi="宋体"/>
          <w:color w:val="000000"/>
          <w:szCs w:val="21"/>
        </w:rPr>
        <w:t>%向甲方支付违约金。</w:t>
      </w:r>
    </w:p>
    <w:p>
      <w:pPr>
        <w:spacing w:line="400" w:lineRule="exact"/>
        <w:ind w:firstLine="420" w:firstLineChars="200"/>
        <w:rPr>
          <w:rFonts w:hint="eastAsia" w:ascii="宋体" w:hAnsi="宋体"/>
          <w:color w:val="000000"/>
          <w:szCs w:val="21"/>
        </w:rPr>
      </w:pPr>
      <w:r>
        <w:rPr>
          <w:rFonts w:hint="eastAsia" w:ascii="宋体" w:hAnsi="宋体"/>
          <w:color w:val="000000"/>
          <w:szCs w:val="21"/>
        </w:rPr>
        <w:t>6. 乙方提供的货物在质保期内，因设计、工艺或材料的缺陷和其他质量原因造成的问题，由乙方负责，费用从质量保证金中扣除，不足另补。</w:t>
      </w:r>
    </w:p>
    <w:p>
      <w:pPr>
        <w:spacing w:line="400" w:lineRule="exact"/>
        <w:ind w:left="420"/>
        <w:rPr>
          <w:rFonts w:hint="eastAsia" w:ascii="宋体" w:hAnsi="宋体"/>
          <w:color w:val="000000"/>
          <w:szCs w:val="21"/>
        </w:rPr>
      </w:pPr>
      <w:r>
        <w:rPr>
          <w:rFonts w:hint="eastAsia" w:ascii="宋体" w:hAnsi="宋体"/>
          <w:color w:val="000000"/>
          <w:szCs w:val="21"/>
        </w:rPr>
        <w:t>7. 其他违约行为按违约货款额</w:t>
      </w:r>
      <w:r>
        <w:rPr>
          <w:rFonts w:hint="eastAsia" w:ascii="宋体" w:hAnsi="宋体"/>
          <w:color w:val="000000"/>
          <w:szCs w:val="21"/>
          <w:u w:val="single"/>
        </w:rPr>
        <w:t>5</w:t>
      </w:r>
      <w:r>
        <w:rPr>
          <w:rFonts w:hint="eastAsia" w:ascii="宋体" w:hAnsi="宋体"/>
          <w:color w:val="000000"/>
          <w:szCs w:val="21"/>
        </w:rPr>
        <w:t>%收取违约金并赔偿经济损失。</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第十二条  不可抗力事件处理</w:t>
      </w:r>
    </w:p>
    <w:p>
      <w:pPr>
        <w:spacing w:line="400" w:lineRule="exact"/>
        <w:ind w:firstLine="420" w:firstLineChars="200"/>
        <w:rPr>
          <w:rFonts w:hint="eastAsia" w:ascii="宋体" w:hAnsi="宋体"/>
          <w:color w:val="000000"/>
          <w:szCs w:val="21"/>
        </w:rPr>
      </w:pPr>
      <w:r>
        <w:rPr>
          <w:rFonts w:hint="eastAsia" w:ascii="宋体" w:hAnsi="宋体"/>
          <w:color w:val="000000"/>
          <w:szCs w:val="21"/>
        </w:rPr>
        <w:t>1.在合同有效期内，乙方因不可抗力事件导致不能履行合同，则合同履行期可延长，其延长期与不可抗力影响期相同。</w:t>
      </w:r>
    </w:p>
    <w:p>
      <w:pPr>
        <w:spacing w:line="400" w:lineRule="exact"/>
        <w:ind w:left="420"/>
        <w:rPr>
          <w:rFonts w:hint="eastAsia" w:ascii="宋体" w:hAnsi="宋体"/>
          <w:color w:val="000000"/>
          <w:szCs w:val="21"/>
        </w:rPr>
      </w:pPr>
      <w:r>
        <w:rPr>
          <w:rFonts w:hint="eastAsia" w:ascii="宋体" w:hAnsi="宋体"/>
          <w:color w:val="000000"/>
          <w:szCs w:val="21"/>
        </w:rPr>
        <w:t>2.不可抗力事件发生后，应立即通知对方，并寄送有关权威机构出具的证明。</w:t>
      </w:r>
    </w:p>
    <w:p>
      <w:pPr>
        <w:spacing w:line="400" w:lineRule="exact"/>
        <w:ind w:left="420"/>
        <w:rPr>
          <w:rFonts w:hint="eastAsia" w:ascii="宋体" w:hAnsi="宋体"/>
          <w:color w:val="000000"/>
          <w:szCs w:val="21"/>
        </w:rPr>
      </w:pPr>
      <w:r>
        <w:rPr>
          <w:rFonts w:hint="eastAsia" w:ascii="宋体" w:hAnsi="宋体"/>
          <w:color w:val="000000"/>
          <w:szCs w:val="21"/>
        </w:rPr>
        <w:t>3.不可抗力事件延续一百二十天以上，双方应通过友好协商，确定是否继续履行合同。</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第十三条  合同争议解决</w:t>
      </w:r>
    </w:p>
    <w:p>
      <w:pPr>
        <w:spacing w:line="400" w:lineRule="exact"/>
        <w:ind w:firstLine="420" w:firstLineChars="200"/>
        <w:rPr>
          <w:rFonts w:hint="eastAsia" w:ascii="宋体" w:hAnsi="宋体"/>
          <w:color w:val="000000"/>
          <w:szCs w:val="21"/>
        </w:rPr>
      </w:pPr>
      <w:r>
        <w:rPr>
          <w:rFonts w:hint="eastAsia" w:ascii="宋体" w:hAnsi="宋体"/>
          <w:color w:val="000000"/>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hint="eastAsia" w:ascii="宋体" w:hAnsi="宋体"/>
          <w:color w:val="000000"/>
          <w:szCs w:val="21"/>
        </w:rPr>
      </w:pPr>
      <w:r>
        <w:rPr>
          <w:rFonts w:hint="eastAsia" w:ascii="宋体" w:hAnsi="宋体"/>
          <w:color w:val="000000"/>
          <w:szCs w:val="21"/>
        </w:rPr>
        <w:t>2.因履行本合同引起的或与本合同有关的争议，甲乙双方应首先通过友好协商解决，如果协商不能解决，可向桂林市仲裁委员会申请仲裁或向阳朔县人民法院提起诉讼。</w:t>
      </w:r>
    </w:p>
    <w:p>
      <w:pPr>
        <w:spacing w:line="400" w:lineRule="exact"/>
        <w:ind w:left="435"/>
        <w:rPr>
          <w:rFonts w:hint="eastAsia" w:ascii="宋体" w:hAnsi="宋体"/>
          <w:color w:val="000000"/>
          <w:szCs w:val="21"/>
        </w:rPr>
      </w:pPr>
      <w:r>
        <w:rPr>
          <w:rFonts w:hint="eastAsia" w:ascii="宋体" w:hAnsi="宋体"/>
          <w:color w:val="000000"/>
          <w:szCs w:val="21"/>
        </w:rPr>
        <w:t>3.诉讼期间，本合同继续履行。</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第十四条  合同生效及其它</w:t>
      </w:r>
    </w:p>
    <w:p>
      <w:pPr>
        <w:spacing w:line="400" w:lineRule="exact"/>
        <w:ind w:firstLine="420" w:firstLineChars="200"/>
        <w:rPr>
          <w:rFonts w:hint="eastAsia" w:ascii="宋体" w:hAnsi="宋体"/>
          <w:color w:val="000000"/>
          <w:szCs w:val="21"/>
        </w:rPr>
      </w:pPr>
      <w:r>
        <w:rPr>
          <w:rFonts w:hint="eastAsia" w:ascii="宋体" w:hAnsi="宋体"/>
          <w:color w:val="000000"/>
          <w:szCs w:val="21"/>
        </w:rPr>
        <w:t>1.合同经甲乙双方法定代表人、负责人、自然人或相应的授权代表签字并加盖投标人公章后生效。</w:t>
      </w:r>
    </w:p>
    <w:p>
      <w:pPr>
        <w:spacing w:line="400" w:lineRule="exact"/>
        <w:ind w:firstLine="420" w:firstLineChars="200"/>
        <w:rPr>
          <w:rFonts w:hint="eastAsia" w:ascii="宋体" w:hAnsi="宋体"/>
          <w:color w:val="000000"/>
          <w:szCs w:val="21"/>
        </w:rPr>
      </w:pPr>
      <w:r>
        <w:rPr>
          <w:rFonts w:hint="eastAsia" w:ascii="宋体" w:hAnsi="宋体"/>
          <w:color w:val="000000"/>
          <w:szCs w:val="21"/>
        </w:rPr>
        <w:t>2.合同执行中涉及采购资金和采购内容修改或补充的，需经桂林市</w:t>
      </w:r>
      <w:r>
        <w:rPr>
          <w:rFonts w:hint="eastAsia" w:ascii="宋体" w:hAnsi="宋体"/>
          <w:color w:val="000000"/>
          <w:szCs w:val="21"/>
          <w:lang w:eastAsia="zh-CN"/>
        </w:rPr>
        <w:t>阳朔县</w:t>
      </w:r>
      <w:r>
        <w:rPr>
          <w:rFonts w:hint="eastAsia" w:ascii="宋体" w:hAnsi="宋体"/>
          <w:color w:val="000000"/>
          <w:szCs w:val="21"/>
        </w:rPr>
        <w:t>财政部门审批，并签订书面补充协议报</w:t>
      </w:r>
      <w:r>
        <w:rPr>
          <w:rFonts w:hint="eastAsia" w:ascii="宋体" w:hAnsi="宋体"/>
          <w:color w:val="000000"/>
          <w:szCs w:val="21"/>
          <w:lang w:eastAsia="zh-CN"/>
        </w:rPr>
        <w:t>阳朔县</w:t>
      </w:r>
      <w:r>
        <w:rPr>
          <w:rFonts w:hint="eastAsia" w:ascii="宋体" w:hAnsi="宋体"/>
          <w:color w:val="000000"/>
          <w:szCs w:val="21"/>
        </w:rPr>
        <w:t>政府采购管理办公室备案，方可作为主合同不可分割的一部分。</w:t>
      </w:r>
    </w:p>
    <w:p>
      <w:pPr>
        <w:spacing w:line="400" w:lineRule="exact"/>
        <w:ind w:left="435"/>
        <w:rPr>
          <w:rFonts w:hint="eastAsia" w:ascii="宋体" w:hAnsi="宋体"/>
          <w:color w:val="000000"/>
          <w:szCs w:val="21"/>
        </w:rPr>
      </w:pPr>
      <w:r>
        <w:rPr>
          <w:rFonts w:hint="eastAsia" w:ascii="宋体" w:hAnsi="宋体"/>
          <w:color w:val="000000"/>
          <w:szCs w:val="21"/>
        </w:rPr>
        <w:t>3.本合同未尽事宜，遵照《合同法》有关条文执行。</w:t>
      </w:r>
    </w:p>
    <w:p>
      <w:pPr>
        <w:spacing w:line="400" w:lineRule="exact"/>
        <w:ind w:firstLine="413" w:firstLineChars="196"/>
        <w:rPr>
          <w:rFonts w:hint="eastAsia" w:ascii="宋体" w:hAnsi="宋体"/>
          <w:b/>
          <w:color w:val="000000"/>
          <w:szCs w:val="21"/>
        </w:rPr>
      </w:pPr>
      <w:r>
        <w:rPr>
          <w:rFonts w:hint="eastAsia" w:ascii="宋体" w:hAnsi="宋体"/>
          <w:b/>
          <w:color w:val="000000"/>
          <w:szCs w:val="21"/>
        </w:rPr>
        <w:t>第十五条  合同的变更、终止与转让</w:t>
      </w:r>
    </w:p>
    <w:p>
      <w:pPr>
        <w:spacing w:line="400" w:lineRule="exact"/>
        <w:ind w:firstLine="420" w:firstLineChars="200"/>
        <w:rPr>
          <w:rFonts w:hint="eastAsia" w:ascii="宋体" w:hAnsi="宋体"/>
          <w:color w:val="000000"/>
          <w:szCs w:val="21"/>
        </w:rPr>
      </w:pPr>
      <w:r>
        <w:rPr>
          <w:rFonts w:hint="eastAsia" w:ascii="宋体" w:hAnsi="宋体"/>
          <w:color w:val="000000"/>
          <w:szCs w:val="21"/>
        </w:rPr>
        <w:t>1.除《中华人民共和国政府采购法》第五十条规定的情形外，本合同一经签订，甲乙双方不得擅自变更，中止或终止。</w:t>
      </w:r>
    </w:p>
    <w:p>
      <w:pPr>
        <w:spacing w:line="400" w:lineRule="exact"/>
        <w:ind w:left="420"/>
        <w:rPr>
          <w:rFonts w:hint="eastAsia" w:ascii="宋体" w:hAnsi="宋体"/>
          <w:color w:val="000000"/>
          <w:szCs w:val="21"/>
        </w:rPr>
      </w:pPr>
      <w:r>
        <w:rPr>
          <w:rFonts w:hint="eastAsia" w:ascii="宋体" w:hAnsi="宋体"/>
          <w:color w:val="000000"/>
          <w:szCs w:val="21"/>
        </w:rPr>
        <w:t>2.乙方不得擅自转让（无进口资格的供应商委托进口货物除外）其应履行的合同义务。</w:t>
      </w:r>
    </w:p>
    <w:p>
      <w:pPr>
        <w:spacing w:line="400" w:lineRule="exact"/>
        <w:ind w:firstLine="422" w:firstLineChars="200"/>
        <w:rPr>
          <w:rFonts w:hint="eastAsia" w:ascii="宋体" w:hAnsi="宋体"/>
          <w:b/>
          <w:color w:val="000000"/>
          <w:szCs w:val="21"/>
        </w:rPr>
      </w:pPr>
      <w:r>
        <w:rPr>
          <w:rFonts w:hint="eastAsia" w:ascii="宋体" w:hAnsi="宋体"/>
          <w:b/>
          <w:color w:val="000000"/>
          <w:szCs w:val="21"/>
        </w:rPr>
        <w:t>第十六条  签订本合同依据：</w:t>
      </w:r>
    </w:p>
    <w:p>
      <w:pPr>
        <w:spacing w:line="400" w:lineRule="exact"/>
        <w:ind w:left="420"/>
        <w:rPr>
          <w:rFonts w:hint="eastAsia" w:ascii="宋体" w:hAnsi="宋体"/>
          <w:color w:val="000000"/>
          <w:szCs w:val="21"/>
        </w:rPr>
      </w:pPr>
      <w:r>
        <w:rPr>
          <w:rFonts w:hint="eastAsia" w:ascii="宋体" w:hAnsi="宋体"/>
          <w:color w:val="000000"/>
          <w:szCs w:val="21"/>
        </w:rPr>
        <w:t>1.招标文件；</w:t>
      </w:r>
    </w:p>
    <w:p>
      <w:pPr>
        <w:spacing w:line="400" w:lineRule="exact"/>
        <w:ind w:left="420"/>
        <w:rPr>
          <w:rFonts w:hint="eastAsia" w:ascii="宋体" w:hAnsi="宋体"/>
          <w:color w:val="000000"/>
          <w:szCs w:val="21"/>
        </w:rPr>
      </w:pPr>
      <w:r>
        <w:rPr>
          <w:rFonts w:hint="eastAsia" w:ascii="宋体" w:hAnsi="宋体"/>
          <w:color w:val="000000"/>
          <w:szCs w:val="21"/>
        </w:rPr>
        <w:t>2.乙方提供的投标（或应答）文件；</w:t>
      </w:r>
    </w:p>
    <w:p>
      <w:pPr>
        <w:spacing w:line="400" w:lineRule="exact"/>
        <w:ind w:left="420"/>
        <w:rPr>
          <w:rFonts w:hint="eastAsia" w:ascii="宋体" w:hAnsi="宋体"/>
          <w:color w:val="000000"/>
          <w:szCs w:val="21"/>
        </w:rPr>
      </w:pPr>
      <w:r>
        <w:rPr>
          <w:rFonts w:hint="eastAsia" w:ascii="宋体" w:hAnsi="宋体"/>
          <w:color w:val="000000"/>
          <w:szCs w:val="21"/>
        </w:rPr>
        <w:t>3.售后服务承诺书；</w:t>
      </w:r>
    </w:p>
    <w:p>
      <w:pPr>
        <w:spacing w:line="400" w:lineRule="exact"/>
        <w:ind w:left="420"/>
        <w:rPr>
          <w:rFonts w:hint="eastAsia" w:ascii="宋体" w:hAnsi="宋体"/>
          <w:color w:val="000000"/>
          <w:szCs w:val="21"/>
        </w:rPr>
      </w:pPr>
      <w:r>
        <w:rPr>
          <w:rFonts w:hint="eastAsia" w:ascii="宋体" w:hAnsi="宋体"/>
          <w:color w:val="000000"/>
          <w:szCs w:val="21"/>
        </w:rPr>
        <w:t>4.中标通知书。</w:t>
      </w:r>
    </w:p>
    <w:p>
      <w:pPr>
        <w:spacing w:line="400" w:lineRule="exact"/>
        <w:ind w:left="420"/>
        <w:rPr>
          <w:rFonts w:hint="eastAsia" w:ascii="宋体" w:hAnsi="宋体"/>
          <w:color w:val="000000"/>
          <w:szCs w:val="21"/>
        </w:rPr>
      </w:pPr>
    </w:p>
    <w:p>
      <w:pPr>
        <w:spacing w:line="400" w:lineRule="exact"/>
        <w:ind w:firstLine="420" w:firstLineChars="200"/>
        <w:rPr>
          <w:rFonts w:hint="eastAsia" w:ascii="宋体" w:hAnsi="宋体"/>
          <w:color w:val="000000"/>
        </w:rPr>
      </w:pPr>
      <w:r>
        <w:rPr>
          <w:rFonts w:hint="eastAsia" w:ascii="宋体" w:hAnsi="宋体"/>
          <w:color w:val="000000"/>
          <w:szCs w:val="21"/>
        </w:rPr>
        <w:t>本合同甲乙双方签字盖章后生效，一式四份，具有同等法律效力，甲、乙双方各一份。</w:t>
      </w:r>
      <w:r>
        <w:rPr>
          <w:rFonts w:hint="eastAsia" w:ascii="宋体" w:hAnsi="宋体"/>
          <w:color w:val="000000"/>
        </w:rPr>
        <w:t>政府采购合同双方自签订之日起1个工作日内将合同原件两份交采购代理机构。采购代理机构将政府采购合同在省级以上人民政府财政部门指定媒体上公告并于合同签订之日起7个工作日内将一份合同原件送阳朔县政府采购管理办公室备案，一份由采购代理机构存档。</w:t>
      </w:r>
    </w:p>
    <w:p>
      <w:pPr>
        <w:spacing w:line="400" w:lineRule="exact"/>
        <w:ind w:firstLine="420" w:firstLineChars="200"/>
        <w:rPr>
          <w:rFonts w:hint="eastAsia" w:ascii="宋体" w:hAnsi="宋体"/>
          <w:color w:val="000000"/>
          <w:szCs w:val="21"/>
        </w:rPr>
      </w:pPr>
    </w:p>
    <w:p>
      <w:pPr>
        <w:spacing w:line="400" w:lineRule="exact"/>
        <w:rPr>
          <w:rFonts w:hint="eastAsia" w:ascii="宋体" w:hAnsi="宋体"/>
          <w:color w:val="000000"/>
          <w:szCs w:val="21"/>
          <w:u w:val="single"/>
        </w:rPr>
      </w:pPr>
      <w:r>
        <w:rPr>
          <w:rFonts w:hint="eastAsia" w:ascii="宋体" w:hAnsi="宋体"/>
          <w:color w:val="000000"/>
          <w:szCs w:val="21"/>
        </w:rPr>
        <w:t>甲方（公章）：</w:t>
      </w:r>
      <w:r>
        <w:rPr>
          <w:rFonts w:hint="eastAsia" w:ascii="宋体" w:hAnsi="宋体"/>
          <w:color w:val="000000"/>
          <w:szCs w:val="21"/>
          <w:u w:val="single"/>
        </w:rPr>
        <w:t xml:space="preserve">                          </w:t>
      </w:r>
      <w:r>
        <w:rPr>
          <w:rFonts w:hint="eastAsia" w:ascii="宋体" w:hAnsi="宋体"/>
          <w:color w:val="000000"/>
          <w:szCs w:val="21"/>
        </w:rPr>
        <w:t xml:space="preserve">     乙方（公章，自然人除外）：</w:t>
      </w:r>
      <w:r>
        <w:rPr>
          <w:rFonts w:hint="eastAsia" w:ascii="宋体" w:hAnsi="宋体"/>
          <w:color w:val="000000"/>
          <w:szCs w:val="21"/>
          <w:u w:val="single"/>
        </w:rPr>
        <w:t xml:space="preserve">                           </w:t>
      </w:r>
    </w:p>
    <w:p>
      <w:pPr>
        <w:spacing w:line="400" w:lineRule="exact"/>
        <w:ind w:left="4620" w:hanging="4620" w:hangingChars="2200"/>
        <w:rPr>
          <w:rFonts w:hint="eastAsia" w:ascii="宋体" w:hAnsi="宋体"/>
          <w:color w:val="000000"/>
          <w:szCs w:val="21"/>
          <w:u w:val="single"/>
        </w:rPr>
      </w:pPr>
      <w:r>
        <w:rPr>
          <w:rFonts w:hint="eastAsia" w:ascii="宋体" w:hAnsi="宋体"/>
          <w:color w:val="000000"/>
          <w:szCs w:val="21"/>
        </w:rPr>
        <w:t>法定代表人签字：</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法定代表人（负责人、自然人）签字（属自然人的应在签名处加盖大拇指指印）</w:t>
      </w:r>
      <w:r>
        <w:rPr>
          <w:rFonts w:hint="eastAsia" w:ascii="宋体" w:hAnsi="宋体"/>
          <w:color w:val="000000"/>
          <w:szCs w:val="21"/>
        </w:rPr>
        <w:t>：</w:t>
      </w:r>
      <w:r>
        <w:rPr>
          <w:rFonts w:hint="eastAsia" w:ascii="宋体" w:hAnsi="宋体"/>
          <w:color w:val="000000"/>
          <w:szCs w:val="21"/>
          <w:u w:val="single"/>
        </w:rPr>
        <w:t xml:space="preserve">                                 </w:t>
      </w:r>
    </w:p>
    <w:p>
      <w:pPr>
        <w:tabs>
          <w:tab w:val="left" w:pos="4680"/>
        </w:tabs>
        <w:spacing w:line="400" w:lineRule="exact"/>
        <w:rPr>
          <w:rFonts w:hint="eastAsia"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 xml:space="preserve">     委托代理人：</w:t>
      </w:r>
      <w:r>
        <w:rPr>
          <w:rFonts w:hint="eastAsia" w:ascii="宋体" w:hAnsi="宋体"/>
          <w:color w:val="000000"/>
          <w:szCs w:val="21"/>
          <w:u w:val="single"/>
        </w:rPr>
        <w:t xml:space="preserve">                                 </w:t>
      </w:r>
    </w:p>
    <w:p>
      <w:pPr>
        <w:tabs>
          <w:tab w:val="left" w:pos="5040"/>
        </w:tabs>
        <w:spacing w:line="400" w:lineRule="exact"/>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 xml:space="preserve">     电   话： </w:t>
      </w:r>
      <w:r>
        <w:rPr>
          <w:rFonts w:hint="eastAsia" w:ascii="宋体" w:hAnsi="宋体"/>
          <w:color w:val="000000"/>
          <w:szCs w:val="21"/>
          <w:u w:val="single"/>
        </w:rPr>
        <w:t xml:space="preserve">                                  </w:t>
      </w:r>
    </w:p>
    <w:p>
      <w:pPr>
        <w:tabs>
          <w:tab w:val="left" w:pos="5040"/>
        </w:tabs>
        <w:spacing w:line="400" w:lineRule="exact"/>
        <w:rPr>
          <w:rFonts w:hint="eastAsia" w:ascii="宋体" w:hAnsi="宋体"/>
          <w:color w:val="000000"/>
          <w:szCs w:val="21"/>
        </w:rPr>
      </w:pPr>
      <w:r>
        <w:rPr>
          <w:rFonts w:hint="eastAsia" w:ascii="宋体" w:hAnsi="宋体"/>
          <w:color w:val="000000"/>
          <w:szCs w:val="21"/>
        </w:rPr>
        <w:t>开户名称：</w:t>
      </w:r>
      <w:r>
        <w:rPr>
          <w:rFonts w:hint="eastAsia" w:ascii="宋体" w:hAnsi="宋体"/>
          <w:color w:val="000000"/>
          <w:szCs w:val="21"/>
          <w:u w:val="single"/>
        </w:rPr>
        <w:t xml:space="preserve">                             </w:t>
      </w:r>
      <w:r>
        <w:rPr>
          <w:rFonts w:hint="eastAsia" w:ascii="宋体" w:hAnsi="宋体"/>
          <w:color w:val="000000"/>
          <w:szCs w:val="21"/>
        </w:rPr>
        <w:t xml:space="preserve">     开户名称：</w:t>
      </w:r>
      <w:r>
        <w:rPr>
          <w:rFonts w:hint="eastAsia" w:ascii="宋体" w:hAnsi="宋体"/>
          <w:color w:val="000000"/>
          <w:szCs w:val="21"/>
          <w:u w:val="single"/>
        </w:rPr>
        <w:t xml:space="preserve">                                   </w:t>
      </w:r>
      <w:r>
        <w:rPr>
          <w:rFonts w:hint="eastAsia" w:ascii="宋体" w:hAnsi="宋体"/>
          <w:color w:val="000000"/>
          <w:szCs w:val="21"/>
        </w:rPr>
        <w:t xml:space="preserve">     </w:t>
      </w:r>
    </w:p>
    <w:p>
      <w:pPr>
        <w:tabs>
          <w:tab w:val="left" w:pos="5040"/>
        </w:tabs>
        <w:spacing w:line="400" w:lineRule="exact"/>
        <w:rPr>
          <w:rFonts w:hint="eastAsia"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hint="eastAsia" w:ascii="宋体" w:hAnsi="宋体"/>
          <w:color w:val="000000"/>
          <w:szCs w:val="21"/>
        </w:rPr>
        <w:t xml:space="preserve">     开户银行：</w:t>
      </w:r>
      <w:r>
        <w:rPr>
          <w:rFonts w:hint="eastAsia" w:ascii="宋体" w:hAnsi="宋体"/>
          <w:color w:val="000000"/>
          <w:szCs w:val="21"/>
          <w:u w:val="single"/>
        </w:rPr>
        <w:t xml:space="preserve">                                   </w:t>
      </w:r>
      <w:r>
        <w:rPr>
          <w:rFonts w:hint="eastAsia" w:ascii="宋体" w:hAnsi="宋体"/>
          <w:color w:val="000000"/>
          <w:szCs w:val="21"/>
        </w:rPr>
        <w:t xml:space="preserve">     </w:t>
      </w:r>
    </w:p>
    <w:p>
      <w:pPr>
        <w:tabs>
          <w:tab w:val="left" w:pos="5040"/>
        </w:tabs>
        <w:spacing w:line="400" w:lineRule="exact"/>
        <w:rPr>
          <w:rFonts w:hint="eastAsia" w:ascii="宋体" w:hAnsi="宋体"/>
          <w:color w:val="000000"/>
          <w:szCs w:val="21"/>
        </w:rPr>
      </w:pPr>
      <w:r>
        <w:rPr>
          <w:rFonts w:hint="eastAsia" w:ascii="宋体" w:hAnsi="宋体"/>
          <w:color w:val="000000"/>
          <w:szCs w:val="21"/>
        </w:rPr>
        <w:t>银行账号：</w:t>
      </w:r>
      <w:r>
        <w:rPr>
          <w:rFonts w:hint="eastAsia" w:ascii="宋体" w:hAnsi="宋体"/>
          <w:color w:val="000000"/>
          <w:szCs w:val="21"/>
          <w:u w:val="single"/>
        </w:rPr>
        <w:t xml:space="preserve">                             </w:t>
      </w:r>
      <w:r>
        <w:rPr>
          <w:rFonts w:hint="eastAsia" w:ascii="宋体" w:hAnsi="宋体"/>
          <w:color w:val="000000"/>
          <w:szCs w:val="21"/>
        </w:rPr>
        <w:t xml:space="preserve">     银行账号：</w:t>
      </w:r>
      <w:r>
        <w:rPr>
          <w:rFonts w:hint="eastAsia" w:ascii="宋体" w:hAnsi="宋体"/>
          <w:color w:val="000000"/>
          <w:szCs w:val="21"/>
          <w:u w:val="single"/>
        </w:rPr>
        <w:t xml:space="preserve">                                  </w:t>
      </w:r>
      <w:r>
        <w:rPr>
          <w:rFonts w:hint="eastAsia" w:ascii="宋体" w:hAnsi="宋体"/>
          <w:color w:val="000000"/>
          <w:szCs w:val="21"/>
        </w:rPr>
        <w:t xml:space="preserve">     </w:t>
      </w:r>
    </w:p>
    <w:p>
      <w:pPr>
        <w:tabs>
          <w:tab w:val="left" w:pos="5040"/>
        </w:tabs>
        <w:spacing w:line="400" w:lineRule="exact"/>
        <w:rPr>
          <w:rFonts w:hint="eastAsia" w:ascii="宋体" w:hAnsi="宋体"/>
          <w:color w:val="000000"/>
          <w:szCs w:val="21"/>
        </w:rPr>
      </w:pPr>
      <w:r>
        <w:rPr>
          <w:rFonts w:hint="eastAsia" w:ascii="宋体" w:hAnsi="宋体"/>
          <w:color w:val="000000"/>
          <w:szCs w:val="21"/>
        </w:rPr>
        <w:t>日    期：</w:t>
      </w:r>
      <w:r>
        <w:rPr>
          <w:rFonts w:hint="eastAsia" w:ascii="宋体" w:hAnsi="宋体"/>
          <w:color w:val="000000"/>
          <w:szCs w:val="21"/>
          <w:u w:val="single"/>
        </w:rPr>
        <w:t xml:space="preserve">                             </w:t>
      </w:r>
      <w:r>
        <w:rPr>
          <w:rFonts w:hint="eastAsia" w:ascii="宋体" w:hAnsi="宋体"/>
          <w:color w:val="000000"/>
          <w:szCs w:val="21"/>
        </w:rPr>
        <w:t xml:space="preserve">     日    期：</w:t>
      </w:r>
      <w:r>
        <w:rPr>
          <w:rFonts w:hint="eastAsia" w:ascii="宋体" w:hAnsi="宋体"/>
          <w:color w:val="000000"/>
          <w:szCs w:val="21"/>
          <w:u w:val="single"/>
        </w:rPr>
        <w:t xml:space="preserve">                                   </w:t>
      </w:r>
      <w:r>
        <w:rPr>
          <w:rFonts w:hint="eastAsia" w:ascii="宋体" w:hAnsi="宋体"/>
          <w:color w:val="000000"/>
          <w:szCs w:val="21"/>
        </w:rPr>
        <w:t xml:space="preserve">     </w:t>
      </w:r>
    </w:p>
    <w:p>
      <w:pPr>
        <w:rPr>
          <w:rFonts w:ascii="宋体" w:hAnsi="宋体"/>
          <w:color w:val="000000"/>
        </w:rPr>
      </w:pPr>
    </w:p>
    <w:p>
      <w:pPr>
        <w:tabs>
          <w:tab w:val="left" w:pos="5040"/>
        </w:tabs>
        <w:spacing w:line="400" w:lineRule="exact"/>
        <w:rPr>
          <w:rFonts w:hint="eastAsia" w:ascii="宋体" w:hAnsi="宋体"/>
          <w:color w:val="000000"/>
          <w:szCs w:val="21"/>
        </w:rPr>
      </w:pPr>
      <w:r>
        <w:rPr>
          <w:rFonts w:hint="eastAsia" w:ascii="宋体" w:hAnsi="宋体"/>
          <w:color w:val="000000"/>
          <w:szCs w:val="21"/>
        </w:rPr>
        <w:t xml:space="preserve">    </w:t>
      </w:r>
    </w:p>
    <w:p>
      <w:pPr>
        <w:spacing w:line="440" w:lineRule="atLeast"/>
        <w:jc w:val="center"/>
        <w:rPr>
          <w:rFonts w:hint="eastAsia" w:ascii="宋体" w:hAnsi="宋体"/>
          <w:b/>
          <w:color w:val="000000"/>
          <w:sz w:val="32"/>
          <w:szCs w:val="32"/>
        </w:rPr>
      </w:pPr>
      <w:r>
        <w:rPr>
          <w:rFonts w:ascii="宋体" w:hAnsi="宋体"/>
          <w:color w:val="000000"/>
          <w:szCs w:val="21"/>
        </w:rPr>
        <w:br w:type="page"/>
      </w:r>
    </w:p>
    <w:p>
      <w:pPr>
        <w:spacing w:line="440" w:lineRule="atLeast"/>
        <w:jc w:val="center"/>
        <w:rPr>
          <w:rFonts w:hint="eastAsia" w:ascii="宋体" w:hAnsi="宋体"/>
          <w:b/>
          <w:color w:val="000000"/>
          <w:sz w:val="32"/>
          <w:szCs w:val="32"/>
        </w:rPr>
      </w:pPr>
    </w:p>
    <w:p>
      <w:pPr>
        <w:spacing w:line="440" w:lineRule="atLeast"/>
        <w:jc w:val="center"/>
        <w:rPr>
          <w:rFonts w:hint="eastAsia" w:ascii="宋体" w:hAnsi="宋体"/>
          <w:b/>
          <w:color w:val="000000"/>
          <w:sz w:val="32"/>
          <w:szCs w:val="32"/>
        </w:rPr>
      </w:pPr>
    </w:p>
    <w:p>
      <w:pPr>
        <w:spacing w:line="440" w:lineRule="atLeast"/>
        <w:jc w:val="center"/>
        <w:rPr>
          <w:rFonts w:hint="eastAsia" w:ascii="宋体" w:hAnsi="宋体"/>
          <w:b/>
          <w:color w:val="000000"/>
          <w:sz w:val="32"/>
          <w:szCs w:val="32"/>
        </w:rPr>
      </w:pPr>
    </w:p>
    <w:p>
      <w:pPr>
        <w:spacing w:line="440" w:lineRule="atLeast"/>
        <w:jc w:val="center"/>
        <w:rPr>
          <w:rFonts w:hint="eastAsia" w:ascii="宋体" w:hAnsi="宋体"/>
          <w:b/>
          <w:color w:val="000000"/>
          <w:sz w:val="32"/>
          <w:szCs w:val="32"/>
        </w:rPr>
      </w:pPr>
    </w:p>
    <w:p>
      <w:pPr>
        <w:spacing w:line="440" w:lineRule="atLeast"/>
        <w:jc w:val="center"/>
        <w:rPr>
          <w:rFonts w:hint="eastAsia" w:ascii="宋体" w:hAnsi="宋体"/>
          <w:b/>
          <w:color w:val="000000"/>
          <w:sz w:val="32"/>
          <w:szCs w:val="32"/>
        </w:rPr>
      </w:pPr>
    </w:p>
    <w:p>
      <w:pPr>
        <w:spacing w:line="440" w:lineRule="atLeast"/>
        <w:jc w:val="center"/>
        <w:rPr>
          <w:rFonts w:hint="eastAsia" w:ascii="宋体" w:hAnsi="宋体"/>
          <w:b/>
          <w:color w:val="000000"/>
          <w:sz w:val="32"/>
          <w:szCs w:val="32"/>
        </w:rPr>
      </w:pPr>
    </w:p>
    <w:p>
      <w:pPr>
        <w:spacing w:line="440" w:lineRule="atLeast"/>
        <w:jc w:val="center"/>
        <w:rPr>
          <w:rFonts w:hint="eastAsia" w:ascii="宋体" w:hAnsi="宋体"/>
          <w:b/>
          <w:color w:val="000000"/>
          <w:sz w:val="32"/>
          <w:szCs w:val="32"/>
        </w:rPr>
      </w:pPr>
    </w:p>
    <w:p>
      <w:pPr>
        <w:spacing w:line="440" w:lineRule="atLeast"/>
        <w:jc w:val="center"/>
        <w:rPr>
          <w:rFonts w:hint="eastAsia" w:ascii="宋体" w:hAnsi="宋体"/>
          <w:b/>
          <w:color w:val="000000"/>
          <w:sz w:val="32"/>
          <w:szCs w:val="32"/>
        </w:rPr>
      </w:pPr>
    </w:p>
    <w:p>
      <w:pPr>
        <w:pStyle w:val="17"/>
        <w:rPr>
          <w:rFonts w:hint="eastAsia"/>
          <w:color w:val="000000"/>
        </w:rPr>
      </w:pPr>
    </w:p>
    <w:p>
      <w:pPr>
        <w:spacing w:line="440" w:lineRule="atLeast"/>
        <w:jc w:val="center"/>
        <w:outlineLvl w:val="0"/>
        <w:rPr>
          <w:rFonts w:hint="eastAsia" w:ascii="宋体" w:hAnsi="宋体"/>
          <w:b/>
          <w:color w:val="000000"/>
          <w:sz w:val="32"/>
          <w:szCs w:val="32"/>
        </w:rPr>
      </w:pPr>
      <w:bookmarkStart w:id="43" w:name="_Toc22789"/>
      <w:r>
        <w:rPr>
          <w:rFonts w:hint="eastAsia" w:ascii="宋体" w:hAnsi="宋体"/>
          <w:b/>
          <w:color w:val="000000"/>
          <w:sz w:val="32"/>
          <w:szCs w:val="32"/>
        </w:rPr>
        <w:t>第六章 投标文件（格式）</w:t>
      </w:r>
      <w:bookmarkEnd w:id="43"/>
    </w:p>
    <w:p>
      <w:pPr>
        <w:spacing w:line="400" w:lineRule="exact"/>
        <w:jc w:val="center"/>
        <w:outlineLvl w:val="0"/>
        <w:rPr>
          <w:rFonts w:hint="eastAsia" w:ascii="宋体" w:hAnsi="宋体"/>
          <w:b/>
          <w:color w:val="000000"/>
          <w:sz w:val="32"/>
          <w:szCs w:val="32"/>
        </w:rPr>
      </w:pPr>
      <w:r>
        <w:rPr>
          <w:rFonts w:ascii="宋体" w:hAnsi="宋体"/>
          <w:b/>
          <w:color w:val="000000"/>
          <w:sz w:val="32"/>
          <w:szCs w:val="32"/>
        </w:rPr>
        <w:br w:type="page"/>
      </w:r>
      <w:bookmarkStart w:id="44" w:name="_Toc26621"/>
      <w:r>
        <w:rPr>
          <w:rFonts w:hint="eastAsia" w:ascii="宋体" w:hAnsi="宋体"/>
          <w:b/>
          <w:color w:val="000000"/>
          <w:sz w:val="32"/>
          <w:szCs w:val="32"/>
        </w:rPr>
        <w:t>投标文件目录</w:t>
      </w:r>
      <w:bookmarkEnd w:id="44"/>
    </w:p>
    <w:p>
      <w:pPr>
        <w:spacing w:line="400" w:lineRule="exact"/>
        <w:rPr>
          <w:rFonts w:hint="eastAsia" w:ascii="宋体" w:hAnsi="宋体"/>
          <w:b/>
          <w:color w:val="000000"/>
          <w:sz w:val="32"/>
          <w:szCs w:val="32"/>
        </w:rPr>
      </w:pPr>
    </w:p>
    <w:p>
      <w:pPr>
        <w:tabs>
          <w:tab w:val="left" w:pos="1305"/>
        </w:tabs>
        <w:spacing w:line="380" w:lineRule="exact"/>
        <w:ind w:firstLine="562" w:firstLineChars="200"/>
        <w:outlineLvl w:val="0"/>
        <w:rPr>
          <w:rFonts w:hint="eastAsia" w:ascii="宋体" w:hAnsi="宋体"/>
          <w:b/>
          <w:color w:val="000000"/>
          <w:sz w:val="28"/>
          <w:szCs w:val="28"/>
        </w:rPr>
      </w:pPr>
      <w:bookmarkStart w:id="45" w:name="_Toc6410"/>
      <w:r>
        <w:rPr>
          <w:rFonts w:hint="eastAsia" w:ascii="宋体" w:hAnsi="宋体"/>
          <w:b/>
          <w:color w:val="000000"/>
          <w:sz w:val="28"/>
          <w:szCs w:val="28"/>
        </w:rPr>
        <w:t>一、投标报价表</w:t>
      </w:r>
      <w:bookmarkEnd w:id="45"/>
    </w:p>
    <w:p>
      <w:pPr>
        <w:tabs>
          <w:tab w:val="left" w:pos="1305"/>
        </w:tabs>
        <w:spacing w:line="380" w:lineRule="exact"/>
        <w:ind w:firstLine="562" w:firstLineChars="200"/>
        <w:outlineLvl w:val="0"/>
        <w:rPr>
          <w:rFonts w:hint="eastAsia" w:ascii="宋体" w:hAnsi="宋体"/>
          <w:b/>
          <w:color w:val="000000"/>
          <w:sz w:val="28"/>
          <w:szCs w:val="28"/>
        </w:rPr>
      </w:pPr>
      <w:bookmarkStart w:id="46" w:name="_Toc10681"/>
      <w:r>
        <w:rPr>
          <w:rFonts w:hint="eastAsia" w:ascii="宋体" w:hAnsi="宋体"/>
          <w:b/>
          <w:color w:val="000000"/>
          <w:sz w:val="28"/>
          <w:szCs w:val="28"/>
        </w:rPr>
        <w:t>二、资格性响应证明材料</w:t>
      </w:r>
      <w:bookmarkEnd w:id="46"/>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1.投标人相应的法定代表人、负责人、自然人</w:t>
      </w:r>
      <w:r>
        <w:rPr>
          <w:rFonts w:hint="eastAsia" w:ascii="宋体" w:hAnsi="宋体"/>
          <w:color w:val="000000"/>
        </w:rPr>
        <w:t>身份证正反面</w:t>
      </w:r>
      <w:r>
        <w:rPr>
          <w:rFonts w:hint="eastAsia" w:ascii="宋体" w:hAnsi="宋体"/>
          <w:color w:val="000000"/>
          <w:szCs w:val="21"/>
        </w:rPr>
        <w:t>复印件</w:t>
      </w:r>
      <w:r>
        <w:rPr>
          <w:rFonts w:hint="eastAsia" w:ascii="宋体" w:hAnsi="宋体"/>
          <w:b/>
          <w:color w:val="000000"/>
          <w:szCs w:val="21"/>
        </w:rPr>
        <w:t>（必须提供）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2.投标人的授权委托书原件、委托代理人</w:t>
      </w:r>
      <w:r>
        <w:rPr>
          <w:rFonts w:hint="eastAsia" w:ascii="宋体" w:hAnsi="宋体"/>
          <w:color w:val="000000"/>
        </w:rPr>
        <w:t>身份证正反面</w:t>
      </w:r>
      <w:r>
        <w:rPr>
          <w:rFonts w:hint="eastAsia" w:ascii="宋体" w:hAnsi="宋体"/>
          <w:color w:val="000000"/>
          <w:szCs w:val="21"/>
        </w:rPr>
        <w:t>复印件</w:t>
      </w:r>
      <w:r>
        <w:rPr>
          <w:rFonts w:hint="eastAsia" w:ascii="宋体" w:hAnsi="宋体"/>
          <w:b/>
          <w:color w:val="000000"/>
          <w:szCs w:val="21"/>
        </w:rPr>
        <w:t>（必须提供）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3.投标人的法人或者其他组织营业执照副本复印件</w:t>
      </w:r>
      <w:r>
        <w:rPr>
          <w:rFonts w:hint="eastAsia" w:ascii="宋体" w:hAnsi="宋体"/>
          <w:b/>
          <w:color w:val="000000"/>
          <w:szCs w:val="21"/>
        </w:rPr>
        <w:t>（必须提供）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4.投标人参加政府采购活动前3年内在经营活动中没有重大违法记录及有关信用信息的书面声明</w:t>
      </w:r>
      <w:r>
        <w:rPr>
          <w:rFonts w:hint="eastAsia" w:ascii="宋体" w:hAnsi="宋体"/>
          <w:b/>
          <w:color w:val="000000"/>
          <w:szCs w:val="21"/>
        </w:rPr>
        <w:t>（必须提供）</w:t>
      </w:r>
    </w:p>
    <w:p>
      <w:pPr>
        <w:tabs>
          <w:tab w:val="left" w:pos="1305"/>
        </w:tabs>
        <w:spacing w:line="380" w:lineRule="exact"/>
        <w:ind w:firstLine="562" w:firstLineChars="200"/>
        <w:outlineLvl w:val="0"/>
        <w:rPr>
          <w:rFonts w:hint="eastAsia" w:ascii="宋体" w:hAnsi="宋体"/>
          <w:color w:val="000000"/>
          <w:sz w:val="28"/>
          <w:szCs w:val="28"/>
        </w:rPr>
      </w:pPr>
      <w:bookmarkStart w:id="47" w:name="_Toc4892"/>
      <w:r>
        <w:rPr>
          <w:rFonts w:hint="eastAsia" w:ascii="宋体" w:hAnsi="宋体"/>
          <w:b/>
          <w:color w:val="000000"/>
          <w:sz w:val="28"/>
          <w:szCs w:val="28"/>
        </w:rPr>
        <w:t>三、商务、技术性响应及其他证明材料：</w:t>
      </w:r>
      <w:bookmarkEnd w:id="47"/>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1.技术规格</w:t>
      </w:r>
      <w:r>
        <w:rPr>
          <w:rFonts w:hint="eastAsia" w:ascii="宋体" w:hAnsi="宋体"/>
          <w:color w:val="000000"/>
          <w:szCs w:val="21"/>
          <w:lang w:eastAsia="zh-CN"/>
        </w:rPr>
        <w:t>及商务响应</w:t>
      </w:r>
      <w:r>
        <w:rPr>
          <w:rFonts w:hint="eastAsia" w:ascii="宋体" w:hAnsi="宋体"/>
          <w:color w:val="000000"/>
          <w:szCs w:val="21"/>
        </w:rPr>
        <w:t>偏离表</w:t>
      </w:r>
      <w:r>
        <w:rPr>
          <w:rFonts w:hint="eastAsia" w:ascii="宋体" w:hAnsi="宋体"/>
          <w:b/>
          <w:color w:val="000000"/>
          <w:szCs w:val="21"/>
        </w:rPr>
        <w:t>（必须提供）；</w:t>
      </w:r>
    </w:p>
    <w:p>
      <w:pPr>
        <w:pStyle w:val="20"/>
        <w:spacing w:line="380" w:lineRule="exact"/>
        <w:ind w:firstLine="420" w:firstLineChars="200"/>
        <w:rPr>
          <w:rFonts w:hint="eastAsia" w:hAnsi="宋体"/>
          <w:color w:val="000000"/>
          <w:szCs w:val="21"/>
        </w:rPr>
      </w:pPr>
      <w:r>
        <w:rPr>
          <w:rFonts w:hint="eastAsia" w:hAnsi="宋体"/>
          <w:color w:val="000000"/>
          <w:szCs w:val="21"/>
        </w:rPr>
        <w:t>2.“</w:t>
      </w:r>
      <w:r>
        <w:rPr>
          <w:rFonts w:hint="eastAsia" w:hAnsi="宋体"/>
          <w:color w:val="000000"/>
        </w:rPr>
        <w:t>货物采购需求”需提供的有效证明文件：按货物采购需求提供</w:t>
      </w:r>
      <w:r>
        <w:rPr>
          <w:rFonts w:hint="eastAsia" w:hAnsi="宋体"/>
          <w:b/>
          <w:color w:val="000000"/>
          <w:szCs w:val="21"/>
        </w:rPr>
        <w:t>（如有，请提供）；</w:t>
      </w:r>
    </w:p>
    <w:p>
      <w:pPr>
        <w:tabs>
          <w:tab w:val="left" w:pos="1305"/>
        </w:tabs>
        <w:spacing w:line="380" w:lineRule="exact"/>
        <w:ind w:firstLine="420" w:firstLineChars="200"/>
        <w:rPr>
          <w:rFonts w:hint="eastAsia" w:ascii="宋体" w:hAnsi="宋体"/>
          <w:b/>
          <w:color w:val="000000"/>
          <w:szCs w:val="21"/>
        </w:rPr>
      </w:pPr>
      <w:r>
        <w:rPr>
          <w:rFonts w:hint="eastAsia" w:ascii="宋体" w:hAnsi="宋体"/>
          <w:color w:val="000000"/>
          <w:szCs w:val="21"/>
        </w:rPr>
        <w:t>3.投标人的售后服务承诺书（含免费保修期、交付使用期、技术服务、技术培训、售后服务的内容和措施等）</w:t>
      </w:r>
      <w:r>
        <w:rPr>
          <w:rFonts w:hint="eastAsia" w:ascii="宋体" w:hAnsi="宋体"/>
          <w:b/>
          <w:color w:val="000000"/>
          <w:szCs w:val="21"/>
        </w:rPr>
        <w:t>（必须提供）；</w:t>
      </w:r>
    </w:p>
    <w:p>
      <w:pPr>
        <w:pStyle w:val="20"/>
        <w:spacing w:line="380" w:lineRule="exact"/>
        <w:ind w:firstLine="420" w:firstLineChars="200"/>
        <w:rPr>
          <w:rFonts w:hint="eastAsia" w:hAnsi="宋体"/>
          <w:b/>
          <w:color w:val="000000"/>
          <w:szCs w:val="21"/>
        </w:rPr>
      </w:pPr>
      <w:r>
        <w:rPr>
          <w:rFonts w:hint="eastAsia" w:hAnsi="宋体"/>
          <w:color w:val="000000"/>
          <w:szCs w:val="21"/>
        </w:rPr>
        <w:t>4.项目实施人员一览表</w:t>
      </w:r>
      <w:r>
        <w:rPr>
          <w:rFonts w:hint="eastAsia" w:hAnsi="宋体"/>
          <w:b/>
          <w:color w:val="000000"/>
          <w:szCs w:val="21"/>
        </w:rPr>
        <w:t>（如有，请提供）；</w:t>
      </w:r>
    </w:p>
    <w:p>
      <w:pPr>
        <w:pStyle w:val="20"/>
        <w:spacing w:line="380" w:lineRule="exact"/>
        <w:ind w:firstLine="420" w:firstLineChars="200"/>
        <w:rPr>
          <w:rFonts w:hint="eastAsia" w:hAnsi="宋体"/>
          <w:b/>
          <w:bCs/>
          <w:color w:val="000000"/>
          <w:szCs w:val="21"/>
        </w:rPr>
      </w:pPr>
      <w:r>
        <w:rPr>
          <w:rFonts w:hint="eastAsia" w:hAnsi="宋体"/>
          <w:color w:val="000000"/>
          <w:szCs w:val="21"/>
        </w:rPr>
        <w:t>5、投标人针对本服务项目的实施方案（</w:t>
      </w:r>
      <w:r>
        <w:rPr>
          <w:rFonts w:hint="eastAsia" w:hAnsi="宋体" w:cs="宋体"/>
          <w:color w:val="000000"/>
          <w:szCs w:val="21"/>
        </w:rPr>
        <w:t>格式自拟</w:t>
      </w:r>
      <w:r>
        <w:rPr>
          <w:rFonts w:hint="eastAsia" w:hAnsi="宋体"/>
          <w:color w:val="000000"/>
          <w:szCs w:val="21"/>
        </w:rPr>
        <w:t>）</w:t>
      </w:r>
      <w:r>
        <w:rPr>
          <w:rFonts w:hint="eastAsia" w:hAnsi="宋体"/>
          <w:b/>
          <w:bCs/>
          <w:color w:val="000000"/>
          <w:szCs w:val="21"/>
        </w:rPr>
        <w:t>（</w:t>
      </w:r>
      <w:r>
        <w:rPr>
          <w:rFonts w:hint="eastAsia" w:hAnsi="宋体"/>
          <w:b/>
          <w:color w:val="000000"/>
          <w:szCs w:val="21"/>
        </w:rPr>
        <w:t>如有，请提供</w:t>
      </w:r>
      <w:r>
        <w:rPr>
          <w:rFonts w:hint="eastAsia" w:hAnsi="宋体"/>
          <w:b/>
          <w:bCs/>
          <w:color w:val="000000"/>
          <w:szCs w:val="21"/>
        </w:rPr>
        <w:t>）</w:t>
      </w:r>
    </w:p>
    <w:p>
      <w:pPr>
        <w:snapToGrid w:val="0"/>
        <w:spacing w:line="380" w:lineRule="exact"/>
        <w:ind w:firstLine="420" w:firstLineChars="200"/>
        <w:outlineLvl w:val="4"/>
        <w:rPr>
          <w:rFonts w:hint="eastAsia" w:ascii="宋体" w:hAnsi="宋体"/>
          <w:color w:val="000000"/>
          <w:szCs w:val="21"/>
        </w:rPr>
      </w:pPr>
      <w:r>
        <w:rPr>
          <w:rFonts w:hint="eastAsia" w:ascii="宋体" w:hAnsi="宋体"/>
          <w:color w:val="000000"/>
          <w:szCs w:val="20"/>
        </w:rPr>
        <w:t>6.</w:t>
      </w:r>
      <w:r>
        <w:rPr>
          <w:rFonts w:hint="eastAsia" w:ascii="宋体" w:hAnsi="宋体"/>
          <w:color w:val="000000"/>
          <w:szCs w:val="21"/>
        </w:rPr>
        <w:t>节能方面的证书复印件</w:t>
      </w:r>
      <w:r>
        <w:rPr>
          <w:rFonts w:hint="eastAsia" w:hAnsi="宋体"/>
          <w:b/>
          <w:color w:val="000000"/>
          <w:szCs w:val="21"/>
        </w:rPr>
        <w:t>（如有，请提供）；；</w:t>
      </w:r>
    </w:p>
    <w:p>
      <w:pPr>
        <w:snapToGrid w:val="0"/>
        <w:spacing w:line="380" w:lineRule="exact"/>
        <w:ind w:firstLine="420" w:firstLineChars="200"/>
        <w:outlineLvl w:val="4"/>
        <w:rPr>
          <w:rFonts w:hint="eastAsia" w:ascii="宋体" w:hAnsi="宋体"/>
          <w:color w:val="000000"/>
          <w:szCs w:val="20"/>
        </w:rPr>
      </w:pPr>
      <w:r>
        <w:rPr>
          <w:rFonts w:hint="eastAsia" w:ascii="宋体" w:hAnsi="宋体"/>
          <w:color w:val="000000"/>
          <w:szCs w:val="20"/>
        </w:rPr>
        <w:t>7.</w:t>
      </w:r>
      <w:r>
        <w:rPr>
          <w:rFonts w:hint="eastAsia" w:ascii="宋体" w:hAnsi="宋体"/>
          <w:color w:val="000000"/>
          <w:szCs w:val="21"/>
        </w:rPr>
        <w:t>环保方面的证书复印件</w:t>
      </w:r>
      <w:r>
        <w:rPr>
          <w:rFonts w:hint="eastAsia" w:hAnsi="宋体"/>
          <w:b/>
          <w:color w:val="000000"/>
          <w:szCs w:val="21"/>
        </w:rPr>
        <w:t>（如有，请提供）；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8.投标人</w:t>
      </w:r>
      <w:r>
        <w:rPr>
          <w:rFonts w:hint="eastAsia" w:ascii="宋体" w:hAnsi="宋体"/>
          <w:color w:val="000000"/>
          <w:szCs w:val="21"/>
          <w:u w:val="single"/>
        </w:rPr>
        <w:t>2018年度</w:t>
      </w:r>
      <w:r>
        <w:rPr>
          <w:rFonts w:hint="eastAsia" w:ascii="宋体" w:hAnsi="宋体"/>
          <w:color w:val="000000"/>
          <w:szCs w:val="21"/>
        </w:rPr>
        <w:t>通过中介审计的有效完整的财务审计报告复印件</w:t>
      </w:r>
      <w:r>
        <w:rPr>
          <w:rFonts w:hint="eastAsia" w:hAnsi="宋体"/>
          <w:b/>
          <w:color w:val="000000"/>
          <w:szCs w:val="21"/>
        </w:rPr>
        <w:t>（如有，请提供）；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9.投标人</w:t>
      </w:r>
      <w:r>
        <w:rPr>
          <w:rFonts w:hint="eastAsia" w:ascii="宋体" w:hAnsi="宋体"/>
          <w:color w:val="000000"/>
          <w:szCs w:val="21"/>
          <w:u w:val="single"/>
        </w:rPr>
        <w:t>2017年1月1日</w:t>
      </w:r>
      <w:r>
        <w:rPr>
          <w:rFonts w:hint="eastAsia" w:ascii="宋体" w:hAnsi="宋体"/>
          <w:color w:val="000000"/>
          <w:szCs w:val="21"/>
        </w:rPr>
        <w:t>以来具有同类产品的销售业绩的相关证明材料（以投标人同类项目实施情况一览表、合同复印件）</w:t>
      </w:r>
      <w:r>
        <w:rPr>
          <w:rFonts w:hint="eastAsia" w:ascii="宋体" w:hAnsi="宋体"/>
          <w:b/>
          <w:bCs/>
          <w:color w:val="000000"/>
          <w:szCs w:val="21"/>
        </w:rPr>
        <w:t>（如有，请提供）；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10.投标人为生产厂家的，投标人的生产制造设备清单及专业技术能力说明</w:t>
      </w:r>
      <w:r>
        <w:rPr>
          <w:rFonts w:hint="eastAsia" w:hAnsi="宋体"/>
          <w:b/>
          <w:color w:val="000000"/>
          <w:szCs w:val="21"/>
        </w:rPr>
        <w:t>（如有，请提供）；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rPr>
        <w:t>11.</w:t>
      </w:r>
      <w:r>
        <w:rPr>
          <w:rFonts w:hint="eastAsia" w:ascii="宋体" w:hAnsi="宋体"/>
          <w:color w:val="000000"/>
          <w:szCs w:val="20"/>
        </w:rPr>
        <w:t>投标人相关获奖证书、认证证书等复印件</w:t>
      </w:r>
      <w:r>
        <w:rPr>
          <w:rFonts w:hint="eastAsia" w:hAnsi="宋体"/>
          <w:b/>
          <w:color w:val="000000"/>
          <w:szCs w:val="21"/>
        </w:rPr>
        <w:t>（如有，请提供）；</w:t>
      </w:r>
    </w:p>
    <w:p>
      <w:pPr>
        <w:tabs>
          <w:tab w:val="left" w:pos="1305"/>
        </w:tabs>
        <w:spacing w:line="380" w:lineRule="exact"/>
        <w:ind w:firstLine="420" w:firstLineChars="200"/>
        <w:rPr>
          <w:rFonts w:hint="eastAsia" w:ascii="宋体" w:hAnsi="宋体"/>
          <w:color w:val="000000"/>
        </w:rPr>
      </w:pPr>
      <w:r>
        <w:rPr>
          <w:rFonts w:hint="eastAsia" w:ascii="宋体" w:hAnsi="宋体"/>
          <w:color w:val="000000"/>
          <w:szCs w:val="21"/>
        </w:rPr>
        <w:t>12.</w:t>
      </w:r>
      <w:r>
        <w:rPr>
          <w:rFonts w:hint="eastAsia" w:ascii="宋体" w:hAnsi="宋体"/>
          <w:color w:val="000000"/>
        </w:rPr>
        <w:t>投标人所投产品为广西工业产品的，如实提供《广西工业产品声明函》</w:t>
      </w:r>
      <w:r>
        <w:rPr>
          <w:rFonts w:hint="eastAsia" w:hAnsi="宋体"/>
          <w:b/>
          <w:color w:val="000000"/>
          <w:szCs w:val="21"/>
        </w:rPr>
        <w:t>（如有，请提供）；</w:t>
      </w:r>
    </w:p>
    <w:p>
      <w:pPr>
        <w:tabs>
          <w:tab w:val="left" w:pos="1305"/>
        </w:tabs>
        <w:spacing w:line="380" w:lineRule="exact"/>
        <w:ind w:firstLine="420" w:firstLineChars="200"/>
        <w:rPr>
          <w:rFonts w:ascii="宋体" w:hAnsi="宋体"/>
          <w:color w:val="000000"/>
          <w:szCs w:val="21"/>
        </w:rPr>
      </w:pPr>
      <w:r>
        <w:rPr>
          <w:rFonts w:hint="eastAsia" w:ascii="宋体" w:hAnsi="宋体"/>
          <w:color w:val="000000"/>
        </w:rPr>
        <w:t>13.如产品属于小型、微型企业、监狱企业的，提供工商注册地的工业和信息化部门等其他行政部门出具的相关证明材料</w:t>
      </w:r>
      <w:r>
        <w:rPr>
          <w:rFonts w:hint="eastAsia" w:hAnsi="宋体"/>
          <w:b/>
          <w:color w:val="000000"/>
          <w:szCs w:val="21"/>
        </w:rPr>
        <w:t>（如有，请提供）；</w:t>
      </w:r>
    </w:p>
    <w:p>
      <w:pPr>
        <w:tabs>
          <w:tab w:val="left" w:pos="1305"/>
        </w:tabs>
        <w:spacing w:line="380" w:lineRule="exact"/>
        <w:ind w:firstLine="420" w:firstLineChars="200"/>
        <w:rPr>
          <w:rFonts w:hint="eastAsia" w:ascii="宋体" w:hAnsi="宋体"/>
          <w:color w:val="000000"/>
          <w:szCs w:val="21"/>
        </w:rPr>
      </w:pPr>
      <w:r>
        <w:rPr>
          <w:rFonts w:hint="eastAsia" w:ascii="宋体" w:hAnsi="宋体"/>
          <w:color w:val="000000"/>
          <w:szCs w:val="21"/>
        </w:rPr>
        <w:t>14.</w:t>
      </w:r>
      <w:r>
        <w:rPr>
          <w:rFonts w:hint="eastAsia" w:ascii="宋体" w:hAnsi="宋体"/>
          <w:color w:val="000000"/>
        </w:rPr>
        <w:t xml:space="preserve"> 符合条件的残疾人福利性单位在参加政府采购活动时，应当提供《残疾人福利性单位声明函》（见附件），并对声明的真实性负责。</w:t>
      </w:r>
    </w:p>
    <w:p>
      <w:pPr>
        <w:tabs>
          <w:tab w:val="left" w:pos="1305"/>
        </w:tabs>
        <w:spacing w:line="380" w:lineRule="exact"/>
        <w:ind w:firstLine="420" w:firstLineChars="200"/>
        <w:rPr>
          <w:rFonts w:hint="eastAsia" w:ascii="宋体" w:hAnsi="宋体"/>
          <w:b/>
          <w:color w:val="000000"/>
          <w:sz w:val="32"/>
          <w:szCs w:val="32"/>
        </w:rPr>
      </w:pPr>
      <w:r>
        <w:rPr>
          <w:rFonts w:hint="eastAsia" w:ascii="宋体" w:hAnsi="宋体"/>
          <w:color w:val="000000"/>
          <w:szCs w:val="21"/>
        </w:rPr>
        <w:t>15.投标人可结合本项目的评标办法视自身情况自行提交相关证明材料</w:t>
      </w:r>
      <w:r>
        <w:rPr>
          <w:rFonts w:hint="eastAsia" w:hAnsi="宋体"/>
          <w:b/>
          <w:color w:val="000000"/>
          <w:szCs w:val="21"/>
        </w:rPr>
        <w:t>（如有，请提供）；</w:t>
      </w:r>
    </w:p>
    <w:p>
      <w:pPr>
        <w:spacing w:line="400" w:lineRule="exact"/>
        <w:outlineLvl w:val="0"/>
        <w:rPr>
          <w:rFonts w:hint="eastAsia" w:ascii="宋体" w:hAnsi="宋体"/>
          <w:b/>
          <w:color w:val="000000"/>
          <w:sz w:val="32"/>
          <w:szCs w:val="32"/>
        </w:rPr>
      </w:pPr>
      <w:r>
        <w:rPr>
          <w:rFonts w:ascii="宋体" w:hAnsi="宋体"/>
          <w:b/>
          <w:color w:val="000000"/>
          <w:sz w:val="32"/>
          <w:szCs w:val="32"/>
        </w:rPr>
        <w:br w:type="page"/>
      </w:r>
      <w:bookmarkStart w:id="48" w:name="_Toc12239"/>
      <w:r>
        <w:rPr>
          <w:rFonts w:hint="eastAsia" w:ascii="宋体" w:hAnsi="宋体"/>
          <w:b/>
          <w:color w:val="000000"/>
          <w:sz w:val="32"/>
          <w:szCs w:val="32"/>
        </w:rPr>
        <w:t>一、投标报价表</w:t>
      </w:r>
      <w:bookmarkEnd w:id="48"/>
    </w:p>
    <w:p>
      <w:pPr>
        <w:spacing w:line="440" w:lineRule="atLeast"/>
        <w:jc w:val="center"/>
        <w:outlineLvl w:val="0"/>
        <w:rPr>
          <w:rFonts w:ascii="宋体" w:hAnsi="宋体"/>
          <w:b/>
          <w:color w:val="000000"/>
          <w:sz w:val="32"/>
          <w:szCs w:val="32"/>
        </w:rPr>
      </w:pPr>
      <w:bookmarkStart w:id="49" w:name="_Toc25691"/>
      <w:r>
        <w:rPr>
          <w:rFonts w:hint="eastAsia" w:ascii="宋体" w:hAnsi="宋体"/>
          <w:b/>
          <w:color w:val="000000"/>
          <w:sz w:val="32"/>
          <w:szCs w:val="32"/>
        </w:rPr>
        <w:t>投标报价表（格式）</w:t>
      </w:r>
      <w:bookmarkEnd w:id="49"/>
    </w:p>
    <w:p>
      <w:pPr>
        <w:spacing w:line="240" w:lineRule="exact"/>
        <w:jc w:val="center"/>
        <w:rPr>
          <w:rFonts w:hint="eastAsia" w:ascii="宋体" w:hAnsi="宋体"/>
          <w:color w:val="000000"/>
          <w:sz w:val="32"/>
        </w:rPr>
      </w:pPr>
    </w:p>
    <w:p>
      <w:pPr>
        <w:spacing w:line="400" w:lineRule="exact"/>
        <w:rPr>
          <w:rFonts w:hint="eastAsia" w:ascii="宋体" w:hAnsi="宋体"/>
          <w:color w:val="000000"/>
          <w:szCs w:val="21"/>
        </w:rPr>
      </w:pPr>
      <w:r>
        <w:rPr>
          <w:rFonts w:hint="eastAsia" w:ascii="宋体" w:hAnsi="宋体"/>
          <w:color w:val="000000"/>
          <w:szCs w:val="21"/>
        </w:rPr>
        <w:t>致：</w:t>
      </w:r>
      <w:r>
        <w:rPr>
          <w:rFonts w:hint="eastAsia" w:ascii="宋体" w:hAnsi="宋体"/>
          <w:color w:val="000000"/>
          <w:u w:val="single"/>
        </w:rPr>
        <w:t>广西新厦工程咨询有限公司</w:t>
      </w:r>
    </w:p>
    <w:p>
      <w:pPr>
        <w:pStyle w:val="20"/>
        <w:spacing w:line="360" w:lineRule="exact"/>
        <w:ind w:firstLine="420"/>
        <w:rPr>
          <w:rFonts w:hint="eastAsia" w:hAnsi="宋体"/>
          <w:color w:val="000000"/>
        </w:rPr>
      </w:pPr>
      <w:r>
        <w:rPr>
          <w:rFonts w:hint="eastAsia" w:hAnsi="宋体"/>
          <w:color w:val="000000"/>
        </w:rPr>
        <w:t>根据贵方</w:t>
      </w:r>
      <w:r>
        <w:rPr>
          <w:rFonts w:hint="eastAsia" w:hAnsi="宋体"/>
          <w:color w:val="000000"/>
          <w:u w:val="single"/>
        </w:rPr>
        <w:t xml:space="preserve">           </w:t>
      </w:r>
      <w:r>
        <w:rPr>
          <w:rFonts w:hint="eastAsia" w:hAnsi="宋体"/>
          <w:color w:val="000000"/>
        </w:rPr>
        <w:t>项目招标文件，项目编号</w:t>
      </w:r>
      <w:r>
        <w:rPr>
          <w:rFonts w:hint="eastAsia" w:hAnsi="宋体"/>
          <w:color w:val="000000"/>
          <w:szCs w:val="21"/>
          <w:u w:val="single"/>
        </w:rPr>
        <w:t xml:space="preserve">            </w:t>
      </w:r>
      <w:r>
        <w:rPr>
          <w:rFonts w:hint="eastAsia" w:hAnsi="宋体"/>
          <w:color w:val="000000"/>
          <w:szCs w:val="21"/>
        </w:rPr>
        <w:t>，签字代表</w:t>
      </w:r>
      <w:r>
        <w:rPr>
          <w:rFonts w:hint="eastAsia" w:hAnsi="宋体"/>
          <w:color w:val="000000"/>
          <w:u w:val="single"/>
        </w:rPr>
        <w:t xml:space="preserve">         </w:t>
      </w:r>
      <w:r>
        <w:rPr>
          <w:rFonts w:hint="eastAsia" w:hAnsi="宋体"/>
          <w:color w:val="000000"/>
        </w:rPr>
        <w:t xml:space="preserve">（姓名）经正式授权并代表投标人 </w:t>
      </w:r>
      <w:r>
        <w:rPr>
          <w:rFonts w:hint="eastAsia" w:hAnsi="宋体"/>
          <w:color w:val="000000"/>
          <w:u w:val="single"/>
        </w:rPr>
        <w:t xml:space="preserve">                                   （</w:t>
      </w:r>
      <w:r>
        <w:rPr>
          <w:rFonts w:hint="eastAsia" w:hAnsi="宋体"/>
          <w:color w:val="000000"/>
        </w:rPr>
        <w:t>投标单位名称），提交投标文件正本一份，副本</w:t>
      </w:r>
      <w:r>
        <w:rPr>
          <w:rFonts w:hint="eastAsia" w:hAnsi="宋体"/>
          <w:color w:val="000000"/>
          <w:u w:val="single"/>
        </w:rPr>
        <w:t>肆</w:t>
      </w:r>
      <w:r>
        <w:rPr>
          <w:rFonts w:hint="eastAsia" w:hAnsi="宋体"/>
          <w:color w:val="000000"/>
        </w:rPr>
        <w:t xml:space="preserve"> 份，并做出如下报价：</w:t>
      </w:r>
    </w:p>
    <w:tbl>
      <w:tblPr>
        <w:tblStyle w:val="43"/>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5"/>
        <w:gridCol w:w="1335"/>
        <w:gridCol w:w="1072"/>
        <w:gridCol w:w="993"/>
        <w:gridCol w:w="1559"/>
        <w:gridCol w:w="850"/>
        <w:gridCol w:w="567"/>
        <w:gridCol w:w="851"/>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1"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rPr>
            </w:pPr>
            <w:r>
              <w:rPr>
                <w:rFonts w:hint="eastAsia" w:ascii="宋体" w:hAnsi="宋体"/>
                <w:color w:val="000000"/>
              </w:rPr>
              <w:t>项号</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r>
              <w:rPr>
                <w:rFonts w:hint="eastAsia" w:ascii="宋体" w:hAnsi="宋体"/>
                <w:color w:val="000000"/>
              </w:rPr>
              <w:t>货物名称</w:t>
            </w:r>
          </w:p>
        </w:tc>
        <w:tc>
          <w:tcPr>
            <w:tcW w:w="10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r>
              <w:rPr>
                <w:rFonts w:hint="eastAsia" w:ascii="宋体" w:hAnsi="宋体"/>
                <w:color w:val="000000"/>
              </w:rPr>
              <w:t>生产厂家</w:t>
            </w: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r>
              <w:rPr>
                <w:rFonts w:hint="eastAsia" w:ascii="宋体" w:hAnsi="宋体"/>
                <w:color w:val="000000"/>
              </w:rPr>
              <w:t>品牌</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r>
              <w:rPr>
                <w:rFonts w:hint="eastAsia" w:ascii="宋体" w:hAnsi="宋体"/>
                <w:color w:val="000000"/>
              </w:rPr>
              <w:t>规格型号</w:t>
            </w:r>
          </w:p>
        </w:tc>
        <w:tc>
          <w:tcPr>
            <w:tcW w:w="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r>
              <w:rPr>
                <w:rFonts w:hint="eastAsia" w:ascii="宋体" w:hAnsi="宋体"/>
                <w:color w:val="000000"/>
              </w:rPr>
              <w:t>数量</w:t>
            </w:r>
          </w:p>
          <w:p>
            <w:pPr>
              <w:spacing w:line="440" w:lineRule="exact"/>
              <w:jc w:val="center"/>
              <w:rPr>
                <w:rFonts w:hint="eastAsia" w:ascii="宋体" w:hAnsi="宋体"/>
                <w:color w:val="000000"/>
              </w:rPr>
            </w:pPr>
            <w:r>
              <w:rPr>
                <w:rFonts w:hint="eastAsia" w:ascii="宋体" w:hAnsi="宋体"/>
                <w:color w:val="000000"/>
                <w:szCs w:val="21"/>
              </w:rPr>
              <w:t>①</w:t>
            </w:r>
          </w:p>
        </w:tc>
        <w:tc>
          <w:tcPr>
            <w:tcW w:w="5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r>
              <w:rPr>
                <w:rFonts w:hint="eastAsia" w:ascii="宋体" w:hAnsi="宋体"/>
                <w:color w:val="000000"/>
              </w:rPr>
              <w:t>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r>
              <w:rPr>
                <w:rFonts w:hint="eastAsia" w:ascii="宋体" w:hAnsi="宋体"/>
                <w:color w:val="000000"/>
              </w:rPr>
              <w:t>单价（元）</w:t>
            </w:r>
          </w:p>
          <w:p>
            <w:pPr>
              <w:spacing w:line="440" w:lineRule="exact"/>
              <w:jc w:val="center"/>
              <w:rPr>
                <w:rFonts w:hint="eastAsia" w:ascii="宋体" w:hAnsi="宋体"/>
                <w:color w:val="000000"/>
              </w:rPr>
            </w:pPr>
            <w:r>
              <w:rPr>
                <w:rFonts w:hint="eastAsia" w:ascii="宋体" w:hAnsi="宋体"/>
                <w:color w:val="000000"/>
                <w:szCs w:val="21"/>
              </w:rPr>
              <w:t>②</w:t>
            </w:r>
          </w:p>
        </w:tc>
        <w:tc>
          <w:tcPr>
            <w:tcW w:w="1417"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color w:val="000000"/>
              </w:rPr>
            </w:pPr>
            <w:r>
              <w:rPr>
                <w:rFonts w:hint="eastAsia" w:ascii="宋体" w:hAnsi="宋体"/>
                <w:color w:val="000000"/>
              </w:rPr>
              <w:t>单项合计=数量×单价</w:t>
            </w:r>
          </w:p>
          <w:p>
            <w:pPr>
              <w:spacing w:line="440" w:lineRule="exact"/>
              <w:jc w:val="center"/>
              <w:rPr>
                <w:rFonts w:hint="eastAsia" w:ascii="宋体" w:hAnsi="宋体"/>
                <w:color w:val="000000"/>
              </w:rPr>
            </w:pPr>
            <w:r>
              <w:rPr>
                <w:rFonts w:hint="eastAsia" w:ascii="宋体" w:hAnsi="宋体"/>
                <w:color w:val="000000"/>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1</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10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bCs/>
                <w:color w:val="000000"/>
              </w:rPr>
            </w:pPr>
          </w:p>
        </w:tc>
        <w:tc>
          <w:tcPr>
            <w:tcW w:w="1417"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2</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10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bCs/>
                <w:color w:val="000000"/>
              </w:rPr>
            </w:pPr>
          </w:p>
        </w:tc>
        <w:tc>
          <w:tcPr>
            <w:tcW w:w="1417"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w:t>
            </w:r>
          </w:p>
        </w:tc>
        <w:tc>
          <w:tcPr>
            <w:tcW w:w="13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10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bCs/>
                <w:color w:val="000000"/>
              </w:rPr>
            </w:pPr>
          </w:p>
        </w:tc>
        <w:tc>
          <w:tcPr>
            <w:tcW w:w="1417"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639" w:type="dxa"/>
            <w:gridSpan w:val="9"/>
            <w:tcBorders>
              <w:top w:val="single" w:color="auto" w:sz="4" w:space="0"/>
              <w:left w:val="single" w:color="auto" w:sz="4" w:space="0"/>
              <w:bottom w:val="single" w:color="auto" w:sz="4" w:space="0"/>
            </w:tcBorders>
            <w:vAlign w:val="center"/>
          </w:tcPr>
          <w:p>
            <w:pPr>
              <w:spacing w:line="440" w:lineRule="exact"/>
              <w:rPr>
                <w:rFonts w:hint="eastAsia" w:ascii="宋体" w:hAnsi="宋体"/>
                <w:b/>
                <w:bCs/>
                <w:color w:val="000000"/>
              </w:rPr>
            </w:pPr>
            <w:r>
              <w:rPr>
                <w:rFonts w:hint="eastAsia" w:ascii="宋体" w:hAnsi="宋体"/>
                <w:color w:val="000000"/>
                <w:spacing w:val="-6"/>
              </w:rPr>
              <w:t>投标总</w:t>
            </w:r>
            <w:r>
              <w:rPr>
                <w:rFonts w:ascii="宋体" w:hAnsi="宋体"/>
                <w:color w:val="000000"/>
                <w:spacing w:val="-6"/>
              </w:rPr>
              <w:t xml:space="preserve">报价（大写）：                </w:t>
            </w:r>
            <w:r>
              <w:rPr>
                <w:rFonts w:hint="eastAsia" w:ascii="宋体" w:hAnsi="宋体"/>
                <w:color w:val="000000"/>
                <w:spacing w:val="-6"/>
              </w:rPr>
              <w:t xml:space="preserve">                          </w:t>
            </w:r>
            <w:r>
              <w:rPr>
                <w:rFonts w:ascii="宋体" w:hAnsi="宋体"/>
                <w:color w:val="000000"/>
                <w:spacing w:val="-6"/>
              </w:rPr>
              <w:t xml:space="preserve">  </w:t>
            </w:r>
            <w:r>
              <w:rPr>
                <w:rFonts w:hint="eastAsia" w:ascii="宋体" w:hAnsi="宋体"/>
                <w:color w:val="000000"/>
                <w:spacing w:val="-6"/>
              </w:rPr>
              <w:t>元</w:t>
            </w:r>
            <w:r>
              <w:rPr>
                <w:rFonts w:ascii="宋体" w:hAnsi="宋体"/>
                <w:color w:val="000000"/>
                <w:spacing w:val="-6"/>
              </w:rPr>
              <w:t>（￥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639" w:type="dxa"/>
            <w:gridSpan w:val="9"/>
            <w:tcBorders>
              <w:top w:val="single" w:color="auto" w:sz="4" w:space="0"/>
              <w:left w:val="single" w:color="auto" w:sz="4" w:space="0"/>
              <w:bottom w:val="single" w:color="auto" w:sz="4" w:space="0"/>
            </w:tcBorders>
            <w:vAlign w:val="center"/>
          </w:tcPr>
          <w:p>
            <w:pPr>
              <w:spacing w:line="440" w:lineRule="exact"/>
              <w:rPr>
                <w:rFonts w:hint="eastAsia" w:ascii="宋体" w:hAnsi="宋体"/>
                <w:color w:val="000000"/>
                <w:spacing w:val="-6"/>
              </w:rPr>
            </w:pPr>
            <w:r>
              <w:rPr>
                <w:rFonts w:hint="eastAsia" w:ascii="宋体" w:hAnsi="宋体"/>
                <w:color w:val="000000"/>
                <w:spacing w:val="-6"/>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639" w:type="dxa"/>
            <w:gridSpan w:val="9"/>
            <w:tcBorders>
              <w:top w:val="single" w:color="auto" w:sz="4" w:space="0"/>
              <w:left w:val="single" w:color="auto" w:sz="4" w:space="0"/>
              <w:bottom w:val="single" w:color="auto" w:sz="4" w:space="0"/>
            </w:tcBorders>
            <w:vAlign w:val="center"/>
          </w:tcPr>
          <w:p>
            <w:pPr>
              <w:spacing w:line="440" w:lineRule="exact"/>
              <w:rPr>
                <w:rFonts w:hint="eastAsia" w:ascii="宋体" w:hAnsi="宋体"/>
                <w:color w:val="000000"/>
                <w:spacing w:val="-6"/>
              </w:rPr>
            </w:pPr>
            <w:r>
              <w:rPr>
                <w:rFonts w:hint="eastAsia" w:ascii="宋体" w:hAnsi="宋体"/>
                <w:color w:val="000000"/>
                <w:spacing w:val="-6"/>
              </w:rPr>
              <w:t>免费保修期：</w:t>
            </w:r>
          </w:p>
        </w:tc>
      </w:tr>
    </w:tbl>
    <w:p>
      <w:pPr>
        <w:pStyle w:val="20"/>
        <w:spacing w:line="440" w:lineRule="exact"/>
        <w:ind w:firstLine="420" w:firstLineChars="200"/>
        <w:rPr>
          <w:rFonts w:hint="eastAsia" w:hAnsi="宋体"/>
          <w:color w:val="000000"/>
        </w:rPr>
      </w:pPr>
      <w:r>
        <w:rPr>
          <w:rFonts w:hint="eastAsia" w:hAnsi="宋体"/>
          <w:color w:val="000000"/>
        </w:rPr>
        <w:t>与本投标有关的正式通讯地址为：</w:t>
      </w:r>
    </w:p>
    <w:p>
      <w:pPr>
        <w:pStyle w:val="20"/>
        <w:spacing w:line="440" w:lineRule="exact"/>
        <w:ind w:firstLine="420"/>
        <w:rPr>
          <w:rFonts w:hint="eastAsia" w:hAnsi="宋体"/>
          <w:color w:val="000000"/>
          <w:u w:val="single"/>
        </w:rPr>
      </w:pPr>
      <w:r>
        <w:rPr>
          <w:rFonts w:hint="eastAsia" w:hAnsi="宋体"/>
          <w:color w:val="000000"/>
        </w:rPr>
        <w:t>地址：</w:t>
      </w:r>
      <w:r>
        <w:rPr>
          <w:rFonts w:hint="eastAsia" w:hAnsi="宋体"/>
          <w:color w:val="000000"/>
          <w:u w:val="single"/>
        </w:rPr>
        <w:t xml:space="preserve">                                   </w:t>
      </w:r>
      <w:r>
        <w:rPr>
          <w:rFonts w:hint="eastAsia" w:hAnsi="宋体"/>
          <w:color w:val="000000"/>
        </w:rPr>
        <w:t xml:space="preserve"> 邮编：</w:t>
      </w:r>
      <w:r>
        <w:rPr>
          <w:rFonts w:hint="eastAsia" w:hAnsi="宋体"/>
          <w:color w:val="000000"/>
          <w:u w:val="single"/>
        </w:rPr>
        <w:t xml:space="preserve">          </w:t>
      </w:r>
      <w:r>
        <w:rPr>
          <w:rFonts w:hint="eastAsia" w:hAnsi="宋体"/>
          <w:color w:val="000000"/>
        </w:rPr>
        <w:t xml:space="preserve">  电话、传真：</w:t>
      </w:r>
      <w:r>
        <w:rPr>
          <w:rFonts w:hint="eastAsia" w:hAnsi="宋体"/>
          <w:color w:val="000000"/>
          <w:u w:val="single"/>
        </w:rPr>
        <w:t xml:space="preserve">            </w:t>
      </w:r>
    </w:p>
    <w:p>
      <w:pPr>
        <w:pStyle w:val="20"/>
        <w:spacing w:line="440" w:lineRule="exact"/>
        <w:ind w:firstLine="420"/>
        <w:rPr>
          <w:rFonts w:hint="eastAsia" w:hAnsi="宋体"/>
          <w:color w:val="000000"/>
        </w:rPr>
      </w:pPr>
      <w:r>
        <w:rPr>
          <w:rFonts w:hint="eastAsia" w:hAnsi="宋体"/>
          <w:color w:val="000000"/>
        </w:rPr>
        <w:t>开户名称：</w:t>
      </w:r>
      <w:r>
        <w:rPr>
          <w:rFonts w:hint="eastAsia" w:hAnsi="宋体"/>
          <w:color w:val="000000"/>
          <w:u w:val="single"/>
        </w:rPr>
        <w:t xml:space="preserve">                                        </w:t>
      </w:r>
    </w:p>
    <w:p>
      <w:pPr>
        <w:pStyle w:val="20"/>
        <w:spacing w:line="440" w:lineRule="exact"/>
        <w:ind w:firstLine="420"/>
        <w:rPr>
          <w:rFonts w:hint="eastAsia" w:hAnsi="宋体"/>
          <w:color w:val="000000"/>
        </w:rPr>
      </w:pPr>
      <w:r>
        <w:rPr>
          <w:rFonts w:hint="eastAsia" w:hAnsi="宋体"/>
          <w:color w:val="000000"/>
        </w:rPr>
        <w:t>开户银行：</w:t>
      </w:r>
      <w:r>
        <w:rPr>
          <w:rFonts w:hint="eastAsia" w:hAnsi="宋体"/>
          <w:color w:val="000000"/>
          <w:u w:val="single"/>
        </w:rPr>
        <w:t xml:space="preserve">                               　       </w:t>
      </w:r>
    </w:p>
    <w:p>
      <w:pPr>
        <w:pStyle w:val="20"/>
        <w:spacing w:line="440" w:lineRule="exact"/>
        <w:ind w:firstLine="420"/>
        <w:rPr>
          <w:rFonts w:hint="eastAsia" w:hAnsi="宋体"/>
          <w:color w:val="000000"/>
        </w:rPr>
      </w:pPr>
      <w:r>
        <w:rPr>
          <w:rFonts w:hint="eastAsia" w:hAnsi="宋体"/>
          <w:color w:val="000000"/>
        </w:rPr>
        <w:t>账号：</w:t>
      </w:r>
      <w:r>
        <w:rPr>
          <w:rFonts w:hint="eastAsia" w:hAnsi="宋体"/>
          <w:color w:val="000000"/>
          <w:u w:val="single"/>
        </w:rPr>
        <w:t xml:space="preserve">                                   　　　   </w:t>
      </w:r>
    </w:p>
    <w:p>
      <w:pPr>
        <w:pStyle w:val="20"/>
        <w:spacing w:line="440" w:lineRule="exact"/>
        <w:ind w:firstLine="420"/>
        <w:rPr>
          <w:rFonts w:hint="eastAsia" w:hAnsi="宋体"/>
          <w:color w:val="000000"/>
        </w:rPr>
      </w:pPr>
      <w:r>
        <w:rPr>
          <w:rFonts w:hint="eastAsia" w:hAnsi="宋体"/>
          <w:color w:val="000000"/>
        </w:rPr>
        <w:t>投标人（公章，自然人除外）：</w:t>
      </w:r>
      <w:r>
        <w:rPr>
          <w:rFonts w:hint="eastAsia" w:hAnsi="宋体"/>
          <w:color w:val="000000"/>
          <w:u w:val="single"/>
        </w:rPr>
        <w:t xml:space="preserve">                                              </w:t>
      </w:r>
    </w:p>
    <w:p>
      <w:pPr>
        <w:pStyle w:val="20"/>
        <w:spacing w:line="440" w:lineRule="exact"/>
        <w:ind w:firstLine="420"/>
        <w:rPr>
          <w:rFonts w:hint="eastAsia" w:hAnsi="宋体"/>
          <w:color w:val="000000"/>
        </w:rPr>
      </w:pPr>
      <w:r>
        <w:rPr>
          <w:rFonts w:hint="eastAsia" w:hAnsi="宋体"/>
          <w:color w:val="000000"/>
        </w:rPr>
        <w:t>法定代表人、负责人、自然人或相应的委托代理人签字（或盖章）</w:t>
      </w:r>
    </w:p>
    <w:p>
      <w:pPr>
        <w:pStyle w:val="20"/>
        <w:spacing w:line="440" w:lineRule="exact"/>
        <w:ind w:firstLine="420"/>
        <w:rPr>
          <w:rFonts w:hint="eastAsia" w:hAnsi="宋体"/>
          <w:color w:val="000000"/>
          <w:u w:val="single"/>
        </w:rPr>
      </w:pPr>
      <w:r>
        <w:rPr>
          <w:rFonts w:hint="eastAsia" w:hAnsi="宋体"/>
          <w:color w:val="000000"/>
        </w:rPr>
        <w:t>（属自然人的应在签名处加盖大拇指指印）：</w:t>
      </w:r>
      <w:r>
        <w:rPr>
          <w:rFonts w:hint="eastAsia" w:hAnsi="宋体"/>
          <w:color w:val="000000"/>
          <w:u w:val="single"/>
        </w:rPr>
        <w:t xml:space="preserve">                       </w:t>
      </w:r>
    </w:p>
    <w:p>
      <w:pPr>
        <w:pStyle w:val="20"/>
        <w:spacing w:line="440" w:lineRule="exact"/>
        <w:ind w:firstLine="420"/>
        <w:rPr>
          <w:rFonts w:hint="eastAsia" w:hAnsi="宋体"/>
          <w:b/>
          <w:bCs/>
          <w:color w:val="000000"/>
          <w:sz w:val="28"/>
          <w:szCs w:val="28"/>
        </w:rPr>
      </w:pPr>
      <w:r>
        <w:rPr>
          <w:rFonts w:hint="eastAsia" w:hAnsi="宋体"/>
          <w:color w:val="000000"/>
        </w:rPr>
        <w:t>投标日期：</w:t>
      </w:r>
      <w:r>
        <w:rPr>
          <w:rFonts w:hint="eastAsia" w:hAnsi="宋体"/>
          <w:color w:val="000000"/>
          <w:u w:val="single"/>
        </w:rPr>
        <w:t xml:space="preserve">                               </w:t>
      </w:r>
    </w:p>
    <w:p>
      <w:pPr>
        <w:pStyle w:val="20"/>
        <w:spacing w:line="400" w:lineRule="exact"/>
        <w:ind w:left="982" w:leftChars="200" w:hanging="562" w:hangingChars="200"/>
        <w:rPr>
          <w:rFonts w:hint="eastAsia" w:hAnsi="宋体"/>
          <w:b/>
          <w:color w:val="000000"/>
          <w:sz w:val="24"/>
          <w:szCs w:val="24"/>
        </w:rPr>
      </w:pPr>
      <w:r>
        <w:rPr>
          <w:rFonts w:hint="eastAsia" w:hAnsi="宋体"/>
          <w:b/>
          <w:bCs/>
          <w:color w:val="000000"/>
          <w:sz w:val="28"/>
          <w:szCs w:val="28"/>
        </w:rPr>
        <w:t>注：</w:t>
      </w:r>
      <w:r>
        <w:rPr>
          <w:rFonts w:hint="eastAsia" w:hAnsi="宋体"/>
          <w:b/>
          <w:color w:val="000000"/>
          <w:sz w:val="24"/>
          <w:szCs w:val="24"/>
        </w:rPr>
        <w:t>当本表由多页构成时，需逐页加盖投标人公章（属自然人的须逐页签字）。</w:t>
      </w:r>
    </w:p>
    <w:p>
      <w:pPr>
        <w:pStyle w:val="16"/>
        <w:rPr>
          <w:rFonts w:hint="eastAsia" w:hAnsi="宋体"/>
          <w:b/>
          <w:color w:val="000000"/>
          <w:sz w:val="24"/>
        </w:rPr>
      </w:pPr>
    </w:p>
    <w:p>
      <w:pPr>
        <w:rPr>
          <w:rFonts w:hint="eastAsia" w:hAnsi="宋体"/>
          <w:b/>
          <w:color w:val="000000"/>
          <w:sz w:val="24"/>
        </w:rPr>
      </w:pPr>
    </w:p>
    <w:p>
      <w:pPr>
        <w:pStyle w:val="15"/>
        <w:rPr>
          <w:rFonts w:hint="eastAsia" w:hAnsi="宋体"/>
          <w:b/>
          <w:color w:val="000000"/>
          <w:sz w:val="24"/>
        </w:rPr>
      </w:pPr>
    </w:p>
    <w:p>
      <w:pPr>
        <w:pStyle w:val="15"/>
        <w:rPr>
          <w:rFonts w:hint="eastAsia" w:hAnsi="宋体"/>
          <w:b/>
          <w:color w:val="000000"/>
          <w:sz w:val="24"/>
        </w:rPr>
      </w:pPr>
    </w:p>
    <w:p>
      <w:pPr>
        <w:pStyle w:val="15"/>
        <w:rPr>
          <w:rFonts w:hint="eastAsia" w:hAnsi="宋体"/>
          <w:b/>
          <w:color w:val="000000"/>
          <w:sz w:val="24"/>
        </w:rPr>
      </w:pPr>
    </w:p>
    <w:p>
      <w:pPr>
        <w:pStyle w:val="15"/>
        <w:rPr>
          <w:rFonts w:hint="eastAsia" w:hAnsi="宋体"/>
          <w:b/>
          <w:color w:val="000000"/>
          <w:sz w:val="24"/>
        </w:rPr>
      </w:pPr>
    </w:p>
    <w:p>
      <w:pPr>
        <w:pStyle w:val="15"/>
        <w:rPr>
          <w:rFonts w:hint="eastAsia" w:hAnsi="宋体"/>
          <w:b/>
          <w:color w:val="000000"/>
          <w:sz w:val="24"/>
        </w:rPr>
      </w:pPr>
    </w:p>
    <w:p>
      <w:pPr>
        <w:pStyle w:val="15"/>
        <w:rPr>
          <w:rFonts w:hint="eastAsia" w:hAnsi="宋体"/>
          <w:b/>
          <w:color w:val="000000"/>
          <w:sz w:val="24"/>
        </w:rPr>
      </w:pPr>
    </w:p>
    <w:p>
      <w:pPr>
        <w:tabs>
          <w:tab w:val="left" w:pos="1305"/>
        </w:tabs>
        <w:spacing w:line="520" w:lineRule="exact"/>
        <w:outlineLvl w:val="0"/>
        <w:rPr>
          <w:rFonts w:hint="eastAsia" w:ascii="宋体" w:hAnsi="宋体"/>
          <w:color w:val="000000"/>
          <w:sz w:val="24"/>
        </w:rPr>
      </w:pPr>
      <w:bookmarkStart w:id="50" w:name="_Toc5687"/>
      <w:r>
        <w:rPr>
          <w:rFonts w:hint="eastAsia" w:ascii="宋体" w:hAnsi="宋体"/>
          <w:b/>
          <w:color w:val="000000"/>
          <w:sz w:val="32"/>
          <w:szCs w:val="32"/>
        </w:rPr>
        <w:t>二、资格性响应证明材料（格式）</w:t>
      </w:r>
      <w:bookmarkEnd w:id="50"/>
    </w:p>
    <w:p>
      <w:pPr>
        <w:pStyle w:val="20"/>
        <w:spacing w:line="400" w:lineRule="exact"/>
        <w:rPr>
          <w:rFonts w:hint="eastAsia" w:hAnsi="宋体"/>
          <w:b/>
          <w:color w:val="000000"/>
          <w:sz w:val="24"/>
        </w:rPr>
      </w:pPr>
    </w:p>
    <w:p>
      <w:pPr>
        <w:pStyle w:val="20"/>
        <w:spacing w:line="400" w:lineRule="exact"/>
        <w:ind w:left="840" w:leftChars="400"/>
        <w:rPr>
          <w:rFonts w:hint="eastAsia" w:hAnsi="宋体"/>
          <w:bCs/>
          <w:color w:val="000000"/>
          <w:szCs w:val="21"/>
        </w:rPr>
      </w:pPr>
    </w:p>
    <w:p>
      <w:pPr>
        <w:tabs>
          <w:tab w:val="left" w:pos="1305"/>
        </w:tabs>
        <w:spacing w:line="400" w:lineRule="exact"/>
        <w:rPr>
          <w:rFonts w:ascii="宋体" w:hAnsi="宋体"/>
          <w:color w:val="000000"/>
          <w:szCs w:val="21"/>
        </w:rPr>
      </w:pPr>
      <w:r>
        <w:rPr>
          <w:rFonts w:hint="eastAsia" w:ascii="宋体" w:hAnsi="宋体"/>
          <w:b/>
          <w:color w:val="000000"/>
          <w:sz w:val="32"/>
          <w:szCs w:val="32"/>
        </w:rPr>
        <w:t>1.投标人相应的法定代表人、负责人、自然人身份证正反面复印件（必须提供）</w:t>
      </w:r>
    </w:p>
    <w:p>
      <w:pPr>
        <w:tabs>
          <w:tab w:val="left" w:pos="1305"/>
        </w:tabs>
        <w:spacing w:line="400" w:lineRule="exact"/>
        <w:ind w:firstLine="643" w:firstLineChars="200"/>
        <w:rPr>
          <w:rFonts w:hint="eastAsia" w:ascii="宋体" w:hAnsi="宋体"/>
          <w:b/>
          <w:color w:val="000000"/>
          <w:sz w:val="32"/>
          <w:szCs w:val="32"/>
        </w:rPr>
      </w:pPr>
    </w:p>
    <w:p>
      <w:pPr>
        <w:pStyle w:val="20"/>
        <w:jc w:val="center"/>
        <w:rPr>
          <w:rFonts w:hint="eastAsia" w:hAnsi="宋体"/>
          <w:b/>
          <w:color w:val="000000"/>
          <w:sz w:val="32"/>
        </w:rPr>
      </w:pPr>
      <w:r>
        <w:rPr>
          <w:rFonts w:hint="eastAsia" w:hAnsi="宋体"/>
          <w:b/>
          <w:color w:val="000000"/>
          <w:sz w:val="32"/>
          <w:szCs w:val="32"/>
        </w:rPr>
        <w:t>2.投标人的授权委托书原件、委托代理人身份证正反面复印件</w:t>
      </w:r>
      <w:r>
        <w:rPr>
          <w:rFonts w:hint="eastAsia" w:hAnsi="宋体"/>
          <w:b/>
          <w:color w:val="000000"/>
          <w:sz w:val="32"/>
        </w:rPr>
        <w:t xml:space="preserve">  授权委托书（格式一）</w:t>
      </w:r>
    </w:p>
    <w:p>
      <w:pPr>
        <w:snapToGrid w:val="0"/>
        <w:spacing w:line="400" w:lineRule="exact"/>
        <w:outlineLvl w:val="4"/>
        <w:rPr>
          <w:rFonts w:hint="eastAsia" w:ascii="宋体" w:hAnsi="宋体"/>
          <w:color w:val="000000"/>
        </w:rPr>
      </w:pPr>
      <w:r>
        <w:rPr>
          <w:rFonts w:hint="eastAsia" w:ascii="宋体" w:hAnsi="宋体"/>
          <w:b/>
          <w:color w:val="000000"/>
          <w:szCs w:val="21"/>
        </w:rPr>
        <w:t>致</w:t>
      </w:r>
      <w:r>
        <w:rPr>
          <w:rFonts w:hint="eastAsia" w:ascii="宋体" w:hAnsi="宋体"/>
          <w:color w:val="000000"/>
          <w:szCs w:val="21"/>
        </w:rPr>
        <w:t>：</w:t>
      </w:r>
      <w:r>
        <w:rPr>
          <w:rFonts w:hint="eastAsia" w:ascii="宋体" w:hAnsi="宋体"/>
          <w:color w:val="000000"/>
          <w:u w:val="single"/>
        </w:rPr>
        <w:t>广西新厦工程咨询有限公司</w:t>
      </w:r>
    </w:p>
    <w:p>
      <w:pPr>
        <w:snapToGrid w:val="0"/>
        <w:spacing w:line="400" w:lineRule="exact"/>
        <w:rPr>
          <w:rFonts w:hint="eastAsia" w:ascii="宋体" w:hAnsi="宋体"/>
          <w:color w:val="000000"/>
          <w:szCs w:val="21"/>
          <w:u w:val="single"/>
        </w:rPr>
      </w:pPr>
    </w:p>
    <w:p>
      <w:pPr>
        <w:pStyle w:val="20"/>
        <w:spacing w:line="400" w:lineRule="exact"/>
        <w:ind w:firstLine="525" w:firstLineChars="250"/>
        <w:rPr>
          <w:rFonts w:hint="eastAsia" w:hAnsi="宋体"/>
          <w:color w:val="000000"/>
        </w:rPr>
      </w:pPr>
      <w:r>
        <w:rPr>
          <w:rFonts w:hint="eastAsia" w:hAnsi="宋体"/>
          <w:color w:val="000000"/>
          <w:kern w:val="0"/>
        </w:rPr>
        <w:t>我</w:t>
      </w:r>
      <w:r>
        <w:rPr>
          <w:rFonts w:hint="eastAsia" w:hAnsi="宋体"/>
          <w:color w:val="000000"/>
          <w:kern w:val="0"/>
          <w:u w:val="single"/>
        </w:rPr>
        <w:t xml:space="preserve">              </w:t>
      </w:r>
      <w:r>
        <w:rPr>
          <w:rFonts w:hint="eastAsia" w:hAnsi="宋体"/>
          <w:color w:val="000000"/>
          <w:kern w:val="0"/>
        </w:rPr>
        <w:t>（姓名）系</w:t>
      </w:r>
      <w:r>
        <w:rPr>
          <w:rFonts w:hint="eastAsia" w:hAnsi="宋体"/>
          <w:color w:val="000000"/>
          <w:kern w:val="0"/>
          <w:u w:val="single"/>
        </w:rPr>
        <w:t xml:space="preserve">                              </w:t>
      </w:r>
      <w:r>
        <w:rPr>
          <w:rFonts w:hint="eastAsia" w:hAnsi="宋体"/>
          <w:color w:val="000000"/>
          <w:kern w:val="0"/>
        </w:rPr>
        <w:t>（投标人名称）的法定代表人（负责人），现授权委托本单位在职职工</w:t>
      </w:r>
      <w:r>
        <w:rPr>
          <w:rFonts w:hint="eastAsia" w:hAnsi="宋体"/>
          <w:color w:val="000000"/>
          <w:kern w:val="0"/>
          <w:u w:val="single"/>
        </w:rPr>
        <w:t xml:space="preserve">            </w:t>
      </w:r>
      <w:r>
        <w:rPr>
          <w:rFonts w:hint="eastAsia" w:hAnsi="宋体"/>
          <w:color w:val="000000"/>
          <w:kern w:val="0"/>
        </w:rPr>
        <w:t>（姓名）以我公司名义参加</w:t>
      </w:r>
      <w:r>
        <w:rPr>
          <w:rFonts w:hint="eastAsia" w:hAnsi="宋体"/>
          <w:color w:val="000000"/>
          <w:kern w:val="0"/>
          <w:u w:val="single"/>
        </w:rPr>
        <w:t xml:space="preserve">      </w:t>
      </w:r>
      <w:r>
        <w:rPr>
          <w:rFonts w:hint="eastAsia" w:hAnsi="宋体"/>
          <w:color w:val="000000"/>
          <w:u w:val="single"/>
        </w:rPr>
        <w:t xml:space="preserve">（项目名称及项目编号）        </w:t>
      </w:r>
      <w:r>
        <w:rPr>
          <w:rFonts w:hint="eastAsia" w:hAnsi="宋体"/>
          <w:color w:val="000000"/>
        </w:rPr>
        <w:t>项目的投标活动，并代表我方全权办理针对上述项目的投标、开标、评标、签约等具体事务和签署相关文件。</w:t>
      </w:r>
    </w:p>
    <w:p>
      <w:pPr>
        <w:pStyle w:val="20"/>
        <w:spacing w:line="400" w:lineRule="exact"/>
        <w:ind w:firstLine="420" w:firstLineChars="200"/>
        <w:rPr>
          <w:rFonts w:hint="eastAsia" w:hAnsi="宋体"/>
          <w:color w:val="000000"/>
        </w:rPr>
      </w:pPr>
      <w:r>
        <w:rPr>
          <w:rFonts w:hint="eastAsia" w:hAnsi="宋体"/>
          <w:color w:val="000000"/>
        </w:rPr>
        <w:t>我方对被授权人的签字事项负全部责任。</w:t>
      </w:r>
    </w:p>
    <w:p>
      <w:pPr>
        <w:pStyle w:val="20"/>
        <w:spacing w:line="400" w:lineRule="exact"/>
        <w:ind w:firstLine="420" w:firstLineChars="200"/>
        <w:rPr>
          <w:rFonts w:hint="eastAsia" w:hAnsi="宋体"/>
          <w:color w:val="000000"/>
          <w:u w:val="single"/>
        </w:rPr>
      </w:pPr>
      <w:r>
        <w:rPr>
          <w:rFonts w:hint="eastAsia" w:hAnsi="宋体"/>
          <w:color w:val="000000"/>
        </w:rPr>
        <w:t>授权委托代理期限：自即日起至该项目政府采购活动结束。</w:t>
      </w:r>
    </w:p>
    <w:p>
      <w:pPr>
        <w:pStyle w:val="20"/>
        <w:spacing w:line="400" w:lineRule="exact"/>
        <w:rPr>
          <w:rFonts w:hint="eastAsia" w:hAnsi="宋体"/>
          <w:color w:val="000000"/>
          <w:u w:val="single"/>
        </w:rPr>
      </w:pPr>
      <w:r>
        <w:rPr>
          <w:rFonts w:hint="eastAsia" w:hAnsi="宋体"/>
          <w:color w:val="000000"/>
        </w:rPr>
        <w:t xml:space="preserve">                                                                                             </w:t>
      </w:r>
    </w:p>
    <w:p>
      <w:pPr>
        <w:spacing w:line="400" w:lineRule="exact"/>
        <w:ind w:firstLine="420" w:firstLineChars="200"/>
        <w:rPr>
          <w:rFonts w:hint="eastAsia" w:ascii="宋体" w:hAnsi="宋体"/>
          <w:color w:val="000000"/>
          <w:kern w:val="0"/>
        </w:rPr>
      </w:pPr>
      <w:r>
        <w:rPr>
          <w:rFonts w:hint="eastAsia" w:ascii="宋体" w:hAnsi="宋体"/>
          <w:color w:val="000000"/>
          <w:kern w:val="0"/>
        </w:rPr>
        <w:t>代理人无转委托权，特此委托。</w:t>
      </w:r>
      <w:r>
        <w:rPr>
          <w:rFonts w:ascii="宋体" w:hAnsi="宋体"/>
          <w:color w:val="000000"/>
          <w:kern w:val="0"/>
        </w:rPr>
        <w:t xml:space="preserve"> </w:t>
      </w:r>
    </w:p>
    <w:p>
      <w:pPr>
        <w:snapToGrid w:val="0"/>
        <w:spacing w:line="400" w:lineRule="exact"/>
        <w:ind w:firstLine="525"/>
        <w:rPr>
          <w:rFonts w:hint="eastAsia" w:ascii="宋体" w:hAnsi="宋体"/>
          <w:color w:val="000000"/>
          <w:szCs w:val="21"/>
        </w:rPr>
      </w:pPr>
    </w:p>
    <w:p>
      <w:pPr>
        <w:snapToGrid w:val="0"/>
        <w:spacing w:line="400" w:lineRule="exact"/>
        <w:ind w:firstLine="420"/>
        <w:outlineLvl w:val="4"/>
        <w:rPr>
          <w:rFonts w:hint="eastAsia" w:ascii="宋体" w:hAnsi="宋体"/>
          <w:color w:val="000000"/>
          <w:szCs w:val="21"/>
        </w:rPr>
      </w:pPr>
      <w:r>
        <w:rPr>
          <w:rFonts w:hint="eastAsia" w:ascii="宋体" w:hAnsi="宋体"/>
          <w:color w:val="000000"/>
          <w:szCs w:val="21"/>
        </w:rPr>
        <w:t>我已在下面签字，以资证明。</w:t>
      </w:r>
    </w:p>
    <w:p>
      <w:pPr>
        <w:snapToGrid w:val="0"/>
        <w:spacing w:line="400" w:lineRule="exact"/>
        <w:ind w:firstLine="420"/>
        <w:rPr>
          <w:rFonts w:hint="eastAsia" w:ascii="宋体" w:hAnsi="宋体"/>
          <w:color w:val="000000"/>
          <w:szCs w:val="21"/>
        </w:rPr>
      </w:pPr>
    </w:p>
    <w:p>
      <w:pPr>
        <w:snapToGrid w:val="0"/>
        <w:spacing w:line="400" w:lineRule="exact"/>
        <w:ind w:firstLine="420"/>
        <w:outlineLvl w:val="4"/>
        <w:rPr>
          <w:rFonts w:hint="eastAsia" w:ascii="宋体" w:hAnsi="宋体"/>
          <w:color w:val="000000"/>
          <w:szCs w:val="21"/>
          <w:u w:val="single"/>
        </w:rPr>
      </w:pPr>
      <w:r>
        <w:rPr>
          <w:rFonts w:hint="eastAsia" w:ascii="宋体" w:hAnsi="宋体"/>
          <w:color w:val="000000"/>
          <w:szCs w:val="21"/>
        </w:rPr>
        <w:t>投标人（公章）：</w:t>
      </w:r>
      <w:r>
        <w:rPr>
          <w:rFonts w:hint="eastAsia" w:ascii="宋体" w:hAnsi="宋体"/>
          <w:color w:val="000000"/>
          <w:szCs w:val="21"/>
          <w:u w:val="single"/>
        </w:rPr>
        <w:t xml:space="preserve">                                   </w:t>
      </w:r>
    </w:p>
    <w:p>
      <w:pPr>
        <w:snapToGrid w:val="0"/>
        <w:spacing w:line="400" w:lineRule="exact"/>
        <w:ind w:firstLine="420"/>
        <w:rPr>
          <w:rFonts w:hint="eastAsia" w:ascii="宋体" w:hAnsi="宋体"/>
          <w:color w:val="000000"/>
          <w:szCs w:val="21"/>
        </w:rPr>
      </w:pPr>
    </w:p>
    <w:p>
      <w:pPr>
        <w:snapToGrid w:val="0"/>
        <w:spacing w:line="400" w:lineRule="exact"/>
        <w:ind w:firstLine="420"/>
        <w:outlineLvl w:val="4"/>
        <w:rPr>
          <w:rFonts w:hint="eastAsia" w:ascii="宋体" w:hAnsi="宋体"/>
          <w:color w:val="000000"/>
          <w:szCs w:val="21"/>
        </w:rPr>
      </w:pPr>
      <w:r>
        <w:rPr>
          <w:rFonts w:hint="eastAsia" w:ascii="宋体" w:hAnsi="宋体"/>
          <w:color w:val="000000"/>
          <w:szCs w:val="21"/>
        </w:rPr>
        <w:t>法定代表人（负责人）签字：</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20"/>
        <w:jc w:val="center"/>
        <w:rPr>
          <w:rFonts w:hint="eastAsia" w:hAnsi="宋体"/>
          <w:b/>
          <w:color w:val="000000"/>
          <w:sz w:val="32"/>
        </w:rPr>
      </w:pPr>
    </w:p>
    <w:p>
      <w:pPr>
        <w:pStyle w:val="20"/>
        <w:jc w:val="center"/>
        <w:rPr>
          <w:rFonts w:hint="eastAsia" w:hAnsi="宋体"/>
          <w:b/>
          <w:color w:val="000000"/>
          <w:sz w:val="32"/>
        </w:rPr>
      </w:pPr>
    </w:p>
    <w:p>
      <w:pPr>
        <w:pStyle w:val="20"/>
        <w:jc w:val="center"/>
        <w:rPr>
          <w:rFonts w:hint="eastAsia" w:hAnsi="宋体"/>
          <w:b/>
          <w:color w:val="000000"/>
          <w:sz w:val="32"/>
        </w:rPr>
      </w:pPr>
    </w:p>
    <w:p>
      <w:pPr>
        <w:pStyle w:val="20"/>
        <w:jc w:val="center"/>
        <w:rPr>
          <w:rFonts w:hint="eastAsia" w:hAnsi="宋体"/>
          <w:b/>
          <w:color w:val="000000"/>
          <w:sz w:val="32"/>
        </w:rPr>
      </w:pPr>
    </w:p>
    <w:p>
      <w:pPr>
        <w:pStyle w:val="20"/>
        <w:jc w:val="center"/>
        <w:rPr>
          <w:rFonts w:hint="eastAsia" w:hAnsi="宋体"/>
          <w:b/>
          <w:color w:val="000000"/>
          <w:sz w:val="32"/>
        </w:rPr>
      </w:pPr>
    </w:p>
    <w:p>
      <w:pPr>
        <w:pStyle w:val="16"/>
        <w:rPr>
          <w:rFonts w:hint="eastAsia"/>
        </w:rPr>
      </w:pPr>
    </w:p>
    <w:p>
      <w:pPr>
        <w:pStyle w:val="20"/>
        <w:jc w:val="center"/>
        <w:rPr>
          <w:rFonts w:hint="eastAsia" w:hAnsi="宋体"/>
          <w:b/>
          <w:color w:val="000000"/>
          <w:sz w:val="32"/>
        </w:rPr>
      </w:pPr>
    </w:p>
    <w:p>
      <w:pPr>
        <w:pStyle w:val="20"/>
        <w:jc w:val="center"/>
        <w:outlineLvl w:val="0"/>
        <w:rPr>
          <w:rFonts w:hint="eastAsia" w:hAnsi="宋体"/>
          <w:b/>
          <w:color w:val="000000"/>
          <w:sz w:val="32"/>
        </w:rPr>
      </w:pPr>
      <w:bookmarkStart w:id="51" w:name="_Toc28207"/>
      <w:r>
        <w:rPr>
          <w:rFonts w:hint="eastAsia" w:hAnsi="宋体"/>
          <w:b/>
          <w:color w:val="000000"/>
          <w:sz w:val="32"/>
        </w:rPr>
        <w:t>授权委托书（格式二）</w:t>
      </w:r>
      <w:bookmarkEnd w:id="51"/>
    </w:p>
    <w:p>
      <w:pPr>
        <w:snapToGrid w:val="0"/>
        <w:spacing w:line="400" w:lineRule="exact"/>
        <w:outlineLvl w:val="4"/>
        <w:rPr>
          <w:rFonts w:hint="eastAsia" w:ascii="宋体" w:hAnsi="宋体"/>
          <w:color w:val="000000"/>
        </w:rPr>
      </w:pPr>
      <w:r>
        <w:rPr>
          <w:rFonts w:hint="eastAsia" w:ascii="宋体" w:hAnsi="宋体"/>
          <w:b/>
          <w:color w:val="000000"/>
          <w:szCs w:val="21"/>
        </w:rPr>
        <w:t>致</w:t>
      </w:r>
      <w:r>
        <w:rPr>
          <w:rFonts w:hint="eastAsia" w:ascii="宋体" w:hAnsi="宋体"/>
          <w:color w:val="000000"/>
          <w:szCs w:val="21"/>
        </w:rPr>
        <w:t>：</w:t>
      </w:r>
      <w:r>
        <w:rPr>
          <w:rFonts w:hint="eastAsia" w:ascii="宋体" w:hAnsi="宋体"/>
          <w:color w:val="000000"/>
          <w:u w:val="single"/>
        </w:rPr>
        <w:t>广西新厦工程咨询有限公司</w:t>
      </w:r>
    </w:p>
    <w:p>
      <w:pPr>
        <w:snapToGrid w:val="0"/>
        <w:spacing w:line="400" w:lineRule="exact"/>
        <w:rPr>
          <w:rFonts w:hint="eastAsia" w:ascii="宋体" w:hAnsi="宋体"/>
          <w:color w:val="000000"/>
          <w:szCs w:val="21"/>
          <w:u w:val="single"/>
        </w:rPr>
      </w:pPr>
    </w:p>
    <w:p>
      <w:pPr>
        <w:pStyle w:val="20"/>
        <w:spacing w:line="340" w:lineRule="exact"/>
        <w:ind w:firstLine="420" w:firstLineChars="200"/>
        <w:rPr>
          <w:rFonts w:hint="eastAsia" w:hAnsi="宋体"/>
          <w:color w:val="000000"/>
        </w:rPr>
      </w:pPr>
      <w:r>
        <w:rPr>
          <w:rFonts w:hint="eastAsia" w:hAnsi="宋体"/>
          <w:color w:val="000000"/>
          <w:kern w:val="0"/>
        </w:rPr>
        <w:t>我</w:t>
      </w:r>
      <w:r>
        <w:rPr>
          <w:rFonts w:hint="eastAsia" w:hAnsi="宋体"/>
          <w:color w:val="000000"/>
          <w:kern w:val="0"/>
          <w:u w:val="single"/>
        </w:rPr>
        <w:t xml:space="preserve">              </w:t>
      </w:r>
      <w:r>
        <w:rPr>
          <w:rFonts w:hint="eastAsia" w:hAnsi="宋体"/>
          <w:color w:val="000000"/>
          <w:kern w:val="0"/>
        </w:rPr>
        <w:t>（姓名）系自然人，现授权委托</w:t>
      </w:r>
      <w:r>
        <w:rPr>
          <w:rFonts w:hint="eastAsia" w:hAnsi="宋体"/>
          <w:color w:val="000000"/>
          <w:kern w:val="0"/>
          <w:u w:val="single"/>
        </w:rPr>
        <w:t xml:space="preserve">            </w:t>
      </w:r>
      <w:r>
        <w:rPr>
          <w:rFonts w:hint="eastAsia" w:hAnsi="宋体"/>
          <w:color w:val="000000"/>
          <w:kern w:val="0"/>
        </w:rPr>
        <w:t>（姓 名）以本人名义参加</w:t>
      </w:r>
      <w:r>
        <w:rPr>
          <w:rFonts w:hint="eastAsia" w:hAnsi="宋体"/>
          <w:color w:val="000000"/>
          <w:kern w:val="0"/>
          <w:u w:val="single"/>
        </w:rPr>
        <w:t xml:space="preserve">      </w:t>
      </w:r>
      <w:r>
        <w:rPr>
          <w:rFonts w:hint="eastAsia" w:hAnsi="宋体"/>
          <w:color w:val="000000"/>
          <w:u w:val="single"/>
        </w:rPr>
        <w:t xml:space="preserve">（项目名称及项目编号）        </w:t>
      </w:r>
      <w:r>
        <w:rPr>
          <w:rFonts w:hint="eastAsia" w:hAnsi="宋体"/>
          <w:color w:val="000000"/>
        </w:rPr>
        <w:t>项目的投标活动，并代表本人全权办理针对上述项目的投标、开标、评标、签约等具体事务和签署相关文件。</w:t>
      </w:r>
    </w:p>
    <w:p>
      <w:pPr>
        <w:pStyle w:val="20"/>
        <w:spacing w:line="340" w:lineRule="exact"/>
        <w:ind w:firstLine="420" w:firstLineChars="200"/>
        <w:rPr>
          <w:rFonts w:hint="eastAsia" w:hAnsi="宋体"/>
          <w:color w:val="000000"/>
        </w:rPr>
      </w:pPr>
      <w:r>
        <w:rPr>
          <w:rFonts w:hint="eastAsia" w:hAnsi="宋体"/>
          <w:color w:val="000000"/>
        </w:rPr>
        <w:t>本人对被授权人的签字事项负全部责任。</w:t>
      </w:r>
    </w:p>
    <w:p>
      <w:pPr>
        <w:pStyle w:val="20"/>
        <w:spacing w:line="400" w:lineRule="exact"/>
        <w:ind w:firstLine="420" w:firstLineChars="200"/>
        <w:rPr>
          <w:rFonts w:hint="eastAsia" w:hAnsi="宋体"/>
          <w:color w:val="000000"/>
          <w:u w:val="single"/>
        </w:rPr>
      </w:pPr>
      <w:r>
        <w:rPr>
          <w:rFonts w:hint="eastAsia" w:hAnsi="宋体"/>
          <w:color w:val="000000"/>
        </w:rPr>
        <w:t>授权委托代理期限：自即日起至该项目政府采购活动结束。</w:t>
      </w:r>
    </w:p>
    <w:p>
      <w:pPr>
        <w:pStyle w:val="20"/>
        <w:spacing w:line="340" w:lineRule="exact"/>
        <w:ind w:firstLine="420" w:firstLineChars="200"/>
        <w:rPr>
          <w:rFonts w:hint="eastAsia" w:hAnsi="宋体"/>
          <w:color w:val="000000"/>
          <w:u w:val="single"/>
        </w:rPr>
      </w:pPr>
    </w:p>
    <w:p>
      <w:pPr>
        <w:pStyle w:val="20"/>
        <w:spacing w:line="340" w:lineRule="exact"/>
        <w:rPr>
          <w:rFonts w:hint="eastAsia" w:hAnsi="宋体"/>
          <w:color w:val="000000"/>
          <w:u w:val="single"/>
        </w:rPr>
      </w:pPr>
      <w:r>
        <w:rPr>
          <w:rFonts w:hint="eastAsia" w:hAnsi="宋体"/>
          <w:color w:val="000000"/>
        </w:rPr>
        <w:t xml:space="preserve">                                                                                             </w:t>
      </w:r>
    </w:p>
    <w:p>
      <w:pPr>
        <w:spacing w:line="340" w:lineRule="exact"/>
        <w:ind w:firstLine="420" w:firstLineChars="200"/>
        <w:rPr>
          <w:rFonts w:hint="eastAsia" w:ascii="宋体" w:hAnsi="宋体"/>
          <w:color w:val="000000"/>
          <w:kern w:val="0"/>
        </w:rPr>
      </w:pPr>
      <w:r>
        <w:rPr>
          <w:rFonts w:hint="eastAsia" w:ascii="宋体" w:hAnsi="宋体"/>
          <w:color w:val="000000"/>
          <w:kern w:val="0"/>
        </w:rPr>
        <w:t>代理人无转委托权，特此委托。</w:t>
      </w:r>
      <w:r>
        <w:rPr>
          <w:rFonts w:ascii="宋体" w:hAnsi="宋体"/>
          <w:color w:val="000000"/>
          <w:kern w:val="0"/>
        </w:rPr>
        <w:t xml:space="preserve"> </w:t>
      </w:r>
    </w:p>
    <w:p>
      <w:pPr>
        <w:snapToGrid w:val="0"/>
        <w:spacing w:line="340" w:lineRule="exact"/>
        <w:ind w:firstLine="525"/>
        <w:rPr>
          <w:rFonts w:hint="eastAsia" w:ascii="宋体" w:hAnsi="宋体"/>
          <w:color w:val="000000"/>
          <w:szCs w:val="21"/>
        </w:rPr>
      </w:pPr>
    </w:p>
    <w:p>
      <w:pPr>
        <w:snapToGrid w:val="0"/>
        <w:spacing w:line="340" w:lineRule="exact"/>
        <w:ind w:firstLine="420"/>
        <w:outlineLvl w:val="4"/>
        <w:rPr>
          <w:rFonts w:hint="eastAsia" w:ascii="宋体" w:hAnsi="宋体"/>
          <w:color w:val="000000"/>
          <w:szCs w:val="21"/>
        </w:rPr>
      </w:pPr>
      <w:r>
        <w:rPr>
          <w:rFonts w:hint="eastAsia" w:ascii="宋体" w:hAnsi="宋体"/>
          <w:color w:val="000000"/>
          <w:szCs w:val="21"/>
        </w:rPr>
        <w:t>我已在下面签字，以资证明。</w:t>
      </w:r>
    </w:p>
    <w:p>
      <w:pPr>
        <w:snapToGrid w:val="0"/>
        <w:spacing w:line="340" w:lineRule="exact"/>
        <w:ind w:firstLine="420"/>
        <w:rPr>
          <w:rFonts w:hint="eastAsia" w:ascii="宋体" w:hAnsi="宋体"/>
          <w:color w:val="000000"/>
          <w:szCs w:val="21"/>
        </w:rPr>
      </w:pPr>
    </w:p>
    <w:p>
      <w:pPr>
        <w:snapToGrid w:val="0"/>
        <w:spacing w:line="340" w:lineRule="exact"/>
        <w:ind w:firstLine="420"/>
        <w:outlineLvl w:val="4"/>
        <w:rPr>
          <w:rFonts w:hint="eastAsia" w:ascii="宋体" w:hAnsi="宋体"/>
          <w:color w:val="000000"/>
          <w:szCs w:val="21"/>
        </w:rPr>
      </w:pPr>
      <w:r>
        <w:rPr>
          <w:rFonts w:hint="eastAsia" w:ascii="宋体" w:hAnsi="宋体"/>
          <w:color w:val="000000"/>
          <w:szCs w:val="21"/>
        </w:rPr>
        <w:t>自然人签字并在签名处加盖大拇指指印：</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napToGrid w:val="0"/>
        <w:spacing w:line="340" w:lineRule="exact"/>
        <w:ind w:firstLine="420"/>
        <w:rPr>
          <w:rFonts w:hint="eastAsia" w:ascii="宋体" w:hAnsi="宋体"/>
          <w:color w:val="000000"/>
          <w:szCs w:val="21"/>
        </w:rPr>
      </w:pPr>
    </w:p>
    <w:p>
      <w:pPr>
        <w:pStyle w:val="20"/>
        <w:spacing w:line="400" w:lineRule="exact"/>
        <w:ind w:left="420" w:leftChars="200" w:firstLine="157" w:firstLineChars="49"/>
        <w:rPr>
          <w:rFonts w:hint="eastAsia" w:hAnsi="宋体"/>
          <w:b/>
          <w:color w:val="000000"/>
          <w:sz w:val="32"/>
          <w:szCs w:val="32"/>
        </w:rPr>
      </w:pPr>
    </w:p>
    <w:p>
      <w:pPr>
        <w:pStyle w:val="20"/>
        <w:spacing w:line="400" w:lineRule="exact"/>
        <w:ind w:left="420" w:leftChars="200" w:firstLine="157" w:firstLineChars="49"/>
        <w:rPr>
          <w:rFonts w:hint="eastAsia" w:hAnsi="宋体"/>
          <w:b/>
          <w:color w:val="000000"/>
          <w:sz w:val="32"/>
          <w:szCs w:val="32"/>
        </w:rPr>
      </w:pPr>
    </w:p>
    <w:p>
      <w:pPr>
        <w:pStyle w:val="20"/>
        <w:spacing w:line="400" w:lineRule="exact"/>
        <w:ind w:left="420" w:leftChars="200" w:firstLine="157" w:firstLineChars="49"/>
        <w:rPr>
          <w:rFonts w:hint="eastAsia" w:hAnsi="宋体"/>
          <w:b/>
          <w:color w:val="000000"/>
          <w:sz w:val="32"/>
          <w:szCs w:val="32"/>
        </w:rPr>
      </w:pPr>
    </w:p>
    <w:p>
      <w:pPr>
        <w:pStyle w:val="20"/>
        <w:spacing w:line="400" w:lineRule="exact"/>
        <w:rPr>
          <w:rFonts w:hAnsi="宋体"/>
          <w:b/>
          <w:color w:val="000000"/>
          <w:sz w:val="32"/>
          <w:szCs w:val="32"/>
        </w:rPr>
      </w:pPr>
      <w:r>
        <w:rPr>
          <w:rFonts w:hint="eastAsia" w:hAnsi="宋体"/>
          <w:b/>
          <w:color w:val="000000"/>
          <w:sz w:val="32"/>
          <w:szCs w:val="32"/>
        </w:rPr>
        <w:t>3.投标人的法人或者其他组织营业执照副本复印件（必须提供，自然人除外）；</w:t>
      </w:r>
    </w:p>
    <w:p>
      <w:pPr>
        <w:tabs>
          <w:tab w:val="left" w:pos="1305"/>
        </w:tabs>
        <w:spacing w:line="400" w:lineRule="exact"/>
        <w:rPr>
          <w:rFonts w:hint="eastAsia" w:ascii="宋体" w:hAnsi="宋体"/>
          <w:b/>
          <w:color w:val="000000"/>
          <w:szCs w:val="21"/>
        </w:rPr>
      </w:pPr>
      <w:r>
        <w:rPr>
          <w:rFonts w:hint="eastAsia" w:ascii="宋体" w:hAnsi="宋体"/>
          <w:b/>
          <w:color w:val="000000"/>
          <w:szCs w:val="21"/>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20"/>
        <w:spacing w:line="400" w:lineRule="exact"/>
        <w:ind w:left="420" w:leftChars="200" w:firstLine="157" w:firstLineChars="49"/>
        <w:rPr>
          <w:rFonts w:hint="eastAsia" w:hAnsi="宋体"/>
          <w:b/>
          <w:color w:val="000000"/>
          <w:sz w:val="32"/>
          <w:szCs w:val="32"/>
        </w:rPr>
      </w:pPr>
    </w:p>
    <w:p>
      <w:pPr>
        <w:pStyle w:val="20"/>
        <w:spacing w:line="400" w:lineRule="exact"/>
        <w:ind w:left="420" w:leftChars="200" w:firstLine="157" w:firstLineChars="49"/>
        <w:rPr>
          <w:rFonts w:hint="eastAsia" w:hAnsi="宋体"/>
          <w:b/>
          <w:color w:val="000000"/>
          <w:sz w:val="32"/>
          <w:szCs w:val="32"/>
        </w:rPr>
      </w:pPr>
    </w:p>
    <w:p>
      <w:pPr>
        <w:spacing w:line="300" w:lineRule="exact"/>
        <w:rPr>
          <w:rFonts w:hAnsi="宋体"/>
          <w:b/>
          <w:color w:val="000000"/>
          <w:sz w:val="32"/>
          <w:szCs w:val="32"/>
        </w:rPr>
      </w:pPr>
      <w:r>
        <w:rPr>
          <w:rFonts w:hAnsi="宋体"/>
          <w:b/>
          <w:color w:val="000000"/>
          <w:sz w:val="32"/>
          <w:szCs w:val="32"/>
        </w:rPr>
        <w:br w:type="page"/>
      </w:r>
    </w:p>
    <w:p>
      <w:pPr>
        <w:pStyle w:val="20"/>
        <w:spacing w:line="400" w:lineRule="exact"/>
        <w:rPr>
          <w:rFonts w:hint="eastAsia" w:hAnsi="宋体"/>
          <w:b/>
          <w:color w:val="000000"/>
          <w:sz w:val="32"/>
          <w:szCs w:val="32"/>
        </w:rPr>
      </w:pPr>
      <w:r>
        <w:rPr>
          <w:rFonts w:hint="eastAsia" w:hAnsi="宋体"/>
          <w:b/>
          <w:color w:val="000000"/>
          <w:sz w:val="32"/>
          <w:szCs w:val="32"/>
        </w:rPr>
        <w:t>4.投标人参加政府采购活动前3年内在经营活动中没有重大违法记录及有关信用信息的书面声明（必须提供）</w:t>
      </w:r>
    </w:p>
    <w:p>
      <w:pPr>
        <w:pStyle w:val="20"/>
        <w:spacing w:line="400" w:lineRule="exact"/>
        <w:ind w:left="420" w:leftChars="200" w:firstLine="157" w:firstLineChars="49"/>
        <w:rPr>
          <w:rFonts w:hint="eastAsia" w:hAnsi="宋体"/>
          <w:b/>
          <w:color w:val="000000"/>
          <w:sz w:val="32"/>
          <w:szCs w:val="32"/>
        </w:rPr>
      </w:pPr>
      <w:r>
        <w:rPr>
          <w:rFonts w:hint="eastAsia" w:hAnsi="宋体"/>
          <w:b/>
          <w:color w:val="000000"/>
          <w:sz w:val="32"/>
          <w:szCs w:val="32"/>
        </w:rPr>
        <w:t xml:space="preserve">                       </w:t>
      </w:r>
    </w:p>
    <w:p>
      <w:pPr>
        <w:pStyle w:val="20"/>
        <w:spacing w:line="400" w:lineRule="exact"/>
        <w:jc w:val="center"/>
        <w:rPr>
          <w:rFonts w:hint="eastAsia" w:hAnsi="宋体"/>
          <w:b/>
          <w:color w:val="000000"/>
          <w:sz w:val="32"/>
          <w:szCs w:val="32"/>
        </w:rPr>
      </w:pPr>
    </w:p>
    <w:p>
      <w:pPr>
        <w:pStyle w:val="20"/>
        <w:spacing w:line="400" w:lineRule="exact"/>
        <w:jc w:val="center"/>
        <w:outlineLvl w:val="0"/>
        <w:rPr>
          <w:rFonts w:hint="eastAsia" w:hAnsi="宋体"/>
          <w:b/>
          <w:color w:val="000000"/>
          <w:sz w:val="32"/>
          <w:szCs w:val="32"/>
        </w:rPr>
      </w:pPr>
      <w:bookmarkStart w:id="52" w:name="_Toc19367"/>
      <w:r>
        <w:rPr>
          <w:rFonts w:hint="eastAsia" w:hAnsi="宋体"/>
          <w:b/>
          <w:color w:val="000000"/>
          <w:sz w:val="32"/>
          <w:szCs w:val="32"/>
        </w:rPr>
        <w:t>声   明</w:t>
      </w:r>
      <w:bookmarkEnd w:id="52"/>
    </w:p>
    <w:p>
      <w:pPr>
        <w:snapToGrid w:val="0"/>
        <w:spacing w:line="400" w:lineRule="exact"/>
        <w:outlineLvl w:val="4"/>
        <w:rPr>
          <w:rFonts w:hint="eastAsia" w:ascii="宋体" w:hAnsi="宋体"/>
          <w:color w:val="000000"/>
        </w:rPr>
      </w:pPr>
      <w:r>
        <w:rPr>
          <w:rFonts w:hint="eastAsia" w:ascii="宋体" w:hAnsi="宋体"/>
          <w:b/>
          <w:color w:val="000000"/>
          <w:szCs w:val="21"/>
        </w:rPr>
        <w:t>致</w:t>
      </w:r>
      <w:r>
        <w:rPr>
          <w:rFonts w:hint="eastAsia" w:ascii="宋体" w:hAnsi="宋体"/>
          <w:color w:val="000000"/>
          <w:szCs w:val="21"/>
        </w:rPr>
        <w:t>：</w:t>
      </w:r>
      <w:r>
        <w:rPr>
          <w:rFonts w:hint="eastAsia" w:ascii="宋体" w:hAnsi="宋体"/>
          <w:color w:val="000000"/>
          <w:u w:val="single"/>
        </w:rPr>
        <w:t>广西新厦工程咨询有限公司</w:t>
      </w:r>
    </w:p>
    <w:p>
      <w:pPr>
        <w:snapToGrid w:val="0"/>
        <w:spacing w:line="400" w:lineRule="exact"/>
        <w:rPr>
          <w:rFonts w:hint="eastAsia" w:ascii="宋体" w:hAnsi="宋体"/>
          <w:color w:val="000000"/>
          <w:szCs w:val="21"/>
          <w:u w:val="single"/>
        </w:rPr>
      </w:pPr>
    </w:p>
    <w:p>
      <w:pPr>
        <w:pStyle w:val="20"/>
        <w:spacing w:line="380" w:lineRule="exact"/>
        <w:ind w:firstLine="420" w:firstLineChars="200"/>
        <w:rPr>
          <w:rFonts w:hint="eastAsia" w:hAnsi="宋体"/>
          <w:color w:val="000000"/>
        </w:rPr>
      </w:pPr>
      <w:r>
        <w:rPr>
          <w:rFonts w:hint="eastAsia" w:hAnsi="宋体"/>
          <w:color w:val="00000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color w:val="000000"/>
          <w:szCs w:val="21"/>
        </w:rPr>
      </w:pPr>
    </w:p>
    <w:p>
      <w:pPr>
        <w:snapToGrid w:val="0"/>
        <w:spacing w:line="400" w:lineRule="exact"/>
        <w:ind w:firstLine="1890" w:firstLineChars="900"/>
        <w:outlineLvl w:val="4"/>
        <w:rPr>
          <w:rFonts w:hint="eastAsia" w:ascii="宋体" w:hAnsi="宋体"/>
          <w:color w:val="000000"/>
          <w:szCs w:val="21"/>
          <w:u w:val="single"/>
        </w:rPr>
      </w:pPr>
      <w:r>
        <w:rPr>
          <w:rFonts w:hint="eastAsia" w:ascii="宋体" w:hAnsi="宋体"/>
          <w:color w:val="000000"/>
          <w:szCs w:val="21"/>
        </w:rPr>
        <w:t>投标人（公章，自然人除外）：</w:t>
      </w:r>
      <w:r>
        <w:rPr>
          <w:rFonts w:hint="eastAsia" w:ascii="宋体" w:hAnsi="宋体"/>
          <w:color w:val="000000"/>
          <w:szCs w:val="21"/>
          <w:u w:val="single"/>
        </w:rPr>
        <w:t xml:space="preserve">                                         </w:t>
      </w:r>
    </w:p>
    <w:p>
      <w:pPr>
        <w:spacing w:line="340" w:lineRule="exact"/>
        <w:ind w:firstLine="1890" w:firstLineChars="900"/>
        <w:rPr>
          <w:rFonts w:hint="eastAsia" w:ascii="宋体" w:hAnsi="宋体"/>
          <w:color w:val="000000"/>
        </w:rPr>
      </w:pPr>
      <w:r>
        <w:rPr>
          <w:rFonts w:hint="eastAsia" w:ascii="宋体" w:hAnsi="宋体"/>
          <w:color w:val="000000"/>
        </w:rPr>
        <w:t>法定代表人、负责人、自然人或相应的委托代理人签字（或盖章）</w:t>
      </w:r>
    </w:p>
    <w:p>
      <w:pPr>
        <w:spacing w:line="340" w:lineRule="exact"/>
        <w:ind w:firstLine="1680" w:firstLineChars="800"/>
        <w:rPr>
          <w:rFonts w:hint="eastAsia" w:ascii="宋体" w:hAnsi="宋体"/>
          <w:color w:val="000000"/>
          <w:szCs w:val="21"/>
          <w:u w:val="single"/>
        </w:rPr>
      </w:pPr>
      <w:r>
        <w:rPr>
          <w:rFonts w:hint="eastAsia" w:ascii="宋体" w:hAnsi="宋体"/>
          <w:color w:val="000000"/>
        </w:rPr>
        <w:t>（属自然人的应在签名处加盖大拇指指印）：</w:t>
      </w:r>
      <w:r>
        <w:rPr>
          <w:rFonts w:hint="eastAsia" w:ascii="宋体" w:hAnsi="宋体"/>
          <w:color w:val="000000"/>
          <w:szCs w:val="21"/>
          <w:u w:val="single"/>
        </w:rPr>
        <w:t xml:space="preserve">                              </w:t>
      </w:r>
    </w:p>
    <w:p>
      <w:pPr>
        <w:spacing w:line="340" w:lineRule="exact"/>
        <w:ind w:firstLine="1680" w:firstLineChars="800"/>
        <w:rPr>
          <w:rFonts w:hint="eastAsia" w:ascii="宋体" w:hAnsi="宋体"/>
          <w:color w:val="000000"/>
        </w:rPr>
      </w:pPr>
    </w:p>
    <w:p>
      <w:pPr>
        <w:spacing w:line="340" w:lineRule="exact"/>
        <w:ind w:firstLine="1890" w:firstLineChars="900"/>
        <w:rPr>
          <w:rFonts w:hint="eastAsia" w:ascii="宋体" w:hAnsi="宋体"/>
          <w:color w:val="000000"/>
          <w:szCs w:val="21"/>
          <w:u w:val="single"/>
        </w:rPr>
      </w:pPr>
      <w:r>
        <w:rPr>
          <w:rFonts w:hint="eastAsia" w:ascii="宋体" w:hAnsi="宋体"/>
          <w:color w:val="000000"/>
        </w:rPr>
        <w:t xml:space="preserve"> 日          期：</w:t>
      </w:r>
      <w:r>
        <w:rPr>
          <w:rFonts w:hint="eastAsia" w:ascii="宋体" w:hAnsi="宋体"/>
          <w:color w:val="000000"/>
          <w:u w:val="single"/>
        </w:rPr>
        <w:t xml:space="preserve">                                                   </w:t>
      </w:r>
    </w:p>
    <w:p>
      <w:pPr>
        <w:pStyle w:val="20"/>
        <w:spacing w:line="440" w:lineRule="exact"/>
        <w:ind w:firstLine="420"/>
        <w:jc w:val="center"/>
        <w:rPr>
          <w:rFonts w:hint="eastAsia" w:hAnsi="宋体"/>
          <w:color w:val="000000"/>
          <w:u w:val="single"/>
        </w:rPr>
      </w:pPr>
    </w:p>
    <w:p>
      <w:pPr>
        <w:pStyle w:val="20"/>
        <w:spacing w:line="440" w:lineRule="exact"/>
        <w:ind w:firstLine="420"/>
        <w:jc w:val="center"/>
        <w:rPr>
          <w:rFonts w:hint="eastAsia" w:hAnsi="宋体"/>
          <w:color w:val="000000"/>
          <w:u w:val="single"/>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pStyle w:val="15"/>
        <w:rPr>
          <w:rFonts w:ascii="宋体" w:hAnsi="宋体"/>
          <w:b/>
          <w:color w:val="000000"/>
          <w:sz w:val="32"/>
          <w:szCs w:val="32"/>
        </w:rPr>
      </w:pPr>
    </w:p>
    <w:p>
      <w:pPr>
        <w:pStyle w:val="15"/>
        <w:rPr>
          <w:rFonts w:ascii="宋体" w:hAnsi="宋体"/>
          <w:b/>
          <w:color w:val="000000"/>
          <w:sz w:val="32"/>
          <w:szCs w:val="32"/>
        </w:rPr>
      </w:pPr>
    </w:p>
    <w:p>
      <w:pPr>
        <w:pStyle w:val="15"/>
        <w:rPr>
          <w:rFonts w:ascii="宋体" w:hAnsi="宋体"/>
          <w:b/>
          <w:color w:val="000000"/>
          <w:sz w:val="32"/>
          <w:szCs w:val="32"/>
        </w:rPr>
      </w:pPr>
    </w:p>
    <w:p>
      <w:pPr>
        <w:pStyle w:val="15"/>
        <w:rPr>
          <w:rFonts w:ascii="宋体" w:hAnsi="宋体"/>
          <w:b/>
          <w:color w:val="000000"/>
          <w:sz w:val="32"/>
          <w:szCs w:val="32"/>
        </w:rPr>
      </w:pPr>
    </w:p>
    <w:p>
      <w:pPr>
        <w:pStyle w:val="15"/>
        <w:rPr>
          <w:rFonts w:ascii="宋体" w:hAnsi="宋体"/>
          <w:b/>
          <w:color w:val="000000"/>
          <w:sz w:val="32"/>
          <w:szCs w:val="32"/>
        </w:rPr>
      </w:pPr>
    </w:p>
    <w:p>
      <w:pPr>
        <w:pStyle w:val="15"/>
        <w:rPr>
          <w:rFonts w:ascii="宋体" w:hAnsi="宋体"/>
          <w:b/>
          <w:color w:val="000000"/>
          <w:sz w:val="32"/>
          <w:szCs w:val="32"/>
        </w:rPr>
      </w:pPr>
    </w:p>
    <w:p>
      <w:pPr>
        <w:pStyle w:val="15"/>
        <w:rPr>
          <w:rFonts w:ascii="宋体" w:hAnsi="宋体"/>
          <w:b/>
          <w:color w:val="000000"/>
          <w:sz w:val="32"/>
          <w:szCs w:val="32"/>
        </w:rPr>
      </w:pPr>
    </w:p>
    <w:p>
      <w:pPr>
        <w:pStyle w:val="15"/>
        <w:rPr>
          <w:rFonts w:ascii="宋体" w:hAnsi="宋体"/>
          <w:b/>
          <w:color w:val="000000"/>
          <w:sz w:val="32"/>
          <w:szCs w:val="32"/>
        </w:rPr>
      </w:pPr>
    </w:p>
    <w:p>
      <w:pPr>
        <w:spacing w:line="400" w:lineRule="exact"/>
        <w:rPr>
          <w:rFonts w:ascii="宋体" w:hAnsi="宋体"/>
          <w:b/>
          <w:color w:val="000000"/>
          <w:sz w:val="32"/>
          <w:szCs w:val="32"/>
        </w:rPr>
      </w:pPr>
    </w:p>
    <w:p>
      <w:pPr>
        <w:spacing w:line="400" w:lineRule="exact"/>
        <w:outlineLvl w:val="0"/>
        <w:rPr>
          <w:rFonts w:hint="eastAsia" w:ascii="宋体" w:hAnsi="宋体"/>
          <w:b/>
          <w:color w:val="000000"/>
          <w:sz w:val="32"/>
          <w:szCs w:val="32"/>
        </w:rPr>
      </w:pPr>
      <w:bookmarkStart w:id="53" w:name="_Toc29331"/>
      <w:r>
        <w:rPr>
          <w:rFonts w:hint="eastAsia" w:ascii="宋体" w:hAnsi="宋体"/>
          <w:b/>
          <w:color w:val="000000"/>
          <w:sz w:val="32"/>
          <w:szCs w:val="32"/>
        </w:rPr>
        <w:t>三、商务、技术性响应及其他有效证明材料（格式）</w:t>
      </w:r>
      <w:bookmarkEnd w:id="53"/>
    </w:p>
    <w:p>
      <w:pPr>
        <w:pStyle w:val="20"/>
        <w:spacing w:line="400" w:lineRule="exact"/>
        <w:ind w:left="420"/>
        <w:rPr>
          <w:rFonts w:hint="eastAsia" w:hAnsi="宋体"/>
          <w:b/>
          <w:color w:val="000000"/>
          <w:sz w:val="32"/>
          <w:szCs w:val="32"/>
        </w:rPr>
      </w:pPr>
    </w:p>
    <w:p>
      <w:pPr>
        <w:pStyle w:val="20"/>
        <w:spacing w:line="400" w:lineRule="exact"/>
        <w:ind w:left="420"/>
        <w:rPr>
          <w:rFonts w:hint="eastAsia" w:hAnsi="宋体"/>
          <w:b/>
          <w:color w:val="000000"/>
          <w:sz w:val="32"/>
          <w:szCs w:val="32"/>
        </w:rPr>
      </w:pPr>
      <w:r>
        <w:rPr>
          <w:rFonts w:hint="eastAsia" w:hAnsi="宋体"/>
          <w:b/>
          <w:color w:val="000000"/>
          <w:sz w:val="32"/>
          <w:szCs w:val="32"/>
        </w:rPr>
        <w:t>1.技术规格</w:t>
      </w:r>
      <w:r>
        <w:rPr>
          <w:rFonts w:hint="eastAsia" w:hAnsi="宋体"/>
          <w:b/>
          <w:color w:val="000000"/>
          <w:sz w:val="32"/>
          <w:szCs w:val="32"/>
          <w:lang w:eastAsia="zh-CN"/>
        </w:rPr>
        <w:t>及商务响应</w:t>
      </w:r>
      <w:r>
        <w:rPr>
          <w:rFonts w:hint="eastAsia" w:hAnsi="宋体"/>
          <w:b/>
          <w:color w:val="000000"/>
          <w:sz w:val="32"/>
          <w:szCs w:val="32"/>
        </w:rPr>
        <w:t>偏离表（必须提供）</w:t>
      </w:r>
    </w:p>
    <w:p>
      <w:pPr>
        <w:pStyle w:val="20"/>
        <w:ind w:firstLine="472" w:firstLineChars="147"/>
        <w:rPr>
          <w:rFonts w:hint="eastAsia" w:hAnsi="宋体"/>
          <w:b/>
          <w:bCs/>
          <w:color w:val="000000"/>
          <w:sz w:val="32"/>
        </w:rPr>
      </w:pPr>
      <w:r>
        <w:rPr>
          <w:rFonts w:hint="eastAsia" w:hAnsi="宋体"/>
          <w:b/>
          <w:color w:val="000000"/>
          <w:sz w:val="32"/>
          <w:szCs w:val="32"/>
        </w:rPr>
        <w:t xml:space="preserve"> </w:t>
      </w:r>
      <w:r>
        <w:rPr>
          <w:rFonts w:hint="eastAsia" w:hAnsi="宋体"/>
          <w:b/>
          <w:color w:val="000000"/>
          <w:sz w:val="24"/>
          <w:szCs w:val="24"/>
        </w:rPr>
        <w:t xml:space="preserve">          </w:t>
      </w:r>
      <w:r>
        <w:rPr>
          <w:rFonts w:hint="eastAsia" w:hAnsi="宋体"/>
          <w:b/>
          <w:color w:val="000000"/>
          <w:sz w:val="32"/>
          <w:szCs w:val="32"/>
        </w:rPr>
        <w:t xml:space="preserve"> 技术规格偏离表</w:t>
      </w:r>
      <w:r>
        <w:rPr>
          <w:rFonts w:hint="eastAsia" w:hAnsi="宋体"/>
          <w:b/>
          <w:bCs/>
          <w:color w:val="000000"/>
          <w:sz w:val="32"/>
        </w:rPr>
        <w:t>（格式）</w:t>
      </w:r>
    </w:p>
    <w:p>
      <w:pPr>
        <w:pStyle w:val="20"/>
        <w:ind w:firstLine="308" w:firstLineChars="147"/>
        <w:rPr>
          <w:rFonts w:hAnsi="宋体"/>
          <w:color w:val="000000"/>
        </w:rPr>
      </w:pPr>
    </w:p>
    <w:tbl>
      <w:tblPr>
        <w:tblStyle w:val="43"/>
        <w:tblpPr w:leftFromText="180" w:rightFromText="180" w:vertAnchor="text" w:horzAnchor="page" w:tblpX="796" w:tblpY="391"/>
        <w:tblOverlap w:val="never"/>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1"/>
        <w:gridCol w:w="2489"/>
        <w:gridCol w:w="25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 w:type="dxa"/>
            <w:vAlign w:val="center"/>
          </w:tcPr>
          <w:p>
            <w:pPr>
              <w:pStyle w:val="20"/>
              <w:spacing w:line="400" w:lineRule="exact"/>
              <w:jc w:val="center"/>
              <w:rPr>
                <w:rFonts w:hint="eastAsia" w:hAnsi="宋体"/>
                <w:color w:val="000000"/>
              </w:rPr>
            </w:pPr>
            <w:r>
              <w:rPr>
                <w:rFonts w:hint="eastAsia" w:hAnsi="宋体"/>
                <w:color w:val="000000"/>
              </w:rPr>
              <w:t>序号</w:t>
            </w:r>
          </w:p>
        </w:tc>
        <w:tc>
          <w:tcPr>
            <w:tcW w:w="1651" w:type="dxa"/>
            <w:vAlign w:val="center"/>
          </w:tcPr>
          <w:p>
            <w:pPr>
              <w:pStyle w:val="20"/>
              <w:spacing w:line="400" w:lineRule="exact"/>
              <w:jc w:val="center"/>
              <w:rPr>
                <w:rFonts w:hint="eastAsia" w:hAnsi="宋体"/>
                <w:color w:val="000000"/>
              </w:rPr>
            </w:pPr>
            <w:r>
              <w:rPr>
                <w:rFonts w:hint="eastAsia" w:hAnsi="宋体"/>
                <w:color w:val="000000"/>
              </w:rPr>
              <w:t>货物名称</w:t>
            </w:r>
          </w:p>
        </w:tc>
        <w:tc>
          <w:tcPr>
            <w:tcW w:w="2489" w:type="dxa"/>
            <w:vAlign w:val="center"/>
          </w:tcPr>
          <w:p>
            <w:pPr>
              <w:pStyle w:val="20"/>
              <w:spacing w:line="300" w:lineRule="exact"/>
              <w:jc w:val="center"/>
              <w:rPr>
                <w:rFonts w:hint="eastAsia" w:hAnsi="宋体"/>
                <w:color w:val="000000"/>
              </w:rPr>
            </w:pPr>
            <w:r>
              <w:rPr>
                <w:rFonts w:hint="eastAsia" w:hAnsi="宋体"/>
                <w:b/>
                <w:color w:val="000000"/>
                <w:szCs w:val="21"/>
              </w:rPr>
              <w:t>项目要求及技术需求</w:t>
            </w:r>
          </w:p>
        </w:tc>
        <w:tc>
          <w:tcPr>
            <w:tcW w:w="2520" w:type="dxa"/>
            <w:vAlign w:val="center"/>
          </w:tcPr>
          <w:p>
            <w:pPr>
              <w:pStyle w:val="20"/>
              <w:spacing w:line="300" w:lineRule="exact"/>
              <w:jc w:val="center"/>
              <w:rPr>
                <w:rFonts w:hint="eastAsia" w:hAnsi="宋体"/>
                <w:b/>
                <w:color w:val="000000"/>
                <w:szCs w:val="21"/>
              </w:rPr>
            </w:pPr>
            <w:r>
              <w:rPr>
                <w:rFonts w:hint="eastAsia" w:hAnsi="宋体"/>
                <w:b/>
                <w:color w:val="000000"/>
                <w:szCs w:val="21"/>
              </w:rPr>
              <w:t>投标文件的响应情况</w:t>
            </w:r>
          </w:p>
        </w:tc>
        <w:tc>
          <w:tcPr>
            <w:tcW w:w="2700" w:type="dxa"/>
            <w:vAlign w:val="center"/>
          </w:tcPr>
          <w:p>
            <w:pPr>
              <w:pStyle w:val="20"/>
              <w:spacing w:line="400" w:lineRule="exact"/>
              <w:jc w:val="center"/>
              <w:rPr>
                <w:rFonts w:hint="eastAsia" w:hAnsi="宋体"/>
                <w:color w:val="000000"/>
              </w:rPr>
            </w:pPr>
            <w:bookmarkStart w:id="54" w:name="_Toc254970701"/>
            <w:bookmarkStart w:id="55" w:name="_Toc254970560"/>
            <w:r>
              <w:rPr>
                <w:rFonts w:hint="eastAsia" w:hAnsi="宋体"/>
                <w:color w:val="000000"/>
              </w:rPr>
              <w:t>偏离情况</w:t>
            </w:r>
            <w:bookmarkEnd w:id="54"/>
            <w:bookmarkEnd w:id="55"/>
            <w:r>
              <w:rPr>
                <w:rFonts w:hint="eastAsia"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cs="宋体"/>
                <w:color w:val="000000"/>
                <w:szCs w:val="21"/>
              </w:rPr>
            </w:pPr>
            <w:r>
              <w:rPr>
                <w:rFonts w:hint="eastAsia" w:ascii="宋体" w:hAnsi="宋体" w:cs="宋体"/>
                <w:color w:val="000000"/>
                <w:szCs w:val="21"/>
              </w:rPr>
              <w:t>1</w:t>
            </w:r>
          </w:p>
        </w:tc>
        <w:tc>
          <w:tcPr>
            <w:tcW w:w="1651" w:type="dxa"/>
            <w:vAlign w:val="center"/>
          </w:tcPr>
          <w:p>
            <w:pPr>
              <w:jc w:val="center"/>
              <w:rPr>
                <w:rFonts w:ascii="宋体" w:hAnsi="宋体" w:cs="宋体"/>
                <w:color w:val="000000"/>
                <w:szCs w:val="21"/>
              </w:rPr>
            </w:pPr>
          </w:p>
        </w:tc>
        <w:tc>
          <w:tcPr>
            <w:tcW w:w="2489" w:type="dxa"/>
            <w:vAlign w:val="center"/>
          </w:tcPr>
          <w:p>
            <w:pPr>
              <w:pStyle w:val="20"/>
              <w:spacing w:line="600" w:lineRule="exact"/>
              <w:jc w:val="center"/>
              <w:rPr>
                <w:rFonts w:hint="eastAsia" w:hAnsi="宋体"/>
                <w:color w:val="000000"/>
              </w:rPr>
            </w:pPr>
          </w:p>
        </w:tc>
        <w:tc>
          <w:tcPr>
            <w:tcW w:w="2520" w:type="dxa"/>
          </w:tcPr>
          <w:p>
            <w:pPr>
              <w:pStyle w:val="20"/>
              <w:spacing w:line="600" w:lineRule="exact"/>
              <w:jc w:val="center"/>
              <w:rPr>
                <w:rFonts w:hint="eastAsia" w:hAnsi="宋体"/>
                <w:color w:val="000000"/>
              </w:rPr>
            </w:pPr>
          </w:p>
        </w:tc>
        <w:tc>
          <w:tcPr>
            <w:tcW w:w="2700" w:type="dxa"/>
            <w:vAlign w:val="center"/>
          </w:tcPr>
          <w:p>
            <w:pPr>
              <w:pStyle w:val="20"/>
              <w:spacing w:line="600" w:lineRule="exact"/>
              <w:jc w:val="center"/>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cs="宋体"/>
                <w:color w:val="000000"/>
                <w:szCs w:val="21"/>
              </w:rPr>
            </w:pPr>
            <w:r>
              <w:rPr>
                <w:rFonts w:hint="eastAsia" w:ascii="宋体" w:hAnsi="宋体" w:cs="宋体"/>
                <w:color w:val="000000"/>
                <w:szCs w:val="21"/>
              </w:rPr>
              <w:t>2</w:t>
            </w:r>
          </w:p>
        </w:tc>
        <w:tc>
          <w:tcPr>
            <w:tcW w:w="1651" w:type="dxa"/>
            <w:vAlign w:val="center"/>
          </w:tcPr>
          <w:p>
            <w:pPr>
              <w:jc w:val="center"/>
              <w:rPr>
                <w:rFonts w:ascii="宋体" w:hAnsi="宋体" w:cs="宋体"/>
                <w:color w:val="000000"/>
                <w:szCs w:val="21"/>
              </w:rPr>
            </w:pPr>
          </w:p>
        </w:tc>
        <w:tc>
          <w:tcPr>
            <w:tcW w:w="2489" w:type="dxa"/>
          </w:tcPr>
          <w:p>
            <w:pPr>
              <w:pStyle w:val="20"/>
              <w:spacing w:line="600" w:lineRule="exact"/>
              <w:rPr>
                <w:rFonts w:hint="eastAsia" w:hAnsi="宋体"/>
                <w:color w:val="000000"/>
              </w:rPr>
            </w:pPr>
          </w:p>
        </w:tc>
        <w:tc>
          <w:tcPr>
            <w:tcW w:w="2520" w:type="dxa"/>
          </w:tcPr>
          <w:p>
            <w:pPr>
              <w:pStyle w:val="20"/>
              <w:spacing w:line="600" w:lineRule="exact"/>
              <w:rPr>
                <w:rFonts w:hint="eastAsia" w:hAnsi="宋体"/>
                <w:color w:val="000000"/>
              </w:rPr>
            </w:pPr>
          </w:p>
        </w:tc>
        <w:tc>
          <w:tcPr>
            <w:tcW w:w="2700" w:type="dxa"/>
          </w:tcPr>
          <w:p>
            <w:pPr>
              <w:pStyle w:val="20"/>
              <w:spacing w:line="600" w:lineRule="exact"/>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cs="宋体"/>
                <w:color w:val="000000"/>
                <w:szCs w:val="21"/>
              </w:rPr>
            </w:pPr>
            <w:r>
              <w:rPr>
                <w:rFonts w:hint="eastAsia" w:ascii="宋体" w:hAnsi="宋体" w:cs="宋体"/>
                <w:color w:val="000000"/>
                <w:szCs w:val="21"/>
              </w:rPr>
              <w:t>3</w:t>
            </w:r>
          </w:p>
        </w:tc>
        <w:tc>
          <w:tcPr>
            <w:tcW w:w="1651" w:type="dxa"/>
            <w:vAlign w:val="center"/>
          </w:tcPr>
          <w:p>
            <w:pPr>
              <w:jc w:val="center"/>
              <w:rPr>
                <w:rFonts w:ascii="宋体" w:hAnsi="宋体" w:cs="宋体"/>
                <w:color w:val="000000"/>
                <w:szCs w:val="21"/>
              </w:rPr>
            </w:pPr>
          </w:p>
        </w:tc>
        <w:tc>
          <w:tcPr>
            <w:tcW w:w="2489" w:type="dxa"/>
          </w:tcPr>
          <w:p>
            <w:pPr>
              <w:pStyle w:val="20"/>
              <w:spacing w:line="600" w:lineRule="exact"/>
              <w:rPr>
                <w:rFonts w:hint="eastAsia" w:hAnsi="宋体"/>
                <w:color w:val="000000"/>
              </w:rPr>
            </w:pPr>
          </w:p>
        </w:tc>
        <w:tc>
          <w:tcPr>
            <w:tcW w:w="2520" w:type="dxa"/>
          </w:tcPr>
          <w:p>
            <w:pPr>
              <w:pStyle w:val="20"/>
              <w:spacing w:line="600" w:lineRule="exact"/>
              <w:rPr>
                <w:rFonts w:hint="eastAsia" w:hAnsi="宋体"/>
                <w:color w:val="000000"/>
              </w:rPr>
            </w:pPr>
          </w:p>
        </w:tc>
        <w:tc>
          <w:tcPr>
            <w:tcW w:w="2700" w:type="dxa"/>
          </w:tcPr>
          <w:p>
            <w:pPr>
              <w:pStyle w:val="20"/>
              <w:spacing w:line="600" w:lineRule="exact"/>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1651" w:type="dxa"/>
            <w:vAlign w:val="center"/>
          </w:tcPr>
          <w:p>
            <w:pPr>
              <w:jc w:val="center"/>
              <w:rPr>
                <w:rFonts w:hint="eastAsia" w:ascii="宋体" w:hAnsi="宋体" w:cs="宋体"/>
                <w:color w:val="000000"/>
                <w:szCs w:val="21"/>
              </w:rPr>
            </w:pPr>
          </w:p>
        </w:tc>
        <w:tc>
          <w:tcPr>
            <w:tcW w:w="2489" w:type="dxa"/>
          </w:tcPr>
          <w:p>
            <w:pPr>
              <w:pStyle w:val="20"/>
              <w:spacing w:line="600" w:lineRule="exact"/>
              <w:rPr>
                <w:rFonts w:hint="eastAsia" w:hAnsi="宋体"/>
                <w:color w:val="000000"/>
              </w:rPr>
            </w:pPr>
          </w:p>
        </w:tc>
        <w:tc>
          <w:tcPr>
            <w:tcW w:w="2520" w:type="dxa"/>
          </w:tcPr>
          <w:p>
            <w:pPr>
              <w:pStyle w:val="20"/>
              <w:spacing w:line="600" w:lineRule="exact"/>
              <w:rPr>
                <w:rFonts w:hint="eastAsia" w:hAnsi="宋体"/>
                <w:color w:val="000000"/>
              </w:rPr>
            </w:pPr>
          </w:p>
        </w:tc>
        <w:tc>
          <w:tcPr>
            <w:tcW w:w="2700" w:type="dxa"/>
          </w:tcPr>
          <w:p>
            <w:pPr>
              <w:pStyle w:val="20"/>
              <w:spacing w:line="600" w:lineRule="exact"/>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cs="宋体"/>
                <w:color w:val="000000"/>
                <w:szCs w:val="21"/>
              </w:rPr>
            </w:pPr>
            <w:r>
              <w:rPr>
                <w:rFonts w:hint="eastAsia" w:ascii="宋体" w:hAnsi="宋体" w:cs="宋体"/>
                <w:color w:val="000000"/>
                <w:szCs w:val="21"/>
              </w:rPr>
              <w:t>N</w:t>
            </w:r>
          </w:p>
        </w:tc>
        <w:tc>
          <w:tcPr>
            <w:tcW w:w="1651" w:type="dxa"/>
            <w:vAlign w:val="center"/>
          </w:tcPr>
          <w:p>
            <w:pPr>
              <w:jc w:val="center"/>
              <w:rPr>
                <w:rFonts w:hint="eastAsia" w:ascii="宋体" w:hAnsi="宋体" w:cs="宋体"/>
                <w:color w:val="000000"/>
                <w:szCs w:val="21"/>
              </w:rPr>
            </w:pPr>
          </w:p>
        </w:tc>
        <w:tc>
          <w:tcPr>
            <w:tcW w:w="2489" w:type="dxa"/>
          </w:tcPr>
          <w:p>
            <w:pPr>
              <w:pStyle w:val="20"/>
              <w:spacing w:line="600" w:lineRule="exact"/>
              <w:rPr>
                <w:rFonts w:hint="eastAsia" w:hAnsi="宋体"/>
                <w:color w:val="000000"/>
              </w:rPr>
            </w:pPr>
          </w:p>
        </w:tc>
        <w:tc>
          <w:tcPr>
            <w:tcW w:w="2520" w:type="dxa"/>
          </w:tcPr>
          <w:p>
            <w:pPr>
              <w:pStyle w:val="20"/>
              <w:spacing w:line="600" w:lineRule="exact"/>
              <w:rPr>
                <w:rFonts w:hint="eastAsia" w:hAnsi="宋体"/>
                <w:color w:val="000000"/>
              </w:rPr>
            </w:pPr>
          </w:p>
        </w:tc>
        <w:tc>
          <w:tcPr>
            <w:tcW w:w="2700" w:type="dxa"/>
          </w:tcPr>
          <w:p>
            <w:pPr>
              <w:pStyle w:val="20"/>
              <w:spacing w:line="600" w:lineRule="exact"/>
              <w:rPr>
                <w:rFonts w:hint="eastAsia" w:hAnsi="宋体"/>
                <w:color w:val="000000"/>
              </w:rPr>
            </w:pPr>
          </w:p>
        </w:tc>
      </w:tr>
    </w:tbl>
    <w:p>
      <w:pPr>
        <w:snapToGrid w:val="0"/>
        <w:spacing w:line="400" w:lineRule="exact"/>
        <w:ind w:firstLine="3780" w:firstLineChars="1800"/>
        <w:rPr>
          <w:rFonts w:hint="eastAsia" w:ascii="宋体" w:hAnsi="宋体"/>
          <w:color w:val="000000"/>
          <w:szCs w:val="20"/>
          <w:u w:val="single"/>
        </w:rPr>
      </w:pPr>
    </w:p>
    <w:p>
      <w:pPr>
        <w:snapToGrid w:val="0"/>
        <w:spacing w:line="400" w:lineRule="exact"/>
        <w:ind w:firstLine="3780" w:firstLineChars="1800"/>
        <w:rPr>
          <w:rFonts w:hint="eastAsia" w:ascii="宋体" w:hAnsi="宋体"/>
          <w:color w:val="000000"/>
          <w:szCs w:val="20"/>
          <w:u w:val="single"/>
        </w:rPr>
      </w:pPr>
    </w:p>
    <w:p>
      <w:pPr>
        <w:snapToGrid w:val="0"/>
        <w:spacing w:line="400" w:lineRule="exact"/>
        <w:ind w:firstLine="1890" w:firstLineChars="900"/>
        <w:outlineLvl w:val="4"/>
        <w:rPr>
          <w:rFonts w:hint="eastAsia" w:ascii="宋体" w:hAnsi="宋体"/>
          <w:color w:val="000000"/>
          <w:szCs w:val="21"/>
          <w:u w:val="single"/>
        </w:rPr>
      </w:pPr>
      <w:r>
        <w:rPr>
          <w:rFonts w:hint="eastAsia" w:ascii="宋体" w:hAnsi="宋体"/>
          <w:color w:val="000000"/>
          <w:szCs w:val="21"/>
        </w:rPr>
        <w:t>投标人（公章，自然人除外）：</w:t>
      </w:r>
      <w:r>
        <w:rPr>
          <w:rFonts w:hint="eastAsia" w:ascii="宋体" w:hAnsi="宋体"/>
          <w:color w:val="000000"/>
          <w:szCs w:val="21"/>
          <w:u w:val="single"/>
        </w:rPr>
        <w:t xml:space="preserve">                                         </w:t>
      </w:r>
    </w:p>
    <w:p>
      <w:pPr>
        <w:pStyle w:val="20"/>
        <w:rPr>
          <w:rFonts w:hint="eastAsia" w:hAnsi="宋体"/>
          <w:color w:val="000000"/>
        </w:rPr>
      </w:pPr>
    </w:p>
    <w:p>
      <w:pPr>
        <w:pStyle w:val="20"/>
        <w:ind w:firstLine="1890" w:firstLineChars="900"/>
        <w:rPr>
          <w:rFonts w:hint="eastAsia" w:hAnsi="宋体"/>
          <w:color w:val="000000"/>
        </w:rPr>
      </w:pPr>
      <w:r>
        <w:rPr>
          <w:rFonts w:hint="eastAsia" w:hAnsi="宋体"/>
          <w:color w:val="000000"/>
        </w:rPr>
        <w:t>法定代表人、负责人、自然人或相应的委托代理人签字（或盖章）</w:t>
      </w:r>
    </w:p>
    <w:p>
      <w:pPr>
        <w:pStyle w:val="20"/>
        <w:ind w:firstLine="1680" w:firstLineChars="800"/>
        <w:rPr>
          <w:rFonts w:hint="eastAsia" w:hAnsi="宋体"/>
          <w:color w:val="000000"/>
          <w:szCs w:val="21"/>
          <w:u w:val="single"/>
        </w:rPr>
      </w:pPr>
      <w:r>
        <w:rPr>
          <w:rFonts w:hint="eastAsia" w:hAnsi="宋体"/>
          <w:color w:val="000000"/>
        </w:rPr>
        <w:t>（属自然人的应在签名处加盖大拇指指印）：</w:t>
      </w:r>
      <w:r>
        <w:rPr>
          <w:rFonts w:hint="eastAsia" w:hAnsi="宋体"/>
          <w:color w:val="000000"/>
          <w:szCs w:val="21"/>
          <w:u w:val="single"/>
        </w:rPr>
        <w:t xml:space="preserve">                             </w:t>
      </w:r>
    </w:p>
    <w:p>
      <w:pPr>
        <w:pStyle w:val="20"/>
        <w:ind w:firstLine="1890" w:firstLineChars="900"/>
        <w:rPr>
          <w:rFonts w:hint="eastAsia" w:hAnsi="宋体"/>
          <w:color w:val="000000"/>
        </w:rPr>
      </w:pPr>
    </w:p>
    <w:p>
      <w:pPr>
        <w:pStyle w:val="20"/>
        <w:ind w:firstLine="1890" w:firstLineChars="900"/>
        <w:rPr>
          <w:rFonts w:hAnsi="宋体"/>
          <w:color w:val="000000"/>
          <w:u w:val="single"/>
        </w:rPr>
      </w:pPr>
      <w:r>
        <w:rPr>
          <w:rFonts w:hint="eastAsia" w:hAnsi="宋体"/>
          <w:color w:val="000000"/>
        </w:rPr>
        <w:t>日          期：</w:t>
      </w:r>
      <w:r>
        <w:rPr>
          <w:rFonts w:hint="eastAsia" w:hAnsi="宋体"/>
          <w:color w:val="000000"/>
          <w:u w:val="single"/>
        </w:rPr>
        <w:t xml:space="preserve">                                                  </w:t>
      </w:r>
    </w:p>
    <w:p>
      <w:pPr>
        <w:pStyle w:val="20"/>
        <w:spacing w:line="360" w:lineRule="exact"/>
        <w:rPr>
          <w:rFonts w:hint="eastAsia" w:hAnsi="宋体"/>
          <w:color w:val="000000"/>
        </w:rPr>
      </w:pPr>
    </w:p>
    <w:p>
      <w:pPr>
        <w:pStyle w:val="20"/>
        <w:spacing w:line="360" w:lineRule="exact"/>
        <w:rPr>
          <w:rFonts w:hint="eastAsia" w:hAnsi="宋体"/>
          <w:b/>
          <w:bCs/>
          <w:color w:val="000000"/>
          <w:sz w:val="22"/>
          <w:szCs w:val="22"/>
        </w:rPr>
      </w:pPr>
      <w:r>
        <w:rPr>
          <w:rFonts w:hint="eastAsia" w:hAnsi="宋体"/>
          <w:b/>
          <w:bCs/>
          <w:color w:val="000000"/>
          <w:sz w:val="22"/>
          <w:szCs w:val="22"/>
        </w:rPr>
        <w:t xml:space="preserve">注：1.投标人应对照“货物采购需求”注明所投产品技术参数的响应情况及偏离情况（无偏离、正偏离、负偏离），当出现“正偏离”或“负偏离”情况时应对应填写偏离情况说明及提供相应有效的证明材料。 </w:t>
      </w:r>
    </w:p>
    <w:p>
      <w:pPr>
        <w:pStyle w:val="20"/>
        <w:spacing w:line="360" w:lineRule="exact"/>
        <w:rPr>
          <w:rFonts w:hint="eastAsia" w:hAnsi="宋体"/>
          <w:b/>
          <w:bCs/>
          <w:color w:val="000000"/>
          <w:sz w:val="22"/>
          <w:szCs w:val="22"/>
        </w:rPr>
      </w:pPr>
      <w:r>
        <w:rPr>
          <w:rFonts w:hint="eastAsia" w:hAnsi="宋体"/>
          <w:b/>
          <w:bCs/>
          <w:color w:val="000000"/>
          <w:sz w:val="22"/>
          <w:szCs w:val="22"/>
        </w:rPr>
        <w:t>2.技术规格偏离表须由法定代表人、负责人、自然人或相应的委托代理人签字或盖章（属自然人的应在签名处加盖食指指印）并加盖投标人公章（自然人除外）。当本表由多页构成时，需逐页加盖投标人公章（属自然人的须逐页签字）。</w:t>
      </w:r>
    </w:p>
    <w:p>
      <w:pPr>
        <w:pStyle w:val="20"/>
        <w:spacing w:line="360" w:lineRule="exact"/>
        <w:rPr>
          <w:rFonts w:hint="eastAsia" w:hAnsi="宋体"/>
          <w:color w:val="000000"/>
        </w:rPr>
      </w:pPr>
    </w:p>
    <w:p>
      <w:pPr>
        <w:pStyle w:val="20"/>
        <w:ind w:firstLine="472" w:firstLineChars="147"/>
        <w:jc w:val="center"/>
        <w:rPr>
          <w:rFonts w:hint="eastAsia" w:hAnsi="宋体" w:cs="宋体"/>
          <w:b/>
          <w:sz w:val="32"/>
          <w:szCs w:val="32"/>
          <w:lang w:eastAsia="zh-CN"/>
        </w:rPr>
      </w:pPr>
    </w:p>
    <w:p>
      <w:pPr>
        <w:pStyle w:val="20"/>
        <w:ind w:firstLine="472" w:firstLineChars="147"/>
        <w:jc w:val="center"/>
        <w:rPr>
          <w:rFonts w:hint="eastAsia" w:hAnsi="宋体" w:cs="宋体"/>
          <w:b/>
          <w:sz w:val="32"/>
          <w:szCs w:val="32"/>
          <w:lang w:eastAsia="zh-CN"/>
        </w:rPr>
      </w:pPr>
    </w:p>
    <w:p>
      <w:pPr>
        <w:pStyle w:val="20"/>
        <w:ind w:firstLine="472" w:firstLineChars="147"/>
        <w:jc w:val="center"/>
        <w:rPr>
          <w:rFonts w:hint="eastAsia" w:hAnsi="宋体" w:cs="宋体"/>
          <w:b/>
          <w:sz w:val="32"/>
          <w:szCs w:val="32"/>
          <w:lang w:eastAsia="zh-CN"/>
        </w:rPr>
      </w:pPr>
    </w:p>
    <w:p>
      <w:pPr>
        <w:pStyle w:val="20"/>
        <w:ind w:firstLine="472" w:firstLineChars="147"/>
        <w:jc w:val="center"/>
        <w:rPr>
          <w:rFonts w:hint="eastAsia" w:hAnsi="宋体" w:cs="宋体"/>
          <w:b/>
          <w:bCs/>
          <w:sz w:val="32"/>
        </w:rPr>
      </w:pPr>
      <w:r>
        <w:rPr>
          <w:rFonts w:hint="eastAsia" w:hAnsi="宋体" w:cs="宋体"/>
          <w:b/>
          <w:sz w:val="32"/>
          <w:szCs w:val="32"/>
          <w:lang w:val="en-US" w:eastAsia="zh-CN"/>
        </w:rPr>
        <w:t>2、</w:t>
      </w:r>
      <w:r>
        <w:rPr>
          <w:rFonts w:hint="eastAsia" w:hAnsi="宋体" w:cs="宋体"/>
          <w:b/>
          <w:sz w:val="32"/>
          <w:szCs w:val="32"/>
          <w:lang w:eastAsia="zh-CN"/>
        </w:rPr>
        <w:t>商务响应表</w:t>
      </w:r>
      <w:r>
        <w:rPr>
          <w:rFonts w:hint="eastAsia" w:hAnsi="宋体" w:cs="宋体"/>
          <w:b/>
          <w:bCs/>
          <w:sz w:val="32"/>
        </w:rPr>
        <w:t>（格式）</w:t>
      </w:r>
    </w:p>
    <w:tbl>
      <w:tblPr>
        <w:tblStyle w:val="43"/>
        <w:tblpPr w:leftFromText="180" w:rightFromText="180" w:vertAnchor="text" w:horzAnchor="page" w:tblpX="1043" w:tblpY="400"/>
        <w:tblOverlap w:val="never"/>
        <w:tblW w:w="10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80"/>
        <w:gridCol w:w="2475"/>
        <w:gridCol w:w="249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 w:type="dxa"/>
            <w:noWrap w:val="0"/>
            <w:vAlign w:val="center"/>
          </w:tcPr>
          <w:p>
            <w:pPr>
              <w:pStyle w:val="20"/>
              <w:spacing w:line="400" w:lineRule="exact"/>
              <w:jc w:val="center"/>
              <w:rPr>
                <w:rFonts w:hint="eastAsia" w:hAnsi="宋体" w:cs="宋体"/>
                <w:b/>
                <w:bCs/>
              </w:rPr>
            </w:pPr>
            <w:r>
              <w:rPr>
                <w:rFonts w:hint="eastAsia" w:hAnsi="宋体" w:cs="宋体"/>
                <w:b/>
                <w:bCs/>
              </w:rPr>
              <w:t>序号</w:t>
            </w:r>
          </w:p>
        </w:tc>
        <w:tc>
          <w:tcPr>
            <w:tcW w:w="1480" w:type="dxa"/>
            <w:noWrap w:val="0"/>
            <w:vAlign w:val="center"/>
          </w:tcPr>
          <w:p>
            <w:pPr>
              <w:pStyle w:val="20"/>
              <w:spacing w:line="400" w:lineRule="exact"/>
              <w:jc w:val="center"/>
              <w:rPr>
                <w:rFonts w:hint="eastAsia" w:hAnsi="宋体" w:cs="宋体"/>
                <w:b/>
                <w:bCs/>
              </w:rPr>
            </w:pPr>
            <w:r>
              <w:rPr>
                <w:rFonts w:hint="eastAsia" w:hAnsi="宋体" w:cs="宋体"/>
                <w:b/>
                <w:bCs/>
              </w:rPr>
              <w:t>名称</w:t>
            </w:r>
          </w:p>
        </w:tc>
        <w:tc>
          <w:tcPr>
            <w:tcW w:w="2475" w:type="dxa"/>
            <w:noWrap w:val="0"/>
            <w:vAlign w:val="center"/>
          </w:tcPr>
          <w:p>
            <w:pPr>
              <w:pStyle w:val="20"/>
              <w:spacing w:line="300" w:lineRule="exact"/>
              <w:jc w:val="center"/>
              <w:rPr>
                <w:rFonts w:hint="eastAsia" w:hAnsi="宋体" w:cs="宋体"/>
                <w:b/>
                <w:bCs/>
              </w:rPr>
            </w:pPr>
            <w:r>
              <w:rPr>
                <w:rFonts w:hint="eastAsia" w:hAnsi="宋体" w:cs="宋体"/>
                <w:b/>
                <w:bCs/>
                <w:lang w:eastAsia="zh-CN"/>
              </w:rPr>
              <w:t>采购需求</w:t>
            </w:r>
            <w:r>
              <w:rPr>
                <w:rFonts w:hint="eastAsia" w:hAnsi="宋体" w:cs="宋体"/>
                <w:b/>
                <w:bCs/>
              </w:rPr>
              <w:t>要求</w:t>
            </w:r>
          </w:p>
        </w:tc>
        <w:tc>
          <w:tcPr>
            <w:tcW w:w="2490" w:type="dxa"/>
            <w:noWrap w:val="0"/>
            <w:vAlign w:val="center"/>
          </w:tcPr>
          <w:p>
            <w:pPr>
              <w:pStyle w:val="20"/>
              <w:spacing w:line="300" w:lineRule="exact"/>
              <w:jc w:val="center"/>
              <w:rPr>
                <w:rFonts w:hint="eastAsia" w:hAnsi="宋体" w:cs="宋体"/>
                <w:b/>
                <w:bCs/>
                <w:szCs w:val="21"/>
              </w:rPr>
            </w:pPr>
            <w:r>
              <w:rPr>
                <w:rFonts w:hint="eastAsia" w:hAnsi="宋体" w:cs="宋体"/>
                <w:b/>
                <w:bCs/>
                <w:szCs w:val="21"/>
              </w:rPr>
              <w:t>投标文件的响应情况</w:t>
            </w:r>
          </w:p>
        </w:tc>
        <w:tc>
          <w:tcPr>
            <w:tcW w:w="2550" w:type="dxa"/>
            <w:noWrap w:val="0"/>
            <w:vAlign w:val="center"/>
          </w:tcPr>
          <w:p>
            <w:pPr>
              <w:pStyle w:val="20"/>
              <w:spacing w:line="400" w:lineRule="exact"/>
              <w:jc w:val="center"/>
              <w:rPr>
                <w:rFonts w:hint="eastAsia" w:hAnsi="宋体" w:cs="宋体"/>
                <w:b/>
                <w:bCs/>
              </w:rPr>
            </w:pPr>
            <w:r>
              <w:rPr>
                <w:rFonts w:hint="eastAsia" w:hAnsi="宋体" w:cs="宋体"/>
                <w:b/>
                <w:bCs/>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008" w:type="dxa"/>
            <w:noWrap w:val="0"/>
            <w:vAlign w:val="center"/>
          </w:tcPr>
          <w:p>
            <w:pPr>
              <w:jc w:val="center"/>
              <w:rPr>
                <w:rFonts w:hint="eastAsia" w:ascii="宋体" w:hAnsi="宋体" w:cs="宋体"/>
                <w:szCs w:val="21"/>
              </w:rPr>
            </w:pPr>
            <w:r>
              <w:rPr>
                <w:rFonts w:hint="eastAsia" w:ascii="宋体" w:hAnsi="宋体" w:cs="宋体"/>
                <w:szCs w:val="21"/>
              </w:rPr>
              <w:t>1</w:t>
            </w:r>
          </w:p>
        </w:tc>
        <w:tc>
          <w:tcPr>
            <w:tcW w:w="1480" w:type="dxa"/>
            <w:noWrap w:val="0"/>
            <w:vAlign w:val="center"/>
          </w:tcPr>
          <w:p>
            <w:pPr>
              <w:jc w:val="center"/>
              <w:rPr>
                <w:rFonts w:hint="eastAsia" w:ascii="宋体" w:hAnsi="宋体" w:cs="宋体"/>
                <w:szCs w:val="21"/>
              </w:rPr>
            </w:pPr>
            <w:r>
              <w:rPr>
                <w:rFonts w:hint="eastAsia" w:ascii="宋体" w:hAnsi="宋体" w:cs="宋体"/>
                <w:szCs w:val="21"/>
              </w:rPr>
              <w:t>售后服务及其他要求</w:t>
            </w:r>
          </w:p>
        </w:tc>
        <w:tc>
          <w:tcPr>
            <w:tcW w:w="2475" w:type="dxa"/>
            <w:noWrap w:val="0"/>
            <w:vAlign w:val="center"/>
          </w:tcPr>
          <w:p>
            <w:pPr>
              <w:pStyle w:val="20"/>
              <w:spacing w:line="600" w:lineRule="exact"/>
              <w:jc w:val="center"/>
              <w:rPr>
                <w:rFonts w:hint="eastAsia" w:hAnsi="宋体" w:cs="宋体"/>
              </w:rPr>
            </w:pPr>
          </w:p>
        </w:tc>
        <w:tc>
          <w:tcPr>
            <w:tcW w:w="2490" w:type="dxa"/>
            <w:noWrap w:val="0"/>
            <w:vAlign w:val="top"/>
          </w:tcPr>
          <w:p>
            <w:pPr>
              <w:pStyle w:val="20"/>
              <w:spacing w:line="600" w:lineRule="exact"/>
              <w:jc w:val="center"/>
              <w:rPr>
                <w:rFonts w:hint="eastAsia" w:hAnsi="宋体" w:cs="宋体"/>
              </w:rPr>
            </w:pPr>
          </w:p>
        </w:tc>
        <w:tc>
          <w:tcPr>
            <w:tcW w:w="2550" w:type="dxa"/>
            <w:noWrap w:val="0"/>
            <w:vAlign w:val="center"/>
          </w:tcPr>
          <w:p>
            <w:pPr>
              <w:pStyle w:val="20"/>
              <w:spacing w:line="60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008" w:type="dxa"/>
            <w:noWrap w:val="0"/>
            <w:vAlign w:val="center"/>
          </w:tcPr>
          <w:p>
            <w:pPr>
              <w:jc w:val="center"/>
              <w:rPr>
                <w:rFonts w:hint="eastAsia" w:ascii="宋体" w:hAnsi="宋体" w:cs="宋体"/>
                <w:szCs w:val="21"/>
              </w:rPr>
            </w:pPr>
            <w:r>
              <w:rPr>
                <w:rFonts w:hint="eastAsia" w:ascii="宋体" w:hAnsi="宋体" w:cs="宋体"/>
                <w:szCs w:val="21"/>
              </w:rPr>
              <w:t>2</w:t>
            </w:r>
          </w:p>
        </w:tc>
        <w:tc>
          <w:tcPr>
            <w:tcW w:w="1480" w:type="dxa"/>
            <w:noWrap w:val="0"/>
            <w:vAlign w:val="center"/>
          </w:tcPr>
          <w:p>
            <w:pPr>
              <w:jc w:val="center"/>
              <w:rPr>
                <w:rFonts w:hint="eastAsia" w:ascii="宋体" w:hAnsi="宋体" w:cs="宋体"/>
                <w:bCs w:val="0"/>
              </w:rPr>
            </w:pPr>
            <w:r>
              <w:rPr>
                <w:rFonts w:hint="eastAsia" w:ascii="宋体" w:hAnsi="宋体" w:cs="宋体"/>
                <w:bCs w:val="0"/>
              </w:rPr>
              <w:t>交付使用期及地点</w:t>
            </w:r>
          </w:p>
        </w:tc>
        <w:tc>
          <w:tcPr>
            <w:tcW w:w="2475" w:type="dxa"/>
            <w:noWrap w:val="0"/>
            <w:vAlign w:val="center"/>
          </w:tcPr>
          <w:p>
            <w:pPr>
              <w:pStyle w:val="20"/>
              <w:spacing w:line="600" w:lineRule="exact"/>
              <w:jc w:val="center"/>
              <w:rPr>
                <w:rFonts w:hint="eastAsia" w:hAnsi="宋体" w:cs="宋体"/>
              </w:rPr>
            </w:pPr>
          </w:p>
        </w:tc>
        <w:tc>
          <w:tcPr>
            <w:tcW w:w="2490" w:type="dxa"/>
            <w:noWrap w:val="0"/>
            <w:vAlign w:val="top"/>
          </w:tcPr>
          <w:p>
            <w:pPr>
              <w:pStyle w:val="20"/>
              <w:spacing w:line="600" w:lineRule="exact"/>
              <w:jc w:val="center"/>
              <w:rPr>
                <w:rFonts w:hint="eastAsia" w:hAnsi="宋体" w:cs="宋体"/>
              </w:rPr>
            </w:pPr>
          </w:p>
        </w:tc>
        <w:tc>
          <w:tcPr>
            <w:tcW w:w="2550" w:type="dxa"/>
            <w:noWrap w:val="0"/>
            <w:vAlign w:val="center"/>
          </w:tcPr>
          <w:p>
            <w:pPr>
              <w:pStyle w:val="20"/>
              <w:spacing w:line="60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008" w:type="dxa"/>
            <w:noWrap w:val="0"/>
            <w:vAlign w:val="center"/>
          </w:tcPr>
          <w:p>
            <w:pPr>
              <w:jc w:val="center"/>
              <w:rPr>
                <w:rFonts w:hint="eastAsia" w:ascii="宋体" w:hAnsi="宋体" w:cs="宋体"/>
                <w:szCs w:val="21"/>
              </w:rPr>
            </w:pPr>
            <w:r>
              <w:rPr>
                <w:rFonts w:hint="eastAsia" w:ascii="宋体" w:hAnsi="宋体" w:cs="宋体"/>
                <w:szCs w:val="21"/>
              </w:rPr>
              <w:t>3</w:t>
            </w:r>
          </w:p>
        </w:tc>
        <w:tc>
          <w:tcPr>
            <w:tcW w:w="1480" w:type="dxa"/>
            <w:noWrap w:val="0"/>
            <w:vAlign w:val="center"/>
          </w:tcPr>
          <w:p>
            <w:pPr>
              <w:jc w:val="center"/>
              <w:rPr>
                <w:rFonts w:hint="eastAsia" w:ascii="宋体" w:hAnsi="宋体" w:cs="宋体"/>
                <w:bCs w:val="0"/>
              </w:rPr>
            </w:pPr>
            <w:r>
              <w:rPr>
                <w:rFonts w:hint="eastAsia" w:ascii="宋体" w:hAnsi="宋体" w:cs="宋体"/>
                <w:bCs w:val="0"/>
              </w:rPr>
              <w:t>付款方式</w:t>
            </w:r>
          </w:p>
        </w:tc>
        <w:tc>
          <w:tcPr>
            <w:tcW w:w="2475" w:type="dxa"/>
            <w:noWrap w:val="0"/>
            <w:vAlign w:val="center"/>
          </w:tcPr>
          <w:p>
            <w:pPr>
              <w:pStyle w:val="20"/>
              <w:spacing w:line="600" w:lineRule="exact"/>
              <w:jc w:val="center"/>
              <w:rPr>
                <w:rFonts w:hint="eastAsia" w:hAnsi="宋体" w:cs="宋体"/>
              </w:rPr>
            </w:pPr>
          </w:p>
        </w:tc>
        <w:tc>
          <w:tcPr>
            <w:tcW w:w="2490" w:type="dxa"/>
            <w:noWrap w:val="0"/>
            <w:vAlign w:val="top"/>
          </w:tcPr>
          <w:p>
            <w:pPr>
              <w:pStyle w:val="20"/>
              <w:spacing w:line="600" w:lineRule="exact"/>
              <w:jc w:val="center"/>
              <w:rPr>
                <w:rFonts w:hint="eastAsia" w:hAnsi="宋体" w:cs="宋体"/>
              </w:rPr>
            </w:pPr>
          </w:p>
        </w:tc>
        <w:tc>
          <w:tcPr>
            <w:tcW w:w="2550" w:type="dxa"/>
            <w:noWrap w:val="0"/>
            <w:vAlign w:val="center"/>
          </w:tcPr>
          <w:p>
            <w:pPr>
              <w:pStyle w:val="20"/>
              <w:spacing w:line="60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008" w:type="dxa"/>
            <w:noWrap w:val="0"/>
            <w:vAlign w:val="center"/>
          </w:tcPr>
          <w:p>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1480" w:type="dxa"/>
            <w:noWrap w:val="0"/>
            <w:vAlign w:val="center"/>
          </w:tcPr>
          <w:p>
            <w:pPr>
              <w:jc w:val="center"/>
              <w:rPr>
                <w:rFonts w:hint="eastAsia" w:ascii="宋体" w:hAnsi="宋体" w:cs="宋体"/>
                <w:szCs w:val="21"/>
              </w:rPr>
            </w:pPr>
            <w:r>
              <w:rPr>
                <w:rFonts w:hint="eastAsia" w:ascii="宋体" w:hAnsi="宋体" w:cs="宋体"/>
                <w:szCs w:val="21"/>
              </w:rPr>
              <w:t>其他要求</w:t>
            </w:r>
          </w:p>
        </w:tc>
        <w:tc>
          <w:tcPr>
            <w:tcW w:w="2475" w:type="dxa"/>
            <w:noWrap w:val="0"/>
            <w:vAlign w:val="center"/>
          </w:tcPr>
          <w:p>
            <w:pPr>
              <w:pStyle w:val="20"/>
              <w:spacing w:line="600" w:lineRule="exact"/>
              <w:jc w:val="center"/>
              <w:rPr>
                <w:rFonts w:hint="eastAsia" w:hAnsi="宋体" w:cs="宋体"/>
              </w:rPr>
            </w:pPr>
          </w:p>
        </w:tc>
        <w:tc>
          <w:tcPr>
            <w:tcW w:w="2490" w:type="dxa"/>
            <w:noWrap w:val="0"/>
            <w:vAlign w:val="top"/>
          </w:tcPr>
          <w:p>
            <w:pPr>
              <w:pStyle w:val="20"/>
              <w:spacing w:line="600" w:lineRule="exact"/>
              <w:jc w:val="center"/>
              <w:rPr>
                <w:rFonts w:hint="eastAsia" w:hAnsi="宋体" w:cs="宋体"/>
              </w:rPr>
            </w:pPr>
          </w:p>
        </w:tc>
        <w:tc>
          <w:tcPr>
            <w:tcW w:w="2550" w:type="dxa"/>
            <w:noWrap w:val="0"/>
            <w:vAlign w:val="center"/>
          </w:tcPr>
          <w:p>
            <w:pPr>
              <w:pStyle w:val="20"/>
              <w:spacing w:line="600" w:lineRule="exact"/>
              <w:jc w:val="center"/>
              <w:rPr>
                <w:rFonts w:hint="eastAsia" w:hAnsi="宋体" w:cs="宋体"/>
              </w:rPr>
            </w:pPr>
          </w:p>
        </w:tc>
      </w:tr>
    </w:tbl>
    <w:p>
      <w:pPr>
        <w:snapToGrid w:val="0"/>
        <w:spacing w:line="400" w:lineRule="exact"/>
        <w:ind w:firstLine="3780" w:firstLineChars="1800"/>
        <w:outlineLvl w:val="4"/>
        <w:rPr>
          <w:rFonts w:hint="eastAsia" w:ascii="宋体" w:hAnsi="宋体" w:cs="宋体"/>
          <w:szCs w:val="20"/>
          <w:u w:val="single"/>
        </w:rPr>
      </w:pPr>
    </w:p>
    <w:p>
      <w:pPr>
        <w:snapToGrid w:val="0"/>
        <w:spacing w:line="400" w:lineRule="exact"/>
        <w:outlineLvl w:val="4"/>
        <w:rPr>
          <w:rFonts w:hint="eastAsia" w:ascii="宋体" w:hAnsi="宋体" w:cs="宋体"/>
          <w:szCs w:val="20"/>
        </w:rPr>
      </w:pPr>
      <w:r>
        <w:rPr>
          <w:rFonts w:hint="eastAsia" w:ascii="宋体" w:hAnsi="宋体" w:cs="宋体"/>
          <w:szCs w:val="20"/>
        </w:rPr>
        <w:t>（注：根据“第三章 货物采购需求”内容进行响应）</w:t>
      </w:r>
    </w:p>
    <w:p>
      <w:pPr>
        <w:snapToGrid w:val="0"/>
        <w:spacing w:line="400" w:lineRule="exact"/>
        <w:ind w:firstLine="1890" w:firstLineChars="900"/>
        <w:outlineLvl w:val="4"/>
        <w:rPr>
          <w:rFonts w:hint="eastAsia" w:ascii="宋体" w:hAnsi="宋体" w:cs="宋体"/>
          <w:szCs w:val="21"/>
        </w:rPr>
      </w:pPr>
    </w:p>
    <w:p>
      <w:pPr>
        <w:pStyle w:val="15"/>
        <w:rPr>
          <w:rFonts w:hint="eastAsia"/>
        </w:rPr>
      </w:pPr>
    </w:p>
    <w:p>
      <w:pPr>
        <w:snapToGrid w:val="0"/>
        <w:spacing w:line="400" w:lineRule="exact"/>
        <w:ind w:firstLine="1890" w:firstLineChars="900"/>
        <w:outlineLvl w:val="4"/>
        <w:rPr>
          <w:rFonts w:hint="eastAsia" w:ascii="宋体" w:hAnsi="宋体" w:cs="宋体"/>
          <w:szCs w:val="21"/>
          <w:u w:val="single"/>
        </w:rPr>
      </w:pPr>
      <w:r>
        <w:rPr>
          <w:rFonts w:hint="eastAsia" w:ascii="宋体" w:hAnsi="宋体" w:cs="宋体"/>
          <w:szCs w:val="21"/>
        </w:rPr>
        <w:t>投标人（公章，自然人除外）：</w:t>
      </w:r>
      <w:r>
        <w:rPr>
          <w:rFonts w:hint="eastAsia" w:ascii="宋体" w:hAnsi="宋体" w:cs="宋体"/>
          <w:szCs w:val="21"/>
          <w:u w:val="single"/>
        </w:rPr>
        <w:t xml:space="preserve">                                         </w:t>
      </w:r>
    </w:p>
    <w:p>
      <w:pPr>
        <w:pStyle w:val="20"/>
        <w:rPr>
          <w:rFonts w:hint="eastAsia" w:hAnsi="宋体" w:cs="宋体"/>
        </w:rPr>
      </w:pPr>
    </w:p>
    <w:p>
      <w:pPr>
        <w:pStyle w:val="20"/>
        <w:ind w:firstLine="1890" w:firstLineChars="900"/>
        <w:rPr>
          <w:rFonts w:hint="eastAsia" w:hAnsi="宋体" w:cs="宋体"/>
        </w:rPr>
      </w:pPr>
      <w:r>
        <w:rPr>
          <w:rFonts w:hint="eastAsia" w:hAnsi="宋体" w:cs="宋体"/>
        </w:rPr>
        <w:t>法定代表人或负责人或自然人或相应的委托代理人签字（或盖章）</w:t>
      </w:r>
    </w:p>
    <w:p>
      <w:pPr>
        <w:pStyle w:val="20"/>
        <w:ind w:firstLine="1680" w:firstLineChars="800"/>
        <w:rPr>
          <w:rFonts w:hint="eastAsia" w:hAnsi="宋体" w:cs="宋体"/>
          <w:szCs w:val="21"/>
          <w:u w:val="single"/>
        </w:rPr>
      </w:pPr>
      <w:r>
        <w:rPr>
          <w:rFonts w:hint="eastAsia" w:hAnsi="宋体" w:cs="宋体"/>
        </w:rPr>
        <w:t>（属自然人的应在签名处加盖大拇指指印）：</w:t>
      </w:r>
      <w:r>
        <w:rPr>
          <w:rFonts w:hint="eastAsia" w:hAnsi="宋体" w:cs="宋体"/>
          <w:szCs w:val="21"/>
          <w:u w:val="single"/>
        </w:rPr>
        <w:t xml:space="preserve">                             </w:t>
      </w:r>
    </w:p>
    <w:p>
      <w:pPr>
        <w:pStyle w:val="20"/>
        <w:ind w:firstLine="1890" w:firstLineChars="900"/>
        <w:rPr>
          <w:rFonts w:hint="eastAsia" w:hAnsi="宋体" w:cs="宋体"/>
        </w:rPr>
      </w:pPr>
    </w:p>
    <w:p>
      <w:pPr>
        <w:pStyle w:val="20"/>
        <w:ind w:firstLine="1890" w:firstLineChars="900"/>
        <w:rPr>
          <w:rFonts w:hint="eastAsia" w:hAnsi="宋体" w:cs="宋体"/>
          <w:u w:val="single"/>
        </w:rPr>
      </w:pPr>
      <w:r>
        <w:rPr>
          <w:rFonts w:hint="eastAsia" w:hAnsi="宋体" w:cs="宋体"/>
        </w:rPr>
        <w:t>日          期：</w:t>
      </w:r>
      <w:r>
        <w:rPr>
          <w:rFonts w:hint="eastAsia" w:hAnsi="宋体" w:cs="宋体"/>
          <w:u w:val="single"/>
        </w:rPr>
        <w:t xml:space="preserve">                                                  </w:t>
      </w:r>
    </w:p>
    <w:p>
      <w:pPr>
        <w:pStyle w:val="16"/>
        <w:rPr>
          <w:rFonts w:hint="eastAsia" w:hAnsi="宋体" w:cs="宋体"/>
          <w:u w:val="single"/>
        </w:rPr>
      </w:pPr>
    </w:p>
    <w:p>
      <w:pPr>
        <w:rPr>
          <w:rFonts w:hint="eastAsia" w:hAnsi="宋体" w:cs="宋体"/>
          <w:u w:val="single"/>
        </w:rPr>
      </w:pPr>
    </w:p>
    <w:p>
      <w:pPr>
        <w:pStyle w:val="15"/>
        <w:rPr>
          <w:rFonts w:hint="eastAsia"/>
        </w:rPr>
      </w:pPr>
    </w:p>
    <w:p>
      <w:pPr>
        <w:pStyle w:val="20"/>
        <w:spacing w:line="400" w:lineRule="exact"/>
        <w:ind w:left="982" w:leftChars="200" w:hanging="562" w:hangingChars="200"/>
        <w:rPr>
          <w:rFonts w:hint="eastAsia" w:hAnsi="宋体" w:cs="宋体"/>
          <w:b/>
          <w:bCs/>
          <w:sz w:val="28"/>
          <w:szCs w:val="28"/>
        </w:rPr>
      </w:pPr>
      <w:r>
        <w:rPr>
          <w:rFonts w:hint="eastAsia" w:hAnsi="宋体" w:cs="宋体"/>
          <w:b/>
          <w:bCs/>
          <w:sz w:val="28"/>
          <w:szCs w:val="28"/>
        </w:rPr>
        <w:t>注：当本表由多页构成时，需逐页加盖投标人公章（属自然人的须逐页签字）。</w:t>
      </w:r>
    </w:p>
    <w:p>
      <w:pPr>
        <w:pStyle w:val="20"/>
        <w:spacing w:line="380" w:lineRule="exact"/>
        <w:ind w:firstLine="420" w:firstLineChars="200"/>
        <w:rPr>
          <w:rFonts w:hint="eastAsia" w:hAnsi="宋体"/>
          <w:b/>
          <w:bCs/>
          <w:color w:val="000000"/>
          <w:sz w:val="32"/>
          <w:szCs w:val="32"/>
        </w:rPr>
      </w:pPr>
      <w:r>
        <w:rPr>
          <w:rFonts w:hAnsi="宋体"/>
          <w:color w:val="000000"/>
        </w:rPr>
        <w:br w:type="page"/>
      </w:r>
      <w:r>
        <w:rPr>
          <w:rFonts w:hint="eastAsia" w:hAnsi="宋体"/>
          <w:b/>
          <w:bCs/>
          <w:color w:val="000000"/>
          <w:sz w:val="32"/>
          <w:szCs w:val="32"/>
        </w:rPr>
        <w:t>2.“货物采购需求”需提供的有效证明文件：按货物采购需求提供（如有，请提供）；</w:t>
      </w:r>
    </w:p>
    <w:p>
      <w:pPr>
        <w:pStyle w:val="20"/>
        <w:spacing w:line="400" w:lineRule="exact"/>
        <w:rPr>
          <w:rFonts w:hint="eastAsia" w:hAnsi="宋体"/>
          <w:color w:val="000000"/>
        </w:rPr>
      </w:pPr>
    </w:p>
    <w:p>
      <w:pPr>
        <w:pStyle w:val="20"/>
        <w:spacing w:line="400" w:lineRule="exact"/>
        <w:rPr>
          <w:rFonts w:hint="eastAsia" w:hAnsi="宋体"/>
          <w:color w:val="000000"/>
        </w:rPr>
      </w:pPr>
    </w:p>
    <w:p>
      <w:pPr>
        <w:pStyle w:val="16"/>
        <w:rPr>
          <w:rFonts w:hint="eastAsia" w:hAnsi="宋体"/>
          <w:color w:val="000000"/>
        </w:rPr>
      </w:pPr>
    </w:p>
    <w:p>
      <w:pPr>
        <w:rPr>
          <w:rFonts w:hint="eastAsia" w:hAnsi="宋体"/>
          <w:color w:val="000000"/>
        </w:rPr>
      </w:pPr>
    </w:p>
    <w:p>
      <w:pPr>
        <w:pStyle w:val="23"/>
        <w:rPr>
          <w:rFonts w:hint="eastAsia" w:hAnsi="宋体"/>
          <w:color w:val="000000"/>
        </w:rPr>
      </w:pPr>
    </w:p>
    <w:p>
      <w:pPr>
        <w:pStyle w:val="23"/>
        <w:rPr>
          <w:rFonts w:hint="eastAsia" w:hAnsi="宋体"/>
          <w:color w:val="000000"/>
        </w:rPr>
      </w:pPr>
    </w:p>
    <w:p>
      <w:pPr>
        <w:pStyle w:val="20"/>
        <w:spacing w:line="400" w:lineRule="exact"/>
        <w:ind w:firstLine="321" w:firstLineChars="100"/>
        <w:rPr>
          <w:rFonts w:hint="eastAsia" w:hAnsi="宋体"/>
          <w:b/>
          <w:color w:val="000000"/>
          <w:sz w:val="32"/>
          <w:szCs w:val="32"/>
        </w:rPr>
      </w:pPr>
      <w:r>
        <w:rPr>
          <w:rFonts w:hint="eastAsia" w:hAnsi="宋体"/>
          <w:b/>
          <w:bCs/>
          <w:color w:val="000000"/>
          <w:sz w:val="32"/>
          <w:szCs w:val="32"/>
        </w:rPr>
        <w:t>3.投标人的售后服务承诺书（含免费保修期、交付使用期、技术服务、技术培训、售后服务的内容和措施等）；</w:t>
      </w:r>
      <w:r>
        <w:rPr>
          <w:rFonts w:hint="eastAsia" w:hAnsi="宋体"/>
          <w:b/>
          <w:color w:val="000000"/>
          <w:sz w:val="32"/>
          <w:szCs w:val="32"/>
        </w:rPr>
        <w:t>（必须提供）</w:t>
      </w:r>
    </w:p>
    <w:p>
      <w:pPr>
        <w:pStyle w:val="20"/>
        <w:ind w:firstLine="472" w:firstLineChars="147"/>
        <w:jc w:val="center"/>
        <w:outlineLvl w:val="0"/>
        <w:rPr>
          <w:rFonts w:hAnsi="宋体"/>
          <w:b/>
          <w:bCs/>
          <w:color w:val="000000"/>
          <w:sz w:val="32"/>
        </w:rPr>
      </w:pPr>
      <w:bookmarkStart w:id="56" w:name="_Toc30871"/>
      <w:r>
        <w:rPr>
          <w:rFonts w:hint="eastAsia" w:hAnsi="宋体"/>
          <w:b/>
          <w:bCs/>
          <w:color w:val="000000"/>
          <w:sz w:val="32"/>
          <w:szCs w:val="32"/>
        </w:rPr>
        <w:t>售后服务承诺书</w:t>
      </w:r>
      <w:bookmarkEnd w:id="56"/>
    </w:p>
    <w:p>
      <w:pPr>
        <w:pStyle w:val="20"/>
        <w:spacing w:line="400" w:lineRule="exact"/>
        <w:ind w:firstLine="3520" w:firstLineChars="1100"/>
        <w:rPr>
          <w:rFonts w:hint="eastAsia" w:hAnsi="宋体"/>
          <w:color w:val="000000"/>
          <w:sz w:val="32"/>
          <w:szCs w:val="32"/>
        </w:rPr>
      </w:pPr>
    </w:p>
    <w:p>
      <w:pPr>
        <w:snapToGrid w:val="0"/>
        <w:spacing w:line="400" w:lineRule="exact"/>
        <w:ind w:firstLine="1680" w:firstLineChars="800"/>
        <w:outlineLvl w:val="4"/>
        <w:rPr>
          <w:rFonts w:hint="eastAsia" w:ascii="宋体" w:hAnsi="宋体"/>
          <w:color w:val="000000"/>
          <w:szCs w:val="21"/>
          <w:u w:val="single"/>
        </w:rPr>
      </w:pPr>
      <w:r>
        <w:rPr>
          <w:rFonts w:hint="eastAsia" w:ascii="宋体" w:hAnsi="宋体"/>
          <w:color w:val="000000"/>
          <w:szCs w:val="21"/>
        </w:rPr>
        <w:t>投标人（公章，自然人除外）：</w:t>
      </w:r>
      <w:r>
        <w:rPr>
          <w:rFonts w:hint="eastAsia" w:ascii="宋体" w:hAnsi="宋体"/>
          <w:color w:val="000000"/>
          <w:szCs w:val="21"/>
          <w:u w:val="single"/>
        </w:rPr>
        <w:t xml:space="preserve">                                         </w:t>
      </w:r>
    </w:p>
    <w:p>
      <w:pPr>
        <w:snapToGrid w:val="0"/>
        <w:spacing w:line="400" w:lineRule="exact"/>
        <w:ind w:firstLine="420"/>
        <w:rPr>
          <w:rFonts w:hint="eastAsia" w:ascii="宋体" w:hAnsi="宋体"/>
          <w:color w:val="000000"/>
          <w:szCs w:val="21"/>
        </w:rPr>
      </w:pPr>
    </w:p>
    <w:p>
      <w:pPr>
        <w:pStyle w:val="20"/>
        <w:spacing w:line="400" w:lineRule="exact"/>
        <w:ind w:firstLine="1680" w:firstLineChars="800"/>
        <w:rPr>
          <w:rFonts w:hint="eastAsia" w:hAnsi="宋体"/>
          <w:color w:val="000000"/>
        </w:rPr>
      </w:pPr>
      <w:r>
        <w:rPr>
          <w:rFonts w:hint="eastAsia" w:hAnsi="宋体"/>
          <w:color w:val="000000"/>
        </w:rPr>
        <w:t>法定代表人、负责人、自然人或相应的委托代理人签字（或盖章）</w:t>
      </w:r>
    </w:p>
    <w:p>
      <w:pPr>
        <w:pStyle w:val="20"/>
        <w:spacing w:line="400" w:lineRule="exact"/>
        <w:ind w:firstLine="1680" w:firstLineChars="800"/>
        <w:rPr>
          <w:rFonts w:hint="eastAsia" w:hAnsi="宋体"/>
          <w:color w:val="000000"/>
          <w:szCs w:val="21"/>
          <w:u w:val="single"/>
        </w:rPr>
      </w:pPr>
      <w:r>
        <w:rPr>
          <w:rFonts w:hint="eastAsia" w:hAnsi="宋体"/>
          <w:color w:val="000000"/>
        </w:rPr>
        <w:t>（属自然人的应在签名处加盖大拇指指印）：</w:t>
      </w:r>
      <w:r>
        <w:rPr>
          <w:rFonts w:hint="eastAsia" w:hAnsi="宋体"/>
          <w:color w:val="000000"/>
          <w:szCs w:val="21"/>
          <w:u w:val="single"/>
        </w:rPr>
        <w:t xml:space="preserve">                             </w:t>
      </w:r>
    </w:p>
    <w:p>
      <w:pPr>
        <w:pStyle w:val="20"/>
        <w:spacing w:line="400" w:lineRule="exact"/>
        <w:ind w:left="3570" w:leftChars="1700"/>
        <w:rPr>
          <w:rFonts w:hint="eastAsia" w:hAnsi="宋体"/>
          <w:color w:val="000000"/>
          <w:u w:val="single"/>
        </w:rPr>
      </w:pPr>
    </w:p>
    <w:p>
      <w:pPr>
        <w:pStyle w:val="20"/>
        <w:ind w:firstLine="1890" w:firstLineChars="900"/>
        <w:rPr>
          <w:rFonts w:hint="eastAsia" w:hAnsi="宋体"/>
          <w:color w:val="000000"/>
        </w:rPr>
      </w:pPr>
      <w:r>
        <w:rPr>
          <w:rFonts w:hint="eastAsia" w:hAnsi="宋体"/>
          <w:color w:val="000000"/>
        </w:rPr>
        <w:t>日          期：</w:t>
      </w:r>
      <w:r>
        <w:rPr>
          <w:rFonts w:hint="eastAsia" w:hAnsi="宋体"/>
          <w:color w:val="000000"/>
          <w:u w:val="single"/>
        </w:rPr>
        <w:t xml:space="preserve">                                                   </w:t>
      </w:r>
    </w:p>
    <w:p>
      <w:pPr>
        <w:pStyle w:val="20"/>
        <w:rPr>
          <w:rFonts w:hint="eastAsia" w:hAnsi="宋体"/>
          <w:color w:val="000000"/>
        </w:rPr>
      </w:pPr>
    </w:p>
    <w:p>
      <w:pPr>
        <w:spacing w:line="380" w:lineRule="exact"/>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pStyle w:val="23"/>
        <w:rPr>
          <w:rFonts w:hint="eastAsia" w:ascii="宋体" w:hAnsi="宋体"/>
          <w:b/>
          <w:color w:val="000000"/>
          <w:sz w:val="32"/>
          <w:szCs w:val="32"/>
        </w:rPr>
      </w:pPr>
    </w:p>
    <w:p>
      <w:pPr>
        <w:spacing w:line="380" w:lineRule="exact"/>
        <w:rPr>
          <w:rFonts w:ascii="宋体" w:hAnsi="宋体"/>
          <w:b/>
          <w:bCs/>
          <w:color w:val="000000"/>
          <w:sz w:val="32"/>
          <w:szCs w:val="32"/>
        </w:rPr>
      </w:pPr>
      <w:r>
        <w:rPr>
          <w:rFonts w:hint="eastAsia" w:ascii="宋体" w:hAnsi="宋体"/>
          <w:b/>
          <w:color w:val="000000"/>
          <w:sz w:val="32"/>
          <w:szCs w:val="32"/>
        </w:rPr>
        <w:t>4.项目实施人员一览表</w:t>
      </w:r>
      <w:r>
        <w:rPr>
          <w:rFonts w:hint="eastAsia" w:ascii="宋体" w:hAnsi="宋体"/>
          <w:b/>
          <w:bCs/>
          <w:color w:val="000000"/>
          <w:sz w:val="32"/>
          <w:szCs w:val="32"/>
        </w:rPr>
        <w:t>（如有，请提供）</w:t>
      </w:r>
    </w:p>
    <w:p>
      <w:pPr>
        <w:pStyle w:val="20"/>
        <w:rPr>
          <w:rFonts w:hint="eastAsia" w:hAnsi="宋体"/>
          <w:b/>
          <w:bCs/>
          <w:color w:val="000000"/>
          <w:sz w:val="32"/>
          <w:szCs w:val="32"/>
        </w:rPr>
      </w:pPr>
      <w:r>
        <w:rPr>
          <w:rFonts w:hint="eastAsia" w:hAnsi="宋体"/>
          <w:b/>
          <w:color w:val="000000"/>
          <w:sz w:val="32"/>
          <w:szCs w:val="32"/>
        </w:rPr>
        <w:t xml:space="preserve">    </w:t>
      </w:r>
      <w:r>
        <w:rPr>
          <w:rFonts w:hint="eastAsia" w:hAnsi="宋体"/>
          <w:b/>
          <w:color w:val="000000"/>
          <w:szCs w:val="21"/>
        </w:rPr>
        <w:t xml:space="preserve">                     </w:t>
      </w:r>
      <w:r>
        <w:rPr>
          <w:rFonts w:hint="eastAsia" w:hAnsi="宋体"/>
          <w:b/>
          <w:bCs/>
          <w:color w:val="000000"/>
          <w:sz w:val="32"/>
          <w:szCs w:val="32"/>
        </w:rPr>
        <w:t>项目实施人员一览表（格式）</w:t>
      </w:r>
    </w:p>
    <w:p>
      <w:pPr>
        <w:ind w:firstLine="435"/>
        <w:rPr>
          <w:rFonts w:hint="eastAsia" w:ascii="宋体" w:hAnsi="宋体"/>
          <w:color w:val="000000"/>
          <w:szCs w:val="21"/>
        </w:rPr>
      </w:pPr>
    </w:p>
    <w:tbl>
      <w:tblPr>
        <w:tblStyle w:val="43"/>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spacing w:line="400" w:lineRule="exact"/>
              <w:jc w:val="center"/>
              <w:rPr>
                <w:rFonts w:hint="eastAsia" w:ascii="宋体" w:hAnsi="宋体"/>
                <w:color w:val="000000"/>
                <w:szCs w:val="21"/>
              </w:rPr>
            </w:pPr>
            <w:r>
              <w:rPr>
                <w:rFonts w:hint="eastAsia" w:ascii="宋体" w:hAnsi="宋体"/>
                <w:color w:val="000000"/>
                <w:szCs w:val="21"/>
              </w:rPr>
              <w:t>姓 名</w:t>
            </w:r>
          </w:p>
        </w:tc>
        <w:tc>
          <w:tcPr>
            <w:tcW w:w="806" w:type="dxa"/>
            <w:vAlign w:val="center"/>
          </w:tcPr>
          <w:p>
            <w:pPr>
              <w:spacing w:line="400" w:lineRule="exact"/>
              <w:jc w:val="center"/>
              <w:rPr>
                <w:rFonts w:hint="eastAsia" w:ascii="宋体" w:hAnsi="宋体"/>
                <w:color w:val="000000"/>
                <w:szCs w:val="21"/>
              </w:rPr>
            </w:pPr>
            <w:r>
              <w:rPr>
                <w:rFonts w:hint="eastAsia" w:ascii="宋体" w:hAnsi="宋体"/>
                <w:color w:val="000000"/>
                <w:szCs w:val="21"/>
              </w:rPr>
              <w:t>职务</w:t>
            </w:r>
          </w:p>
        </w:tc>
        <w:tc>
          <w:tcPr>
            <w:tcW w:w="1537" w:type="dxa"/>
            <w:vAlign w:val="center"/>
          </w:tcPr>
          <w:p>
            <w:pPr>
              <w:spacing w:line="400" w:lineRule="exact"/>
              <w:jc w:val="center"/>
              <w:rPr>
                <w:rFonts w:hint="eastAsia" w:ascii="宋体" w:hAnsi="宋体"/>
                <w:color w:val="000000"/>
                <w:szCs w:val="21"/>
              </w:rPr>
            </w:pPr>
            <w:r>
              <w:rPr>
                <w:rFonts w:hint="eastAsia" w:ascii="宋体" w:hAnsi="宋体"/>
                <w:color w:val="000000"/>
                <w:szCs w:val="21"/>
              </w:rPr>
              <w:t>专业技术资格</w:t>
            </w:r>
          </w:p>
        </w:tc>
        <w:tc>
          <w:tcPr>
            <w:tcW w:w="1371" w:type="dxa"/>
            <w:vAlign w:val="center"/>
          </w:tcPr>
          <w:p>
            <w:pPr>
              <w:spacing w:line="400" w:lineRule="exact"/>
              <w:jc w:val="center"/>
              <w:rPr>
                <w:rFonts w:hint="eastAsia" w:ascii="宋体" w:hAnsi="宋体"/>
                <w:color w:val="000000"/>
                <w:szCs w:val="21"/>
              </w:rPr>
            </w:pPr>
            <w:r>
              <w:rPr>
                <w:rFonts w:hint="eastAsia" w:ascii="宋体" w:hAnsi="宋体"/>
                <w:color w:val="000000"/>
                <w:szCs w:val="21"/>
              </w:rPr>
              <w:t>证书编号</w:t>
            </w:r>
          </w:p>
        </w:tc>
        <w:tc>
          <w:tcPr>
            <w:tcW w:w="2163" w:type="dxa"/>
            <w:vAlign w:val="center"/>
          </w:tcPr>
          <w:p>
            <w:pPr>
              <w:spacing w:line="400" w:lineRule="exact"/>
              <w:jc w:val="center"/>
              <w:rPr>
                <w:rFonts w:hint="eastAsia" w:ascii="宋体" w:hAnsi="宋体"/>
                <w:color w:val="000000"/>
                <w:szCs w:val="21"/>
              </w:rPr>
            </w:pPr>
            <w:r>
              <w:rPr>
                <w:rFonts w:hint="eastAsia" w:ascii="宋体" w:hAnsi="宋体"/>
                <w:color w:val="000000"/>
                <w:szCs w:val="21"/>
              </w:rPr>
              <w:t>参加工作时间</w:t>
            </w:r>
          </w:p>
        </w:tc>
        <w:tc>
          <w:tcPr>
            <w:tcW w:w="2000" w:type="dxa"/>
            <w:vAlign w:val="center"/>
          </w:tcPr>
          <w:p>
            <w:pPr>
              <w:spacing w:line="40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spacing w:line="400" w:lineRule="exact"/>
              <w:rPr>
                <w:rFonts w:hint="eastAsia" w:ascii="宋体" w:hAnsi="宋体"/>
                <w:color w:val="000000"/>
                <w:szCs w:val="21"/>
              </w:rPr>
            </w:pPr>
          </w:p>
        </w:tc>
        <w:tc>
          <w:tcPr>
            <w:tcW w:w="806" w:type="dxa"/>
          </w:tcPr>
          <w:p>
            <w:pPr>
              <w:spacing w:line="400" w:lineRule="exact"/>
              <w:rPr>
                <w:rFonts w:hint="eastAsia" w:ascii="宋体" w:hAnsi="宋体"/>
                <w:color w:val="000000"/>
                <w:szCs w:val="21"/>
              </w:rPr>
            </w:pPr>
          </w:p>
        </w:tc>
        <w:tc>
          <w:tcPr>
            <w:tcW w:w="1537" w:type="dxa"/>
          </w:tcPr>
          <w:p>
            <w:pPr>
              <w:spacing w:line="400" w:lineRule="exact"/>
              <w:rPr>
                <w:rFonts w:hint="eastAsia" w:ascii="宋体" w:hAnsi="宋体"/>
                <w:color w:val="000000"/>
                <w:szCs w:val="21"/>
              </w:rPr>
            </w:pPr>
          </w:p>
        </w:tc>
        <w:tc>
          <w:tcPr>
            <w:tcW w:w="1371" w:type="dxa"/>
          </w:tcPr>
          <w:p>
            <w:pPr>
              <w:spacing w:line="400" w:lineRule="exact"/>
              <w:rPr>
                <w:rFonts w:hint="eastAsia" w:ascii="宋体" w:hAnsi="宋体"/>
                <w:color w:val="000000"/>
                <w:szCs w:val="21"/>
              </w:rPr>
            </w:pPr>
          </w:p>
        </w:tc>
        <w:tc>
          <w:tcPr>
            <w:tcW w:w="2163" w:type="dxa"/>
          </w:tcPr>
          <w:p>
            <w:pPr>
              <w:spacing w:line="400" w:lineRule="exact"/>
              <w:rPr>
                <w:rFonts w:hint="eastAsia" w:ascii="宋体" w:hAnsi="宋体"/>
                <w:color w:val="000000"/>
                <w:szCs w:val="21"/>
              </w:rPr>
            </w:pPr>
          </w:p>
        </w:tc>
        <w:tc>
          <w:tcPr>
            <w:tcW w:w="2000" w:type="dxa"/>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spacing w:line="400" w:lineRule="exact"/>
              <w:rPr>
                <w:rFonts w:hint="eastAsia" w:ascii="宋体" w:hAnsi="宋体"/>
                <w:color w:val="000000"/>
                <w:szCs w:val="21"/>
              </w:rPr>
            </w:pPr>
          </w:p>
        </w:tc>
        <w:tc>
          <w:tcPr>
            <w:tcW w:w="806" w:type="dxa"/>
          </w:tcPr>
          <w:p>
            <w:pPr>
              <w:spacing w:line="400" w:lineRule="exact"/>
              <w:rPr>
                <w:rFonts w:hint="eastAsia" w:ascii="宋体" w:hAnsi="宋体"/>
                <w:color w:val="000000"/>
                <w:szCs w:val="21"/>
              </w:rPr>
            </w:pPr>
          </w:p>
        </w:tc>
        <w:tc>
          <w:tcPr>
            <w:tcW w:w="1537" w:type="dxa"/>
          </w:tcPr>
          <w:p>
            <w:pPr>
              <w:spacing w:line="400" w:lineRule="exact"/>
              <w:rPr>
                <w:rFonts w:hint="eastAsia" w:ascii="宋体" w:hAnsi="宋体"/>
                <w:color w:val="000000"/>
                <w:szCs w:val="21"/>
              </w:rPr>
            </w:pPr>
          </w:p>
        </w:tc>
        <w:tc>
          <w:tcPr>
            <w:tcW w:w="1371" w:type="dxa"/>
          </w:tcPr>
          <w:p>
            <w:pPr>
              <w:spacing w:line="400" w:lineRule="exact"/>
              <w:rPr>
                <w:rFonts w:hint="eastAsia" w:ascii="宋体" w:hAnsi="宋体"/>
                <w:color w:val="000000"/>
                <w:szCs w:val="21"/>
              </w:rPr>
            </w:pPr>
          </w:p>
        </w:tc>
        <w:tc>
          <w:tcPr>
            <w:tcW w:w="2163" w:type="dxa"/>
          </w:tcPr>
          <w:p>
            <w:pPr>
              <w:spacing w:line="400" w:lineRule="exact"/>
              <w:rPr>
                <w:rFonts w:hint="eastAsia" w:ascii="宋体" w:hAnsi="宋体"/>
                <w:color w:val="000000"/>
                <w:szCs w:val="21"/>
              </w:rPr>
            </w:pPr>
          </w:p>
        </w:tc>
        <w:tc>
          <w:tcPr>
            <w:tcW w:w="2000" w:type="dxa"/>
          </w:tcPr>
          <w:p>
            <w:pPr>
              <w:spacing w:line="400" w:lineRule="exact"/>
              <w:rPr>
                <w:rFonts w:hint="eastAsia" w:ascii="宋体" w:hAnsi="宋体"/>
                <w:color w:val="000000"/>
                <w:szCs w:val="21"/>
              </w:rPr>
            </w:pPr>
          </w:p>
        </w:tc>
      </w:tr>
    </w:tbl>
    <w:p>
      <w:pPr>
        <w:spacing w:line="400" w:lineRule="exact"/>
        <w:rPr>
          <w:rFonts w:hint="eastAsia" w:ascii="宋体" w:hAnsi="宋体"/>
          <w:color w:val="000000"/>
          <w:szCs w:val="21"/>
        </w:rPr>
      </w:pPr>
    </w:p>
    <w:p>
      <w:pPr>
        <w:spacing w:line="400" w:lineRule="exact"/>
        <w:rPr>
          <w:rFonts w:hint="eastAsia" w:ascii="宋体" w:hAnsi="宋体"/>
          <w:color w:val="000000"/>
          <w:szCs w:val="21"/>
        </w:rPr>
      </w:pPr>
      <w:r>
        <w:rPr>
          <w:rFonts w:hint="eastAsia" w:ascii="宋体" w:hAnsi="宋体"/>
          <w:color w:val="000000"/>
          <w:szCs w:val="21"/>
        </w:rPr>
        <w:t>注：1.在填写时，如本表格不适合投标单位的实际情况，可根据本表格式自行制表填写。</w:t>
      </w:r>
    </w:p>
    <w:p>
      <w:pPr>
        <w:pStyle w:val="20"/>
        <w:spacing w:line="400" w:lineRule="exact"/>
        <w:ind w:firstLine="3255" w:firstLineChars="1550"/>
        <w:rPr>
          <w:rFonts w:hint="eastAsia" w:hAnsi="宋体"/>
          <w:color w:val="000000"/>
        </w:rPr>
      </w:pPr>
      <w:r>
        <w:rPr>
          <w:rFonts w:hint="eastAsia" w:hAnsi="宋体"/>
          <w:color w:val="000000"/>
        </w:rPr>
        <w:t xml:space="preserve">   </w:t>
      </w:r>
    </w:p>
    <w:p>
      <w:pPr>
        <w:snapToGrid w:val="0"/>
        <w:spacing w:line="400" w:lineRule="exact"/>
        <w:ind w:firstLine="2730" w:firstLineChars="1300"/>
        <w:outlineLvl w:val="4"/>
        <w:rPr>
          <w:rFonts w:hint="eastAsia" w:ascii="宋体" w:hAnsi="宋体"/>
          <w:color w:val="000000"/>
          <w:szCs w:val="21"/>
          <w:u w:val="single"/>
        </w:rPr>
      </w:pPr>
      <w:r>
        <w:rPr>
          <w:rFonts w:hint="eastAsia" w:ascii="宋体" w:hAnsi="宋体"/>
          <w:color w:val="000000"/>
          <w:szCs w:val="21"/>
        </w:rPr>
        <w:t>投标人（公章，自然人除外）：</w:t>
      </w:r>
      <w:r>
        <w:rPr>
          <w:rFonts w:hint="eastAsia" w:ascii="宋体" w:hAnsi="宋体"/>
          <w:color w:val="000000"/>
          <w:szCs w:val="21"/>
          <w:u w:val="single"/>
        </w:rPr>
        <w:t xml:space="preserve">                                  </w:t>
      </w:r>
    </w:p>
    <w:p>
      <w:pPr>
        <w:snapToGrid w:val="0"/>
        <w:spacing w:line="400" w:lineRule="exact"/>
        <w:ind w:firstLine="420"/>
        <w:rPr>
          <w:rFonts w:hint="eastAsia" w:ascii="宋体" w:hAnsi="宋体"/>
          <w:color w:val="000000"/>
          <w:szCs w:val="21"/>
        </w:rPr>
      </w:pPr>
    </w:p>
    <w:p>
      <w:pPr>
        <w:pStyle w:val="20"/>
        <w:spacing w:line="400" w:lineRule="exact"/>
        <w:ind w:firstLine="2730" w:firstLineChars="1300"/>
        <w:rPr>
          <w:rFonts w:hint="eastAsia" w:hAnsi="宋体"/>
          <w:color w:val="000000"/>
        </w:rPr>
      </w:pPr>
      <w:r>
        <w:rPr>
          <w:rFonts w:hint="eastAsia" w:hAnsi="宋体"/>
          <w:color w:val="000000"/>
        </w:rPr>
        <w:t>法定代表人、负责人、自然人或相应的委托代理人签字（或盖章）</w:t>
      </w:r>
    </w:p>
    <w:p>
      <w:pPr>
        <w:pStyle w:val="20"/>
        <w:spacing w:line="400" w:lineRule="exact"/>
        <w:ind w:firstLine="2730" w:firstLineChars="1300"/>
        <w:rPr>
          <w:rFonts w:hint="eastAsia" w:hAnsi="宋体"/>
          <w:color w:val="000000"/>
          <w:u w:val="single"/>
        </w:rPr>
      </w:pPr>
      <w:r>
        <w:rPr>
          <w:rFonts w:hint="eastAsia" w:hAnsi="宋体"/>
          <w:color w:val="000000"/>
        </w:rPr>
        <w:t>（属自然人的应在签名处加盖大拇指指印）：</w:t>
      </w:r>
      <w:r>
        <w:rPr>
          <w:rFonts w:hint="eastAsia" w:hAnsi="宋体"/>
          <w:color w:val="000000"/>
          <w:szCs w:val="21"/>
          <w:u w:val="single"/>
        </w:rPr>
        <w:t xml:space="preserve">                    </w:t>
      </w:r>
    </w:p>
    <w:p>
      <w:pPr>
        <w:pStyle w:val="20"/>
        <w:ind w:firstLine="3570" w:firstLineChars="1700"/>
        <w:rPr>
          <w:rFonts w:hint="eastAsia" w:hAnsi="宋体"/>
          <w:color w:val="000000"/>
        </w:rPr>
      </w:pPr>
    </w:p>
    <w:p>
      <w:pPr>
        <w:pStyle w:val="20"/>
        <w:ind w:firstLine="2730" w:firstLineChars="1300"/>
        <w:rPr>
          <w:rFonts w:hint="eastAsia" w:hAnsi="宋体"/>
          <w:color w:val="000000"/>
          <w:u w:val="single"/>
        </w:rPr>
      </w:pPr>
      <w:r>
        <w:rPr>
          <w:rFonts w:hint="eastAsia" w:hAnsi="宋体"/>
          <w:color w:val="000000"/>
        </w:rPr>
        <w:t>日          期：</w:t>
      </w:r>
      <w:r>
        <w:rPr>
          <w:rFonts w:hint="eastAsia" w:hAnsi="宋体"/>
          <w:color w:val="000000"/>
          <w:u w:val="single"/>
        </w:rPr>
        <w:t xml:space="preserve">                                           </w:t>
      </w:r>
    </w:p>
    <w:p>
      <w:pPr>
        <w:pStyle w:val="20"/>
        <w:ind w:firstLine="2730" w:firstLineChars="1300"/>
        <w:rPr>
          <w:rFonts w:hint="eastAsia" w:hAnsi="宋体"/>
          <w:color w:val="000000"/>
          <w:u w:val="single"/>
        </w:rPr>
      </w:pPr>
    </w:p>
    <w:p>
      <w:pPr>
        <w:pStyle w:val="20"/>
        <w:ind w:firstLine="2730" w:firstLineChars="1300"/>
        <w:rPr>
          <w:rFonts w:hint="eastAsia" w:hAnsi="宋体"/>
          <w:color w:val="000000"/>
          <w:u w:val="single"/>
        </w:rPr>
      </w:pPr>
    </w:p>
    <w:p>
      <w:pPr>
        <w:numPr>
          <w:ilvl w:val="0"/>
          <w:numId w:val="9"/>
        </w:numPr>
        <w:spacing w:line="380" w:lineRule="exact"/>
        <w:rPr>
          <w:rFonts w:hint="eastAsia" w:ascii="宋体" w:hAnsi="宋体"/>
          <w:b/>
          <w:color w:val="000000"/>
          <w:sz w:val="32"/>
          <w:szCs w:val="32"/>
        </w:rPr>
      </w:pPr>
      <w:r>
        <w:rPr>
          <w:rFonts w:hint="eastAsia" w:ascii="宋体" w:hAnsi="宋体"/>
          <w:b/>
          <w:color w:val="000000"/>
          <w:sz w:val="32"/>
          <w:szCs w:val="32"/>
        </w:rPr>
        <w:t xml:space="preserve">投标人针对本服务项目的实施方案（格式自拟）（如有，请提供） </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7"/>
        <w:rPr>
          <w:rFonts w:hint="eastAsia"/>
          <w:color w:val="000000"/>
        </w:rPr>
      </w:pPr>
    </w:p>
    <w:p>
      <w:pPr>
        <w:spacing w:line="380" w:lineRule="exact"/>
        <w:ind w:firstLine="321" w:firstLineChars="100"/>
        <w:rPr>
          <w:rFonts w:hAnsi="宋体"/>
          <w:b/>
          <w:bCs/>
          <w:color w:val="000000"/>
          <w:sz w:val="32"/>
          <w:szCs w:val="32"/>
        </w:rPr>
      </w:pPr>
      <w:r>
        <w:rPr>
          <w:rFonts w:hint="eastAsia" w:hAnsi="宋体"/>
          <w:b/>
          <w:bCs/>
          <w:color w:val="000000"/>
          <w:sz w:val="32"/>
          <w:szCs w:val="32"/>
        </w:rPr>
        <w:t>6.节能方面的证书复印件（如有，请提供）；</w:t>
      </w:r>
    </w:p>
    <w:p>
      <w:pPr>
        <w:spacing w:line="500" w:lineRule="exact"/>
        <w:rPr>
          <w:rFonts w:hint="eastAsia" w:ascii="宋体" w:hAnsi="宋体"/>
          <w:b/>
          <w:bCs/>
          <w:color w:val="000000"/>
          <w:sz w:val="32"/>
          <w:szCs w:val="32"/>
        </w:rPr>
      </w:pPr>
    </w:p>
    <w:p>
      <w:pPr>
        <w:spacing w:line="500" w:lineRule="exact"/>
        <w:rPr>
          <w:rFonts w:hint="eastAsia" w:ascii="宋体" w:hAnsi="宋体"/>
          <w:color w:val="000000"/>
        </w:rPr>
      </w:pPr>
    </w:p>
    <w:p>
      <w:pPr>
        <w:pStyle w:val="20"/>
        <w:spacing w:line="400" w:lineRule="exact"/>
        <w:rPr>
          <w:rFonts w:hint="eastAsia" w:hAnsi="宋体"/>
          <w:b/>
          <w:bCs/>
          <w:color w:val="000000"/>
          <w:sz w:val="32"/>
          <w:szCs w:val="32"/>
        </w:rPr>
      </w:pPr>
      <w:r>
        <w:rPr>
          <w:rFonts w:hint="eastAsia" w:hAnsi="宋体"/>
          <w:b/>
          <w:bCs/>
          <w:color w:val="000000"/>
          <w:sz w:val="32"/>
          <w:szCs w:val="32"/>
        </w:rPr>
        <w:t>7.环保方面的证书复印件（如有，请提供）</w:t>
      </w:r>
    </w:p>
    <w:p>
      <w:pPr>
        <w:pStyle w:val="20"/>
        <w:spacing w:line="400" w:lineRule="exact"/>
        <w:rPr>
          <w:rFonts w:hint="eastAsia" w:hAnsi="宋体"/>
          <w:b/>
          <w:bCs/>
          <w:color w:val="000000"/>
          <w:sz w:val="32"/>
          <w:szCs w:val="32"/>
        </w:rPr>
      </w:pP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r>
        <w:rPr>
          <w:rFonts w:hint="eastAsia" w:ascii="宋体" w:hAnsi="宋体"/>
          <w:b/>
          <w:bCs/>
          <w:color w:val="000000"/>
          <w:sz w:val="32"/>
          <w:szCs w:val="32"/>
        </w:rPr>
        <w:t>8.投标人2018年度通过中介审计的有效完整的财务审计报告复印件（如有，请提供）</w:t>
      </w: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p>
    <w:p>
      <w:pPr>
        <w:pStyle w:val="23"/>
        <w:rPr>
          <w:rFonts w:hint="eastAsia" w:ascii="宋体" w:hAnsi="宋体"/>
          <w:b/>
          <w:bCs/>
          <w:color w:val="000000"/>
          <w:sz w:val="32"/>
          <w:szCs w:val="32"/>
        </w:rPr>
      </w:pPr>
    </w:p>
    <w:p>
      <w:pPr>
        <w:pStyle w:val="23"/>
        <w:rPr>
          <w:rFonts w:hint="eastAsia" w:ascii="宋体" w:hAnsi="宋体"/>
          <w:b/>
          <w:bCs/>
          <w:color w:val="000000"/>
          <w:sz w:val="32"/>
          <w:szCs w:val="32"/>
        </w:rPr>
      </w:pPr>
    </w:p>
    <w:p>
      <w:pPr>
        <w:pStyle w:val="23"/>
        <w:rPr>
          <w:rFonts w:hint="eastAsia" w:ascii="宋体" w:hAnsi="宋体"/>
          <w:b/>
          <w:bCs/>
          <w:color w:val="000000"/>
          <w:sz w:val="32"/>
          <w:szCs w:val="32"/>
        </w:rPr>
      </w:pPr>
    </w:p>
    <w:p>
      <w:pPr>
        <w:spacing w:line="500" w:lineRule="exact"/>
        <w:rPr>
          <w:rFonts w:hint="eastAsia" w:ascii="宋体" w:hAnsi="宋体"/>
          <w:b/>
          <w:bCs/>
          <w:color w:val="000000"/>
          <w:sz w:val="32"/>
          <w:szCs w:val="32"/>
        </w:rPr>
      </w:pPr>
      <w:r>
        <w:rPr>
          <w:rFonts w:hint="eastAsia" w:ascii="宋体" w:hAnsi="宋体"/>
          <w:b/>
          <w:bCs/>
          <w:color w:val="000000"/>
          <w:sz w:val="32"/>
          <w:szCs w:val="32"/>
        </w:rPr>
        <w:t>9.投标人2017年1月1日以来具有同类产品的销售业绩的相关证明材料（以投标人同类项目实施情况一览表、合同复印件）（如有，请提供）</w:t>
      </w: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r>
        <w:rPr>
          <w:rFonts w:hint="eastAsia" w:ascii="宋体" w:hAnsi="宋体"/>
          <w:b/>
          <w:bCs/>
          <w:color w:val="000000"/>
          <w:sz w:val="32"/>
          <w:szCs w:val="32"/>
        </w:rPr>
        <w:t>10、 投标人为生产厂家的，投标人的生产制造设备清单及专业技术能力说明（如有，请提供）</w:t>
      </w: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r>
        <w:rPr>
          <w:rFonts w:hint="eastAsia" w:ascii="宋体" w:hAnsi="宋体"/>
          <w:b/>
          <w:bCs/>
          <w:color w:val="000000"/>
          <w:sz w:val="32"/>
          <w:szCs w:val="32"/>
        </w:rPr>
        <w:t>11. 投标人相关获奖证书、认证证书等复印件（如有，请提供）</w:t>
      </w:r>
    </w:p>
    <w:p>
      <w:pPr>
        <w:spacing w:line="500" w:lineRule="exact"/>
        <w:rPr>
          <w:rFonts w:hint="eastAsia" w:ascii="宋体" w:hAnsi="宋体"/>
          <w:b/>
          <w:color w:val="000000"/>
          <w:sz w:val="32"/>
          <w:szCs w:val="32"/>
        </w:rPr>
      </w:pPr>
    </w:p>
    <w:p>
      <w:pPr>
        <w:spacing w:line="500" w:lineRule="exact"/>
        <w:rPr>
          <w:rFonts w:hint="eastAsia" w:ascii="宋体" w:hAnsi="宋体"/>
          <w:b/>
          <w:color w:val="000000"/>
          <w:sz w:val="32"/>
          <w:szCs w:val="32"/>
        </w:rPr>
      </w:pPr>
      <w:r>
        <w:rPr>
          <w:rFonts w:ascii="宋体" w:hAnsi="宋体"/>
          <w:b/>
          <w:color w:val="000000"/>
          <w:sz w:val="32"/>
          <w:szCs w:val="32"/>
        </w:rPr>
        <w:br w:type="page"/>
      </w:r>
    </w:p>
    <w:p>
      <w:pPr>
        <w:spacing w:line="500" w:lineRule="exact"/>
        <w:rPr>
          <w:rFonts w:hint="eastAsia" w:ascii="宋体" w:hAnsi="宋体"/>
          <w:b/>
          <w:color w:val="000000"/>
          <w:sz w:val="32"/>
          <w:szCs w:val="32"/>
        </w:rPr>
      </w:pPr>
      <w:r>
        <w:rPr>
          <w:rFonts w:hint="eastAsia" w:ascii="宋体" w:hAnsi="宋体"/>
          <w:b/>
          <w:color w:val="000000"/>
          <w:sz w:val="32"/>
          <w:szCs w:val="32"/>
        </w:rPr>
        <w:t>12. 投标人所投产品为广西工业产品的，如实提供《广西工业产品声明函》（如有，请提供）</w:t>
      </w:r>
    </w:p>
    <w:p>
      <w:pPr>
        <w:pStyle w:val="20"/>
        <w:ind w:firstLine="472" w:firstLineChars="147"/>
        <w:rPr>
          <w:rFonts w:hAnsi="宋体"/>
          <w:b/>
          <w:color w:val="000000"/>
          <w:sz w:val="32"/>
          <w:szCs w:val="32"/>
        </w:rPr>
      </w:pPr>
      <w:r>
        <w:rPr>
          <w:rFonts w:hint="eastAsia" w:hAnsi="宋体"/>
          <w:b/>
          <w:color w:val="000000"/>
          <w:sz w:val="32"/>
          <w:szCs w:val="32"/>
        </w:rPr>
        <w:t>附件：</w:t>
      </w:r>
    </w:p>
    <w:p>
      <w:pPr>
        <w:pStyle w:val="20"/>
        <w:spacing w:line="360" w:lineRule="exact"/>
        <w:jc w:val="center"/>
        <w:outlineLvl w:val="0"/>
        <w:rPr>
          <w:rFonts w:hAnsi="宋体"/>
          <w:b/>
          <w:color w:val="000000"/>
          <w:sz w:val="32"/>
          <w:szCs w:val="32"/>
        </w:rPr>
      </w:pPr>
      <w:bookmarkStart w:id="57" w:name="_Toc6369"/>
      <w:r>
        <w:rPr>
          <w:rFonts w:hint="eastAsia" w:hAnsi="宋体"/>
          <w:b/>
          <w:color w:val="000000"/>
          <w:sz w:val="32"/>
          <w:szCs w:val="32"/>
        </w:rPr>
        <w:t>广西工业产品声明函</w:t>
      </w:r>
      <w:bookmarkEnd w:id="57"/>
    </w:p>
    <w:p>
      <w:pPr>
        <w:pStyle w:val="20"/>
        <w:spacing w:line="460" w:lineRule="exact"/>
        <w:jc w:val="center"/>
        <w:rPr>
          <w:rFonts w:hint="eastAsia" w:hAnsi="宋体"/>
          <w:color w:val="000000"/>
          <w:sz w:val="24"/>
          <w:szCs w:val="24"/>
        </w:rPr>
      </w:pPr>
      <w:r>
        <w:rPr>
          <w:rFonts w:hint="eastAsia" w:hAnsi="宋体"/>
          <w:color w:val="000000"/>
          <w:sz w:val="24"/>
          <w:szCs w:val="24"/>
        </w:rPr>
        <w:t xml:space="preserve">      </w:t>
      </w:r>
    </w:p>
    <w:p>
      <w:pPr>
        <w:pStyle w:val="20"/>
        <w:spacing w:line="460" w:lineRule="exact"/>
        <w:jc w:val="center"/>
        <w:rPr>
          <w:rFonts w:hint="eastAsia" w:hAnsi="宋体"/>
          <w:color w:val="000000"/>
          <w:sz w:val="24"/>
          <w:szCs w:val="24"/>
        </w:rPr>
      </w:pPr>
      <w:r>
        <w:rPr>
          <w:rFonts w:hint="eastAsia" w:hAnsi="宋体"/>
          <w:color w:val="000000"/>
          <w:sz w:val="24"/>
          <w:szCs w:val="24"/>
        </w:rPr>
        <w:t xml:space="preserve">      本公司郑重声明，根据《招标采购促进广西工业产品产销对接实施细则》的规定，</w:t>
      </w:r>
    </w:p>
    <w:p>
      <w:pPr>
        <w:pStyle w:val="20"/>
        <w:spacing w:line="460" w:lineRule="exact"/>
        <w:ind w:left="239" w:leftChars="114"/>
        <w:rPr>
          <w:rFonts w:hAnsi="宋体"/>
          <w:color w:val="000000"/>
          <w:sz w:val="24"/>
          <w:szCs w:val="24"/>
        </w:rPr>
      </w:pPr>
      <w:r>
        <w:rPr>
          <w:rFonts w:hint="eastAsia" w:hAnsi="宋体"/>
          <w:color w:val="000000"/>
          <w:sz w:val="24"/>
          <w:szCs w:val="24"/>
        </w:rPr>
        <w:t>本公司在本次投标</w:t>
      </w:r>
      <w:r>
        <w:rPr>
          <w:rFonts w:hAnsi="宋体"/>
          <w:color w:val="000000"/>
          <w:sz w:val="24"/>
          <w:szCs w:val="24"/>
        </w:rPr>
        <w:t>/</w:t>
      </w:r>
      <w:r>
        <w:rPr>
          <w:rFonts w:hint="eastAsia" w:hAnsi="宋体"/>
          <w:color w:val="000000"/>
          <w:sz w:val="24"/>
          <w:szCs w:val="24"/>
        </w:rPr>
        <w:t>竞标中或者工程项目中提供的下述产品为广西工业产品，详情如下：</w:t>
      </w:r>
    </w:p>
    <w:p>
      <w:pPr>
        <w:pStyle w:val="20"/>
        <w:spacing w:line="360" w:lineRule="exact"/>
        <w:jc w:val="center"/>
        <w:rPr>
          <w:rFonts w:hint="eastAsia" w:hAnsi="宋体"/>
          <w:color w:val="000000"/>
          <w:sz w:val="24"/>
          <w:szCs w:val="24"/>
        </w:rPr>
      </w:pPr>
    </w:p>
    <w:tbl>
      <w:tblPr>
        <w:tblStyle w:val="43"/>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20" w:type="dxa"/>
            <w:vAlign w:val="center"/>
          </w:tcPr>
          <w:p>
            <w:pPr>
              <w:pStyle w:val="20"/>
              <w:spacing w:line="360" w:lineRule="exact"/>
              <w:jc w:val="center"/>
              <w:rPr>
                <w:rFonts w:hint="eastAsia" w:hAnsi="宋体"/>
                <w:color w:val="000000"/>
                <w:szCs w:val="21"/>
              </w:rPr>
            </w:pPr>
            <w:r>
              <w:rPr>
                <w:rFonts w:hint="eastAsia" w:hAnsi="宋体"/>
                <w:color w:val="000000"/>
                <w:szCs w:val="21"/>
              </w:rPr>
              <w:t>序号</w:t>
            </w:r>
          </w:p>
        </w:tc>
        <w:tc>
          <w:tcPr>
            <w:tcW w:w="1620" w:type="dxa"/>
            <w:vAlign w:val="center"/>
          </w:tcPr>
          <w:p>
            <w:pPr>
              <w:pStyle w:val="20"/>
              <w:spacing w:line="360" w:lineRule="exact"/>
              <w:jc w:val="center"/>
              <w:rPr>
                <w:rFonts w:hint="eastAsia" w:hAnsi="宋体"/>
                <w:color w:val="000000"/>
                <w:szCs w:val="21"/>
              </w:rPr>
            </w:pPr>
            <w:r>
              <w:rPr>
                <w:rFonts w:hint="eastAsia" w:hAnsi="宋体"/>
                <w:color w:val="000000"/>
                <w:szCs w:val="21"/>
              </w:rPr>
              <w:t>产品名称</w:t>
            </w:r>
          </w:p>
        </w:tc>
        <w:tc>
          <w:tcPr>
            <w:tcW w:w="1617" w:type="dxa"/>
            <w:vAlign w:val="center"/>
          </w:tcPr>
          <w:p>
            <w:pPr>
              <w:pStyle w:val="20"/>
              <w:spacing w:line="360" w:lineRule="exact"/>
              <w:jc w:val="center"/>
              <w:rPr>
                <w:rFonts w:hint="eastAsia" w:hAnsi="宋体"/>
                <w:color w:val="000000"/>
                <w:szCs w:val="21"/>
              </w:rPr>
            </w:pPr>
            <w:r>
              <w:rPr>
                <w:rFonts w:hint="eastAsia" w:hAnsi="宋体"/>
                <w:color w:val="000000"/>
                <w:szCs w:val="21"/>
              </w:rPr>
              <w:t>型号和规格</w:t>
            </w:r>
          </w:p>
        </w:tc>
        <w:tc>
          <w:tcPr>
            <w:tcW w:w="903" w:type="dxa"/>
            <w:vAlign w:val="center"/>
          </w:tcPr>
          <w:p>
            <w:pPr>
              <w:pStyle w:val="20"/>
              <w:spacing w:line="360" w:lineRule="exact"/>
              <w:jc w:val="center"/>
              <w:rPr>
                <w:rFonts w:hint="eastAsia" w:hAnsi="宋体"/>
                <w:color w:val="000000"/>
                <w:szCs w:val="21"/>
              </w:rPr>
            </w:pPr>
            <w:r>
              <w:rPr>
                <w:rFonts w:hint="eastAsia" w:hAnsi="宋体"/>
                <w:color w:val="000000"/>
                <w:szCs w:val="21"/>
              </w:rPr>
              <w:t>数量</w:t>
            </w:r>
          </w:p>
        </w:tc>
        <w:tc>
          <w:tcPr>
            <w:tcW w:w="2160" w:type="dxa"/>
            <w:vAlign w:val="center"/>
          </w:tcPr>
          <w:p>
            <w:pPr>
              <w:pStyle w:val="20"/>
              <w:spacing w:line="360" w:lineRule="exact"/>
              <w:jc w:val="center"/>
              <w:rPr>
                <w:rFonts w:hint="eastAsia" w:hAnsi="宋体"/>
                <w:color w:val="000000"/>
                <w:szCs w:val="21"/>
              </w:rPr>
            </w:pPr>
            <w:r>
              <w:rPr>
                <w:rFonts w:hint="eastAsia" w:hAnsi="宋体"/>
                <w:color w:val="000000"/>
                <w:szCs w:val="21"/>
              </w:rPr>
              <w:t>制造厂商及原产地</w:t>
            </w:r>
          </w:p>
        </w:tc>
        <w:tc>
          <w:tcPr>
            <w:tcW w:w="1087" w:type="dxa"/>
            <w:vAlign w:val="center"/>
          </w:tcPr>
          <w:p>
            <w:pPr>
              <w:pStyle w:val="20"/>
              <w:spacing w:line="360" w:lineRule="exact"/>
              <w:jc w:val="center"/>
              <w:rPr>
                <w:rFonts w:hint="eastAsia" w:hAnsi="宋体"/>
                <w:color w:val="000000"/>
                <w:szCs w:val="21"/>
              </w:rPr>
            </w:pPr>
            <w:r>
              <w:rPr>
                <w:rFonts w:hint="eastAsia" w:hAnsi="宋体"/>
                <w:color w:val="000000"/>
                <w:szCs w:val="21"/>
              </w:rPr>
              <w:t>投标价</w:t>
            </w:r>
          </w:p>
        </w:tc>
        <w:tc>
          <w:tcPr>
            <w:tcW w:w="1073" w:type="dxa"/>
            <w:vAlign w:val="center"/>
          </w:tcPr>
          <w:p>
            <w:pPr>
              <w:pStyle w:val="20"/>
              <w:spacing w:line="360" w:lineRule="exact"/>
              <w:jc w:val="center"/>
              <w:rPr>
                <w:rFonts w:hint="eastAsia" w:hAnsi="宋体"/>
                <w:color w:val="000000"/>
                <w:szCs w:val="21"/>
              </w:rPr>
            </w:pPr>
            <w:r>
              <w:rPr>
                <w:rFonts w:hint="eastAsia"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20" w:type="dxa"/>
            <w:vAlign w:val="center"/>
          </w:tcPr>
          <w:p>
            <w:pPr>
              <w:pStyle w:val="20"/>
              <w:spacing w:line="360" w:lineRule="exact"/>
              <w:jc w:val="center"/>
              <w:rPr>
                <w:rFonts w:hint="eastAsia" w:hAnsi="宋体"/>
                <w:color w:val="000000"/>
                <w:szCs w:val="21"/>
              </w:rPr>
            </w:pPr>
            <w:r>
              <w:rPr>
                <w:rFonts w:hint="eastAsia" w:hAnsi="宋体"/>
                <w:color w:val="000000"/>
                <w:szCs w:val="21"/>
              </w:rPr>
              <w:t>1</w:t>
            </w:r>
          </w:p>
        </w:tc>
        <w:tc>
          <w:tcPr>
            <w:tcW w:w="1620" w:type="dxa"/>
            <w:vAlign w:val="center"/>
          </w:tcPr>
          <w:p>
            <w:pPr>
              <w:pStyle w:val="20"/>
              <w:spacing w:line="360" w:lineRule="exact"/>
              <w:jc w:val="center"/>
              <w:rPr>
                <w:rFonts w:hint="eastAsia" w:hAnsi="宋体"/>
                <w:color w:val="000000"/>
                <w:szCs w:val="21"/>
              </w:rPr>
            </w:pPr>
          </w:p>
        </w:tc>
        <w:tc>
          <w:tcPr>
            <w:tcW w:w="1617" w:type="dxa"/>
            <w:vAlign w:val="center"/>
          </w:tcPr>
          <w:p>
            <w:pPr>
              <w:pStyle w:val="20"/>
              <w:spacing w:line="360" w:lineRule="exact"/>
              <w:jc w:val="center"/>
              <w:rPr>
                <w:rFonts w:hint="eastAsia" w:hAnsi="宋体"/>
                <w:color w:val="000000"/>
                <w:szCs w:val="21"/>
              </w:rPr>
            </w:pPr>
          </w:p>
        </w:tc>
        <w:tc>
          <w:tcPr>
            <w:tcW w:w="903" w:type="dxa"/>
            <w:vAlign w:val="center"/>
          </w:tcPr>
          <w:p>
            <w:pPr>
              <w:pStyle w:val="20"/>
              <w:spacing w:line="360" w:lineRule="exact"/>
              <w:jc w:val="center"/>
              <w:rPr>
                <w:rFonts w:hint="eastAsia" w:hAnsi="宋体"/>
                <w:color w:val="000000"/>
                <w:szCs w:val="21"/>
              </w:rPr>
            </w:pPr>
          </w:p>
        </w:tc>
        <w:tc>
          <w:tcPr>
            <w:tcW w:w="2160" w:type="dxa"/>
            <w:vAlign w:val="center"/>
          </w:tcPr>
          <w:p>
            <w:pPr>
              <w:pStyle w:val="20"/>
              <w:spacing w:line="360" w:lineRule="exact"/>
              <w:jc w:val="center"/>
              <w:rPr>
                <w:rFonts w:hint="eastAsia" w:hAnsi="宋体"/>
                <w:color w:val="000000"/>
                <w:szCs w:val="21"/>
              </w:rPr>
            </w:pPr>
          </w:p>
        </w:tc>
        <w:tc>
          <w:tcPr>
            <w:tcW w:w="1087" w:type="dxa"/>
            <w:vAlign w:val="center"/>
          </w:tcPr>
          <w:p>
            <w:pPr>
              <w:pStyle w:val="20"/>
              <w:spacing w:line="360" w:lineRule="exact"/>
              <w:jc w:val="center"/>
              <w:rPr>
                <w:rFonts w:hint="eastAsia" w:hAnsi="宋体"/>
                <w:color w:val="000000"/>
                <w:szCs w:val="21"/>
              </w:rPr>
            </w:pPr>
          </w:p>
        </w:tc>
        <w:tc>
          <w:tcPr>
            <w:tcW w:w="1073" w:type="dxa"/>
            <w:vAlign w:val="center"/>
          </w:tcPr>
          <w:p>
            <w:pPr>
              <w:pStyle w:val="20"/>
              <w:spacing w:line="360" w:lineRule="exact"/>
              <w:jc w:val="center"/>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20" w:type="dxa"/>
            <w:vAlign w:val="center"/>
          </w:tcPr>
          <w:p>
            <w:pPr>
              <w:pStyle w:val="20"/>
              <w:spacing w:line="360" w:lineRule="exact"/>
              <w:jc w:val="center"/>
              <w:rPr>
                <w:rFonts w:hint="eastAsia" w:hAnsi="宋体"/>
                <w:color w:val="000000"/>
                <w:szCs w:val="21"/>
              </w:rPr>
            </w:pPr>
            <w:r>
              <w:rPr>
                <w:rFonts w:hint="eastAsia" w:hAnsi="宋体"/>
                <w:color w:val="000000"/>
                <w:szCs w:val="21"/>
              </w:rPr>
              <w:t>2</w:t>
            </w:r>
          </w:p>
        </w:tc>
        <w:tc>
          <w:tcPr>
            <w:tcW w:w="1620" w:type="dxa"/>
            <w:vAlign w:val="center"/>
          </w:tcPr>
          <w:p>
            <w:pPr>
              <w:pStyle w:val="20"/>
              <w:spacing w:line="360" w:lineRule="exact"/>
              <w:jc w:val="center"/>
              <w:rPr>
                <w:rFonts w:hint="eastAsia" w:hAnsi="宋体"/>
                <w:color w:val="000000"/>
                <w:szCs w:val="21"/>
              </w:rPr>
            </w:pPr>
          </w:p>
        </w:tc>
        <w:tc>
          <w:tcPr>
            <w:tcW w:w="1617" w:type="dxa"/>
            <w:vAlign w:val="center"/>
          </w:tcPr>
          <w:p>
            <w:pPr>
              <w:pStyle w:val="20"/>
              <w:spacing w:line="360" w:lineRule="exact"/>
              <w:jc w:val="center"/>
              <w:rPr>
                <w:rFonts w:hint="eastAsia" w:hAnsi="宋体"/>
                <w:color w:val="000000"/>
                <w:szCs w:val="21"/>
              </w:rPr>
            </w:pPr>
          </w:p>
        </w:tc>
        <w:tc>
          <w:tcPr>
            <w:tcW w:w="903" w:type="dxa"/>
            <w:vAlign w:val="center"/>
          </w:tcPr>
          <w:p>
            <w:pPr>
              <w:pStyle w:val="20"/>
              <w:spacing w:line="360" w:lineRule="exact"/>
              <w:jc w:val="center"/>
              <w:rPr>
                <w:rFonts w:hint="eastAsia" w:hAnsi="宋体"/>
                <w:color w:val="000000"/>
                <w:szCs w:val="21"/>
              </w:rPr>
            </w:pPr>
          </w:p>
        </w:tc>
        <w:tc>
          <w:tcPr>
            <w:tcW w:w="2160" w:type="dxa"/>
            <w:vAlign w:val="center"/>
          </w:tcPr>
          <w:p>
            <w:pPr>
              <w:pStyle w:val="20"/>
              <w:spacing w:line="360" w:lineRule="exact"/>
              <w:jc w:val="center"/>
              <w:rPr>
                <w:rFonts w:hint="eastAsia" w:hAnsi="宋体"/>
                <w:color w:val="000000"/>
                <w:szCs w:val="21"/>
              </w:rPr>
            </w:pPr>
          </w:p>
        </w:tc>
        <w:tc>
          <w:tcPr>
            <w:tcW w:w="1087" w:type="dxa"/>
            <w:vAlign w:val="center"/>
          </w:tcPr>
          <w:p>
            <w:pPr>
              <w:pStyle w:val="20"/>
              <w:spacing w:line="360" w:lineRule="exact"/>
              <w:jc w:val="center"/>
              <w:rPr>
                <w:rFonts w:hint="eastAsia" w:hAnsi="宋体"/>
                <w:color w:val="000000"/>
                <w:szCs w:val="21"/>
              </w:rPr>
            </w:pPr>
          </w:p>
        </w:tc>
        <w:tc>
          <w:tcPr>
            <w:tcW w:w="1073" w:type="dxa"/>
            <w:vAlign w:val="center"/>
          </w:tcPr>
          <w:p>
            <w:pPr>
              <w:pStyle w:val="20"/>
              <w:spacing w:line="360" w:lineRule="exact"/>
              <w:jc w:val="center"/>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20" w:type="dxa"/>
            <w:vAlign w:val="center"/>
          </w:tcPr>
          <w:p>
            <w:pPr>
              <w:pStyle w:val="20"/>
              <w:spacing w:line="360" w:lineRule="exact"/>
              <w:jc w:val="center"/>
              <w:rPr>
                <w:rFonts w:hint="eastAsia" w:hAnsi="宋体"/>
                <w:color w:val="000000"/>
                <w:szCs w:val="21"/>
              </w:rPr>
            </w:pPr>
            <w:r>
              <w:rPr>
                <w:rFonts w:hAnsi="宋体"/>
                <w:color w:val="000000"/>
                <w:szCs w:val="21"/>
              </w:rPr>
              <w:t>……</w:t>
            </w:r>
          </w:p>
        </w:tc>
        <w:tc>
          <w:tcPr>
            <w:tcW w:w="1620" w:type="dxa"/>
            <w:vAlign w:val="center"/>
          </w:tcPr>
          <w:p>
            <w:pPr>
              <w:pStyle w:val="20"/>
              <w:spacing w:line="360" w:lineRule="exact"/>
              <w:jc w:val="center"/>
              <w:rPr>
                <w:rFonts w:hint="eastAsia" w:hAnsi="宋体"/>
                <w:color w:val="000000"/>
                <w:szCs w:val="21"/>
              </w:rPr>
            </w:pPr>
          </w:p>
        </w:tc>
        <w:tc>
          <w:tcPr>
            <w:tcW w:w="1617" w:type="dxa"/>
            <w:vAlign w:val="center"/>
          </w:tcPr>
          <w:p>
            <w:pPr>
              <w:pStyle w:val="20"/>
              <w:spacing w:line="360" w:lineRule="exact"/>
              <w:jc w:val="center"/>
              <w:rPr>
                <w:rFonts w:hint="eastAsia" w:hAnsi="宋体"/>
                <w:color w:val="000000"/>
                <w:szCs w:val="21"/>
              </w:rPr>
            </w:pPr>
          </w:p>
        </w:tc>
        <w:tc>
          <w:tcPr>
            <w:tcW w:w="903" w:type="dxa"/>
            <w:vAlign w:val="center"/>
          </w:tcPr>
          <w:p>
            <w:pPr>
              <w:pStyle w:val="20"/>
              <w:spacing w:line="360" w:lineRule="exact"/>
              <w:jc w:val="center"/>
              <w:rPr>
                <w:rFonts w:hint="eastAsia" w:hAnsi="宋体"/>
                <w:color w:val="000000"/>
                <w:szCs w:val="21"/>
              </w:rPr>
            </w:pPr>
          </w:p>
        </w:tc>
        <w:tc>
          <w:tcPr>
            <w:tcW w:w="2160" w:type="dxa"/>
            <w:vAlign w:val="center"/>
          </w:tcPr>
          <w:p>
            <w:pPr>
              <w:pStyle w:val="20"/>
              <w:spacing w:line="360" w:lineRule="exact"/>
              <w:jc w:val="center"/>
              <w:rPr>
                <w:rFonts w:hint="eastAsia" w:hAnsi="宋体"/>
                <w:color w:val="000000"/>
                <w:szCs w:val="21"/>
              </w:rPr>
            </w:pPr>
          </w:p>
        </w:tc>
        <w:tc>
          <w:tcPr>
            <w:tcW w:w="1087" w:type="dxa"/>
            <w:vAlign w:val="center"/>
          </w:tcPr>
          <w:p>
            <w:pPr>
              <w:pStyle w:val="20"/>
              <w:spacing w:line="360" w:lineRule="exact"/>
              <w:jc w:val="center"/>
              <w:rPr>
                <w:rFonts w:hint="eastAsia" w:hAnsi="宋体"/>
                <w:color w:val="000000"/>
                <w:szCs w:val="21"/>
              </w:rPr>
            </w:pPr>
          </w:p>
        </w:tc>
        <w:tc>
          <w:tcPr>
            <w:tcW w:w="1073" w:type="dxa"/>
            <w:vAlign w:val="center"/>
          </w:tcPr>
          <w:p>
            <w:pPr>
              <w:pStyle w:val="20"/>
              <w:spacing w:line="360" w:lineRule="exact"/>
              <w:jc w:val="center"/>
              <w:rPr>
                <w:rFonts w:hint="eastAsia"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720" w:type="dxa"/>
            <w:vAlign w:val="center"/>
          </w:tcPr>
          <w:p>
            <w:pPr>
              <w:pStyle w:val="20"/>
              <w:spacing w:line="360" w:lineRule="exact"/>
              <w:jc w:val="center"/>
              <w:rPr>
                <w:rFonts w:hint="eastAsia" w:hAnsi="宋体"/>
                <w:color w:val="000000"/>
                <w:szCs w:val="21"/>
              </w:rPr>
            </w:pPr>
          </w:p>
        </w:tc>
        <w:tc>
          <w:tcPr>
            <w:tcW w:w="1620" w:type="dxa"/>
            <w:vAlign w:val="center"/>
          </w:tcPr>
          <w:p>
            <w:pPr>
              <w:pStyle w:val="20"/>
              <w:spacing w:line="360" w:lineRule="exact"/>
              <w:jc w:val="center"/>
              <w:rPr>
                <w:rFonts w:hint="eastAsia" w:hAnsi="宋体"/>
                <w:color w:val="000000"/>
                <w:szCs w:val="21"/>
              </w:rPr>
            </w:pPr>
            <w:r>
              <w:rPr>
                <w:rFonts w:hint="eastAsia" w:hAnsi="宋体"/>
                <w:color w:val="000000"/>
                <w:szCs w:val="21"/>
              </w:rPr>
              <w:t>广西工业产品合计价格</w:t>
            </w:r>
          </w:p>
        </w:tc>
        <w:tc>
          <w:tcPr>
            <w:tcW w:w="2520" w:type="dxa"/>
            <w:gridSpan w:val="2"/>
            <w:vAlign w:val="center"/>
          </w:tcPr>
          <w:p>
            <w:pPr>
              <w:pStyle w:val="20"/>
              <w:spacing w:line="360" w:lineRule="exact"/>
              <w:jc w:val="center"/>
              <w:rPr>
                <w:rFonts w:hint="eastAsia" w:hAnsi="宋体"/>
                <w:color w:val="000000"/>
                <w:szCs w:val="21"/>
              </w:rPr>
            </w:pPr>
          </w:p>
        </w:tc>
        <w:tc>
          <w:tcPr>
            <w:tcW w:w="2160" w:type="dxa"/>
            <w:vAlign w:val="center"/>
          </w:tcPr>
          <w:p>
            <w:pPr>
              <w:pStyle w:val="20"/>
              <w:spacing w:line="360" w:lineRule="exact"/>
              <w:jc w:val="center"/>
              <w:rPr>
                <w:rFonts w:hint="eastAsia" w:hAnsi="宋体"/>
                <w:color w:val="000000"/>
                <w:szCs w:val="21"/>
              </w:rPr>
            </w:pPr>
            <w:r>
              <w:rPr>
                <w:rFonts w:hint="eastAsia" w:hAnsi="宋体"/>
                <w:color w:val="000000"/>
                <w:szCs w:val="21"/>
              </w:rPr>
              <w:t>占投标总价比例</w:t>
            </w:r>
          </w:p>
        </w:tc>
        <w:tc>
          <w:tcPr>
            <w:tcW w:w="2160" w:type="dxa"/>
            <w:gridSpan w:val="2"/>
            <w:vAlign w:val="center"/>
          </w:tcPr>
          <w:p>
            <w:pPr>
              <w:pStyle w:val="20"/>
              <w:spacing w:line="360" w:lineRule="exact"/>
              <w:jc w:val="center"/>
              <w:rPr>
                <w:rFonts w:hint="eastAsia" w:hAnsi="宋体"/>
                <w:color w:val="000000"/>
                <w:szCs w:val="21"/>
              </w:rPr>
            </w:pPr>
          </w:p>
        </w:tc>
      </w:tr>
    </w:tbl>
    <w:p>
      <w:pPr>
        <w:pStyle w:val="20"/>
        <w:spacing w:line="460" w:lineRule="exact"/>
        <w:ind w:left="239" w:leftChars="114" w:firstLine="720" w:firstLineChars="300"/>
        <w:rPr>
          <w:rFonts w:hAnsi="宋体"/>
          <w:color w:val="000000"/>
          <w:sz w:val="24"/>
          <w:szCs w:val="24"/>
        </w:rPr>
      </w:pPr>
      <w:r>
        <w:rPr>
          <w:rFonts w:hint="eastAsia" w:hAnsi="宋体"/>
          <w:color w:val="000000"/>
          <w:sz w:val="24"/>
          <w:szCs w:val="24"/>
        </w:rPr>
        <w:t>本公司对上述声明的真实性负责。如有虚假，将依法承担相应责任。</w:t>
      </w:r>
    </w:p>
    <w:p>
      <w:pPr>
        <w:pStyle w:val="20"/>
        <w:spacing w:line="460" w:lineRule="exact"/>
        <w:ind w:left="239" w:leftChars="114" w:firstLine="240" w:firstLineChars="100"/>
        <w:rPr>
          <w:rFonts w:hint="eastAsia" w:hAnsi="宋体"/>
          <w:color w:val="000000"/>
          <w:sz w:val="24"/>
          <w:szCs w:val="24"/>
        </w:rPr>
      </w:pPr>
    </w:p>
    <w:p>
      <w:pPr>
        <w:pStyle w:val="20"/>
        <w:spacing w:line="460" w:lineRule="exact"/>
        <w:ind w:left="239" w:leftChars="114" w:firstLine="240" w:firstLineChars="100"/>
        <w:rPr>
          <w:rFonts w:hint="eastAsia" w:hAnsi="宋体"/>
          <w:color w:val="000000"/>
          <w:sz w:val="24"/>
          <w:szCs w:val="24"/>
        </w:rPr>
      </w:pPr>
    </w:p>
    <w:p>
      <w:pPr>
        <w:pStyle w:val="20"/>
        <w:spacing w:line="460" w:lineRule="exact"/>
        <w:ind w:left="239" w:leftChars="114" w:firstLine="6240" w:firstLineChars="2600"/>
        <w:rPr>
          <w:rFonts w:hAnsi="宋体"/>
          <w:color w:val="000000"/>
          <w:sz w:val="24"/>
          <w:szCs w:val="24"/>
        </w:rPr>
      </w:pPr>
      <w:r>
        <w:rPr>
          <w:rFonts w:hint="eastAsia" w:hAnsi="宋体"/>
          <w:color w:val="000000"/>
          <w:sz w:val="24"/>
          <w:szCs w:val="24"/>
        </w:rPr>
        <w:t>企业名称（盖章）：</w:t>
      </w:r>
    </w:p>
    <w:p>
      <w:pPr>
        <w:pStyle w:val="20"/>
        <w:spacing w:line="460" w:lineRule="exact"/>
        <w:ind w:left="239" w:leftChars="114" w:firstLine="6600" w:firstLineChars="2750"/>
        <w:rPr>
          <w:rFonts w:hAnsi="宋体"/>
          <w:color w:val="000000"/>
          <w:sz w:val="24"/>
          <w:szCs w:val="24"/>
        </w:rPr>
      </w:pPr>
      <w:r>
        <w:rPr>
          <w:rFonts w:hint="eastAsia" w:hAnsi="宋体"/>
          <w:color w:val="000000"/>
          <w:sz w:val="24"/>
          <w:szCs w:val="24"/>
        </w:rPr>
        <w:t>日</w:t>
      </w:r>
      <w:r>
        <w:rPr>
          <w:rFonts w:hAnsi="宋体"/>
          <w:color w:val="000000"/>
          <w:sz w:val="24"/>
          <w:szCs w:val="24"/>
        </w:rPr>
        <w:t xml:space="preserve"> </w:t>
      </w:r>
      <w:r>
        <w:rPr>
          <w:rFonts w:hint="eastAsia" w:hAnsi="宋体"/>
          <w:color w:val="000000"/>
          <w:sz w:val="24"/>
          <w:szCs w:val="24"/>
        </w:rPr>
        <w:t>期：</w:t>
      </w:r>
    </w:p>
    <w:p>
      <w:pPr>
        <w:rPr>
          <w:rFonts w:hint="eastAsia" w:ascii="宋体" w:hAnsi="宋体"/>
          <w:b/>
          <w:bCs/>
          <w:color w:val="000000"/>
          <w:sz w:val="32"/>
          <w:szCs w:val="32"/>
        </w:rPr>
      </w:pP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r>
        <w:rPr>
          <w:rFonts w:hint="eastAsia" w:ascii="宋体" w:hAnsi="宋体"/>
          <w:b/>
          <w:bCs/>
          <w:color w:val="000000"/>
          <w:sz w:val="32"/>
          <w:szCs w:val="32"/>
        </w:rPr>
        <w:t>13.</w:t>
      </w:r>
      <w:r>
        <w:rPr>
          <w:rFonts w:hint="eastAsia" w:ascii="宋体" w:hAnsi="宋体"/>
          <w:color w:val="000000"/>
          <w:sz w:val="24"/>
        </w:rPr>
        <w:t xml:space="preserve"> </w:t>
      </w:r>
      <w:r>
        <w:rPr>
          <w:rFonts w:hint="eastAsia" w:ascii="宋体" w:hAnsi="宋体"/>
          <w:b/>
          <w:bCs/>
          <w:color w:val="000000"/>
          <w:sz w:val="32"/>
          <w:szCs w:val="32"/>
        </w:rPr>
        <w:t>如产品属于小型、微型企业、监狱企业的，提供工商注册地的工业和信息化部门等其他行政部门出具的相关证明材料（如有，请提供）</w:t>
      </w:r>
      <w:r>
        <w:rPr>
          <w:rFonts w:ascii="宋体" w:hAnsi="宋体"/>
          <w:b/>
          <w:bCs/>
          <w:color w:val="000000"/>
          <w:sz w:val="32"/>
          <w:szCs w:val="32"/>
        </w:rPr>
        <w:br w:type="page"/>
      </w:r>
      <w:r>
        <w:rPr>
          <w:rFonts w:hint="eastAsia" w:ascii="宋体" w:hAnsi="宋体"/>
          <w:b/>
          <w:bCs/>
          <w:color w:val="000000"/>
          <w:sz w:val="32"/>
          <w:szCs w:val="32"/>
        </w:rPr>
        <w:t>14.符合条件的残疾人福利性单位在参加政府采购活动时，应当提供《残疾人福利性单位声明函》（见附件），并对声明的真实性负责。</w:t>
      </w:r>
    </w:p>
    <w:p>
      <w:pPr>
        <w:spacing w:line="588" w:lineRule="exact"/>
        <w:jc w:val="center"/>
        <w:outlineLvl w:val="0"/>
        <w:rPr>
          <w:rFonts w:ascii="宋体" w:hAnsi="宋体"/>
          <w:b/>
          <w:color w:val="000000"/>
          <w:spacing w:val="6"/>
          <w:sz w:val="32"/>
          <w:szCs w:val="32"/>
        </w:rPr>
      </w:pPr>
      <w:bookmarkStart w:id="58" w:name="_Toc30963"/>
      <w:bookmarkStart w:id="59" w:name="OLE_LINK14"/>
      <w:bookmarkStart w:id="60" w:name="OLE_LINK13"/>
      <w:r>
        <w:rPr>
          <w:rFonts w:hint="eastAsia" w:ascii="宋体" w:hAnsi="宋体"/>
          <w:b/>
          <w:color w:val="000000"/>
          <w:spacing w:val="6"/>
          <w:sz w:val="32"/>
          <w:szCs w:val="32"/>
        </w:rPr>
        <w:t>残疾人福利性单位声明函</w:t>
      </w:r>
      <w:bookmarkEnd w:id="58"/>
    </w:p>
    <w:bookmarkEnd w:id="59"/>
    <w:bookmarkEnd w:id="60"/>
    <w:p>
      <w:pPr>
        <w:spacing w:line="588" w:lineRule="exact"/>
        <w:rPr>
          <w:rFonts w:ascii="宋体" w:hAnsi="宋体"/>
          <w:b/>
          <w:color w:val="000000"/>
          <w:spacing w:val="6"/>
          <w:sz w:val="30"/>
          <w:szCs w:val="30"/>
        </w:rPr>
      </w:pPr>
    </w:p>
    <w:p>
      <w:pPr>
        <w:spacing w:line="588" w:lineRule="exact"/>
        <w:ind w:firstLine="624" w:firstLineChars="200"/>
        <w:rPr>
          <w:rFonts w:ascii="宋体" w:hAnsi="宋体"/>
          <w:color w:val="000000"/>
          <w:spacing w:val="6"/>
          <w:sz w:val="30"/>
          <w:szCs w:val="30"/>
        </w:rPr>
      </w:pPr>
      <w:r>
        <w:rPr>
          <w:rFonts w:hint="eastAsia" w:ascii="宋体" w:hAnsi="宋体"/>
          <w:color w:val="000000"/>
          <w:spacing w:val="6"/>
          <w:sz w:val="30"/>
          <w:szCs w:val="30"/>
        </w:rPr>
        <w:t>本单位郑重声明，根据《财政部 民政部 中国残疾人联合会关于促进残疾人就业政府采购政策的通知》（财库</w:t>
      </w:r>
      <w:r>
        <w:rPr>
          <w:rFonts w:hint="eastAsia" w:ascii="宋体" w:hAnsi="宋体"/>
          <w:color w:val="000000"/>
          <w:sz w:val="32"/>
          <w:szCs w:val="32"/>
        </w:rPr>
        <w:t>〔2017〕 141</w:t>
      </w:r>
      <w:r>
        <w:rPr>
          <w:rFonts w:hint="eastAsia" w:ascii="宋体" w:hAnsi="宋体"/>
          <w:color w:val="000000"/>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olor w:val="000000"/>
          <w:spacing w:val="6"/>
          <w:sz w:val="30"/>
          <w:szCs w:val="30"/>
        </w:rPr>
      </w:pPr>
      <w:r>
        <w:rPr>
          <w:rFonts w:hint="eastAsia" w:ascii="宋体" w:hAnsi="宋体"/>
          <w:color w:val="000000"/>
          <w:spacing w:val="6"/>
          <w:sz w:val="30"/>
          <w:szCs w:val="30"/>
        </w:rPr>
        <w:t>本单位对上述声明的真实性负责。如有虚假，将依法承担相应责任。</w:t>
      </w:r>
    </w:p>
    <w:p>
      <w:pPr>
        <w:spacing w:line="588" w:lineRule="exact"/>
        <w:ind w:firstLine="624" w:firstLineChars="200"/>
        <w:rPr>
          <w:rFonts w:ascii="宋体" w:hAnsi="宋体"/>
          <w:color w:val="000000"/>
          <w:spacing w:val="6"/>
          <w:sz w:val="30"/>
          <w:szCs w:val="30"/>
        </w:rPr>
      </w:pPr>
    </w:p>
    <w:p>
      <w:pPr>
        <w:spacing w:line="588" w:lineRule="exact"/>
        <w:ind w:firstLine="624" w:firstLineChars="200"/>
        <w:rPr>
          <w:rFonts w:ascii="宋体" w:hAnsi="宋体"/>
          <w:color w:val="000000"/>
          <w:spacing w:val="6"/>
          <w:sz w:val="30"/>
          <w:szCs w:val="30"/>
        </w:rPr>
      </w:pPr>
    </w:p>
    <w:p>
      <w:pPr>
        <w:tabs>
          <w:tab w:val="left" w:pos="4860"/>
        </w:tabs>
        <w:spacing w:line="588" w:lineRule="exact"/>
        <w:ind w:right="1560" w:firstLine="624" w:firstLineChars="200"/>
        <w:jc w:val="right"/>
        <w:rPr>
          <w:rFonts w:ascii="宋体" w:hAnsi="宋体"/>
          <w:color w:val="000000"/>
          <w:spacing w:val="6"/>
          <w:sz w:val="30"/>
          <w:szCs w:val="30"/>
        </w:rPr>
      </w:pPr>
      <w:r>
        <w:rPr>
          <w:rFonts w:hint="eastAsia" w:ascii="宋体" w:hAnsi="宋体"/>
          <w:color w:val="000000"/>
          <w:spacing w:val="6"/>
          <w:sz w:val="30"/>
          <w:szCs w:val="30"/>
        </w:rPr>
        <w:t>单位名称（盖章）：</w:t>
      </w:r>
    </w:p>
    <w:p>
      <w:pPr>
        <w:tabs>
          <w:tab w:val="left" w:pos="4860"/>
        </w:tabs>
        <w:spacing w:line="588" w:lineRule="exact"/>
        <w:ind w:right="1560" w:firstLine="624" w:firstLineChars="200"/>
        <w:jc w:val="right"/>
        <w:rPr>
          <w:rFonts w:ascii="宋体" w:hAnsi="宋体"/>
          <w:color w:val="000000"/>
          <w:spacing w:val="6"/>
          <w:sz w:val="30"/>
          <w:szCs w:val="30"/>
        </w:rPr>
      </w:pPr>
      <w:r>
        <w:rPr>
          <w:rFonts w:hint="eastAsia" w:ascii="宋体" w:hAnsi="宋体"/>
          <w:color w:val="000000"/>
          <w:spacing w:val="6"/>
          <w:sz w:val="30"/>
          <w:szCs w:val="30"/>
        </w:rPr>
        <w:t>日  期：</w:t>
      </w: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p>
    <w:p>
      <w:pPr>
        <w:spacing w:line="500" w:lineRule="exact"/>
        <w:outlineLvl w:val="0"/>
        <w:rPr>
          <w:rFonts w:hint="eastAsia" w:ascii="宋体" w:hAnsi="宋体"/>
          <w:b/>
          <w:bCs/>
          <w:color w:val="000000"/>
          <w:sz w:val="32"/>
          <w:szCs w:val="32"/>
        </w:rPr>
      </w:pPr>
      <w:bookmarkStart w:id="61" w:name="_Toc19996"/>
      <w:r>
        <w:rPr>
          <w:rFonts w:hint="eastAsia" w:ascii="宋体" w:hAnsi="宋体"/>
          <w:b/>
          <w:bCs/>
          <w:color w:val="000000"/>
          <w:sz w:val="32"/>
          <w:szCs w:val="32"/>
        </w:rPr>
        <w:t>15. 投标人可结合本项目的评标办法视自身情况自行提交相关证明材料（如有，请提供）</w:t>
      </w:r>
      <w:bookmarkEnd w:id="61"/>
    </w:p>
    <w:p>
      <w:pPr>
        <w:ind w:left="237" w:leftChars="113" w:firstLine="420" w:firstLineChars="200"/>
        <w:rPr>
          <w:rFonts w:hint="eastAsia" w:hAnsi="宋体"/>
          <w:color w:val="000000"/>
        </w:rPr>
      </w:pPr>
    </w:p>
    <w:p>
      <w:pPr>
        <w:spacing w:line="500" w:lineRule="exact"/>
        <w:rPr>
          <w:rFonts w:hint="eastAsia" w:ascii="宋体" w:hAnsi="宋体"/>
          <w:b/>
          <w:bCs/>
          <w:color w:val="000000"/>
          <w:sz w:val="32"/>
          <w:szCs w:val="32"/>
        </w:rPr>
      </w:pPr>
    </w:p>
    <w:p>
      <w:pPr>
        <w:spacing w:line="500" w:lineRule="exact"/>
        <w:rPr>
          <w:rFonts w:hint="eastAsia" w:ascii="宋体" w:hAnsi="宋体"/>
          <w:b/>
          <w:bCs/>
          <w:color w:val="000000"/>
          <w:sz w:val="32"/>
          <w:szCs w:val="32"/>
        </w:rPr>
      </w:pPr>
    </w:p>
    <w:sectPr>
      <w:headerReference r:id="rId3" w:type="default"/>
      <w:footerReference r:id="rId4" w:type="default"/>
      <w:pgSz w:w="11906" w:h="16838"/>
      <w:pgMar w:top="1304" w:right="1106" w:bottom="851" w:left="11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E+H Serif Asia_ME">
    <w:altName w:val="宋体"/>
    <w:panose1 w:val="00000000000000000000"/>
    <w:charset w:val="86"/>
    <w:family w:val="auto"/>
    <w:pitch w:val="default"/>
    <w:sig w:usb0="00000000" w:usb1="00000000" w:usb2="0000001E" w:usb3="00000000" w:csb0="003F00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rPr>
        <w:rStyle w:val="29"/>
      </w:rPr>
      <w:instrText xml:space="preserve"> PAGE </w:instrText>
    </w:r>
    <w:r>
      <w:fldChar w:fldCharType="separate"/>
    </w:r>
    <w:r>
      <w:rPr>
        <w:rStyle w:val="29"/>
      </w:rPr>
      <w:t>34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A1759"/>
    <w:multiLevelType w:val="singleLevel"/>
    <w:tmpl w:val="80DA1759"/>
    <w:lvl w:ilvl="0" w:tentative="0">
      <w:start w:val="5"/>
      <w:numFmt w:val="decimal"/>
      <w:suff w:val="space"/>
      <w:lvlText w:val="%1、"/>
      <w:lvlJc w:val="left"/>
      <w:pPr>
        <w:ind w:left="160" w:firstLine="0"/>
      </w:pPr>
    </w:lvl>
  </w:abstractNum>
  <w:abstractNum w:abstractNumId="1">
    <w:nsid w:val="9D40E20F"/>
    <w:multiLevelType w:val="singleLevel"/>
    <w:tmpl w:val="9D40E20F"/>
    <w:lvl w:ilvl="0" w:tentative="0">
      <w:start w:val="1"/>
      <w:numFmt w:val="decimal"/>
      <w:suff w:val="nothing"/>
      <w:lvlText w:val="%1、"/>
      <w:lvlJc w:val="left"/>
    </w:lvl>
  </w:abstractNum>
  <w:abstractNum w:abstractNumId="2">
    <w:nsid w:val="E8D031A1"/>
    <w:multiLevelType w:val="singleLevel"/>
    <w:tmpl w:val="E8D031A1"/>
    <w:lvl w:ilvl="0" w:tentative="0">
      <w:start w:val="1"/>
      <w:numFmt w:val="chineseCounting"/>
      <w:suff w:val="space"/>
      <w:lvlText w:val="第%1章"/>
      <w:lvlJc w:val="left"/>
      <w:rPr>
        <w:rFonts w:hint="eastAsia"/>
      </w:rPr>
    </w:lvl>
  </w:abstractNum>
  <w:abstractNum w:abstractNumId="3">
    <w:nsid w:val="0A66DC4A"/>
    <w:multiLevelType w:val="singleLevel"/>
    <w:tmpl w:val="0A66DC4A"/>
    <w:lvl w:ilvl="0" w:tentative="0">
      <w:start w:val="2"/>
      <w:numFmt w:val="decimal"/>
      <w:lvlText w:val="%1."/>
      <w:lvlJc w:val="left"/>
      <w:pPr>
        <w:tabs>
          <w:tab w:val="left" w:pos="312"/>
        </w:tabs>
      </w:pPr>
    </w:lvl>
  </w:abstractNum>
  <w:abstractNum w:abstractNumId="4">
    <w:nsid w:val="1BBC2313"/>
    <w:multiLevelType w:val="multilevel"/>
    <w:tmpl w:val="1BBC23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4D1DF316"/>
    <w:multiLevelType w:val="singleLevel"/>
    <w:tmpl w:val="4D1DF316"/>
    <w:lvl w:ilvl="0" w:tentative="0">
      <w:start w:val="3"/>
      <w:numFmt w:val="chineseCounting"/>
      <w:suff w:val="nothing"/>
      <w:lvlText w:val="（%1）"/>
      <w:lvlJc w:val="left"/>
      <w:rPr>
        <w:rFonts w:hint="eastAsia"/>
      </w:rPr>
    </w:lvl>
  </w:abstractNum>
  <w:abstractNum w:abstractNumId="7">
    <w:nsid w:val="59CBAC1F"/>
    <w:multiLevelType w:val="singleLevel"/>
    <w:tmpl w:val="59CBAC1F"/>
    <w:lvl w:ilvl="0" w:tentative="0">
      <w:start w:val="5"/>
      <w:numFmt w:val="chineseCounting"/>
      <w:suff w:val="nothing"/>
      <w:lvlText w:val="(%1)"/>
      <w:lvlJc w:val="left"/>
    </w:lvl>
  </w:abstractNum>
  <w:abstractNum w:abstractNumId="8">
    <w:nsid w:val="7FEB2C4F"/>
    <w:multiLevelType w:val="multilevel"/>
    <w:tmpl w:val="7FEB2C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8"/>
  </w:num>
  <w:num w:numId="5">
    <w:abstractNumId w:val="1"/>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0F2C"/>
    <w:rsid w:val="000013C5"/>
    <w:rsid w:val="0000245C"/>
    <w:rsid w:val="00002511"/>
    <w:rsid w:val="00002604"/>
    <w:rsid w:val="00002682"/>
    <w:rsid w:val="00002789"/>
    <w:rsid w:val="000029E2"/>
    <w:rsid w:val="00003443"/>
    <w:rsid w:val="00004627"/>
    <w:rsid w:val="00004D43"/>
    <w:rsid w:val="00004D70"/>
    <w:rsid w:val="00005339"/>
    <w:rsid w:val="00005777"/>
    <w:rsid w:val="000064D3"/>
    <w:rsid w:val="00006572"/>
    <w:rsid w:val="000066AE"/>
    <w:rsid w:val="00006843"/>
    <w:rsid w:val="00007562"/>
    <w:rsid w:val="00007A12"/>
    <w:rsid w:val="00007F96"/>
    <w:rsid w:val="00010630"/>
    <w:rsid w:val="0001073E"/>
    <w:rsid w:val="00010A38"/>
    <w:rsid w:val="00010EAD"/>
    <w:rsid w:val="00011006"/>
    <w:rsid w:val="00011968"/>
    <w:rsid w:val="00011B25"/>
    <w:rsid w:val="00012CDC"/>
    <w:rsid w:val="0001389F"/>
    <w:rsid w:val="000139C8"/>
    <w:rsid w:val="000139E0"/>
    <w:rsid w:val="00013C53"/>
    <w:rsid w:val="000141CD"/>
    <w:rsid w:val="00014897"/>
    <w:rsid w:val="0001495F"/>
    <w:rsid w:val="00014CF7"/>
    <w:rsid w:val="00014E97"/>
    <w:rsid w:val="000154C2"/>
    <w:rsid w:val="000155DB"/>
    <w:rsid w:val="00015616"/>
    <w:rsid w:val="00016164"/>
    <w:rsid w:val="000161E6"/>
    <w:rsid w:val="000168D8"/>
    <w:rsid w:val="00016CCE"/>
    <w:rsid w:val="00016E25"/>
    <w:rsid w:val="00016F9A"/>
    <w:rsid w:val="000171D6"/>
    <w:rsid w:val="00017C5A"/>
    <w:rsid w:val="00020282"/>
    <w:rsid w:val="000204F7"/>
    <w:rsid w:val="00020654"/>
    <w:rsid w:val="000206E4"/>
    <w:rsid w:val="00020A3D"/>
    <w:rsid w:val="00020C2E"/>
    <w:rsid w:val="000215C6"/>
    <w:rsid w:val="00021DAE"/>
    <w:rsid w:val="000226EF"/>
    <w:rsid w:val="00022A04"/>
    <w:rsid w:val="00022F6B"/>
    <w:rsid w:val="0002300B"/>
    <w:rsid w:val="00023496"/>
    <w:rsid w:val="00023CCC"/>
    <w:rsid w:val="00024D1C"/>
    <w:rsid w:val="000250DF"/>
    <w:rsid w:val="000253B5"/>
    <w:rsid w:val="000255CC"/>
    <w:rsid w:val="000255F1"/>
    <w:rsid w:val="00026487"/>
    <w:rsid w:val="00026761"/>
    <w:rsid w:val="00026A9C"/>
    <w:rsid w:val="00026BD0"/>
    <w:rsid w:val="00026E89"/>
    <w:rsid w:val="00027279"/>
    <w:rsid w:val="00027726"/>
    <w:rsid w:val="00027F50"/>
    <w:rsid w:val="00027FC2"/>
    <w:rsid w:val="00030259"/>
    <w:rsid w:val="000306A2"/>
    <w:rsid w:val="00031D23"/>
    <w:rsid w:val="000320DB"/>
    <w:rsid w:val="00032151"/>
    <w:rsid w:val="00032419"/>
    <w:rsid w:val="0003258D"/>
    <w:rsid w:val="00032A30"/>
    <w:rsid w:val="00032BAF"/>
    <w:rsid w:val="00033233"/>
    <w:rsid w:val="0003394A"/>
    <w:rsid w:val="00033A28"/>
    <w:rsid w:val="00033C62"/>
    <w:rsid w:val="00033DF1"/>
    <w:rsid w:val="00034267"/>
    <w:rsid w:val="00034581"/>
    <w:rsid w:val="00034D30"/>
    <w:rsid w:val="00034E5F"/>
    <w:rsid w:val="000353B8"/>
    <w:rsid w:val="000357BE"/>
    <w:rsid w:val="00035820"/>
    <w:rsid w:val="0003585C"/>
    <w:rsid w:val="00035C6F"/>
    <w:rsid w:val="00036348"/>
    <w:rsid w:val="00036425"/>
    <w:rsid w:val="00036594"/>
    <w:rsid w:val="00037242"/>
    <w:rsid w:val="000373A3"/>
    <w:rsid w:val="00037991"/>
    <w:rsid w:val="00040678"/>
    <w:rsid w:val="00041882"/>
    <w:rsid w:val="00041CD2"/>
    <w:rsid w:val="000425C4"/>
    <w:rsid w:val="00042F69"/>
    <w:rsid w:val="000433E9"/>
    <w:rsid w:val="00043717"/>
    <w:rsid w:val="00043BC9"/>
    <w:rsid w:val="00043EAE"/>
    <w:rsid w:val="00044162"/>
    <w:rsid w:val="00044210"/>
    <w:rsid w:val="0004422A"/>
    <w:rsid w:val="00044409"/>
    <w:rsid w:val="000447E7"/>
    <w:rsid w:val="00044C3F"/>
    <w:rsid w:val="00044E5F"/>
    <w:rsid w:val="000457ED"/>
    <w:rsid w:val="00045A4C"/>
    <w:rsid w:val="00045FA3"/>
    <w:rsid w:val="00046547"/>
    <w:rsid w:val="00046E0A"/>
    <w:rsid w:val="00047190"/>
    <w:rsid w:val="000473C1"/>
    <w:rsid w:val="00047877"/>
    <w:rsid w:val="000479BB"/>
    <w:rsid w:val="000479E2"/>
    <w:rsid w:val="000500EE"/>
    <w:rsid w:val="0005024D"/>
    <w:rsid w:val="000502F4"/>
    <w:rsid w:val="0005043F"/>
    <w:rsid w:val="000504FD"/>
    <w:rsid w:val="000517CE"/>
    <w:rsid w:val="000520CD"/>
    <w:rsid w:val="00052295"/>
    <w:rsid w:val="00052409"/>
    <w:rsid w:val="000529EF"/>
    <w:rsid w:val="00053E02"/>
    <w:rsid w:val="0005424F"/>
    <w:rsid w:val="000548E2"/>
    <w:rsid w:val="00054CFF"/>
    <w:rsid w:val="00055A2B"/>
    <w:rsid w:val="00056028"/>
    <w:rsid w:val="000561BD"/>
    <w:rsid w:val="00056276"/>
    <w:rsid w:val="0005641F"/>
    <w:rsid w:val="00056832"/>
    <w:rsid w:val="000568D3"/>
    <w:rsid w:val="000572AF"/>
    <w:rsid w:val="00057D96"/>
    <w:rsid w:val="000606D6"/>
    <w:rsid w:val="00061342"/>
    <w:rsid w:val="000617D3"/>
    <w:rsid w:val="00061E80"/>
    <w:rsid w:val="0006269C"/>
    <w:rsid w:val="000629C0"/>
    <w:rsid w:val="00062EB9"/>
    <w:rsid w:val="0006313B"/>
    <w:rsid w:val="00063580"/>
    <w:rsid w:val="00063621"/>
    <w:rsid w:val="0006377B"/>
    <w:rsid w:val="00063C67"/>
    <w:rsid w:val="000645BF"/>
    <w:rsid w:val="00064792"/>
    <w:rsid w:val="00064E88"/>
    <w:rsid w:val="00064E8B"/>
    <w:rsid w:val="0006602F"/>
    <w:rsid w:val="00066231"/>
    <w:rsid w:val="00066254"/>
    <w:rsid w:val="0006630F"/>
    <w:rsid w:val="000663F2"/>
    <w:rsid w:val="00066927"/>
    <w:rsid w:val="00066D8A"/>
    <w:rsid w:val="000675B5"/>
    <w:rsid w:val="00070648"/>
    <w:rsid w:val="0007072F"/>
    <w:rsid w:val="000707BA"/>
    <w:rsid w:val="00070B84"/>
    <w:rsid w:val="000712BA"/>
    <w:rsid w:val="00071346"/>
    <w:rsid w:val="0007244D"/>
    <w:rsid w:val="00072AF3"/>
    <w:rsid w:val="00072D5B"/>
    <w:rsid w:val="000731E0"/>
    <w:rsid w:val="0007321D"/>
    <w:rsid w:val="00073436"/>
    <w:rsid w:val="00073D64"/>
    <w:rsid w:val="00073EB9"/>
    <w:rsid w:val="00074060"/>
    <w:rsid w:val="000740EE"/>
    <w:rsid w:val="00074441"/>
    <w:rsid w:val="000746D3"/>
    <w:rsid w:val="00074AAC"/>
    <w:rsid w:val="00075405"/>
    <w:rsid w:val="000759B4"/>
    <w:rsid w:val="00075AC6"/>
    <w:rsid w:val="00075BA6"/>
    <w:rsid w:val="000763B8"/>
    <w:rsid w:val="000769DF"/>
    <w:rsid w:val="00080266"/>
    <w:rsid w:val="00080A97"/>
    <w:rsid w:val="00080FD4"/>
    <w:rsid w:val="00081197"/>
    <w:rsid w:val="000815D9"/>
    <w:rsid w:val="0008283C"/>
    <w:rsid w:val="0008286E"/>
    <w:rsid w:val="00082B05"/>
    <w:rsid w:val="00082B33"/>
    <w:rsid w:val="00082F26"/>
    <w:rsid w:val="000834F3"/>
    <w:rsid w:val="00083AFC"/>
    <w:rsid w:val="000844B3"/>
    <w:rsid w:val="000847EA"/>
    <w:rsid w:val="00084E83"/>
    <w:rsid w:val="00085194"/>
    <w:rsid w:val="00085993"/>
    <w:rsid w:val="00085EE0"/>
    <w:rsid w:val="00086806"/>
    <w:rsid w:val="000870A4"/>
    <w:rsid w:val="000873D0"/>
    <w:rsid w:val="00087492"/>
    <w:rsid w:val="00087C2E"/>
    <w:rsid w:val="00087C30"/>
    <w:rsid w:val="00087D46"/>
    <w:rsid w:val="000900BE"/>
    <w:rsid w:val="00090FE7"/>
    <w:rsid w:val="0009120F"/>
    <w:rsid w:val="0009129B"/>
    <w:rsid w:val="0009192D"/>
    <w:rsid w:val="00091A92"/>
    <w:rsid w:val="00091ADC"/>
    <w:rsid w:val="000921D6"/>
    <w:rsid w:val="00093502"/>
    <w:rsid w:val="0009423E"/>
    <w:rsid w:val="0009439C"/>
    <w:rsid w:val="0009450E"/>
    <w:rsid w:val="0009583E"/>
    <w:rsid w:val="00095D3B"/>
    <w:rsid w:val="0009609B"/>
    <w:rsid w:val="000960C4"/>
    <w:rsid w:val="00096254"/>
    <w:rsid w:val="0009629E"/>
    <w:rsid w:val="0009657E"/>
    <w:rsid w:val="0009666E"/>
    <w:rsid w:val="00096B3D"/>
    <w:rsid w:val="000970F5"/>
    <w:rsid w:val="0009733E"/>
    <w:rsid w:val="00097B00"/>
    <w:rsid w:val="000A09A6"/>
    <w:rsid w:val="000A0B5A"/>
    <w:rsid w:val="000A0DBF"/>
    <w:rsid w:val="000A18D8"/>
    <w:rsid w:val="000A1985"/>
    <w:rsid w:val="000A1B2D"/>
    <w:rsid w:val="000A1B87"/>
    <w:rsid w:val="000A1C5C"/>
    <w:rsid w:val="000A22E4"/>
    <w:rsid w:val="000A2348"/>
    <w:rsid w:val="000A31F9"/>
    <w:rsid w:val="000A482E"/>
    <w:rsid w:val="000A6BCA"/>
    <w:rsid w:val="000A6DEB"/>
    <w:rsid w:val="000A6E55"/>
    <w:rsid w:val="000A7020"/>
    <w:rsid w:val="000A715A"/>
    <w:rsid w:val="000A7B6E"/>
    <w:rsid w:val="000B005F"/>
    <w:rsid w:val="000B0082"/>
    <w:rsid w:val="000B02FF"/>
    <w:rsid w:val="000B0948"/>
    <w:rsid w:val="000B0C34"/>
    <w:rsid w:val="000B0E4B"/>
    <w:rsid w:val="000B11BA"/>
    <w:rsid w:val="000B11E3"/>
    <w:rsid w:val="000B147E"/>
    <w:rsid w:val="000B14E2"/>
    <w:rsid w:val="000B1865"/>
    <w:rsid w:val="000B27B0"/>
    <w:rsid w:val="000B2E07"/>
    <w:rsid w:val="000B31AE"/>
    <w:rsid w:val="000B3350"/>
    <w:rsid w:val="000B3403"/>
    <w:rsid w:val="000B3444"/>
    <w:rsid w:val="000B414E"/>
    <w:rsid w:val="000B420E"/>
    <w:rsid w:val="000B4AC3"/>
    <w:rsid w:val="000B517B"/>
    <w:rsid w:val="000B599B"/>
    <w:rsid w:val="000B5E53"/>
    <w:rsid w:val="000B6149"/>
    <w:rsid w:val="000B6464"/>
    <w:rsid w:val="000B6616"/>
    <w:rsid w:val="000B67FF"/>
    <w:rsid w:val="000B6D4B"/>
    <w:rsid w:val="000B7280"/>
    <w:rsid w:val="000B7455"/>
    <w:rsid w:val="000B7B41"/>
    <w:rsid w:val="000B7B6B"/>
    <w:rsid w:val="000C0426"/>
    <w:rsid w:val="000C042D"/>
    <w:rsid w:val="000C16C7"/>
    <w:rsid w:val="000C17B3"/>
    <w:rsid w:val="000C18B9"/>
    <w:rsid w:val="000C1C14"/>
    <w:rsid w:val="000C1C47"/>
    <w:rsid w:val="000C1E87"/>
    <w:rsid w:val="000C1FFE"/>
    <w:rsid w:val="000C215E"/>
    <w:rsid w:val="000C28B7"/>
    <w:rsid w:val="000C2A48"/>
    <w:rsid w:val="000C3182"/>
    <w:rsid w:val="000C3627"/>
    <w:rsid w:val="000C3D7C"/>
    <w:rsid w:val="000C3EBF"/>
    <w:rsid w:val="000C3EF9"/>
    <w:rsid w:val="000C4226"/>
    <w:rsid w:val="000C46A7"/>
    <w:rsid w:val="000C4AA8"/>
    <w:rsid w:val="000C4B4A"/>
    <w:rsid w:val="000C577C"/>
    <w:rsid w:val="000C5EBC"/>
    <w:rsid w:val="000C6007"/>
    <w:rsid w:val="000C63C1"/>
    <w:rsid w:val="000C6487"/>
    <w:rsid w:val="000C66D5"/>
    <w:rsid w:val="000C6905"/>
    <w:rsid w:val="000C726B"/>
    <w:rsid w:val="000C7DC0"/>
    <w:rsid w:val="000C7E03"/>
    <w:rsid w:val="000D0458"/>
    <w:rsid w:val="000D04B5"/>
    <w:rsid w:val="000D07D7"/>
    <w:rsid w:val="000D0A2A"/>
    <w:rsid w:val="000D197F"/>
    <w:rsid w:val="000D1F8E"/>
    <w:rsid w:val="000D2C99"/>
    <w:rsid w:val="000D3131"/>
    <w:rsid w:val="000D317E"/>
    <w:rsid w:val="000D3499"/>
    <w:rsid w:val="000D3ADD"/>
    <w:rsid w:val="000D416D"/>
    <w:rsid w:val="000D4271"/>
    <w:rsid w:val="000D4A56"/>
    <w:rsid w:val="000D4DBC"/>
    <w:rsid w:val="000D565B"/>
    <w:rsid w:val="000D5A69"/>
    <w:rsid w:val="000D6183"/>
    <w:rsid w:val="000D6249"/>
    <w:rsid w:val="000D713C"/>
    <w:rsid w:val="000D7241"/>
    <w:rsid w:val="000D7491"/>
    <w:rsid w:val="000D761D"/>
    <w:rsid w:val="000D7811"/>
    <w:rsid w:val="000E07EE"/>
    <w:rsid w:val="000E1051"/>
    <w:rsid w:val="000E125D"/>
    <w:rsid w:val="000E175A"/>
    <w:rsid w:val="000E17A5"/>
    <w:rsid w:val="000E1EA9"/>
    <w:rsid w:val="000E2038"/>
    <w:rsid w:val="000E20CC"/>
    <w:rsid w:val="000E221C"/>
    <w:rsid w:val="000E2C59"/>
    <w:rsid w:val="000E2D2A"/>
    <w:rsid w:val="000E2D3C"/>
    <w:rsid w:val="000E3086"/>
    <w:rsid w:val="000E3A00"/>
    <w:rsid w:val="000E4714"/>
    <w:rsid w:val="000E471B"/>
    <w:rsid w:val="000E477C"/>
    <w:rsid w:val="000E4A2E"/>
    <w:rsid w:val="000E4AA0"/>
    <w:rsid w:val="000E5032"/>
    <w:rsid w:val="000E5189"/>
    <w:rsid w:val="000E551D"/>
    <w:rsid w:val="000E6BBF"/>
    <w:rsid w:val="000E6E1B"/>
    <w:rsid w:val="000E7078"/>
    <w:rsid w:val="000E75B1"/>
    <w:rsid w:val="000E7CF6"/>
    <w:rsid w:val="000F07E0"/>
    <w:rsid w:val="000F0927"/>
    <w:rsid w:val="000F09EA"/>
    <w:rsid w:val="000F0AEC"/>
    <w:rsid w:val="000F0DF2"/>
    <w:rsid w:val="000F1404"/>
    <w:rsid w:val="000F1681"/>
    <w:rsid w:val="000F1955"/>
    <w:rsid w:val="000F1BF2"/>
    <w:rsid w:val="000F1C7B"/>
    <w:rsid w:val="000F2448"/>
    <w:rsid w:val="000F25B0"/>
    <w:rsid w:val="000F2B3A"/>
    <w:rsid w:val="000F3291"/>
    <w:rsid w:val="000F33D3"/>
    <w:rsid w:val="000F3E81"/>
    <w:rsid w:val="000F499D"/>
    <w:rsid w:val="000F4D92"/>
    <w:rsid w:val="000F545A"/>
    <w:rsid w:val="000F591F"/>
    <w:rsid w:val="000F5A14"/>
    <w:rsid w:val="000F6137"/>
    <w:rsid w:val="000F6477"/>
    <w:rsid w:val="000F660D"/>
    <w:rsid w:val="000F72C5"/>
    <w:rsid w:val="000F7404"/>
    <w:rsid w:val="000F7D5B"/>
    <w:rsid w:val="001002A5"/>
    <w:rsid w:val="0010113E"/>
    <w:rsid w:val="00101C2F"/>
    <w:rsid w:val="001023DA"/>
    <w:rsid w:val="00103B1E"/>
    <w:rsid w:val="00103D34"/>
    <w:rsid w:val="001043E8"/>
    <w:rsid w:val="001051FB"/>
    <w:rsid w:val="00105265"/>
    <w:rsid w:val="00105E7C"/>
    <w:rsid w:val="00106635"/>
    <w:rsid w:val="00106FDB"/>
    <w:rsid w:val="001079E6"/>
    <w:rsid w:val="00107AAB"/>
    <w:rsid w:val="00107B1F"/>
    <w:rsid w:val="00107DBE"/>
    <w:rsid w:val="001100AC"/>
    <w:rsid w:val="00110BD9"/>
    <w:rsid w:val="0011171E"/>
    <w:rsid w:val="00111887"/>
    <w:rsid w:val="00111A1E"/>
    <w:rsid w:val="00111A2D"/>
    <w:rsid w:val="00111CA9"/>
    <w:rsid w:val="00112548"/>
    <w:rsid w:val="00112720"/>
    <w:rsid w:val="00112F5B"/>
    <w:rsid w:val="00113A0E"/>
    <w:rsid w:val="00113A99"/>
    <w:rsid w:val="00113AF4"/>
    <w:rsid w:val="00114B86"/>
    <w:rsid w:val="00115442"/>
    <w:rsid w:val="00115FBC"/>
    <w:rsid w:val="00116CBB"/>
    <w:rsid w:val="0011747F"/>
    <w:rsid w:val="001174AE"/>
    <w:rsid w:val="00117D20"/>
    <w:rsid w:val="00117E74"/>
    <w:rsid w:val="00120547"/>
    <w:rsid w:val="00120802"/>
    <w:rsid w:val="0012186D"/>
    <w:rsid w:val="0012191A"/>
    <w:rsid w:val="00123254"/>
    <w:rsid w:val="001234BD"/>
    <w:rsid w:val="001235F0"/>
    <w:rsid w:val="001236EF"/>
    <w:rsid w:val="001238B0"/>
    <w:rsid w:val="001239B2"/>
    <w:rsid w:val="00123B65"/>
    <w:rsid w:val="00123BA2"/>
    <w:rsid w:val="001240C4"/>
    <w:rsid w:val="00124323"/>
    <w:rsid w:val="00124ACB"/>
    <w:rsid w:val="00125393"/>
    <w:rsid w:val="001255C6"/>
    <w:rsid w:val="0012638B"/>
    <w:rsid w:val="00126556"/>
    <w:rsid w:val="001272B9"/>
    <w:rsid w:val="00127541"/>
    <w:rsid w:val="00127C60"/>
    <w:rsid w:val="00130193"/>
    <w:rsid w:val="0013024C"/>
    <w:rsid w:val="001303EA"/>
    <w:rsid w:val="0013041D"/>
    <w:rsid w:val="00130436"/>
    <w:rsid w:val="00130EFA"/>
    <w:rsid w:val="00131160"/>
    <w:rsid w:val="00131BB7"/>
    <w:rsid w:val="00131C08"/>
    <w:rsid w:val="00131D21"/>
    <w:rsid w:val="00131D83"/>
    <w:rsid w:val="001322EC"/>
    <w:rsid w:val="0013248D"/>
    <w:rsid w:val="001325B2"/>
    <w:rsid w:val="00132F97"/>
    <w:rsid w:val="00133180"/>
    <w:rsid w:val="001333DB"/>
    <w:rsid w:val="00133450"/>
    <w:rsid w:val="001335B1"/>
    <w:rsid w:val="00133C3B"/>
    <w:rsid w:val="00133F22"/>
    <w:rsid w:val="0013422C"/>
    <w:rsid w:val="001344C7"/>
    <w:rsid w:val="001346D2"/>
    <w:rsid w:val="00134BCF"/>
    <w:rsid w:val="00134BD1"/>
    <w:rsid w:val="00135FA6"/>
    <w:rsid w:val="00136252"/>
    <w:rsid w:val="00136517"/>
    <w:rsid w:val="0014115B"/>
    <w:rsid w:val="001415F6"/>
    <w:rsid w:val="00141AE7"/>
    <w:rsid w:val="00141E3C"/>
    <w:rsid w:val="00142FA7"/>
    <w:rsid w:val="00143102"/>
    <w:rsid w:val="0014329A"/>
    <w:rsid w:val="00143861"/>
    <w:rsid w:val="001439F3"/>
    <w:rsid w:val="001440A4"/>
    <w:rsid w:val="00144815"/>
    <w:rsid w:val="00144F89"/>
    <w:rsid w:val="00145537"/>
    <w:rsid w:val="00145D1C"/>
    <w:rsid w:val="00145E08"/>
    <w:rsid w:val="00147244"/>
    <w:rsid w:val="001472E1"/>
    <w:rsid w:val="00150049"/>
    <w:rsid w:val="00150055"/>
    <w:rsid w:val="001502A2"/>
    <w:rsid w:val="00150AE6"/>
    <w:rsid w:val="00150C40"/>
    <w:rsid w:val="00150D03"/>
    <w:rsid w:val="00151F67"/>
    <w:rsid w:val="001520D7"/>
    <w:rsid w:val="0015212B"/>
    <w:rsid w:val="0015285A"/>
    <w:rsid w:val="0015299C"/>
    <w:rsid w:val="00152CB7"/>
    <w:rsid w:val="0015313E"/>
    <w:rsid w:val="001531B4"/>
    <w:rsid w:val="001533BA"/>
    <w:rsid w:val="00153787"/>
    <w:rsid w:val="00153B2C"/>
    <w:rsid w:val="00153BBF"/>
    <w:rsid w:val="001542E7"/>
    <w:rsid w:val="001543DB"/>
    <w:rsid w:val="0015440E"/>
    <w:rsid w:val="001552FB"/>
    <w:rsid w:val="00155B83"/>
    <w:rsid w:val="00155C1C"/>
    <w:rsid w:val="00155E4D"/>
    <w:rsid w:val="00156262"/>
    <w:rsid w:val="001563CA"/>
    <w:rsid w:val="00156979"/>
    <w:rsid w:val="00157320"/>
    <w:rsid w:val="00157814"/>
    <w:rsid w:val="00157C06"/>
    <w:rsid w:val="00157C28"/>
    <w:rsid w:val="00157CF4"/>
    <w:rsid w:val="001600D7"/>
    <w:rsid w:val="001608AE"/>
    <w:rsid w:val="00160D3E"/>
    <w:rsid w:val="00160F04"/>
    <w:rsid w:val="0016125F"/>
    <w:rsid w:val="00161375"/>
    <w:rsid w:val="001613B7"/>
    <w:rsid w:val="0016162B"/>
    <w:rsid w:val="001628EA"/>
    <w:rsid w:val="0016296E"/>
    <w:rsid w:val="00162D4C"/>
    <w:rsid w:val="00163584"/>
    <w:rsid w:val="001635A4"/>
    <w:rsid w:val="001638BE"/>
    <w:rsid w:val="00163AF5"/>
    <w:rsid w:val="00163FCD"/>
    <w:rsid w:val="00164003"/>
    <w:rsid w:val="00164249"/>
    <w:rsid w:val="00164902"/>
    <w:rsid w:val="00164B7B"/>
    <w:rsid w:val="00165240"/>
    <w:rsid w:val="00165735"/>
    <w:rsid w:val="00166390"/>
    <w:rsid w:val="001666A4"/>
    <w:rsid w:val="00166B91"/>
    <w:rsid w:val="00166CED"/>
    <w:rsid w:val="00167F1C"/>
    <w:rsid w:val="00170706"/>
    <w:rsid w:val="00170B25"/>
    <w:rsid w:val="00170BD1"/>
    <w:rsid w:val="0017143C"/>
    <w:rsid w:val="001718C5"/>
    <w:rsid w:val="00171A3B"/>
    <w:rsid w:val="00171CE9"/>
    <w:rsid w:val="00171F84"/>
    <w:rsid w:val="0017246C"/>
    <w:rsid w:val="00172FF9"/>
    <w:rsid w:val="00173282"/>
    <w:rsid w:val="001734B9"/>
    <w:rsid w:val="00173C6C"/>
    <w:rsid w:val="00173F97"/>
    <w:rsid w:val="00173FCF"/>
    <w:rsid w:val="00174754"/>
    <w:rsid w:val="00175739"/>
    <w:rsid w:val="001757A0"/>
    <w:rsid w:val="00175FAB"/>
    <w:rsid w:val="001760DA"/>
    <w:rsid w:val="001769B1"/>
    <w:rsid w:val="00177096"/>
    <w:rsid w:val="001771F7"/>
    <w:rsid w:val="00177809"/>
    <w:rsid w:val="00180889"/>
    <w:rsid w:val="00180926"/>
    <w:rsid w:val="0018107F"/>
    <w:rsid w:val="001817B4"/>
    <w:rsid w:val="00181BB9"/>
    <w:rsid w:val="00181CCB"/>
    <w:rsid w:val="00181D44"/>
    <w:rsid w:val="00181DE6"/>
    <w:rsid w:val="001821F4"/>
    <w:rsid w:val="00182500"/>
    <w:rsid w:val="00183DF4"/>
    <w:rsid w:val="001841FA"/>
    <w:rsid w:val="00184D59"/>
    <w:rsid w:val="00185480"/>
    <w:rsid w:val="001857E0"/>
    <w:rsid w:val="0018612D"/>
    <w:rsid w:val="0018632C"/>
    <w:rsid w:val="001863AB"/>
    <w:rsid w:val="001866AB"/>
    <w:rsid w:val="00186A0B"/>
    <w:rsid w:val="00186B2C"/>
    <w:rsid w:val="00186DB1"/>
    <w:rsid w:val="001872B9"/>
    <w:rsid w:val="0018738A"/>
    <w:rsid w:val="00187BD2"/>
    <w:rsid w:val="00187CB1"/>
    <w:rsid w:val="00187CDD"/>
    <w:rsid w:val="00190215"/>
    <w:rsid w:val="001902E5"/>
    <w:rsid w:val="001904B0"/>
    <w:rsid w:val="00190ED8"/>
    <w:rsid w:val="001914DA"/>
    <w:rsid w:val="00191864"/>
    <w:rsid w:val="001919E8"/>
    <w:rsid w:val="00191DC4"/>
    <w:rsid w:val="0019206E"/>
    <w:rsid w:val="0019308B"/>
    <w:rsid w:val="001934E3"/>
    <w:rsid w:val="00194200"/>
    <w:rsid w:val="001942EB"/>
    <w:rsid w:val="00194589"/>
    <w:rsid w:val="001948C3"/>
    <w:rsid w:val="00194924"/>
    <w:rsid w:val="0019500A"/>
    <w:rsid w:val="001958CA"/>
    <w:rsid w:val="00195D31"/>
    <w:rsid w:val="00195DF8"/>
    <w:rsid w:val="00195E63"/>
    <w:rsid w:val="00196835"/>
    <w:rsid w:val="001970BC"/>
    <w:rsid w:val="00197431"/>
    <w:rsid w:val="00197957"/>
    <w:rsid w:val="00197DF4"/>
    <w:rsid w:val="001A0C57"/>
    <w:rsid w:val="001A0E8A"/>
    <w:rsid w:val="001A1469"/>
    <w:rsid w:val="001A16A9"/>
    <w:rsid w:val="001A1A33"/>
    <w:rsid w:val="001A1AEE"/>
    <w:rsid w:val="001A1C41"/>
    <w:rsid w:val="001A2E4E"/>
    <w:rsid w:val="001A3D9F"/>
    <w:rsid w:val="001A415B"/>
    <w:rsid w:val="001A43DB"/>
    <w:rsid w:val="001A49A1"/>
    <w:rsid w:val="001A4BAE"/>
    <w:rsid w:val="001A5641"/>
    <w:rsid w:val="001A58E7"/>
    <w:rsid w:val="001A5C92"/>
    <w:rsid w:val="001A5EEF"/>
    <w:rsid w:val="001A62A0"/>
    <w:rsid w:val="001A68C1"/>
    <w:rsid w:val="001A6B02"/>
    <w:rsid w:val="001A6F5F"/>
    <w:rsid w:val="001A714B"/>
    <w:rsid w:val="001A71C3"/>
    <w:rsid w:val="001A7394"/>
    <w:rsid w:val="001A74B6"/>
    <w:rsid w:val="001B02BF"/>
    <w:rsid w:val="001B0531"/>
    <w:rsid w:val="001B0DD6"/>
    <w:rsid w:val="001B0E49"/>
    <w:rsid w:val="001B16EB"/>
    <w:rsid w:val="001B1A2F"/>
    <w:rsid w:val="001B1ACB"/>
    <w:rsid w:val="001B213D"/>
    <w:rsid w:val="001B2294"/>
    <w:rsid w:val="001B230A"/>
    <w:rsid w:val="001B3238"/>
    <w:rsid w:val="001B3C26"/>
    <w:rsid w:val="001B3D57"/>
    <w:rsid w:val="001B3D61"/>
    <w:rsid w:val="001B4A8B"/>
    <w:rsid w:val="001B5976"/>
    <w:rsid w:val="001B5ACC"/>
    <w:rsid w:val="001B5C67"/>
    <w:rsid w:val="001B5CC6"/>
    <w:rsid w:val="001B6143"/>
    <w:rsid w:val="001B68AA"/>
    <w:rsid w:val="001B7730"/>
    <w:rsid w:val="001C077A"/>
    <w:rsid w:val="001C0991"/>
    <w:rsid w:val="001C0AF7"/>
    <w:rsid w:val="001C0E3E"/>
    <w:rsid w:val="001C0E71"/>
    <w:rsid w:val="001C135B"/>
    <w:rsid w:val="001C27CF"/>
    <w:rsid w:val="001C27DF"/>
    <w:rsid w:val="001C34BA"/>
    <w:rsid w:val="001C3810"/>
    <w:rsid w:val="001C3AF1"/>
    <w:rsid w:val="001C4DDB"/>
    <w:rsid w:val="001C4E4F"/>
    <w:rsid w:val="001C4E64"/>
    <w:rsid w:val="001C51B8"/>
    <w:rsid w:val="001C58F2"/>
    <w:rsid w:val="001C6458"/>
    <w:rsid w:val="001C6B56"/>
    <w:rsid w:val="001C701F"/>
    <w:rsid w:val="001C71B5"/>
    <w:rsid w:val="001D04D8"/>
    <w:rsid w:val="001D05DA"/>
    <w:rsid w:val="001D0B2B"/>
    <w:rsid w:val="001D0D38"/>
    <w:rsid w:val="001D0F2A"/>
    <w:rsid w:val="001D120F"/>
    <w:rsid w:val="001D1E46"/>
    <w:rsid w:val="001D20A4"/>
    <w:rsid w:val="001D23BC"/>
    <w:rsid w:val="001D23F2"/>
    <w:rsid w:val="001D2E28"/>
    <w:rsid w:val="001D355E"/>
    <w:rsid w:val="001D3AB6"/>
    <w:rsid w:val="001D3AC0"/>
    <w:rsid w:val="001D3E8C"/>
    <w:rsid w:val="001D4377"/>
    <w:rsid w:val="001D465D"/>
    <w:rsid w:val="001D4C8D"/>
    <w:rsid w:val="001D55BB"/>
    <w:rsid w:val="001D5D94"/>
    <w:rsid w:val="001D5E08"/>
    <w:rsid w:val="001D5E18"/>
    <w:rsid w:val="001D5FED"/>
    <w:rsid w:val="001D6030"/>
    <w:rsid w:val="001D60FE"/>
    <w:rsid w:val="001D684F"/>
    <w:rsid w:val="001D6996"/>
    <w:rsid w:val="001D777B"/>
    <w:rsid w:val="001E02D1"/>
    <w:rsid w:val="001E0C63"/>
    <w:rsid w:val="001E10B5"/>
    <w:rsid w:val="001E11C7"/>
    <w:rsid w:val="001E148F"/>
    <w:rsid w:val="001E1CA6"/>
    <w:rsid w:val="001E1CC1"/>
    <w:rsid w:val="001E20D1"/>
    <w:rsid w:val="001E2128"/>
    <w:rsid w:val="001E267B"/>
    <w:rsid w:val="001E2BF6"/>
    <w:rsid w:val="001E3014"/>
    <w:rsid w:val="001E3645"/>
    <w:rsid w:val="001E3AEC"/>
    <w:rsid w:val="001E40F0"/>
    <w:rsid w:val="001E4584"/>
    <w:rsid w:val="001E5213"/>
    <w:rsid w:val="001E539D"/>
    <w:rsid w:val="001E55A6"/>
    <w:rsid w:val="001E5790"/>
    <w:rsid w:val="001E5A19"/>
    <w:rsid w:val="001E6566"/>
    <w:rsid w:val="001E696A"/>
    <w:rsid w:val="001E6A68"/>
    <w:rsid w:val="001E6C18"/>
    <w:rsid w:val="001E6C70"/>
    <w:rsid w:val="001E75C5"/>
    <w:rsid w:val="001E784D"/>
    <w:rsid w:val="001E7DDA"/>
    <w:rsid w:val="001F02D9"/>
    <w:rsid w:val="001F0617"/>
    <w:rsid w:val="001F0875"/>
    <w:rsid w:val="001F0D48"/>
    <w:rsid w:val="001F0D4F"/>
    <w:rsid w:val="001F10E4"/>
    <w:rsid w:val="001F14D8"/>
    <w:rsid w:val="001F1853"/>
    <w:rsid w:val="001F1982"/>
    <w:rsid w:val="001F2B87"/>
    <w:rsid w:val="001F2E09"/>
    <w:rsid w:val="001F32A9"/>
    <w:rsid w:val="001F352D"/>
    <w:rsid w:val="001F3734"/>
    <w:rsid w:val="001F388F"/>
    <w:rsid w:val="001F50A7"/>
    <w:rsid w:val="001F50E9"/>
    <w:rsid w:val="001F542B"/>
    <w:rsid w:val="001F54CE"/>
    <w:rsid w:val="001F562A"/>
    <w:rsid w:val="001F565A"/>
    <w:rsid w:val="001F56EE"/>
    <w:rsid w:val="001F581F"/>
    <w:rsid w:val="001F5959"/>
    <w:rsid w:val="001F5B84"/>
    <w:rsid w:val="001F5CA6"/>
    <w:rsid w:val="001F606B"/>
    <w:rsid w:val="001F662E"/>
    <w:rsid w:val="001F732C"/>
    <w:rsid w:val="001F75C1"/>
    <w:rsid w:val="001F7A84"/>
    <w:rsid w:val="001F7D93"/>
    <w:rsid w:val="001F7EC3"/>
    <w:rsid w:val="0020050E"/>
    <w:rsid w:val="0020115A"/>
    <w:rsid w:val="00201870"/>
    <w:rsid w:val="00201F52"/>
    <w:rsid w:val="0020234A"/>
    <w:rsid w:val="00202864"/>
    <w:rsid w:val="00202876"/>
    <w:rsid w:val="00202DFC"/>
    <w:rsid w:val="00203001"/>
    <w:rsid w:val="00204142"/>
    <w:rsid w:val="002041CB"/>
    <w:rsid w:val="002046A5"/>
    <w:rsid w:val="00205FBE"/>
    <w:rsid w:val="00206225"/>
    <w:rsid w:val="00206463"/>
    <w:rsid w:val="00206878"/>
    <w:rsid w:val="00206D6A"/>
    <w:rsid w:val="00206DF4"/>
    <w:rsid w:val="002103F2"/>
    <w:rsid w:val="002106DB"/>
    <w:rsid w:val="002109BF"/>
    <w:rsid w:val="00210B4E"/>
    <w:rsid w:val="00210FA9"/>
    <w:rsid w:val="0021128A"/>
    <w:rsid w:val="00211891"/>
    <w:rsid w:val="00212153"/>
    <w:rsid w:val="00212499"/>
    <w:rsid w:val="002125D6"/>
    <w:rsid w:val="00212626"/>
    <w:rsid w:val="0021325E"/>
    <w:rsid w:val="002133B5"/>
    <w:rsid w:val="002135A1"/>
    <w:rsid w:val="00213CD5"/>
    <w:rsid w:val="00214CC2"/>
    <w:rsid w:val="00215ACD"/>
    <w:rsid w:val="00215F5C"/>
    <w:rsid w:val="00216381"/>
    <w:rsid w:val="00216D6C"/>
    <w:rsid w:val="002171FC"/>
    <w:rsid w:val="00217EDD"/>
    <w:rsid w:val="00220601"/>
    <w:rsid w:val="0022092C"/>
    <w:rsid w:val="002209FF"/>
    <w:rsid w:val="00220BB9"/>
    <w:rsid w:val="002210A3"/>
    <w:rsid w:val="00221704"/>
    <w:rsid w:val="002221C4"/>
    <w:rsid w:val="0022348B"/>
    <w:rsid w:val="002239A4"/>
    <w:rsid w:val="00223D6D"/>
    <w:rsid w:val="00223DBA"/>
    <w:rsid w:val="00224495"/>
    <w:rsid w:val="002248DF"/>
    <w:rsid w:val="00224E71"/>
    <w:rsid w:val="002253D1"/>
    <w:rsid w:val="002255F8"/>
    <w:rsid w:val="00225858"/>
    <w:rsid w:val="00225AE7"/>
    <w:rsid w:val="0022635C"/>
    <w:rsid w:val="00226858"/>
    <w:rsid w:val="00226B69"/>
    <w:rsid w:val="00226F25"/>
    <w:rsid w:val="002277F1"/>
    <w:rsid w:val="0023032D"/>
    <w:rsid w:val="00230D05"/>
    <w:rsid w:val="00230DF5"/>
    <w:rsid w:val="00230EDB"/>
    <w:rsid w:val="002312B3"/>
    <w:rsid w:val="00231C91"/>
    <w:rsid w:val="002323B1"/>
    <w:rsid w:val="00233414"/>
    <w:rsid w:val="002338A9"/>
    <w:rsid w:val="002339C1"/>
    <w:rsid w:val="00233BD9"/>
    <w:rsid w:val="0023410C"/>
    <w:rsid w:val="002346BF"/>
    <w:rsid w:val="00234B7A"/>
    <w:rsid w:val="00234C7A"/>
    <w:rsid w:val="00234DC8"/>
    <w:rsid w:val="00234FC0"/>
    <w:rsid w:val="0023591C"/>
    <w:rsid w:val="00235AD7"/>
    <w:rsid w:val="00235B00"/>
    <w:rsid w:val="00235C84"/>
    <w:rsid w:val="00236035"/>
    <w:rsid w:val="00236835"/>
    <w:rsid w:val="00236898"/>
    <w:rsid w:val="00237617"/>
    <w:rsid w:val="00237940"/>
    <w:rsid w:val="00237D7B"/>
    <w:rsid w:val="00237DD4"/>
    <w:rsid w:val="002403AB"/>
    <w:rsid w:val="00240CCC"/>
    <w:rsid w:val="00240E53"/>
    <w:rsid w:val="00240F61"/>
    <w:rsid w:val="00241A5C"/>
    <w:rsid w:val="00241F12"/>
    <w:rsid w:val="00242092"/>
    <w:rsid w:val="0024265D"/>
    <w:rsid w:val="00242709"/>
    <w:rsid w:val="0024302E"/>
    <w:rsid w:val="002433E8"/>
    <w:rsid w:val="0024369D"/>
    <w:rsid w:val="00243F0E"/>
    <w:rsid w:val="002441BE"/>
    <w:rsid w:val="002447C1"/>
    <w:rsid w:val="002453BE"/>
    <w:rsid w:val="00245465"/>
    <w:rsid w:val="0024558C"/>
    <w:rsid w:val="002456DE"/>
    <w:rsid w:val="00245F50"/>
    <w:rsid w:val="0024622C"/>
    <w:rsid w:val="0024656D"/>
    <w:rsid w:val="002468E5"/>
    <w:rsid w:val="00246B28"/>
    <w:rsid w:val="00246BC2"/>
    <w:rsid w:val="00246CF3"/>
    <w:rsid w:val="00247494"/>
    <w:rsid w:val="002501A4"/>
    <w:rsid w:val="002502A8"/>
    <w:rsid w:val="0025120C"/>
    <w:rsid w:val="00251283"/>
    <w:rsid w:val="002512F3"/>
    <w:rsid w:val="002513DE"/>
    <w:rsid w:val="00251480"/>
    <w:rsid w:val="00251A14"/>
    <w:rsid w:val="00251C4A"/>
    <w:rsid w:val="00251E7B"/>
    <w:rsid w:val="002522E4"/>
    <w:rsid w:val="002528CC"/>
    <w:rsid w:val="00252D16"/>
    <w:rsid w:val="00252F49"/>
    <w:rsid w:val="00253376"/>
    <w:rsid w:val="00253443"/>
    <w:rsid w:val="002535DC"/>
    <w:rsid w:val="00253667"/>
    <w:rsid w:val="00253715"/>
    <w:rsid w:val="0025374C"/>
    <w:rsid w:val="00253ADA"/>
    <w:rsid w:val="00253C52"/>
    <w:rsid w:val="002544BE"/>
    <w:rsid w:val="00254BEC"/>
    <w:rsid w:val="00254D0A"/>
    <w:rsid w:val="0025555E"/>
    <w:rsid w:val="0025597E"/>
    <w:rsid w:val="00255BF6"/>
    <w:rsid w:val="00255DC5"/>
    <w:rsid w:val="00255E37"/>
    <w:rsid w:val="00256A19"/>
    <w:rsid w:val="00256D6E"/>
    <w:rsid w:val="00257272"/>
    <w:rsid w:val="00257557"/>
    <w:rsid w:val="00257747"/>
    <w:rsid w:val="002600ED"/>
    <w:rsid w:val="0026041B"/>
    <w:rsid w:val="00260586"/>
    <w:rsid w:val="00260593"/>
    <w:rsid w:val="002607F5"/>
    <w:rsid w:val="002609A9"/>
    <w:rsid w:val="002609CA"/>
    <w:rsid w:val="00261726"/>
    <w:rsid w:val="00261A24"/>
    <w:rsid w:val="00262050"/>
    <w:rsid w:val="00262145"/>
    <w:rsid w:val="00262313"/>
    <w:rsid w:val="00262804"/>
    <w:rsid w:val="00262F55"/>
    <w:rsid w:val="002630F3"/>
    <w:rsid w:val="0026318C"/>
    <w:rsid w:val="002634B7"/>
    <w:rsid w:val="002637C6"/>
    <w:rsid w:val="00263CDC"/>
    <w:rsid w:val="0026439D"/>
    <w:rsid w:val="002645AA"/>
    <w:rsid w:val="002647D1"/>
    <w:rsid w:val="00264E2B"/>
    <w:rsid w:val="00264FFE"/>
    <w:rsid w:val="0026598F"/>
    <w:rsid w:val="0026658D"/>
    <w:rsid w:val="0026697D"/>
    <w:rsid w:val="00266CA2"/>
    <w:rsid w:val="002674B7"/>
    <w:rsid w:val="0026774F"/>
    <w:rsid w:val="0026776F"/>
    <w:rsid w:val="00267B04"/>
    <w:rsid w:val="002704A0"/>
    <w:rsid w:val="0027076D"/>
    <w:rsid w:val="002709A1"/>
    <w:rsid w:val="00270EEB"/>
    <w:rsid w:val="00271456"/>
    <w:rsid w:val="00271AA0"/>
    <w:rsid w:val="00271BEC"/>
    <w:rsid w:val="00272170"/>
    <w:rsid w:val="00272CD9"/>
    <w:rsid w:val="00273516"/>
    <w:rsid w:val="00273FCE"/>
    <w:rsid w:val="00274B4D"/>
    <w:rsid w:val="00274D95"/>
    <w:rsid w:val="00275110"/>
    <w:rsid w:val="002755BC"/>
    <w:rsid w:val="00275B61"/>
    <w:rsid w:val="0027652D"/>
    <w:rsid w:val="00276D77"/>
    <w:rsid w:val="00276EBC"/>
    <w:rsid w:val="0027768C"/>
    <w:rsid w:val="002778E6"/>
    <w:rsid w:val="00277CA8"/>
    <w:rsid w:val="00277EC2"/>
    <w:rsid w:val="00277FD1"/>
    <w:rsid w:val="0028022A"/>
    <w:rsid w:val="0028059E"/>
    <w:rsid w:val="00280E4B"/>
    <w:rsid w:val="00280E9D"/>
    <w:rsid w:val="00280EB0"/>
    <w:rsid w:val="00281541"/>
    <w:rsid w:val="00281F87"/>
    <w:rsid w:val="002824CA"/>
    <w:rsid w:val="00282762"/>
    <w:rsid w:val="00282AE2"/>
    <w:rsid w:val="0028343A"/>
    <w:rsid w:val="00283845"/>
    <w:rsid w:val="002839D5"/>
    <w:rsid w:val="00283A86"/>
    <w:rsid w:val="00284250"/>
    <w:rsid w:val="002846FC"/>
    <w:rsid w:val="00284FD0"/>
    <w:rsid w:val="0028552C"/>
    <w:rsid w:val="002874EA"/>
    <w:rsid w:val="00287CD3"/>
    <w:rsid w:val="00287E74"/>
    <w:rsid w:val="002901A5"/>
    <w:rsid w:val="00290204"/>
    <w:rsid w:val="002903D6"/>
    <w:rsid w:val="00290D12"/>
    <w:rsid w:val="0029102F"/>
    <w:rsid w:val="00291578"/>
    <w:rsid w:val="00291B76"/>
    <w:rsid w:val="00291D05"/>
    <w:rsid w:val="00291DB8"/>
    <w:rsid w:val="002922EE"/>
    <w:rsid w:val="002923E8"/>
    <w:rsid w:val="002926ED"/>
    <w:rsid w:val="00292897"/>
    <w:rsid w:val="002928D7"/>
    <w:rsid w:val="00293F65"/>
    <w:rsid w:val="00293FD7"/>
    <w:rsid w:val="002940BC"/>
    <w:rsid w:val="00295200"/>
    <w:rsid w:val="00295B4E"/>
    <w:rsid w:val="00296A4D"/>
    <w:rsid w:val="00296F7D"/>
    <w:rsid w:val="002973ED"/>
    <w:rsid w:val="002A0B91"/>
    <w:rsid w:val="002A0F71"/>
    <w:rsid w:val="002A112A"/>
    <w:rsid w:val="002A1EF2"/>
    <w:rsid w:val="002A22AA"/>
    <w:rsid w:val="002A39A3"/>
    <w:rsid w:val="002A3BA3"/>
    <w:rsid w:val="002A3CB1"/>
    <w:rsid w:val="002A425F"/>
    <w:rsid w:val="002A44C2"/>
    <w:rsid w:val="002A46B7"/>
    <w:rsid w:val="002A4A83"/>
    <w:rsid w:val="002A4ADF"/>
    <w:rsid w:val="002A503D"/>
    <w:rsid w:val="002A6A6B"/>
    <w:rsid w:val="002A6E19"/>
    <w:rsid w:val="002A6EBA"/>
    <w:rsid w:val="002A72A4"/>
    <w:rsid w:val="002A72EE"/>
    <w:rsid w:val="002A79A9"/>
    <w:rsid w:val="002A7A32"/>
    <w:rsid w:val="002B0292"/>
    <w:rsid w:val="002B02BA"/>
    <w:rsid w:val="002B055D"/>
    <w:rsid w:val="002B07CD"/>
    <w:rsid w:val="002B085B"/>
    <w:rsid w:val="002B0D7C"/>
    <w:rsid w:val="002B1057"/>
    <w:rsid w:val="002B1B61"/>
    <w:rsid w:val="002B1C8D"/>
    <w:rsid w:val="002B1F6E"/>
    <w:rsid w:val="002B2466"/>
    <w:rsid w:val="002B2491"/>
    <w:rsid w:val="002B270F"/>
    <w:rsid w:val="002B27BC"/>
    <w:rsid w:val="002B32C8"/>
    <w:rsid w:val="002B330D"/>
    <w:rsid w:val="002B3F81"/>
    <w:rsid w:val="002B3F99"/>
    <w:rsid w:val="002B42FF"/>
    <w:rsid w:val="002B45E2"/>
    <w:rsid w:val="002B4AD8"/>
    <w:rsid w:val="002B519B"/>
    <w:rsid w:val="002B59CC"/>
    <w:rsid w:val="002B5D68"/>
    <w:rsid w:val="002B5E07"/>
    <w:rsid w:val="002B5F9F"/>
    <w:rsid w:val="002B673E"/>
    <w:rsid w:val="002B6870"/>
    <w:rsid w:val="002B6B4B"/>
    <w:rsid w:val="002B7E97"/>
    <w:rsid w:val="002C0149"/>
    <w:rsid w:val="002C0295"/>
    <w:rsid w:val="002C0A69"/>
    <w:rsid w:val="002C1004"/>
    <w:rsid w:val="002C11BA"/>
    <w:rsid w:val="002C1375"/>
    <w:rsid w:val="002C1E19"/>
    <w:rsid w:val="002C209E"/>
    <w:rsid w:val="002C2153"/>
    <w:rsid w:val="002C2224"/>
    <w:rsid w:val="002C2536"/>
    <w:rsid w:val="002C2B29"/>
    <w:rsid w:val="002C2B67"/>
    <w:rsid w:val="002C2DF7"/>
    <w:rsid w:val="002C4099"/>
    <w:rsid w:val="002C424A"/>
    <w:rsid w:val="002C4580"/>
    <w:rsid w:val="002C4D0A"/>
    <w:rsid w:val="002C4D7A"/>
    <w:rsid w:val="002C5383"/>
    <w:rsid w:val="002C6B47"/>
    <w:rsid w:val="002C6D53"/>
    <w:rsid w:val="002C6E0E"/>
    <w:rsid w:val="002C6E3A"/>
    <w:rsid w:val="002C6F79"/>
    <w:rsid w:val="002C7259"/>
    <w:rsid w:val="002C73F6"/>
    <w:rsid w:val="002C76EE"/>
    <w:rsid w:val="002C7C68"/>
    <w:rsid w:val="002D0323"/>
    <w:rsid w:val="002D063F"/>
    <w:rsid w:val="002D0CC4"/>
    <w:rsid w:val="002D0F2A"/>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81"/>
    <w:rsid w:val="002D42A0"/>
    <w:rsid w:val="002D52F6"/>
    <w:rsid w:val="002D55DE"/>
    <w:rsid w:val="002D5F03"/>
    <w:rsid w:val="002D695F"/>
    <w:rsid w:val="002D6981"/>
    <w:rsid w:val="002D6CAE"/>
    <w:rsid w:val="002D713F"/>
    <w:rsid w:val="002D78F5"/>
    <w:rsid w:val="002E0209"/>
    <w:rsid w:val="002E02CC"/>
    <w:rsid w:val="002E045E"/>
    <w:rsid w:val="002E04F8"/>
    <w:rsid w:val="002E0AA5"/>
    <w:rsid w:val="002E120D"/>
    <w:rsid w:val="002E1416"/>
    <w:rsid w:val="002E1DDD"/>
    <w:rsid w:val="002E23E2"/>
    <w:rsid w:val="002E2C4C"/>
    <w:rsid w:val="002E32B8"/>
    <w:rsid w:val="002E3507"/>
    <w:rsid w:val="002E39C5"/>
    <w:rsid w:val="002E3E3F"/>
    <w:rsid w:val="002E3FE4"/>
    <w:rsid w:val="002E430C"/>
    <w:rsid w:val="002E4645"/>
    <w:rsid w:val="002E46BB"/>
    <w:rsid w:val="002E4723"/>
    <w:rsid w:val="002E495A"/>
    <w:rsid w:val="002E4DFF"/>
    <w:rsid w:val="002E5B4C"/>
    <w:rsid w:val="002E5DE0"/>
    <w:rsid w:val="002E673E"/>
    <w:rsid w:val="002E7058"/>
    <w:rsid w:val="002E77B5"/>
    <w:rsid w:val="002E7F0A"/>
    <w:rsid w:val="002F066C"/>
    <w:rsid w:val="002F0889"/>
    <w:rsid w:val="002F0B8A"/>
    <w:rsid w:val="002F0E87"/>
    <w:rsid w:val="002F13E6"/>
    <w:rsid w:val="002F148C"/>
    <w:rsid w:val="002F1590"/>
    <w:rsid w:val="002F1BB3"/>
    <w:rsid w:val="002F1E2E"/>
    <w:rsid w:val="002F1FB4"/>
    <w:rsid w:val="002F2042"/>
    <w:rsid w:val="002F25EC"/>
    <w:rsid w:val="002F2C27"/>
    <w:rsid w:val="002F31BA"/>
    <w:rsid w:val="002F33FE"/>
    <w:rsid w:val="002F375C"/>
    <w:rsid w:val="002F3C9C"/>
    <w:rsid w:val="002F3E4F"/>
    <w:rsid w:val="002F3E7D"/>
    <w:rsid w:val="002F43A6"/>
    <w:rsid w:val="002F4F60"/>
    <w:rsid w:val="002F51D4"/>
    <w:rsid w:val="002F5420"/>
    <w:rsid w:val="002F5A27"/>
    <w:rsid w:val="002F5A67"/>
    <w:rsid w:val="002F5FBD"/>
    <w:rsid w:val="002F6352"/>
    <w:rsid w:val="002F6488"/>
    <w:rsid w:val="002F6D0E"/>
    <w:rsid w:val="002F73A0"/>
    <w:rsid w:val="003000B4"/>
    <w:rsid w:val="0030097B"/>
    <w:rsid w:val="00300A97"/>
    <w:rsid w:val="00300F4A"/>
    <w:rsid w:val="00301C9A"/>
    <w:rsid w:val="00301F57"/>
    <w:rsid w:val="003026B8"/>
    <w:rsid w:val="003026EB"/>
    <w:rsid w:val="00302969"/>
    <w:rsid w:val="003039DF"/>
    <w:rsid w:val="003040B5"/>
    <w:rsid w:val="0030413D"/>
    <w:rsid w:val="003043DA"/>
    <w:rsid w:val="00304AA0"/>
    <w:rsid w:val="00304DAD"/>
    <w:rsid w:val="00304DF1"/>
    <w:rsid w:val="00305285"/>
    <w:rsid w:val="0030566A"/>
    <w:rsid w:val="003056F9"/>
    <w:rsid w:val="00305979"/>
    <w:rsid w:val="00305B81"/>
    <w:rsid w:val="00305DE0"/>
    <w:rsid w:val="003060EA"/>
    <w:rsid w:val="0030646F"/>
    <w:rsid w:val="00306CE9"/>
    <w:rsid w:val="00306FE1"/>
    <w:rsid w:val="003071FE"/>
    <w:rsid w:val="00307420"/>
    <w:rsid w:val="003074F7"/>
    <w:rsid w:val="00307855"/>
    <w:rsid w:val="0031074F"/>
    <w:rsid w:val="00310792"/>
    <w:rsid w:val="00310AB1"/>
    <w:rsid w:val="00310E2E"/>
    <w:rsid w:val="00310F5E"/>
    <w:rsid w:val="00310FED"/>
    <w:rsid w:val="00311611"/>
    <w:rsid w:val="00311690"/>
    <w:rsid w:val="00311D07"/>
    <w:rsid w:val="00313FF8"/>
    <w:rsid w:val="003146F7"/>
    <w:rsid w:val="00314B45"/>
    <w:rsid w:val="00314E26"/>
    <w:rsid w:val="00315142"/>
    <w:rsid w:val="0031603C"/>
    <w:rsid w:val="00316256"/>
    <w:rsid w:val="0031651E"/>
    <w:rsid w:val="00316F1B"/>
    <w:rsid w:val="00317085"/>
    <w:rsid w:val="00317092"/>
    <w:rsid w:val="003177C2"/>
    <w:rsid w:val="00317C22"/>
    <w:rsid w:val="00320660"/>
    <w:rsid w:val="00320A25"/>
    <w:rsid w:val="00321001"/>
    <w:rsid w:val="00321248"/>
    <w:rsid w:val="00321946"/>
    <w:rsid w:val="00321A1F"/>
    <w:rsid w:val="00321D92"/>
    <w:rsid w:val="00321EF8"/>
    <w:rsid w:val="003224C5"/>
    <w:rsid w:val="00322660"/>
    <w:rsid w:val="003226FF"/>
    <w:rsid w:val="003233C4"/>
    <w:rsid w:val="00323436"/>
    <w:rsid w:val="00323652"/>
    <w:rsid w:val="00323A96"/>
    <w:rsid w:val="0032403B"/>
    <w:rsid w:val="003241F6"/>
    <w:rsid w:val="003248ED"/>
    <w:rsid w:val="00324A3F"/>
    <w:rsid w:val="00325256"/>
    <w:rsid w:val="00325C7F"/>
    <w:rsid w:val="00325E58"/>
    <w:rsid w:val="0032622F"/>
    <w:rsid w:val="0032654A"/>
    <w:rsid w:val="00326855"/>
    <w:rsid w:val="00326936"/>
    <w:rsid w:val="00326FA8"/>
    <w:rsid w:val="003272AE"/>
    <w:rsid w:val="00327BC1"/>
    <w:rsid w:val="003301C6"/>
    <w:rsid w:val="0033040B"/>
    <w:rsid w:val="00330618"/>
    <w:rsid w:val="00330821"/>
    <w:rsid w:val="00330B7D"/>
    <w:rsid w:val="00331A3D"/>
    <w:rsid w:val="00331EB8"/>
    <w:rsid w:val="00331F71"/>
    <w:rsid w:val="0033238F"/>
    <w:rsid w:val="003336E5"/>
    <w:rsid w:val="00333A93"/>
    <w:rsid w:val="00334507"/>
    <w:rsid w:val="00335404"/>
    <w:rsid w:val="003354EE"/>
    <w:rsid w:val="00335C87"/>
    <w:rsid w:val="003360CD"/>
    <w:rsid w:val="003365EA"/>
    <w:rsid w:val="003368FE"/>
    <w:rsid w:val="0033692A"/>
    <w:rsid w:val="00336D41"/>
    <w:rsid w:val="0033701B"/>
    <w:rsid w:val="00337123"/>
    <w:rsid w:val="00337F00"/>
    <w:rsid w:val="003405CA"/>
    <w:rsid w:val="003408D2"/>
    <w:rsid w:val="00340A08"/>
    <w:rsid w:val="00340B21"/>
    <w:rsid w:val="00340DAB"/>
    <w:rsid w:val="0034166B"/>
    <w:rsid w:val="00341A8F"/>
    <w:rsid w:val="00341BF9"/>
    <w:rsid w:val="003421BD"/>
    <w:rsid w:val="00342823"/>
    <w:rsid w:val="00343144"/>
    <w:rsid w:val="00343C25"/>
    <w:rsid w:val="00343EBC"/>
    <w:rsid w:val="00344D1A"/>
    <w:rsid w:val="00344DD0"/>
    <w:rsid w:val="00344F5E"/>
    <w:rsid w:val="00344FAF"/>
    <w:rsid w:val="003452DA"/>
    <w:rsid w:val="00345F66"/>
    <w:rsid w:val="003462DC"/>
    <w:rsid w:val="003467A1"/>
    <w:rsid w:val="00346895"/>
    <w:rsid w:val="00347068"/>
    <w:rsid w:val="00347096"/>
    <w:rsid w:val="00347247"/>
    <w:rsid w:val="0034752B"/>
    <w:rsid w:val="003476A1"/>
    <w:rsid w:val="003501E5"/>
    <w:rsid w:val="0035045F"/>
    <w:rsid w:val="00350EBD"/>
    <w:rsid w:val="003513E3"/>
    <w:rsid w:val="003514CF"/>
    <w:rsid w:val="003514F1"/>
    <w:rsid w:val="00351506"/>
    <w:rsid w:val="003516E4"/>
    <w:rsid w:val="00351731"/>
    <w:rsid w:val="00351A7E"/>
    <w:rsid w:val="00351BD6"/>
    <w:rsid w:val="00351DDE"/>
    <w:rsid w:val="00351E2F"/>
    <w:rsid w:val="003524B0"/>
    <w:rsid w:val="0035264B"/>
    <w:rsid w:val="003527E7"/>
    <w:rsid w:val="00352D65"/>
    <w:rsid w:val="00352D90"/>
    <w:rsid w:val="00353588"/>
    <w:rsid w:val="0035368D"/>
    <w:rsid w:val="003537F1"/>
    <w:rsid w:val="00353F78"/>
    <w:rsid w:val="003557B7"/>
    <w:rsid w:val="00355E7F"/>
    <w:rsid w:val="00357227"/>
    <w:rsid w:val="0035744C"/>
    <w:rsid w:val="003576EC"/>
    <w:rsid w:val="00361164"/>
    <w:rsid w:val="00362045"/>
    <w:rsid w:val="003621AD"/>
    <w:rsid w:val="0036262E"/>
    <w:rsid w:val="00362EF5"/>
    <w:rsid w:val="0036300A"/>
    <w:rsid w:val="003635D7"/>
    <w:rsid w:val="00363A57"/>
    <w:rsid w:val="00363F68"/>
    <w:rsid w:val="003649E9"/>
    <w:rsid w:val="00365079"/>
    <w:rsid w:val="00365434"/>
    <w:rsid w:val="00365530"/>
    <w:rsid w:val="0036576D"/>
    <w:rsid w:val="00366A02"/>
    <w:rsid w:val="00366EF2"/>
    <w:rsid w:val="0036768B"/>
    <w:rsid w:val="00367948"/>
    <w:rsid w:val="00367B1F"/>
    <w:rsid w:val="00370159"/>
    <w:rsid w:val="0037034F"/>
    <w:rsid w:val="003705F2"/>
    <w:rsid w:val="0037078C"/>
    <w:rsid w:val="00370E22"/>
    <w:rsid w:val="0037132A"/>
    <w:rsid w:val="003715EE"/>
    <w:rsid w:val="00371991"/>
    <w:rsid w:val="00371BB4"/>
    <w:rsid w:val="003722BC"/>
    <w:rsid w:val="00372AE6"/>
    <w:rsid w:val="00373063"/>
    <w:rsid w:val="00373080"/>
    <w:rsid w:val="00373200"/>
    <w:rsid w:val="003736CA"/>
    <w:rsid w:val="00373911"/>
    <w:rsid w:val="00373A66"/>
    <w:rsid w:val="00373ABC"/>
    <w:rsid w:val="00373BEF"/>
    <w:rsid w:val="00373E25"/>
    <w:rsid w:val="00373FCA"/>
    <w:rsid w:val="0037440D"/>
    <w:rsid w:val="003746AC"/>
    <w:rsid w:val="003747C9"/>
    <w:rsid w:val="00374B2E"/>
    <w:rsid w:val="00374FBF"/>
    <w:rsid w:val="00375873"/>
    <w:rsid w:val="0037610F"/>
    <w:rsid w:val="003768DF"/>
    <w:rsid w:val="00376A71"/>
    <w:rsid w:val="003770CE"/>
    <w:rsid w:val="00377850"/>
    <w:rsid w:val="00377A7C"/>
    <w:rsid w:val="00380D09"/>
    <w:rsid w:val="00380F81"/>
    <w:rsid w:val="0038170D"/>
    <w:rsid w:val="00381D7C"/>
    <w:rsid w:val="0038203B"/>
    <w:rsid w:val="0038255D"/>
    <w:rsid w:val="003828BA"/>
    <w:rsid w:val="00382CCA"/>
    <w:rsid w:val="00384555"/>
    <w:rsid w:val="003845EF"/>
    <w:rsid w:val="0038495F"/>
    <w:rsid w:val="00384BF3"/>
    <w:rsid w:val="00384D6A"/>
    <w:rsid w:val="0038519E"/>
    <w:rsid w:val="003852E3"/>
    <w:rsid w:val="003853FB"/>
    <w:rsid w:val="0038615B"/>
    <w:rsid w:val="003863A8"/>
    <w:rsid w:val="00386CBF"/>
    <w:rsid w:val="00387038"/>
    <w:rsid w:val="003870D7"/>
    <w:rsid w:val="00387253"/>
    <w:rsid w:val="003873DE"/>
    <w:rsid w:val="00387853"/>
    <w:rsid w:val="003906D3"/>
    <w:rsid w:val="00391BBA"/>
    <w:rsid w:val="0039272A"/>
    <w:rsid w:val="00392D7B"/>
    <w:rsid w:val="00392F64"/>
    <w:rsid w:val="00392FAA"/>
    <w:rsid w:val="003934E6"/>
    <w:rsid w:val="003936FE"/>
    <w:rsid w:val="0039391E"/>
    <w:rsid w:val="00393A8D"/>
    <w:rsid w:val="00393D55"/>
    <w:rsid w:val="00393EA4"/>
    <w:rsid w:val="00394061"/>
    <w:rsid w:val="003947A9"/>
    <w:rsid w:val="003948CD"/>
    <w:rsid w:val="00394CA6"/>
    <w:rsid w:val="00394D4F"/>
    <w:rsid w:val="00394F18"/>
    <w:rsid w:val="003956A2"/>
    <w:rsid w:val="00395754"/>
    <w:rsid w:val="00396890"/>
    <w:rsid w:val="00397264"/>
    <w:rsid w:val="0039736F"/>
    <w:rsid w:val="00397F46"/>
    <w:rsid w:val="003A020D"/>
    <w:rsid w:val="003A0AA5"/>
    <w:rsid w:val="003A1464"/>
    <w:rsid w:val="003A1734"/>
    <w:rsid w:val="003A1DCD"/>
    <w:rsid w:val="003A1E87"/>
    <w:rsid w:val="003A20AA"/>
    <w:rsid w:val="003A2162"/>
    <w:rsid w:val="003A2EF8"/>
    <w:rsid w:val="003A3447"/>
    <w:rsid w:val="003A3513"/>
    <w:rsid w:val="003A3C7F"/>
    <w:rsid w:val="003A3D3F"/>
    <w:rsid w:val="003A3D9F"/>
    <w:rsid w:val="003A3DC3"/>
    <w:rsid w:val="003A440C"/>
    <w:rsid w:val="003A44F5"/>
    <w:rsid w:val="003A51C6"/>
    <w:rsid w:val="003A5CF4"/>
    <w:rsid w:val="003A65C9"/>
    <w:rsid w:val="003A6A55"/>
    <w:rsid w:val="003A73C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313F"/>
    <w:rsid w:val="003B39F0"/>
    <w:rsid w:val="003B3A2A"/>
    <w:rsid w:val="003B3E70"/>
    <w:rsid w:val="003B3FAA"/>
    <w:rsid w:val="003B4980"/>
    <w:rsid w:val="003B4A9D"/>
    <w:rsid w:val="003B4F2D"/>
    <w:rsid w:val="003B558E"/>
    <w:rsid w:val="003B5799"/>
    <w:rsid w:val="003B6D43"/>
    <w:rsid w:val="003B7721"/>
    <w:rsid w:val="003B773D"/>
    <w:rsid w:val="003B77DA"/>
    <w:rsid w:val="003B7E68"/>
    <w:rsid w:val="003C0932"/>
    <w:rsid w:val="003C09A2"/>
    <w:rsid w:val="003C1032"/>
    <w:rsid w:val="003C110A"/>
    <w:rsid w:val="003C16FE"/>
    <w:rsid w:val="003C1C19"/>
    <w:rsid w:val="003C1CFC"/>
    <w:rsid w:val="003C23CA"/>
    <w:rsid w:val="003C27A2"/>
    <w:rsid w:val="003C2C05"/>
    <w:rsid w:val="003C35B8"/>
    <w:rsid w:val="003C380A"/>
    <w:rsid w:val="003C3850"/>
    <w:rsid w:val="003C3963"/>
    <w:rsid w:val="003C3B73"/>
    <w:rsid w:val="003C3DEC"/>
    <w:rsid w:val="003C3E20"/>
    <w:rsid w:val="003C4323"/>
    <w:rsid w:val="003C4766"/>
    <w:rsid w:val="003C4878"/>
    <w:rsid w:val="003C554A"/>
    <w:rsid w:val="003C5635"/>
    <w:rsid w:val="003C5C5B"/>
    <w:rsid w:val="003C6664"/>
    <w:rsid w:val="003C66C2"/>
    <w:rsid w:val="003C681E"/>
    <w:rsid w:val="003C682D"/>
    <w:rsid w:val="003C7323"/>
    <w:rsid w:val="003C76A1"/>
    <w:rsid w:val="003C7BBC"/>
    <w:rsid w:val="003C7C65"/>
    <w:rsid w:val="003C7E0E"/>
    <w:rsid w:val="003D06F5"/>
    <w:rsid w:val="003D0EDD"/>
    <w:rsid w:val="003D1341"/>
    <w:rsid w:val="003D173E"/>
    <w:rsid w:val="003D1E17"/>
    <w:rsid w:val="003D22D5"/>
    <w:rsid w:val="003D24D7"/>
    <w:rsid w:val="003D2B4B"/>
    <w:rsid w:val="003D2BAD"/>
    <w:rsid w:val="003D2DA4"/>
    <w:rsid w:val="003D2E71"/>
    <w:rsid w:val="003D39BC"/>
    <w:rsid w:val="003D3CC2"/>
    <w:rsid w:val="003D3D3A"/>
    <w:rsid w:val="003D3DF6"/>
    <w:rsid w:val="003D3E02"/>
    <w:rsid w:val="003D3F4C"/>
    <w:rsid w:val="003D3FE8"/>
    <w:rsid w:val="003D4218"/>
    <w:rsid w:val="003D42CA"/>
    <w:rsid w:val="003D43DA"/>
    <w:rsid w:val="003D4C8F"/>
    <w:rsid w:val="003D4EBF"/>
    <w:rsid w:val="003D5083"/>
    <w:rsid w:val="003D5264"/>
    <w:rsid w:val="003D6201"/>
    <w:rsid w:val="003D6DFF"/>
    <w:rsid w:val="003D7979"/>
    <w:rsid w:val="003D7AFF"/>
    <w:rsid w:val="003D7E78"/>
    <w:rsid w:val="003E03FF"/>
    <w:rsid w:val="003E0B58"/>
    <w:rsid w:val="003E15FC"/>
    <w:rsid w:val="003E18F2"/>
    <w:rsid w:val="003E1B37"/>
    <w:rsid w:val="003E1E28"/>
    <w:rsid w:val="003E2124"/>
    <w:rsid w:val="003E2189"/>
    <w:rsid w:val="003E2231"/>
    <w:rsid w:val="003E2734"/>
    <w:rsid w:val="003E2D16"/>
    <w:rsid w:val="003E3495"/>
    <w:rsid w:val="003E37ED"/>
    <w:rsid w:val="003E37F4"/>
    <w:rsid w:val="003E386F"/>
    <w:rsid w:val="003E465D"/>
    <w:rsid w:val="003E4D0E"/>
    <w:rsid w:val="003E522B"/>
    <w:rsid w:val="003E5530"/>
    <w:rsid w:val="003E55A9"/>
    <w:rsid w:val="003E5938"/>
    <w:rsid w:val="003E5F06"/>
    <w:rsid w:val="003E61DA"/>
    <w:rsid w:val="003E6558"/>
    <w:rsid w:val="003E6756"/>
    <w:rsid w:val="003E6F05"/>
    <w:rsid w:val="003E6F32"/>
    <w:rsid w:val="003E7029"/>
    <w:rsid w:val="003E7809"/>
    <w:rsid w:val="003E7A46"/>
    <w:rsid w:val="003E7C5C"/>
    <w:rsid w:val="003F091D"/>
    <w:rsid w:val="003F0C9D"/>
    <w:rsid w:val="003F0D84"/>
    <w:rsid w:val="003F1A29"/>
    <w:rsid w:val="003F2356"/>
    <w:rsid w:val="003F2424"/>
    <w:rsid w:val="003F2A5C"/>
    <w:rsid w:val="003F33C6"/>
    <w:rsid w:val="003F3855"/>
    <w:rsid w:val="003F3900"/>
    <w:rsid w:val="003F3BD0"/>
    <w:rsid w:val="003F3C25"/>
    <w:rsid w:val="003F3DE2"/>
    <w:rsid w:val="003F4363"/>
    <w:rsid w:val="003F4366"/>
    <w:rsid w:val="003F4884"/>
    <w:rsid w:val="003F52AD"/>
    <w:rsid w:val="003F6905"/>
    <w:rsid w:val="003F6983"/>
    <w:rsid w:val="003F6DFE"/>
    <w:rsid w:val="003F6F6E"/>
    <w:rsid w:val="003F7173"/>
    <w:rsid w:val="003F7ABB"/>
    <w:rsid w:val="003F7AE7"/>
    <w:rsid w:val="003F7D3A"/>
    <w:rsid w:val="0040015F"/>
    <w:rsid w:val="0040077A"/>
    <w:rsid w:val="00401210"/>
    <w:rsid w:val="004017B1"/>
    <w:rsid w:val="00401ABB"/>
    <w:rsid w:val="00401EFC"/>
    <w:rsid w:val="004024B0"/>
    <w:rsid w:val="0040258E"/>
    <w:rsid w:val="00402DE3"/>
    <w:rsid w:val="00403474"/>
    <w:rsid w:val="004037D1"/>
    <w:rsid w:val="0040385D"/>
    <w:rsid w:val="00403C6D"/>
    <w:rsid w:val="00403F22"/>
    <w:rsid w:val="0040446F"/>
    <w:rsid w:val="0040463A"/>
    <w:rsid w:val="00404AFF"/>
    <w:rsid w:val="004050A6"/>
    <w:rsid w:val="00405529"/>
    <w:rsid w:val="00405958"/>
    <w:rsid w:val="00405E9A"/>
    <w:rsid w:val="004067A3"/>
    <w:rsid w:val="0040696A"/>
    <w:rsid w:val="00406EB0"/>
    <w:rsid w:val="0040740C"/>
    <w:rsid w:val="0040748F"/>
    <w:rsid w:val="0040790E"/>
    <w:rsid w:val="00410028"/>
    <w:rsid w:val="00410F1F"/>
    <w:rsid w:val="00410F7D"/>
    <w:rsid w:val="00411200"/>
    <w:rsid w:val="004112AA"/>
    <w:rsid w:val="0041155F"/>
    <w:rsid w:val="0041191B"/>
    <w:rsid w:val="00411B47"/>
    <w:rsid w:val="00411B8A"/>
    <w:rsid w:val="00411BE7"/>
    <w:rsid w:val="00411C4A"/>
    <w:rsid w:val="0041220C"/>
    <w:rsid w:val="004124FE"/>
    <w:rsid w:val="00412D71"/>
    <w:rsid w:val="00412DF4"/>
    <w:rsid w:val="0041354D"/>
    <w:rsid w:val="00414152"/>
    <w:rsid w:val="004143A8"/>
    <w:rsid w:val="00414990"/>
    <w:rsid w:val="00414E56"/>
    <w:rsid w:val="004155C6"/>
    <w:rsid w:val="00415870"/>
    <w:rsid w:val="00415C97"/>
    <w:rsid w:val="00416B07"/>
    <w:rsid w:val="00416C5B"/>
    <w:rsid w:val="00416E6C"/>
    <w:rsid w:val="00416EC6"/>
    <w:rsid w:val="00416F0A"/>
    <w:rsid w:val="004175EE"/>
    <w:rsid w:val="00417DA3"/>
    <w:rsid w:val="00417FF2"/>
    <w:rsid w:val="00420294"/>
    <w:rsid w:val="004205B3"/>
    <w:rsid w:val="004212E8"/>
    <w:rsid w:val="00421A4C"/>
    <w:rsid w:val="00421C9C"/>
    <w:rsid w:val="00421CEE"/>
    <w:rsid w:val="00422349"/>
    <w:rsid w:val="00422A2D"/>
    <w:rsid w:val="004233B7"/>
    <w:rsid w:val="00423497"/>
    <w:rsid w:val="00423650"/>
    <w:rsid w:val="00423A79"/>
    <w:rsid w:val="00424545"/>
    <w:rsid w:val="0042472C"/>
    <w:rsid w:val="00424A37"/>
    <w:rsid w:val="00424B67"/>
    <w:rsid w:val="00425056"/>
    <w:rsid w:val="0042506C"/>
    <w:rsid w:val="00425533"/>
    <w:rsid w:val="00425B44"/>
    <w:rsid w:val="00425B55"/>
    <w:rsid w:val="00425DA3"/>
    <w:rsid w:val="00425E95"/>
    <w:rsid w:val="00425F38"/>
    <w:rsid w:val="00425FCD"/>
    <w:rsid w:val="00426D48"/>
    <w:rsid w:val="004272E1"/>
    <w:rsid w:val="00427606"/>
    <w:rsid w:val="00427774"/>
    <w:rsid w:val="00427B53"/>
    <w:rsid w:val="0043080A"/>
    <w:rsid w:val="00430AD3"/>
    <w:rsid w:val="00431B0D"/>
    <w:rsid w:val="00431CEB"/>
    <w:rsid w:val="0043245D"/>
    <w:rsid w:val="00432C69"/>
    <w:rsid w:val="00432DD6"/>
    <w:rsid w:val="00433017"/>
    <w:rsid w:val="0043340C"/>
    <w:rsid w:val="00433727"/>
    <w:rsid w:val="0043374C"/>
    <w:rsid w:val="00433ECD"/>
    <w:rsid w:val="0043411B"/>
    <w:rsid w:val="0043499E"/>
    <w:rsid w:val="00434D61"/>
    <w:rsid w:val="00434E9A"/>
    <w:rsid w:val="00435054"/>
    <w:rsid w:val="004354D5"/>
    <w:rsid w:val="00435E77"/>
    <w:rsid w:val="00436E4B"/>
    <w:rsid w:val="004374CD"/>
    <w:rsid w:val="004376E7"/>
    <w:rsid w:val="00437E34"/>
    <w:rsid w:val="004417ED"/>
    <w:rsid w:val="00442FC0"/>
    <w:rsid w:val="004434AB"/>
    <w:rsid w:val="0044391B"/>
    <w:rsid w:val="00443F66"/>
    <w:rsid w:val="0044435C"/>
    <w:rsid w:val="004443F4"/>
    <w:rsid w:val="004448C6"/>
    <w:rsid w:val="00444917"/>
    <w:rsid w:val="0044491E"/>
    <w:rsid w:val="00444D0E"/>
    <w:rsid w:val="004451B5"/>
    <w:rsid w:val="00445DFA"/>
    <w:rsid w:val="004466E0"/>
    <w:rsid w:val="00447F91"/>
    <w:rsid w:val="0045013F"/>
    <w:rsid w:val="00450450"/>
    <w:rsid w:val="00450651"/>
    <w:rsid w:val="0045158A"/>
    <w:rsid w:val="004515B1"/>
    <w:rsid w:val="00452259"/>
    <w:rsid w:val="00452DCC"/>
    <w:rsid w:val="00453477"/>
    <w:rsid w:val="00453B89"/>
    <w:rsid w:val="00454507"/>
    <w:rsid w:val="00454640"/>
    <w:rsid w:val="00454F85"/>
    <w:rsid w:val="0045554E"/>
    <w:rsid w:val="004564DE"/>
    <w:rsid w:val="004575E6"/>
    <w:rsid w:val="004575F0"/>
    <w:rsid w:val="00457E27"/>
    <w:rsid w:val="004601EB"/>
    <w:rsid w:val="00461079"/>
    <w:rsid w:val="004611DD"/>
    <w:rsid w:val="00461ED0"/>
    <w:rsid w:val="00462585"/>
    <w:rsid w:val="00462981"/>
    <w:rsid w:val="0046298E"/>
    <w:rsid w:val="004629AB"/>
    <w:rsid w:val="0046326D"/>
    <w:rsid w:val="004634A3"/>
    <w:rsid w:val="00463DD3"/>
    <w:rsid w:val="00463F39"/>
    <w:rsid w:val="0046410B"/>
    <w:rsid w:val="00464D5E"/>
    <w:rsid w:val="004657C4"/>
    <w:rsid w:val="0046650C"/>
    <w:rsid w:val="00467115"/>
    <w:rsid w:val="00467315"/>
    <w:rsid w:val="00467468"/>
    <w:rsid w:val="0046760E"/>
    <w:rsid w:val="00467E36"/>
    <w:rsid w:val="004701AA"/>
    <w:rsid w:val="0047031F"/>
    <w:rsid w:val="00470AB7"/>
    <w:rsid w:val="004710B8"/>
    <w:rsid w:val="0047123D"/>
    <w:rsid w:val="004719E8"/>
    <w:rsid w:val="00472B8D"/>
    <w:rsid w:val="004737B1"/>
    <w:rsid w:val="00473868"/>
    <w:rsid w:val="004740B1"/>
    <w:rsid w:val="004745D6"/>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D3F"/>
    <w:rsid w:val="00481E5B"/>
    <w:rsid w:val="00482561"/>
    <w:rsid w:val="00483199"/>
    <w:rsid w:val="0048321D"/>
    <w:rsid w:val="004839F0"/>
    <w:rsid w:val="0048460D"/>
    <w:rsid w:val="004847DC"/>
    <w:rsid w:val="00484E4D"/>
    <w:rsid w:val="00484FB0"/>
    <w:rsid w:val="00485181"/>
    <w:rsid w:val="004855BF"/>
    <w:rsid w:val="00485613"/>
    <w:rsid w:val="004859DD"/>
    <w:rsid w:val="00486272"/>
    <w:rsid w:val="00486433"/>
    <w:rsid w:val="00486D18"/>
    <w:rsid w:val="00486DC2"/>
    <w:rsid w:val="004873D3"/>
    <w:rsid w:val="004876F8"/>
    <w:rsid w:val="0048793E"/>
    <w:rsid w:val="00487B07"/>
    <w:rsid w:val="004917DE"/>
    <w:rsid w:val="00491835"/>
    <w:rsid w:val="00491AD2"/>
    <w:rsid w:val="004928B0"/>
    <w:rsid w:val="004930CC"/>
    <w:rsid w:val="00493C82"/>
    <w:rsid w:val="00493EEF"/>
    <w:rsid w:val="00493F3B"/>
    <w:rsid w:val="00494185"/>
    <w:rsid w:val="00494A95"/>
    <w:rsid w:val="00495870"/>
    <w:rsid w:val="00495A89"/>
    <w:rsid w:val="00496597"/>
    <w:rsid w:val="00496795"/>
    <w:rsid w:val="00496ACA"/>
    <w:rsid w:val="004970AD"/>
    <w:rsid w:val="004974CF"/>
    <w:rsid w:val="004974FF"/>
    <w:rsid w:val="0049779A"/>
    <w:rsid w:val="004978C1"/>
    <w:rsid w:val="00497AE3"/>
    <w:rsid w:val="004A00BF"/>
    <w:rsid w:val="004A01CF"/>
    <w:rsid w:val="004A03AD"/>
    <w:rsid w:val="004A06D9"/>
    <w:rsid w:val="004A0BFD"/>
    <w:rsid w:val="004A1021"/>
    <w:rsid w:val="004A146A"/>
    <w:rsid w:val="004A14E9"/>
    <w:rsid w:val="004A2477"/>
    <w:rsid w:val="004A2B01"/>
    <w:rsid w:val="004A2CBD"/>
    <w:rsid w:val="004A312D"/>
    <w:rsid w:val="004A3329"/>
    <w:rsid w:val="004A37E0"/>
    <w:rsid w:val="004A3929"/>
    <w:rsid w:val="004A3E75"/>
    <w:rsid w:val="004A4188"/>
    <w:rsid w:val="004A479E"/>
    <w:rsid w:val="004A4921"/>
    <w:rsid w:val="004A4A00"/>
    <w:rsid w:val="004A4D99"/>
    <w:rsid w:val="004A4E60"/>
    <w:rsid w:val="004A4EC7"/>
    <w:rsid w:val="004A51D4"/>
    <w:rsid w:val="004A5483"/>
    <w:rsid w:val="004A5C74"/>
    <w:rsid w:val="004A6327"/>
    <w:rsid w:val="004A7053"/>
    <w:rsid w:val="004A71BA"/>
    <w:rsid w:val="004A7602"/>
    <w:rsid w:val="004A76DC"/>
    <w:rsid w:val="004A78A4"/>
    <w:rsid w:val="004A7BCA"/>
    <w:rsid w:val="004A7E96"/>
    <w:rsid w:val="004B058F"/>
    <w:rsid w:val="004B08B2"/>
    <w:rsid w:val="004B0C9B"/>
    <w:rsid w:val="004B0E12"/>
    <w:rsid w:val="004B1166"/>
    <w:rsid w:val="004B1267"/>
    <w:rsid w:val="004B19B1"/>
    <w:rsid w:val="004B1E9E"/>
    <w:rsid w:val="004B20D1"/>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7849"/>
    <w:rsid w:val="004B7AD8"/>
    <w:rsid w:val="004B7BDF"/>
    <w:rsid w:val="004B7DDC"/>
    <w:rsid w:val="004C0BFB"/>
    <w:rsid w:val="004C1309"/>
    <w:rsid w:val="004C287D"/>
    <w:rsid w:val="004C30F0"/>
    <w:rsid w:val="004C33A6"/>
    <w:rsid w:val="004C36AD"/>
    <w:rsid w:val="004C39E7"/>
    <w:rsid w:val="004C3E90"/>
    <w:rsid w:val="004C3F22"/>
    <w:rsid w:val="004C3FDD"/>
    <w:rsid w:val="004C42C7"/>
    <w:rsid w:val="004C4446"/>
    <w:rsid w:val="004C4F3F"/>
    <w:rsid w:val="004C50AB"/>
    <w:rsid w:val="004C518F"/>
    <w:rsid w:val="004C590B"/>
    <w:rsid w:val="004C5AF8"/>
    <w:rsid w:val="004C5C54"/>
    <w:rsid w:val="004C615B"/>
    <w:rsid w:val="004C6341"/>
    <w:rsid w:val="004C6857"/>
    <w:rsid w:val="004C6BA0"/>
    <w:rsid w:val="004C7106"/>
    <w:rsid w:val="004C7810"/>
    <w:rsid w:val="004C7AD9"/>
    <w:rsid w:val="004D0221"/>
    <w:rsid w:val="004D0354"/>
    <w:rsid w:val="004D08AF"/>
    <w:rsid w:val="004D0E53"/>
    <w:rsid w:val="004D12E8"/>
    <w:rsid w:val="004D1770"/>
    <w:rsid w:val="004D1965"/>
    <w:rsid w:val="004D1A88"/>
    <w:rsid w:val="004D26B2"/>
    <w:rsid w:val="004D2DED"/>
    <w:rsid w:val="004D2E45"/>
    <w:rsid w:val="004D349F"/>
    <w:rsid w:val="004D37A1"/>
    <w:rsid w:val="004D3A05"/>
    <w:rsid w:val="004D439C"/>
    <w:rsid w:val="004D497D"/>
    <w:rsid w:val="004D4C48"/>
    <w:rsid w:val="004D53AC"/>
    <w:rsid w:val="004D57EB"/>
    <w:rsid w:val="004D5A88"/>
    <w:rsid w:val="004D5C94"/>
    <w:rsid w:val="004D640C"/>
    <w:rsid w:val="004D67F9"/>
    <w:rsid w:val="004D69B4"/>
    <w:rsid w:val="004D6B47"/>
    <w:rsid w:val="004D77A4"/>
    <w:rsid w:val="004D7989"/>
    <w:rsid w:val="004D79E3"/>
    <w:rsid w:val="004D7B8D"/>
    <w:rsid w:val="004D7C30"/>
    <w:rsid w:val="004D7CD2"/>
    <w:rsid w:val="004D7EF7"/>
    <w:rsid w:val="004E00A3"/>
    <w:rsid w:val="004E04BE"/>
    <w:rsid w:val="004E0623"/>
    <w:rsid w:val="004E101F"/>
    <w:rsid w:val="004E1230"/>
    <w:rsid w:val="004E2D3B"/>
    <w:rsid w:val="004E2F97"/>
    <w:rsid w:val="004E3A1A"/>
    <w:rsid w:val="004E406C"/>
    <w:rsid w:val="004E4111"/>
    <w:rsid w:val="004E4285"/>
    <w:rsid w:val="004E4AFF"/>
    <w:rsid w:val="004E4B11"/>
    <w:rsid w:val="004E5069"/>
    <w:rsid w:val="004E5735"/>
    <w:rsid w:val="004E573E"/>
    <w:rsid w:val="004E57B0"/>
    <w:rsid w:val="004E6542"/>
    <w:rsid w:val="004E6594"/>
    <w:rsid w:val="004E678D"/>
    <w:rsid w:val="004E7F54"/>
    <w:rsid w:val="004F01B1"/>
    <w:rsid w:val="004F075B"/>
    <w:rsid w:val="004F0C0D"/>
    <w:rsid w:val="004F0F5E"/>
    <w:rsid w:val="004F1A43"/>
    <w:rsid w:val="004F1BD4"/>
    <w:rsid w:val="004F1FA2"/>
    <w:rsid w:val="004F2818"/>
    <w:rsid w:val="004F2886"/>
    <w:rsid w:val="004F31EC"/>
    <w:rsid w:val="004F3642"/>
    <w:rsid w:val="004F3AFA"/>
    <w:rsid w:val="004F3EA0"/>
    <w:rsid w:val="004F419B"/>
    <w:rsid w:val="004F4518"/>
    <w:rsid w:val="004F4D91"/>
    <w:rsid w:val="004F4EA1"/>
    <w:rsid w:val="004F5297"/>
    <w:rsid w:val="004F5CA2"/>
    <w:rsid w:val="004F6397"/>
    <w:rsid w:val="004F69B7"/>
    <w:rsid w:val="004F6B45"/>
    <w:rsid w:val="004F6E93"/>
    <w:rsid w:val="004F760C"/>
    <w:rsid w:val="004F79BB"/>
    <w:rsid w:val="005003C9"/>
    <w:rsid w:val="00500568"/>
    <w:rsid w:val="005005F3"/>
    <w:rsid w:val="00501300"/>
    <w:rsid w:val="0050135C"/>
    <w:rsid w:val="00501383"/>
    <w:rsid w:val="005014F4"/>
    <w:rsid w:val="00501897"/>
    <w:rsid w:val="00501DCF"/>
    <w:rsid w:val="00501E7B"/>
    <w:rsid w:val="00502228"/>
    <w:rsid w:val="005023DC"/>
    <w:rsid w:val="00502560"/>
    <w:rsid w:val="0050276C"/>
    <w:rsid w:val="0050299F"/>
    <w:rsid w:val="00502D82"/>
    <w:rsid w:val="005040F2"/>
    <w:rsid w:val="0050467C"/>
    <w:rsid w:val="005046F6"/>
    <w:rsid w:val="00504C62"/>
    <w:rsid w:val="00504E44"/>
    <w:rsid w:val="0050585D"/>
    <w:rsid w:val="00505880"/>
    <w:rsid w:val="00505AED"/>
    <w:rsid w:val="005069FB"/>
    <w:rsid w:val="005070CD"/>
    <w:rsid w:val="0050727D"/>
    <w:rsid w:val="00507462"/>
    <w:rsid w:val="00507530"/>
    <w:rsid w:val="00507D4E"/>
    <w:rsid w:val="005107EB"/>
    <w:rsid w:val="00510ACD"/>
    <w:rsid w:val="00510C86"/>
    <w:rsid w:val="00510F93"/>
    <w:rsid w:val="00511C78"/>
    <w:rsid w:val="00512227"/>
    <w:rsid w:val="00512C8A"/>
    <w:rsid w:val="005130AB"/>
    <w:rsid w:val="005137F0"/>
    <w:rsid w:val="00513B89"/>
    <w:rsid w:val="00513F3F"/>
    <w:rsid w:val="00514815"/>
    <w:rsid w:val="00514C92"/>
    <w:rsid w:val="0051574E"/>
    <w:rsid w:val="0051575F"/>
    <w:rsid w:val="0051588A"/>
    <w:rsid w:val="00515AD0"/>
    <w:rsid w:val="00516056"/>
    <w:rsid w:val="00516680"/>
    <w:rsid w:val="0051694B"/>
    <w:rsid w:val="00516BA8"/>
    <w:rsid w:val="00517089"/>
    <w:rsid w:val="005178D5"/>
    <w:rsid w:val="00517A1E"/>
    <w:rsid w:val="00517AAB"/>
    <w:rsid w:val="00517BFA"/>
    <w:rsid w:val="005204F3"/>
    <w:rsid w:val="00520692"/>
    <w:rsid w:val="00520E32"/>
    <w:rsid w:val="00521117"/>
    <w:rsid w:val="00521118"/>
    <w:rsid w:val="00521419"/>
    <w:rsid w:val="005217C0"/>
    <w:rsid w:val="00521861"/>
    <w:rsid w:val="00521F12"/>
    <w:rsid w:val="0052273E"/>
    <w:rsid w:val="005230C3"/>
    <w:rsid w:val="0052340C"/>
    <w:rsid w:val="00523956"/>
    <w:rsid w:val="00523CAB"/>
    <w:rsid w:val="00523FAC"/>
    <w:rsid w:val="0052423E"/>
    <w:rsid w:val="005245A2"/>
    <w:rsid w:val="005246D4"/>
    <w:rsid w:val="00524765"/>
    <w:rsid w:val="005252CC"/>
    <w:rsid w:val="0052555D"/>
    <w:rsid w:val="005255F2"/>
    <w:rsid w:val="00525636"/>
    <w:rsid w:val="005256DD"/>
    <w:rsid w:val="00525E45"/>
    <w:rsid w:val="00526021"/>
    <w:rsid w:val="00527A07"/>
    <w:rsid w:val="00527ADA"/>
    <w:rsid w:val="00527E60"/>
    <w:rsid w:val="0053000B"/>
    <w:rsid w:val="00530AC7"/>
    <w:rsid w:val="00530CE0"/>
    <w:rsid w:val="00530DE8"/>
    <w:rsid w:val="00530F9F"/>
    <w:rsid w:val="00531101"/>
    <w:rsid w:val="00531330"/>
    <w:rsid w:val="00531919"/>
    <w:rsid w:val="00531BAE"/>
    <w:rsid w:val="00532187"/>
    <w:rsid w:val="005331A5"/>
    <w:rsid w:val="005339B1"/>
    <w:rsid w:val="0053435F"/>
    <w:rsid w:val="0053477E"/>
    <w:rsid w:val="00535170"/>
    <w:rsid w:val="00535513"/>
    <w:rsid w:val="005358B2"/>
    <w:rsid w:val="00535A8C"/>
    <w:rsid w:val="00536365"/>
    <w:rsid w:val="0053649C"/>
    <w:rsid w:val="005369C1"/>
    <w:rsid w:val="005369D4"/>
    <w:rsid w:val="00537015"/>
    <w:rsid w:val="00537138"/>
    <w:rsid w:val="005372C9"/>
    <w:rsid w:val="0053742B"/>
    <w:rsid w:val="00537577"/>
    <w:rsid w:val="0053796A"/>
    <w:rsid w:val="00540509"/>
    <w:rsid w:val="0054053A"/>
    <w:rsid w:val="00541674"/>
    <w:rsid w:val="00541894"/>
    <w:rsid w:val="005418EE"/>
    <w:rsid w:val="00541C50"/>
    <w:rsid w:val="00541E39"/>
    <w:rsid w:val="005421BC"/>
    <w:rsid w:val="0054236F"/>
    <w:rsid w:val="00542C2C"/>
    <w:rsid w:val="00542E32"/>
    <w:rsid w:val="00542ECA"/>
    <w:rsid w:val="00542F5F"/>
    <w:rsid w:val="0054322B"/>
    <w:rsid w:val="0054363C"/>
    <w:rsid w:val="00543A3F"/>
    <w:rsid w:val="00543BDB"/>
    <w:rsid w:val="00543C87"/>
    <w:rsid w:val="0054450E"/>
    <w:rsid w:val="00544685"/>
    <w:rsid w:val="005447B3"/>
    <w:rsid w:val="0054495C"/>
    <w:rsid w:val="00544AC1"/>
    <w:rsid w:val="00544D90"/>
    <w:rsid w:val="00544F17"/>
    <w:rsid w:val="00544F86"/>
    <w:rsid w:val="00545A48"/>
    <w:rsid w:val="00545D44"/>
    <w:rsid w:val="00546369"/>
    <w:rsid w:val="0054659E"/>
    <w:rsid w:val="005467ED"/>
    <w:rsid w:val="00546813"/>
    <w:rsid w:val="005468BC"/>
    <w:rsid w:val="0054690F"/>
    <w:rsid w:val="005506F6"/>
    <w:rsid w:val="00550E1C"/>
    <w:rsid w:val="005511A3"/>
    <w:rsid w:val="005518FB"/>
    <w:rsid w:val="00551CC8"/>
    <w:rsid w:val="00552075"/>
    <w:rsid w:val="00553377"/>
    <w:rsid w:val="00553943"/>
    <w:rsid w:val="0055406E"/>
    <w:rsid w:val="00554341"/>
    <w:rsid w:val="005545EB"/>
    <w:rsid w:val="00554617"/>
    <w:rsid w:val="00554C0C"/>
    <w:rsid w:val="00554C29"/>
    <w:rsid w:val="0055516F"/>
    <w:rsid w:val="00555A02"/>
    <w:rsid w:val="00555C37"/>
    <w:rsid w:val="00556140"/>
    <w:rsid w:val="00556555"/>
    <w:rsid w:val="0055672C"/>
    <w:rsid w:val="00556B24"/>
    <w:rsid w:val="005571C1"/>
    <w:rsid w:val="005571DC"/>
    <w:rsid w:val="00557334"/>
    <w:rsid w:val="005574F9"/>
    <w:rsid w:val="00557553"/>
    <w:rsid w:val="005575C1"/>
    <w:rsid w:val="00557718"/>
    <w:rsid w:val="005578A4"/>
    <w:rsid w:val="00557EB5"/>
    <w:rsid w:val="00557FD7"/>
    <w:rsid w:val="00561F1D"/>
    <w:rsid w:val="00561F99"/>
    <w:rsid w:val="005621CD"/>
    <w:rsid w:val="005625D1"/>
    <w:rsid w:val="00562AFC"/>
    <w:rsid w:val="00562DAB"/>
    <w:rsid w:val="00562E2C"/>
    <w:rsid w:val="005631DE"/>
    <w:rsid w:val="0056425D"/>
    <w:rsid w:val="005646B9"/>
    <w:rsid w:val="0056478C"/>
    <w:rsid w:val="005648CC"/>
    <w:rsid w:val="00564E7A"/>
    <w:rsid w:val="00565215"/>
    <w:rsid w:val="005653C7"/>
    <w:rsid w:val="00565970"/>
    <w:rsid w:val="00566020"/>
    <w:rsid w:val="00566713"/>
    <w:rsid w:val="00566852"/>
    <w:rsid w:val="00566DE1"/>
    <w:rsid w:val="0056766B"/>
    <w:rsid w:val="00567C8C"/>
    <w:rsid w:val="00570293"/>
    <w:rsid w:val="00570365"/>
    <w:rsid w:val="0057112A"/>
    <w:rsid w:val="005712CD"/>
    <w:rsid w:val="005725D7"/>
    <w:rsid w:val="00572810"/>
    <w:rsid w:val="00572BD4"/>
    <w:rsid w:val="005733B0"/>
    <w:rsid w:val="005735F4"/>
    <w:rsid w:val="0057372A"/>
    <w:rsid w:val="00573EE5"/>
    <w:rsid w:val="00574139"/>
    <w:rsid w:val="00574524"/>
    <w:rsid w:val="005747B7"/>
    <w:rsid w:val="00574930"/>
    <w:rsid w:val="0057566E"/>
    <w:rsid w:val="005758EA"/>
    <w:rsid w:val="005760F0"/>
    <w:rsid w:val="005765F3"/>
    <w:rsid w:val="00576B47"/>
    <w:rsid w:val="005770D5"/>
    <w:rsid w:val="00577202"/>
    <w:rsid w:val="005773A7"/>
    <w:rsid w:val="00577497"/>
    <w:rsid w:val="00577D54"/>
    <w:rsid w:val="00580971"/>
    <w:rsid w:val="0058099B"/>
    <w:rsid w:val="005809BA"/>
    <w:rsid w:val="0058108C"/>
    <w:rsid w:val="005813A0"/>
    <w:rsid w:val="00581798"/>
    <w:rsid w:val="00581A18"/>
    <w:rsid w:val="00582C21"/>
    <w:rsid w:val="00582E32"/>
    <w:rsid w:val="005831C8"/>
    <w:rsid w:val="005837D7"/>
    <w:rsid w:val="0058404F"/>
    <w:rsid w:val="00584D94"/>
    <w:rsid w:val="00584F6E"/>
    <w:rsid w:val="005858D7"/>
    <w:rsid w:val="00585EFC"/>
    <w:rsid w:val="005861F5"/>
    <w:rsid w:val="00586448"/>
    <w:rsid w:val="00586936"/>
    <w:rsid w:val="00587590"/>
    <w:rsid w:val="0058760A"/>
    <w:rsid w:val="00587971"/>
    <w:rsid w:val="00587DB7"/>
    <w:rsid w:val="00590C13"/>
    <w:rsid w:val="00591771"/>
    <w:rsid w:val="005918CE"/>
    <w:rsid w:val="0059190C"/>
    <w:rsid w:val="00591C40"/>
    <w:rsid w:val="0059296C"/>
    <w:rsid w:val="0059345C"/>
    <w:rsid w:val="00593503"/>
    <w:rsid w:val="00593A00"/>
    <w:rsid w:val="005940EB"/>
    <w:rsid w:val="005941F9"/>
    <w:rsid w:val="00595308"/>
    <w:rsid w:val="005954A7"/>
    <w:rsid w:val="00595902"/>
    <w:rsid w:val="0059591C"/>
    <w:rsid w:val="005959AF"/>
    <w:rsid w:val="00595B9C"/>
    <w:rsid w:val="00596858"/>
    <w:rsid w:val="00596D1C"/>
    <w:rsid w:val="00596D54"/>
    <w:rsid w:val="00597674"/>
    <w:rsid w:val="00597884"/>
    <w:rsid w:val="005978F8"/>
    <w:rsid w:val="00597CCF"/>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276"/>
    <w:rsid w:val="005A5D6E"/>
    <w:rsid w:val="005A6226"/>
    <w:rsid w:val="005A6407"/>
    <w:rsid w:val="005A641F"/>
    <w:rsid w:val="005A6DA4"/>
    <w:rsid w:val="005A794E"/>
    <w:rsid w:val="005B04AD"/>
    <w:rsid w:val="005B0888"/>
    <w:rsid w:val="005B0FEE"/>
    <w:rsid w:val="005B1267"/>
    <w:rsid w:val="005B1379"/>
    <w:rsid w:val="005B160A"/>
    <w:rsid w:val="005B1614"/>
    <w:rsid w:val="005B1935"/>
    <w:rsid w:val="005B1BB2"/>
    <w:rsid w:val="005B1C83"/>
    <w:rsid w:val="005B2238"/>
    <w:rsid w:val="005B2242"/>
    <w:rsid w:val="005B2569"/>
    <w:rsid w:val="005B2E8F"/>
    <w:rsid w:val="005B2F8C"/>
    <w:rsid w:val="005B312A"/>
    <w:rsid w:val="005B398E"/>
    <w:rsid w:val="005B3E44"/>
    <w:rsid w:val="005B3F2A"/>
    <w:rsid w:val="005B3F3B"/>
    <w:rsid w:val="005B4128"/>
    <w:rsid w:val="005B4208"/>
    <w:rsid w:val="005B434C"/>
    <w:rsid w:val="005B467E"/>
    <w:rsid w:val="005B46BC"/>
    <w:rsid w:val="005B5018"/>
    <w:rsid w:val="005B5808"/>
    <w:rsid w:val="005B5B6C"/>
    <w:rsid w:val="005B5E35"/>
    <w:rsid w:val="005B668C"/>
    <w:rsid w:val="005B68BA"/>
    <w:rsid w:val="005B6E9D"/>
    <w:rsid w:val="005B70C6"/>
    <w:rsid w:val="005B7314"/>
    <w:rsid w:val="005C02C8"/>
    <w:rsid w:val="005C057C"/>
    <w:rsid w:val="005C123A"/>
    <w:rsid w:val="005C2C1D"/>
    <w:rsid w:val="005C2CC2"/>
    <w:rsid w:val="005C33E6"/>
    <w:rsid w:val="005C3F48"/>
    <w:rsid w:val="005C4558"/>
    <w:rsid w:val="005C46DF"/>
    <w:rsid w:val="005C497B"/>
    <w:rsid w:val="005C4C15"/>
    <w:rsid w:val="005C4C84"/>
    <w:rsid w:val="005C5D23"/>
    <w:rsid w:val="005C6579"/>
    <w:rsid w:val="005C6A7C"/>
    <w:rsid w:val="005C6EEB"/>
    <w:rsid w:val="005C76DF"/>
    <w:rsid w:val="005C7843"/>
    <w:rsid w:val="005C7A73"/>
    <w:rsid w:val="005C7F8F"/>
    <w:rsid w:val="005D0F72"/>
    <w:rsid w:val="005D14EA"/>
    <w:rsid w:val="005D15CD"/>
    <w:rsid w:val="005D1830"/>
    <w:rsid w:val="005D1876"/>
    <w:rsid w:val="005D1DAD"/>
    <w:rsid w:val="005D2653"/>
    <w:rsid w:val="005D2C7C"/>
    <w:rsid w:val="005D2E4B"/>
    <w:rsid w:val="005D2FFB"/>
    <w:rsid w:val="005D3056"/>
    <w:rsid w:val="005D3AC8"/>
    <w:rsid w:val="005D41D6"/>
    <w:rsid w:val="005D4A70"/>
    <w:rsid w:val="005D4A98"/>
    <w:rsid w:val="005D4FBC"/>
    <w:rsid w:val="005D5046"/>
    <w:rsid w:val="005D508A"/>
    <w:rsid w:val="005D551F"/>
    <w:rsid w:val="005D583D"/>
    <w:rsid w:val="005D589F"/>
    <w:rsid w:val="005D5E97"/>
    <w:rsid w:val="005D6D72"/>
    <w:rsid w:val="005D6EC0"/>
    <w:rsid w:val="005E00BF"/>
    <w:rsid w:val="005E04E8"/>
    <w:rsid w:val="005E0538"/>
    <w:rsid w:val="005E079D"/>
    <w:rsid w:val="005E13A7"/>
    <w:rsid w:val="005E1409"/>
    <w:rsid w:val="005E17D9"/>
    <w:rsid w:val="005E1BD3"/>
    <w:rsid w:val="005E250F"/>
    <w:rsid w:val="005E3AF0"/>
    <w:rsid w:val="005E43F2"/>
    <w:rsid w:val="005E4B7C"/>
    <w:rsid w:val="005E4FBB"/>
    <w:rsid w:val="005E5412"/>
    <w:rsid w:val="005E595D"/>
    <w:rsid w:val="005E5A3A"/>
    <w:rsid w:val="005E5CC2"/>
    <w:rsid w:val="005E62B7"/>
    <w:rsid w:val="005E6B1F"/>
    <w:rsid w:val="005E7F3F"/>
    <w:rsid w:val="005F088D"/>
    <w:rsid w:val="005F1063"/>
    <w:rsid w:val="005F1C36"/>
    <w:rsid w:val="005F2018"/>
    <w:rsid w:val="005F2164"/>
    <w:rsid w:val="005F22FA"/>
    <w:rsid w:val="005F3150"/>
    <w:rsid w:val="005F3609"/>
    <w:rsid w:val="005F4069"/>
    <w:rsid w:val="005F44A2"/>
    <w:rsid w:val="005F46FC"/>
    <w:rsid w:val="005F49EC"/>
    <w:rsid w:val="005F4A4F"/>
    <w:rsid w:val="005F4AD7"/>
    <w:rsid w:val="005F4C7B"/>
    <w:rsid w:val="005F504A"/>
    <w:rsid w:val="005F5360"/>
    <w:rsid w:val="005F5AFE"/>
    <w:rsid w:val="005F5F8C"/>
    <w:rsid w:val="005F62EB"/>
    <w:rsid w:val="005F669D"/>
    <w:rsid w:val="005F697D"/>
    <w:rsid w:val="005F6ED6"/>
    <w:rsid w:val="005F7102"/>
    <w:rsid w:val="005F757C"/>
    <w:rsid w:val="005F7952"/>
    <w:rsid w:val="005F7B74"/>
    <w:rsid w:val="00600D04"/>
    <w:rsid w:val="006023B9"/>
    <w:rsid w:val="006023E9"/>
    <w:rsid w:val="00602441"/>
    <w:rsid w:val="00603472"/>
    <w:rsid w:val="00603BE1"/>
    <w:rsid w:val="00603CD7"/>
    <w:rsid w:val="00603CEE"/>
    <w:rsid w:val="006044D5"/>
    <w:rsid w:val="00604532"/>
    <w:rsid w:val="00604756"/>
    <w:rsid w:val="00604AA1"/>
    <w:rsid w:val="00605069"/>
    <w:rsid w:val="00605D73"/>
    <w:rsid w:val="00606724"/>
    <w:rsid w:val="00607018"/>
    <w:rsid w:val="00607036"/>
    <w:rsid w:val="006074A5"/>
    <w:rsid w:val="00607E6C"/>
    <w:rsid w:val="00607F27"/>
    <w:rsid w:val="0061027F"/>
    <w:rsid w:val="00610D73"/>
    <w:rsid w:val="0061134F"/>
    <w:rsid w:val="006117CF"/>
    <w:rsid w:val="0061187E"/>
    <w:rsid w:val="00611E3B"/>
    <w:rsid w:val="006121FC"/>
    <w:rsid w:val="006122A8"/>
    <w:rsid w:val="0061230C"/>
    <w:rsid w:val="00613E17"/>
    <w:rsid w:val="006144AF"/>
    <w:rsid w:val="006145E8"/>
    <w:rsid w:val="00614FE1"/>
    <w:rsid w:val="00615839"/>
    <w:rsid w:val="006159D1"/>
    <w:rsid w:val="0061740D"/>
    <w:rsid w:val="00617C09"/>
    <w:rsid w:val="00617FC8"/>
    <w:rsid w:val="006200C4"/>
    <w:rsid w:val="00620181"/>
    <w:rsid w:val="006203C0"/>
    <w:rsid w:val="00620E0D"/>
    <w:rsid w:val="0062148A"/>
    <w:rsid w:val="00621628"/>
    <w:rsid w:val="00621AB5"/>
    <w:rsid w:val="00622769"/>
    <w:rsid w:val="00622AFF"/>
    <w:rsid w:val="00622E50"/>
    <w:rsid w:val="00623254"/>
    <w:rsid w:val="006235AB"/>
    <w:rsid w:val="00623683"/>
    <w:rsid w:val="00623D92"/>
    <w:rsid w:val="00624221"/>
    <w:rsid w:val="00624E95"/>
    <w:rsid w:val="006255FD"/>
    <w:rsid w:val="00625A14"/>
    <w:rsid w:val="00625F5B"/>
    <w:rsid w:val="006262FF"/>
    <w:rsid w:val="006263A1"/>
    <w:rsid w:val="0062658D"/>
    <w:rsid w:val="00626B4D"/>
    <w:rsid w:val="00626EF5"/>
    <w:rsid w:val="00627084"/>
    <w:rsid w:val="00627838"/>
    <w:rsid w:val="00627A52"/>
    <w:rsid w:val="00627F99"/>
    <w:rsid w:val="006308E3"/>
    <w:rsid w:val="006309FC"/>
    <w:rsid w:val="0063110F"/>
    <w:rsid w:val="00631864"/>
    <w:rsid w:val="00631BC3"/>
    <w:rsid w:val="00632639"/>
    <w:rsid w:val="00632D60"/>
    <w:rsid w:val="00633057"/>
    <w:rsid w:val="00633505"/>
    <w:rsid w:val="0063374D"/>
    <w:rsid w:val="00635063"/>
    <w:rsid w:val="00635070"/>
    <w:rsid w:val="00635268"/>
    <w:rsid w:val="006356A1"/>
    <w:rsid w:val="006359FD"/>
    <w:rsid w:val="00635A8A"/>
    <w:rsid w:val="00636579"/>
    <w:rsid w:val="00636620"/>
    <w:rsid w:val="006370CE"/>
    <w:rsid w:val="00637F05"/>
    <w:rsid w:val="00640460"/>
    <w:rsid w:val="0064060A"/>
    <w:rsid w:val="006409AE"/>
    <w:rsid w:val="00640B0F"/>
    <w:rsid w:val="00641694"/>
    <w:rsid w:val="00641C8B"/>
    <w:rsid w:val="00642866"/>
    <w:rsid w:val="00642F2D"/>
    <w:rsid w:val="0064311E"/>
    <w:rsid w:val="0064360F"/>
    <w:rsid w:val="00643827"/>
    <w:rsid w:val="00643D31"/>
    <w:rsid w:val="00643DFF"/>
    <w:rsid w:val="00643E73"/>
    <w:rsid w:val="00644870"/>
    <w:rsid w:val="00644ADE"/>
    <w:rsid w:val="00644B86"/>
    <w:rsid w:val="00644F5E"/>
    <w:rsid w:val="00645087"/>
    <w:rsid w:val="0064534A"/>
    <w:rsid w:val="00645869"/>
    <w:rsid w:val="00645A65"/>
    <w:rsid w:val="00646166"/>
    <w:rsid w:val="0064666C"/>
    <w:rsid w:val="0064683D"/>
    <w:rsid w:val="00646AD0"/>
    <w:rsid w:val="00647317"/>
    <w:rsid w:val="00647539"/>
    <w:rsid w:val="00647A91"/>
    <w:rsid w:val="00650154"/>
    <w:rsid w:val="006502F5"/>
    <w:rsid w:val="006508C5"/>
    <w:rsid w:val="00650AFF"/>
    <w:rsid w:val="00650CFA"/>
    <w:rsid w:val="00651095"/>
    <w:rsid w:val="006511B5"/>
    <w:rsid w:val="006513F2"/>
    <w:rsid w:val="006523D5"/>
    <w:rsid w:val="00652470"/>
    <w:rsid w:val="00652A47"/>
    <w:rsid w:val="00652E0D"/>
    <w:rsid w:val="006530AA"/>
    <w:rsid w:val="006530DA"/>
    <w:rsid w:val="00653EFC"/>
    <w:rsid w:val="0065402F"/>
    <w:rsid w:val="00654B18"/>
    <w:rsid w:val="00654B7B"/>
    <w:rsid w:val="0065539D"/>
    <w:rsid w:val="00655659"/>
    <w:rsid w:val="00655818"/>
    <w:rsid w:val="006558B6"/>
    <w:rsid w:val="00655DE1"/>
    <w:rsid w:val="00655E5D"/>
    <w:rsid w:val="006562E6"/>
    <w:rsid w:val="00656BFC"/>
    <w:rsid w:val="00656DFD"/>
    <w:rsid w:val="00656FD7"/>
    <w:rsid w:val="00656FD9"/>
    <w:rsid w:val="006576CE"/>
    <w:rsid w:val="00657FBA"/>
    <w:rsid w:val="00663203"/>
    <w:rsid w:val="00663220"/>
    <w:rsid w:val="0066327F"/>
    <w:rsid w:val="00663407"/>
    <w:rsid w:val="006635F1"/>
    <w:rsid w:val="0066402C"/>
    <w:rsid w:val="0066410F"/>
    <w:rsid w:val="006641AF"/>
    <w:rsid w:val="00664285"/>
    <w:rsid w:val="006644DD"/>
    <w:rsid w:val="00664998"/>
    <w:rsid w:val="00664C26"/>
    <w:rsid w:val="00664C37"/>
    <w:rsid w:val="006654BC"/>
    <w:rsid w:val="00665802"/>
    <w:rsid w:val="00665C41"/>
    <w:rsid w:val="00665DEB"/>
    <w:rsid w:val="00665E30"/>
    <w:rsid w:val="0066669C"/>
    <w:rsid w:val="00666C39"/>
    <w:rsid w:val="00666E17"/>
    <w:rsid w:val="00667998"/>
    <w:rsid w:val="00667A4B"/>
    <w:rsid w:val="006705BF"/>
    <w:rsid w:val="00670987"/>
    <w:rsid w:val="00670ACB"/>
    <w:rsid w:val="00671190"/>
    <w:rsid w:val="006716A2"/>
    <w:rsid w:val="0067176F"/>
    <w:rsid w:val="00671A3F"/>
    <w:rsid w:val="00671D00"/>
    <w:rsid w:val="006720F0"/>
    <w:rsid w:val="006722E8"/>
    <w:rsid w:val="0067278F"/>
    <w:rsid w:val="00672918"/>
    <w:rsid w:val="00672A6F"/>
    <w:rsid w:val="0067394F"/>
    <w:rsid w:val="00673F46"/>
    <w:rsid w:val="00674A91"/>
    <w:rsid w:val="00674F17"/>
    <w:rsid w:val="006753C7"/>
    <w:rsid w:val="0067560C"/>
    <w:rsid w:val="00675AFC"/>
    <w:rsid w:val="00675FAE"/>
    <w:rsid w:val="00676ABE"/>
    <w:rsid w:val="00676D66"/>
    <w:rsid w:val="006778DF"/>
    <w:rsid w:val="00677BD3"/>
    <w:rsid w:val="00680435"/>
    <w:rsid w:val="006807EF"/>
    <w:rsid w:val="006808DD"/>
    <w:rsid w:val="00680B69"/>
    <w:rsid w:val="00680C9D"/>
    <w:rsid w:val="006810DF"/>
    <w:rsid w:val="00681407"/>
    <w:rsid w:val="006818FD"/>
    <w:rsid w:val="00681DF3"/>
    <w:rsid w:val="0068211F"/>
    <w:rsid w:val="006824F3"/>
    <w:rsid w:val="00682C98"/>
    <w:rsid w:val="00683157"/>
    <w:rsid w:val="00683668"/>
    <w:rsid w:val="00683C1B"/>
    <w:rsid w:val="00684689"/>
    <w:rsid w:val="00684829"/>
    <w:rsid w:val="00685218"/>
    <w:rsid w:val="00686142"/>
    <w:rsid w:val="00686573"/>
    <w:rsid w:val="00686C77"/>
    <w:rsid w:val="006872CE"/>
    <w:rsid w:val="00687C63"/>
    <w:rsid w:val="00687EFE"/>
    <w:rsid w:val="00687FDD"/>
    <w:rsid w:val="0069015E"/>
    <w:rsid w:val="00690195"/>
    <w:rsid w:val="0069096E"/>
    <w:rsid w:val="00691709"/>
    <w:rsid w:val="00692AD5"/>
    <w:rsid w:val="00692D80"/>
    <w:rsid w:val="006931DF"/>
    <w:rsid w:val="006933AA"/>
    <w:rsid w:val="006936F8"/>
    <w:rsid w:val="0069393C"/>
    <w:rsid w:val="00693BE0"/>
    <w:rsid w:val="00693F24"/>
    <w:rsid w:val="00694591"/>
    <w:rsid w:val="00694A83"/>
    <w:rsid w:val="00694BF3"/>
    <w:rsid w:val="00694F10"/>
    <w:rsid w:val="00694FFD"/>
    <w:rsid w:val="00695177"/>
    <w:rsid w:val="00695563"/>
    <w:rsid w:val="006956E6"/>
    <w:rsid w:val="00695B53"/>
    <w:rsid w:val="00695FF9"/>
    <w:rsid w:val="00696977"/>
    <w:rsid w:val="00696B9B"/>
    <w:rsid w:val="00696C44"/>
    <w:rsid w:val="00696F55"/>
    <w:rsid w:val="00697721"/>
    <w:rsid w:val="00697754"/>
    <w:rsid w:val="00697832"/>
    <w:rsid w:val="006A09DF"/>
    <w:rsid w:val="006A0B64"/>
    <w:rsid w:val="006A0B9F"/>
    <w:rsid w:val="006A11CB"/>
    <w:rsid w:val="006A163A"/>
    <w:rsid w:val="006A1AE7"/>
    <w:rsid w:val="006A1C6C"/>
    <w:rsid w:val="006A1DF3"/>
    <w:rsid w:val="006A20A8"/>
    <w:rsid w:val="006A22A5"/>
    <w:rsid w:val="006A242B"/>
    <w:rsid w:val="006A260F"/>
    <w:rsid w:val="006A2AEA"/>
    <w:rsid w:val="006A30F5"/>
    <w:rsid w:val="006A3C70"/>
    <w:rsid w:val="006A3C99"/>
    <w:rsid w:val="006A3FA4"/>
    <w:rsid w:val="006A3FF8"/>
    <w:rsid w:val="006A4F55"/>
    <w:rsid w:val="006A50D7"/>
    <w:rsid w:val="006A538A"/>
    <w:rsid w:val="006A5B14"/>
    <w:rsid w:val="006A6C81"/>
    <w:rsid w:val="006A736C"/>
    <w:rsid w:val="006A7BB0"/>
    <w:rsid w:val="006B1255"/>
    <w:rsid w:val="006B18D1"/>
    <w:rsid w:val="006B21E9"/>
    <w:rsid w:val="006B289A"/>
    <w:rsid w:val="006B3007"/>
    <w:rsid w:val="006B346D"/>
    <w:rsid w:val="006B3B7F"/>
    <w:rsid w:val="006B3D54"/>
    <w:rsid w:val="006B4328"/>
    <w:rsid w:val="006B4612"/>
    <w:rsid w:val="006B483E"/>
    <w:rsid w:val="006B4898"/>
    <w:rsid w:val="006B4E0D"/>
    <w:rsid w:val="006B4E91"/>
    <w:rsid w:val="006B5041"/>
    <w:rsid w:val="006B5720"/>
    <w:rsid w:val="006B5C3C"/>
    <w:rsid w:val="006B6027"/>
    <w:rsid w:val="006B6119"/>
    <w:rsid w:val="006B656A"/>
    <w:rsid w:val="006B69CA"/>
    <w:rsid w:val="006B7203"/>
    <w:rsid w:val="006B773E"/>
    <w:rsid w:val="006B7D01"/>
    <w:rsid w:val="006B7F1F"/>
    <w:rsid w:val="006C02F2"/>
    <w:rsid w:val="006C069D"/>
    <w:rsid w:val="006C06BB"/>
    <w:rsid w:val="006C098D"/>
    <w:rsid w:val="006C0BB6"/>
    <w:rsid w:val="006C0D1B"/>
    <w:rsid w:val="006C1A3C"/>
    <w:rsid w:val="006C1A99"/>
    <w:rsid w:val="006C1DB6"/>
    <w:rsid w:val="006C2CA0"/>
    <w:rsid w:val="006C2D85"/>
    <w:rsid w:val="006C33AA"/>
    <w:rsid w:val="006C3563"/>
    <w:rsid w:val="006C3572"/>
    <w:rsid w:val="006C3813"/>
    <w:rsid w:val="006C3862"/>
    <w:rsid w:val="006C3B01"/>
    <w:rsid w:val="006C3D0F"/>
    <w:rsid w:val="006C3F83"/>
    <w:rsid w:val="006C4893"/>
    <w:rsid w:val="006C499B"/>
    <w:rsid w:val="006C4D46"/>
    <w:rsid w:val="006C5312"/>
    <w:rsid w:val="006C53E4"/>
    <w:rsid w:val="006C67AE"/>
    <w:rsid w:val="006C6989"/>
    <w:rsid w:val="006C6D52"/>
    <w:rsid w:val="006C7184"/>
    <w:rsid w:val="006C72B1"/>
    <w:rsid w:val="006C7547"/>
    <w:rsid w:val="006C7D8E"/>
    <w:rsid w:val="006D0EE7"/>
    <w:rsid w:val="006D10F8"/>
    <w:rsid w:val="006D128B"/>
    <w:rsid w:val="006D14E7"/>
    <w:rsid w:val="006D150B"/>
    <w:rsid w:val="006D1641"/>
    <w:rsid w:val="006D18B7"/>
    <w:rsid w:val="006D1A2E"/>
    <w:rsid w:val="006D1A62"/>
    <w:rsid w:val="006D292A"/>
    <w:rsid w:val="006D29F5"/>
    <w:rsid w:val="006D2AC3"/>
    <w:rsid w:val="006D37BB"/>
    <w:rsid w:val="006D405B"/>
    <w:rsid w:val="006D425F"/>
    <w:rsid w:val="006D43AB"/>
    <w:rsid w:val="006D443F"/>
    <w:rsid w:val="006D48C0"/>
    <w:rsid w:val="006D52CB"/>
    <w:rsid w:val="006D6439"/>
    <w:rsid w:val="006D67EE"/>
    <w:rsid w:val="006D714F"/>
    <w:rsid w:val="006D71A1"/>
    <w:rsid w:val="006D7F2D"/>
    <w:rsid w:val="006D7F93"/>
    <w:rsid w:val="006E01BC"/>
    <w:rsid w:val="006E0298"/>
    <w:rsid w:val="006E09A6"/>
    <w:rsid w:val="006E0AB9"/>
    <w:rsid w:val="006E15CD"/>
    <w:rsid w:val="006E174D"/>
    <w:rsid w:val="006E1754"/>
    <w:rsid w:val="006E1767"/>
    <w:rsid w:val="006E196B"/>
    <w:rsid w:val="006E1BE1"/>
    <w:rsid w:val="006E1E53"/>
    <w:rsid w:val="006E25B1"/>
    <w:rsid w:val="006E2711"/>
    <w:rsid w:val="006E284A"/>
    <w:rsid w:val="006E2BA8"/>
    <w:rsid w:val="006E30B7"/>
    <w:rsid w:val="006E36A7"/>
    <w:rsid w:val="006E36FB"/>
    <w:rsid w:val="006E3923"/>
    <w:rsid w:val="006E439C"/>
    <w:rsid w:val="006E45E5"/>
    <w:rsid w:val="006E4977"/>
    <w:rsid w:val="006E4C6A"/>
    <w:rsid w:val="006E4EDC"/>
    <w:rsid w:val="006E50AB"/>
    <w:rsid w:val="006E5343"/>
    <w:rsid w:val="006E5AC1"/>
    <w:rsid w:val="006E5D8E"/>
    <w:rsid w:val="006E5EAB"/>
    <w:rsid w:val="006E5F68"/>
    <w:rsid w:val="006E66EE"/>
    <w:rsid w:val="006E6878"/>
    <w:rsid w:val="006E738A"/>
    <w:rsid w:val="006E757B"/>
    <w:rsid w:val="006E7F34"/>
    <w:rsid w:val="006F006A"/>
    <w:rsid w:val="006F039F"/>
    <w:rsid w:val="006F08F4"/>
    <w:rsid w:val="006F0B45"/>
    <w:rsid w:val="006F1804"/>
    <w:rsid w:val="006F1F90"/>
    <w:rsid w:val="006F2453"/>
    <w:rsid w:val="006F2891"/>
    <w:rsid w:val="006F2CF2"/>
    <w:rsid w:val="006F2D4B"/>
    <w:rsid w:val="006F2E8D"/>
    <w:rsid w:val="006F31EC"/>
    <w:rsid w:val="006F3831"/>
    <w:rsid w:val="006F3B36"/>
    <w:rsid w:val="006F3D82"/>
    <w:rsid w:val="006F3E78"/>
    <w:rsid w:val="006F454C"/>
    <w:rsid w:val="006F49D8"/>
    <w:rsid w:val="006F4ED1"/>
    <w:rsid w:val="006F57A3"/>
    <w:rsid w:val="006F5A64"/>
    <w:rsid w:val="006F5E90"/>
    <w:rsid w:val="006F646B"/>
    <w:rsid w:val="006F6472"/>
    <w:rsid w:val="006F69EC"/>
    <w:rsid w:val="006F705E"/>
    <w:rsid w:val="006F7597"/>
    <w:rsid w:val="006F7F39"/>
    <w:rsid w:val="006F7FCC"/>
    <w:rsid w:val="00700997"/>
    <w:rsid w:val="00700D85"/>
    <w:rsid w:val="007010EB"/>
    <w:rsid w:val="0070139F"/>
    <w:rsid w:val="00701AFE"/>
    <w:rsid w:val="00701C5B"/>
    <w:rsid w:val="00701E46"/>
    <w:rsid w:val="0070223D"/>
    <w:rsid w:val="0070260F"/>
    <w:rsid w:val="00702B67"/>
    <w:rsid w:val="00702C36"/>
    <w:rsid w:val="00702E9A"/>
    <w:rsid w:val="007036D4"/>
    <w:rsid w:val="0070371F"/>
    <w:rsid w:val="00704603"/>
    <w:rsid w:val="00705B67"/>
    <w:rsid w:val="00705DE6"/>
    <w:rsid w:val="00706119"/>
    <w:rsid w:val="00706623"/>
    <w:rsid w:val="00706C7B"/>
    <w:rsid w:val="00706D2F"/>
    <w:rsid w:val="007072DE"/>
    <w:rsid w:val="007073D7"/>
    <w:rsid w:val="00707ADB"/>
    <w:rsid w:val="00707EB4"/>
    <w:rsid w:val="00710566"/>
    <w:rsid w:val="00710933"/>
    <w:rsid w:val="00710E5A"/>
    <w:rsid w:val="00710F4D"/>
    <w:rsid w:val="00710FD5"/>
    <w:rsid w:val="00711521"/>
    <w:rsid w:val="00711A3A"/>
    <w:rsid w:val="00711C7A"/>
    <w:rsid w:val="00711DB8"/>
    <w:rsid w:val="00711FE1"/>
    <w:rsid w:val="0071272D"/>
    <w:rsid w:val="0071325D"/>
    <w:rsid w:val="007135FD"/>
    <w:rsid w:val="00713E89"/>
    <w:rsid w:val="00714590"/>
    <w:rsid w:val="007147C3"/>
    <w:rsid w:val="0071540A"/>
    <w:rsid w:val="00715E1F"/>
    <w:rsid w:val="00715EDF"/>
    <w:rsid w:val="00716AA3"/>
    <w:rsid w:val="00716BF9"/>
    <w:rsid w:val="00716FE1"/>
    <w:rsid w:val="00717676"/>
    <w:rsid w:val="007177CC"/>
    <w:rsid w:val="0071797A"/>
    <w:rsid w:val="00717F73"/>
    <w:rsid w:val="00720143"/>
    <w:rsid w:val="00720751"/>
    <w:rsid w:val="00720BDD"/>
    <w:rsid w:val="00720CB5"/>
    <w:rsid w:val="00720E00"/>
    <w:rsid w:val="00720E47"/>
    <w:rsid w:val="007214AD"/>
    <w:rsid w:val="00721669"/>
    <w:rsid w:val="007219A3"/>
    <w:rsid w:val="007219A6"/>
    <w:rsid w:val="00721DE0"/>
    <w:rsid w:val="00721E46"/>
    <w:rsid w:val="00722130"/>
    <w:rsid w:val="0072278A"/>
    <w:rsid w:val="00722CA2"/>
    <w:rsid w:val="00722CE1"/>
    <w:rsid w:val="00723A2C"/>
    <w:rsid w:val="00723F1D"/>
    <w:rsid w:val="007241BB"/>
    <w:rsid w:val="00724A2F"/>
    <w:rsid w:val="00725001"/>
    <w:rsid w:val="0072595E"/>
    <w:rsid w:val="00725B83"/>
    <w:rsid w:val="00725E63"/>
    <w:rsid w:val="007267B8"/>
    <w:rsid w:val="00726B61"/>
    <w:rsid w:val="00726DCD"/>
    <w:rsid w:val="007270C9"/>
    <w:rsid w:val="007276E6"/>
    <w:rsid w:val="0073018B"/>
    <w:rsid w:val="0073055A"/>
    <w:rsid w:val="00730FC2"/>
    <w:rsid w:val="0073104F"/>
    <w:rsid w:val="007314DA"/>
    <w:rsid w:val="0073176A"/>
    <w:rsid w:val="00731D2F"/>
    <w:rsid w:val="0073220A"/>
    <w:rsid w:val="00732EDE"/>
    <w:rsid w:val="00732F5E"/>
    <w:rsid w:val="007332CA"/>
    <w:rsid w:val="007336B7"/>
    <w:rsid w:val="00733CC2"/>
    <w:rsid w:val="00733E87"/>
    <w:rsid w:val="00733F5A"/>
    <w:rsid w:val="00734ACE"/>
    <w:rsid w:val="00734D59"/>
    <w:rsid w:val="007352D8"/>
    <w:rsid w:val="00735CBF"/>
    <w:rsid w:val="00736281"/>
    <w:rsid w:val="0073679E"/>
    <w:rsid w:val="007367B2"/>
    <w:rsid w:val="00736891"/>
    <w:rsid w:val="007368C6"/>
    <w:rsid w:val="007368FB"/>
    <w:rsid w:val="00736BD8"/>
    <w:rsid w:val="00736CC4"/>
    <w:rsid w:val="00737538"/>
    <w:rsid w:val="007379C2"/>
    <w:rsid w:val="007379C4"/>
    <w:rsid w:val="007403A0"/>
    <w:rsid w:val="00740D3F"/>
    <w:rsid w:val="00741112"/>
    <w:rsid w:val="00741887"/>
    <w:rsid w:val="0074205B"/>
    <w:rsid w:val="007425A6"/>
    <w:rsid w:val="0074296C"/>
    <w:rsid w:val="00742974"/>
    <w:rsid w:val="00742CA6"/>
    <w:rsid w:val="00742FDF"/>
    <w:rsid w:val="007431DC"/>
    <w:rsid w:val="007434B9"/>
    <w:rsid w:val="00743846"/>
    <w:rsid w:val="00743966"/>
    <w:rsid w:val="00743B89"/>
    <w:rsid w:val="00744423"/>
    <w:rsid w:val="0074457E"/>
    <w:rsid w:val="007445B9"/>
    <w:rsid w:val="007449E4"/>
    <w:rsid w:val="00744E8D"/>
    <w:rsid w:val="00745422"/>
    <w:rsid w:val="00745E97"/>
    <w:rsid w:val="00746595"/>
    <w:rsid w:val="00746D08"/>
    <w:rsid w:val="00746DC3"/>
    <w:rsid w:val="00746E8E"/>
    <w:rsid w:val="0074711F"/>
    <w:rsid w:val="00747531"/>
    <w:rsid w:val="00747705"/>
    <w:rsid w:val="0074799E"/>
    <w:rsid w:val="00747DBC"/>
    <w:rsid w:val="007503EA"/>
    <w:rsid w:val="00750C86"/>
    <w:rsid w:val="00750F87"/>
    <w:rsid w:val="00751111"/>
    <w:rsid w:val="007511CE"/>
    <w:rsid w:val="00751BE2"/>
    <w:rsid w:val="00751E3B"/>
    <w:rsid w:val="007521A1"/>
    <w:rsid w:val="00752361"/>
    <w:rsid w:val="007525CC"/>
    <w:rsid w:val="00752702"/>
    <w:rsid w:val="00752864"/>
    <w:rsid w:val="0075291C"/>
    <w:rsid w:val="0075301F"/>
    <w:rsid w:val="00753509"/>
    <w:rsid w:val="0075362B"/>
    <w:rsid w:val="00753D75"/>
    <w:rsid w:val="00754C4C"/>
    <w:rsid w:val="0075507E"/>
    <w:rsid w:val="007551C6"/>
    <w:rsid w:val="00755CA9"/>
    <w:rsid w:val="0075602F"/>
    <w:rsid w:val="00756225"/>
    <w:rsid w:val="00756549"/>
    <w:rsid w:val="0075674A"/>
    <w:rsid w:val="00756B64"/>
    <w:rsid w:val="00756CC6"/>
    <w:rsid w:val="00756F61"/>
    <w:rsid w:val="00756FDD"/>
    <w:rsid w:val="007571FA"/>
    <w:rsid w:val="00757449"/>
    <w:rsid w:val="007575FF"/>
    <w:rsid w:val="0075794B"/>
    <w:rsid w:val="00757D41"/>
    <w:rsid w:val="0076060F"/>
    <w:rsid w:val="00760761"/>
    <w:rsid w:val="00760F0D"/>
    <w:rsid w:val="00761CF1"/>
    <w:rsid w:val="00762301"/>
    <w:rsid w:val="00762842"/>
    <w:rsid w:val="00762A25"/>
    <w:rsid w:val="00762C7F"/>
    <w:rsid w:val="00762F9F"/>
    <w:rsid w:val="0076325C"/>
    <w:rsid w:val="00763D08"/>
    <w:rsid w:val="00763DCB"/>
    <w:rsid w:val="007644F1"/>
    <w:rsid w:val="0076469B"/>
    <w:rsid w:val="00764ADF"/>
    <w:rsid w:val="00765074"/>
    <w:rsid w:val="00765A63"/>
    <w:rsid w:val="00765CCC"/>
    <w:rsid w:val="00765E44"/>
    <w:rsid w:val="007662F6"/>
    <w:rsid w:val="00766737"/>
    <w:rsid w:val="0076691D"/>
    <w:rsid w:val="00766DA3"/>
    <w:rsid w:val="00767507"/>
    <w:rsid w:val="00767509"/>
    <w:rsid w:val="00767738"/>
    <w:rsid w:val="007677CF"/>
    <w:rsid w:val="00767BF9"/>
    <w:rsid w:val="00770A5D"/>
    <w:rsid w:val="00770C3B"/>
    <w:rsid w:val="00770DFE"/>
    <w:rsid w:val="00770F75"/>
    <w:rsid w:val="0077130F"/>
    <w:rsid w:val="00771B30"/>
    <w:rsid w:val="00771F9B"/>
    <w:rsid w:val="00772248"/>
    <w:rsid w:val="0077260A"/>
    <w:rsid w:val="00772D3F"/>
    <w:rsid w:val="00772D64"/>
    <w:rsid w:val="007742FA"/>
    <w:rsid w:val="0077490F"/>
    <w:rsid w:val="00774E50"/>
    <w:rsid w:val="0077502F"/>
    <w:rsid w:val="00775F70"/>
    <w:rsid w:val="007766A3"/>
    <w:rsid w:val="0077770F"/>
    <w:rsid w:val="007779CC"/>
    <w:rsid w:val="00777B93"/>
    <w:rsid w:val="00777C40"/>
    <w:rsid w:val="007800DA"/>
    <w:rsid w:val="007801DD"/>
    <w:rsid w:val="007808B1"/>
    <w:rsid w:val="00780988"/>
    <w:rsid w:val="00780DBF"/>
    <w:rsid w:val="00781095"/>
    <w:rsid w:val="00781CCB"/>
    <w:rsid w:val="00781FA8"/>
    <w:rsid w:val="007822BA"/>
    <w:rsid w:val="00782EC7"/>
    <w:rsid w:val="0078334B"/>
    <w:rsid w:val="0078376F"/>
    <w:rsid w:val="00783818"/>
    <w:rsid w:val="0078396A"/>
    <w:rsid w:val="00783A40"/>
    <w:rsid w:val="007846AF"/>
    <w:rsid w:val="00784C39"/>
    <w:rsid w:val="007856F5"/>
    <w:rsid w:val="00785A21"/>
    <w:rsid w:val="00785FBD"/>
    <w:rsid w:val="00786515"/>
    <w:rsid w:val="0078660B"/>
    <w:rsid w:val="00786798"/>
    <w:rsid w:val="00786F5E"/>
    <w:rsid w:val="007874B0"/>
    <w:rsid w:val="007876AF"/>
    <w:rsid w:val="00787AC1"/>
    <w:rsid w:val="00787F9E"/>
    <w:rsid w:val="007910A5"/>
    <w:rsid w:val="00791947"/>
    <w:rsid w:val="00791CBB"/>
    <w:rsid w:val="00792046"/>
    <w:rsid w:val="00792302"/>
    <w:rsid w:val="007927D6"/>
    <w:rsid w:val="00792AEC"/>
    <w:rsid w:val="00792B27"/>
    <w:rsid w:val="007933F3"/>
    <w:rsid w:val="0079343F"/>
    <w:rsid w:val="00793CB9"/>
    <w:rsid w:val="00793E86"/>
    <w:rsid w:val="00794031"/>
    <w:rsid w:val="007941C7"/>
    <w:rsid w:val="00794845"/>
    <w:rsid w:val="0079515A"/>
    <w:rsid w:val="007953DE"/>
    <w:rsid w:val="007957A3"/>
    <w:rsid w:val="0079588F"/>
    <w:rsid w:val="00795AD0"/>
    <w:rsid w:val="00795D31"/>
    <w:rsid w:val="00795D85"/>
    <w:rsid w:val="00795DC9"/>
    <w:rsid w:val="00795E13"/>
    <w:rsid w:val="00795EA6"/>
    <w:rsid w:val="007963AE"/>
    <w:rsid w:val="00797013"/>
    <w:rsid w:val="0079718C"/>
    <w:rsid w:val="00797A00"/>
    <w:rsid w:val="00797FB3"/>
    <w:rsid w:val="007A0EAE"/>
    <w:rsid w:val="007A17C0"/>
    <w:rsid w:val="007A1AA8"/>
    <w:rsid w:val="007A25CB"/>
    <w:rsid w:val="007A28EA"/>
    <w:rsid w:val="007A2D0F"/>
    <w:rsid w:val="007A31A4"/>
    <w:rsid w:val="007A3529"/>
    <w:rsid w:val="007A3E11"/>
    <w:rsid w:val="007A3F88"/>
    <w:rsid w:val="007A42C5"/>
    <w:rsid w:val="007A4779"/>
    <w:rsid w:val="007A494C"/>
    <w:rsid w:val="007A5016"/>
    <w:rsid w:val="007A66AA"/>
    <w:rsid w:val="007A6B2B"/>
    <w:rsid w:val="007A6B6C"/>
    <w:rsid w:val="007A7262"/>
    <w:rsid w:val="007A7ACE"/>
    <w:rsid w:val="007A7FA7"/>
    <w:rsid w:val="007B0B46"/>
    <w:rsid w:val="007B0BF1"/>
    <w:rsid w:val="007B14F1"/>
    <w:rsid w:val="007B1F92"/>
    <w:rsid w:val="007B1FAC"/>
    <w:rsid w:val="007B1FAD"/>
    <w:rsid w:val="007B20FF"/>
    <w:rsid w:val="007B2321"/>
    <w:rsid w:val="007B23A4"/>
    <w:rsid w:val="007B2CC5"/>
    <w:rsid w:val="007B2F07"/>
    <w:rsid w:val="007B31BE"/>
    <w:rsid w:val="007B382A"/>
    <w:rsid w:val="007B4066"/>
    <w:rsid w:val="007B4B40"/>
    <w:rsid w:val="007B516F"/>
    <w:rsid w:val="007B5524"/>
    <w:rsid w:val="007B5B51"/>
    <w:rsid w:val="007B5ECE"/>
    <w:rsid w:val="007B62BF"/>
    <w:rsid w:val="007B6ECC"/>
    <w:rsid w:val="007B745D"/>
    <w:rsid w:val="007B7664"/>
    <w:rsid w:val="007B79EF"/>
    <w:rsid w:val="007B7CCC"/>
    <w:rsid w:val="007B7CE2"/>
    <w:rsid w:val="007B7F9C"/>
    <w:rsid w:val="007C00F9"/>
    <w:rsid w:val="007C0AA1"/>
    <w:rsid w:val="007C20C2"/>
    <w:rsid w:val="007C2288"/>
    <w:rsid w:val="007C2432"/>
    <w:rsid w:val="007C2984"/>
    <w:rsid w:val="007C2A61"/>
    <w:rsid w:val="007C371C"/>
    <w:rsid w:val="007C3C43"/>
    <w:rsid w:val="007C3F58"/>
    <w:rsid w:val="007C440F"/>
    <w:rsid w:val="007C4577"/>
    <w:rsid w:val="007C4DE2"/>
    <w:rsid w:val="007C541C"/>
    <w:rsid w:val="007C55E0"/>
    <w:rsid w:val="007C5697"/>
    <w:rsid w:val="007C56F3"/>
    <w:rsid w:val="007C5774"/>
    <w:rsid w:val="007C608B"/>
    <w:rsid w:val="007C6335"/>
    <w:rsid w:val="007C671A"/>
    <w:rsid w:val="007C6D8E"/>
    <w:rsid w:val="007C6E8A"/>
    <w:rsid w:val="007C6F4E"/>
    <w:rsid w:val="007C6F8E"/>
    <w:rsid w:val="007C72CB"/>
    <w:rsid w:val="007C7787"/>
    <w:rsid w:val="007C785C"/>
    <w:rsid w:val="007C79A6"/>
    <w:rsid w:val="007C7F63"/>
    <w:rsid w:val="007C7FF9"/>
    <w:rsid w:val="007D0295"/>
    <w:rsid w:val="007D053C"/>
    <w:rsid w:val="007D0662"/>
    <w:rsid w:val="007D0EBF"/>
    <w:rsid w:val="007D0F0E"/>
    <w:rsid w:val="007D129C"/>
    <w:rsid w:val="007D1728"/>
    <w:rsid w:val="007D228F"/>
    <w:rsid w:val="007D34EB"/>
    <w:rsid w:val="007D380E"/>
    <w:rsid w:val="007D3AC7"/>
    <w:rsid w:val="007D3C05"/>
    <w:rsid w:val="007D4316"/>
    <w:rsid w:val="007D4DF8"/>
    <w:rsid w:val="007D4FF3"/>
    <w:rsid w:val="007D50AD"/>
    <w:rsid w:val="007D5254"/>
    <w:rsid w:val="007D5772"/>
    <w:rsid w:val="007D5823"/>
    <w:rsid w:val="007D6579"/>
    <w:rsid w:val="007D682F"/>
    <w:rsid w:val="007D688E"/>
    <w:rsid w:val="007D6A5B"/>
    <w:rsid w:val="007D6E20"/>
    <w:rsid w:val="007D6ED5"/>
    <w:rsid w:val="007D7557"/>
    <w:rsid w:val="007D77FD"/>
    <w:rsid w:val="007D79ED"/>
    <w:rsid w:val="007E17F4"/>
    <w:rsid w:val="007E1F10"/>
    <w:rsid w:val="007E1FCE"/>
    <w:rsid w:val="007E24C5"/>
    <w:rsid w:val="007E2AFC"/>
    <w:rsid w:val="007E2FDE"/>
    <w:rsid w:val="007E3E65"/>
    <w:rsid w:val="007E3FD4"/>
    <w:rsid w:val="007E46E8"/>
    <w:rsid w:val="007E4A5B"/>
    <w:rsid w:val="007E4B91"/>
    <w:rsid w:val="007E4BDB"/>
    <w:rsid w:val="007E5796"/>
    <w:rsid w:val="007E621F"/>
    <w:rsid w:val="007E6444"/>
    <w:rsid w:val="007E676C"/>
    <w:rsid w:val="007E6FA4"/>
    <w:rsid w:val="007E72C2"/>
    <w:rsid w:val="007E7C24"/>
    <w:rsid w:val="007E7E84"/>
    <w:rsid w:val="007F0004"/>
    <w:rsid w:val="007F091B"/>
    <w:rsid w:val="007F097E"/>
    <w:rsid w:val="007F107C"/>
    <w:rsid w:val="007F275D"/>
    <w:rsid w:val="007F2DFC"/>
    <w:rsid w:val="007F330E"/>
    <w:rsid w:val="007F34D4"/>
    <w:rsid w:val="007F355F"/>
    <w:rsid w:val="007F35EC"/>
    <w:rsid w:val="007F39FD"/>
    <w:rsid w:val="007F40A2"/>
    <w:rsid w:val="007F496A"/>
    <w:rsid w:val="007F5CE9"/>
    <w:rsid w:val="007F5DF9"/>
    <w:rsid w:val="007F5E07"/>
    <w:rsid w:val="007F67E1"/>
    <w:rsid w:val="007F6A45"/>
    <w:rsid w:val="007F6A50"/>
    <w:rsid w:val="007F6F21"/>
    <w:rsid w:val="007F7655"/>
    <w:rsid w:val="007F79F5"/>
    <w:rsid w:val="007F7ED5"/>
    <w:rsid w:val="0080033E"/>
    <w:rsid w:val="0080072A"/>
    <w:rsid w:val="0080094C"/>
    <w:rsid w:val="008009D0"/>
    <w:rsid w:val="00800AA6"/>
    <w:rsid w:val="008012A6"/>
    <w:rsid w:val="00801A88"/>
    <w:rsid w:val="00801ACC"/>
    <w:rsid w:val="00802352"/>
    <w:rsid w:val="008023E1"/>
    <w:rsid w:val="00802513"/>
    <w:rsid w:val="00802806"/>
    <w:rsid w:val="008029E0"/>
    <w:rsid w:val="0080335D"/>
    <w:rsid w:val="0080381C"/>
    <w:rsid w:val="00803883"/>
    <w:rsid w:val="00803C64"/>
    <w:rsid w:val="008044BE"/>
    <w:rsid w:val="008048D4"/>
    <w:rsid w:val="008049CB"/>
    <w:rsid w:val="008049D5"/>
    <w:rsid w:val="00804B01"/>
    <w:rsid w:val="0080507A"/>
    <w:rsid w:val="0080560F"/>
    <w:rsid w:val="00805E7E"/>
    <w:rsid w:val="0080624F"/>
    <w:rsid w:val="0080656B"/>
    <w:rsid w:val="00806805"/>
    <w:rsid w:val="00806953"/>
    <w:rsid w:val="00806B2A"/>
    <w:rsid w:val="00806B77"/>
    <w:rsid w:val="008072AA"/>
    <w:rsid w:val="0080742F"/>
    <w:rsid w:val="0080769F"/>
    <w:rsid w:val="00810012"/>
    <w:rsid w:val="008115A1"/>
    <w:rsid w:val="00811B37"/>
    <w:rsid w:val="00812F3E"/>
    <w:rsid w:val="008137A7"/>
    <w:rsid w:val="0081411A"/>
    <w:rsid w:val="00814305"/>
    <w:rsid w:val="00814D15"/>
    <w:rsid w:val="0081510C"/>
    <w:rsid w:val="008159D3"/>
    <w:rsid w:val="00815F70"/>
    <w:rsid w:val="00815FC8"/>
    <w:rsid w:val="00816013"/>
    <w:rsid w:val="008167E6"/>
    <w:rsid w:val="00816A4E"/>
    <w:rsid w:val="008173A8"/>
    <w:rsid w:val="0081747E"/>
    <w:rsid w:val="0081769E"/>
    <w:rsid w:val="00817816"/>
    <w:rsid w:val="00817A97"/>
    <w:rsid w:val="00817CB6"/>
    <w:rsid w:val="00817FA3"/>
    <w:rsid w:val="00820138"/>
    <w:rsid w:val="008208E5"/>
    <w:rsid w:val="008208F6"/>
    <w:rsid w:val="0082095E"/>
    <w:rsid w:val="008209E6"/>
    <w:rsid w:val="00821402"/>
    <w:rsid w:val="00821BFA"/>
    <w:rsid w:val="00822A24"/>
    <w:rsid w:val="008233CE"/>
    <w:rsid w:val="008235F2"/>
    <w:rsid w:val="00823635"/>
    <w:rsid w:val="008237A2"/>
    <w:rsid w:val="00823B25"/>
    <w:rsid w:val="0082441A"/>
    <w:rsid w:val="00824497"/>
    <w:rsid w:val="00825A65"/>
    <w:rsid w:val="00825CAA"/>
    <w:rsid w:val="0082644D"/>
    <w:rsid w:val="00827148"/>
    <w:rsid w:val="0082728A"/>
    <w:rsid w:val="0082745B"/>
    <w:rsid w:val="00827A5F"/>
    <w:rsid w:val="0083015A"/>
    <w:rsid w:val="00830175"/>
    <w:rsid w:val="00830495"/>
    <w:rsid w:val="00830FAC"/>
    <w:rsid w:val="008314FE"/>
    <w:rsid w:val="00831695"/>
    <w:rsid w:val="0083182C"/>
    <w:rsid w:val="0083201D"/>
    <w:rsid w:val="008320E3"/>
    <w:rsid w:val="00832403"/>
    <w:rsid w:val="00832546"/>
    <w:rsid w:val="0083298F"/>
    <w:rsid w:val="00832CCB"/>
    <w:rsid w:val="00832F24"/>
    <w:rsid w:val="00833083"/>
    <w:rsid w:val="00833CE3"/>
    <w:rsid w:val="00833CFD"/>
    <w:rsid w:val="00833DB2"/>
    <w:rsid w:val="00833E72"/>
    <w:rsid w:val="00836130"/>
    <w:rsid w:val="00836316"/>
    <w:rsid w:val="00836836"/>
    <w:rsid w:val="00836A93"/>
    <w:rsid w:val="00836B30"/>
    <w:rsid w:val="00837442"/>
    <w:rsid w:val="008374EB"/>
    <w:rsid w:val="00837935"/>
    <w:rsid w:val="00837E15"/>
    <w:rsid w:val="008400F6"/>
    <w:rsid w:val="0084181A"/>
    <w:rsid w:val="008419AD"/>
    <w:rsid w:val="0084282C"/>
    <w:rsid w:val="00842FBE"/>
    <w:rsid w:val="00844B7E"/>
    <w:rsid w:val="00845035"/>
    <w:rsid w:val="00845221"/>
    <w:rsid w:val="008455D8"/>
    <w:rsid w:val="0084597C"/>
    <w:rsid w:val="00846102"/>
    <w:rsid w:val="008462BD"/>
    <w:rsid w:val="0084663B"/>
    <w:rsid w:val="00846B66"/>
    <w:rsid w:val="00846C07"/>
    <w:rsid w:val="00846C7F"/>
    <w:rsid w:val="00846CF7"/>
    <w:rsid w:val="008470ED"/>
    <w:rsid w:val="00847D1D"/>
    <w:rsid w:val="008500CB"/>
    <w:rsid w:val="00850155"/>
    <w:rsid w:val="00850AFF"/>
    <w:rsid w:val="008511BE"/>
    <w:rsid w:val="008514CE"/>
    <w:rsid w:val="00851A9A"/>
    <w:rsid w:val="00852604"/>
    <w:rsid w:val="00852DC6"/>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5D0"/>
    <w:rsid w:val="00864FF9"/>
    <w:rsid w:val="0086531C"/>
    <w:rsid w:val="00865653"/>
    <w:rsid w:val="00865735"/>
    <w:rsid w:val="0086595F"/>
    <w:rsid w:val="0086596C"/>
    <w:rsid w:val="00865F1B"/>
    <w:rsid w:val="00865FEB"/>
    <w:rsid w:val="00866A88"/>
    <w:rsid w:val="0086702A"/>
    <w:rsid w:val="008671DF"/>
    <w:rsid w:val="008673E0"/>
    <w:rsid w:val="00867D97"/>
    <w:rsid w:val="008703FE"/>
    <w:rsid w:val="008706EE"/>
    <w:rsid w:val="008707FD"/>
    <w:rsid w:val="008708A7"/>
    <w:rsid w:val="0087099F"/>
    <w:rsid w:val="00871000"/>
    <w:rsid w:val="0087221D"/>
    <w:rsid w:val="00872AD4"/>
    <w:rsid w:val="00872E7E"/>
    <w:rsid w:val="0087389F"/>
    <w:rsid w:val="00874250"/>
    <w:rsid w:val="008742DD"/>
    <w:rsid w:val="0087486B"/>
    <w:rsid w:val="00874966"/>
    <w:rsid w:val="008750C2"/>
    <w:rsid w:val="00875D37"/>
    <w:rsid w:val="00876168"/>
    <w:rsid w:val="00876B2A"/>
    <w:rsid w:val="00877020"/>
    <w:rsid w:val="0087761B"/>
    <w:rsid w:val="00877AF4"/>
    <w:rsid w:val="00877D2D"/>
    <w:rsid w:val="008803AC"/>
    <w:rsid w:val="008816BA"/>
    <w:rsid w:val="00881F89"/>
    <w:rsid w:val="00882301"/>
    <w:rsid w:val="008827C0"/>
    <w:rsid w:val="0088334B"/>
    <w:rsid w:val="00883538"/>
    <w:rsid w:val="00884A55"/>
    <w:rsid w:val="00884BC5"/>
    <w:rsid w:val="00884E7C"/>
    <w:rsid w:val="0088562B"/>
    <w:rsid w:val="008856DB"/>
    <w:rsid w:val="008857EF"/>
    <w:rsid w:val="00885BA3"/>
    <w:rsid w:val="00885D87"/>
    <w:rsid w:val="00885D8F"/>
    <w:rsid w:val="00885FA2"/>
    <w:rsid w:val="008861E0"/>
    <w:rsid w:val="00886762"/>
    <w:rsid w:val="00886CCF"/>
    <w:rsid w:val="00886E72"/>
    <w:rsid w:val="00886F2D"/>
    <w:rsid w:val="0088758A"/>
    <w:rsid w:val="00887D59"/>
    <w:rsid w:val="008906EC"/>
    <w:rsid w:val="0089088B"/>
    <w:rsid w:val="00890CF1"/>
    <w:rsid w:val="00890F9F"/>
    <w:rsid w:val="008910B1"/>
    <w:rsid w:val="0089152D"/>
    <w:rsid w:val="00891896"/>
    <w:rsid w:val="00891E6E"/>
    <w:rsid w:val="00891FBC"/>
    <w:rsid w:val="008922EE"/>
    <w:rsid w:val="00892561"/>
    <w:rsid w:val="00892A88"/>
    <w:rsid w:val="00892C8C"/>
    <w:rsid w:val="008937F2"/>
    <w:rsid w:val="00893F42"/>
    <w:rsid w:val="008941B1"/>
    <w:rsid w:val="008941FD"/>
    <w:rsid w:val="0089472A"/>
    <w:rsid w:val="008947EA"/>
    <w:rsid w:val="0089485F"/>
    <w:rsid w:val="00895C54"/>
    <w:rsid w:val="00895E37"/>
    <w:rsid w:val="0089606C"/>
    <w:rsid w:val="00896323"/>
    <w:rsid w:val="008963EB"/>
    <w:rsid w:val="00896590"/>
    <w:rsid w:val="0089665B"/>
    <w:rsid w:val="008966E0"/>
    <w:rsid w:val="00896B83"/>
    <w:rsid w:val="00896C23"/>
    <w:rsid w:val="008975DD"/>
    <w:rsid w:val="008976DB"/>
    <w:rsid w:val="00897A88"/>
    <w:rsid w:val="00897FEF"/>
    <w:rsid w:val="008A0267"/>
    <w:rsid w:val="008A05F3"/>
    <w:rsid w:val="008A0C86"/>
    <w:rsid w:val="008A125F"/>
    <w:rsid w:val="008A12C9"/>
    <w:rsid w:val="008A209D"/>
    <w:rsid w:val="008A29D2"/>
    <w:rsid w:val="008A33A0"/>
    <w:rsid w:val="008A3C73"/>
    <w:rsid w:val="008A4368"/>
    <w:rsid w:val="008A4668"/>
    <w:rsid w:val="008A560D"/>
    <w:rsid w:val="008A5933"/>
    <w:rsid w:val="008A5BE5"/>
    <w:rsid w:val="008A605E"/>
    <w:rsid w:val="008A6085"/>
    <w:rsid w:val="008A60BE"/>
    <w:rsid w:val="008A6542"/>
    <w:rsid w:val="008A66C1"/>
    <w:rsid w:val="008A7373"/>
    <w:rsid w:val="008A7533"/>
    <w:rsid w:val="008A756A"/>
    <w:rsid w:val="008B07EB"/>
    <w:rsid w:val="008B0EC5"/>
    <w:rsid w:val="008B1176"/>
    <w:rsid w:val="008B12E9"/>
    <w:rsid w:val="008B17C8"/>
    <w:rsid w:val="008B19F5"/>
    <w:rsid w:val="008B2400"/>
    <w:rsid w:val="008B259C"/>
    <w:rsid w:val="008B3317"/>
    <w:rsid w:val="008B3678"/>
    <w:rsid w:val="008B3A3C"/>
    <w:rsid w:val="008B421B"/>
    <w:rsid w:val="008B43F0"/>
    <w:rsid w:val="008B4966"/>
    <w:rsid w:val="008B51D8"/>
    <w:rsid w:val="008B5674"/>
    <w:rsid w:val="008B569C"/>
    <w:rsid w:val="008B5A98"/>
    <w:rsid w:val="008B6568"/>
    <w:rsid w:val="008B6979"/>
    <w:rsid w:val="008B6D1A"/>
    <w:rsid w:val="008B7023"/>
    <w:rsid w:val="008B7117"/>
    <w:rsid w:val="008B713C"/>
    <w:rsid w:val="008B7890"/>
    <w:rsid w:val="008B7C67"/>
    <w:rsid w:val="008C0784"/>
    <w:rsid w:val="008C082A"/>
    <w:rsid w:val="008C0BF8"/>
    <w:rsid w:val="008C0DAE"/>
    <w:rsid w:val="008C0EFB"/>
    <w:rsid w:val="008C1B85"/>
    <w:rsid w:val="008C22D6"/>
    <w:rsid w:val="008C26CE"/>
    <w:rsid w:val="008C2827"/>
    <w:rsid w:val="008C31B1"/>
    <w:rsid w:val="008C37BB"/>
    <w:rsid w:val="008C3AC2"/>
    <w:rsid w:val="008C4035"/>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75B"/>
    <w:rsid w:val="008D2BE3"/>
    <w:rsid w:val="008D2E4D"/>
    <w:rsid w:val="008D3069"/>
    <w:rsid w:val="008D4905"/>
    <w:rsid w:val="008D497C"/>
    <w:rsid w:val="008D555A"/>
    <w:rsid w:val="008D55E6"/>
    <w:rsid w:val="008D5D70"/>
    <w:rsid w:val="008D6298"/>
    <w:rsid w:val="008D66E1"/>
    <w:rsid w:val="008D6DFA"/>
    <w:rsid w:val="008D71A2"/>
    <w:rsid w:val="008D7350"/>
    <w:rsid w:val="008E10AA"/>
    <w:rsid w:val="008E1388"/>
    <w:rsid w:val="008E1704"/>
    <w:rsid w:val="008E1D39"/>
    <w:rsid w:val="008E1DAC"/>
    <w:rsid w:val="008E233E"/>
    <w:rsid w:val="008E233F"/>
    <w:rsid w:val="008E236F"/>
    <w:rsid w:val="008E23BD"/>
    <w:rsid w:val="008E28E3"/>
    <w:rsid w:val="008E3015"/>
    <w:rsid w:val="008E3055"/>
    <w:rsid w:val="008E3210"/>
    <w:rsid w:val="008E392A"/>
    <w:rsid w:val="008E4176"/>
    <w:rsid w:val="008E4419"/>
    <w:rsid w:val="008E4489"/>
    <w:rsid w:val="008E454D"/>
    <w:rsid w:val="008E45B1"/>
    <w:rsid w:val="008E4FE5"/>
    <w:rsid w:val="008E5728"/>
    <w:rsid w:val="008E6291"/>
    <w:rsid w:val="008E75E0"/>
    <w:rsid w:val="008F0664"/>
    <w:rsid w:val="008F07A5"/>
    <w:rsid w:val="008F0C29"/>
    <w:rsid w:val="008F0EC9"/>
    <w:rsid w:val="008F12C2"/>
    <w:rsid w:val="008F14F2"/>
    <w:rsid w:val="008F1870"/>
    <w:rsid w:val="008F2426"/>
    <w:rsid w:val="008F260B"/>
    <w:rsid w:val="008F2754"/>
    <w:rsid w:val="008F2C2C"/>
    <w:rsid w:val="008F30A8"/>
    <w:rsid w:val="008F38BC"/>
    <w:rsid w:val="008F3F8D"/>
    <w:rsid w:val="008F4222"/>
    <w:rsid w:val="008F4406"/>
    <w:rsid w:val="008F4614"/>
    <w:rsid w:val="008F4BC0"/>
    <w:rsid w:val="008F4EB9"/>
    <w:rsid w:val="008F4FEC"/>
    <w:rsid w:val="008F5A86"/>
    <w:rsid w:val="008F5AE2"/>
    <w:rsid w:val="008F6BA0"/>
    <w:rsid w:val="008F6CED"/>
    <w:rsid w:val="008F6EED"/>
    <w:rsid w:val="008F7027"/>
    <w:rsid w:val="008F762E"/>
    <w:rsid w:val="008F770B"/>
    <w:rsid w:val="008F7C1D"/>
    <w:rsid w:val="008F7D48"/>
    <w:rsid w:val="00900514"/>
    <w:rsid w:val="009007F0"/>
    <w:rsid w:val="0090102C"/>
    <w:rsid w:val="009012E5"/>
    <w:rsid w:val="00901433"/>
    <w:rsid w:val="00901CD7"/>
    <w:rsid w:val="0090224A"/>
    <w:rsid w:val="009023F8"/>
    <w:rsid w:val="00902655"/>
    <w:rsid w:val="009030CD"/>
    <w:rsid w:val="00903798"/>
    <w:rsid w:val="009038F0"/>
    <w:rsid w:val="00903A82"/>
    <w:rsid w:val="00903CF7"/>
    <w:rsid w:val="00903DFE"/>
    <w:rsid w:val="009040F1"/>
    <w:rsid w:val="00904C10"/>
    <w:rsid w:val="00904EE1"/>
    <w:rsid w:val="009052E3"/>
    <w:rsid w:val="0090661E"/>
    <w:rsid w:val="009068F7"/>
    <w:rsid w:val="009075C4"/>
    <w:rsid w:val="009079DE"/>
    <w:rsid w:val="00907BA0"/>
    <w:rsid w:val="009104A4"/>
    <w:rsid w:val="00910648"/>
    <w:rsid w:val="00912AC1"/>
    <w:rsid w:val="009130C6"/>
    <w:rsid w:val="0091355F"/>
    <w:rsid w:val="00913766"/>
    <w:rsid w:val="009142DA"/>
    <w:rsid w:val="00914318"/>
    <w:rsid w:val="00914F2B"/>
    <w:rsid w:val="00914F85"/>
    <w:rsid w:val="009150AC"/>
    <w:rsid w:val="009158CE"/>
    <w:rsid w:val="00915B45"/>
    <w:rsid w:val="00916130"/>
    <w:rsid w:val="009170D0"/>
    <w:rsid w:val="009174F5"/>
    <w:rsid w:val="00920D3B"/>
    <w:rsid w:val="00921137"/>
    <w:rsid w:val="0092128E"/>
    <w:rsid w:val="00921696"/>
    <w:rsid w:val="00921A86"/>
    <w:rsid w:val="00921C9F"/>
    <w:rsid w:val="00921DEE"/>
    <w:rsid w:val="00921F51"/>
    <w:rsid w:val="009226B3"/>
    <w:rsid w:val="00923B82"/>
    <w:rsid w:val="00923CFC"/>
    <w:rsid w:val="0092425A"/>
    <w:rsid w:val="009249EA"/>
    <w:rsid w:val="00925711"/>
    <w:rsid w:val="00925918"/>
    <w:rsid w:val="00925C18"/>
    <w:rsid w:val="0092603B"/>
    <w:rsid w:val="009260F8"/>
    <w:rsid w:val="0092712B"/>
    <w:rsid w:val="00927BAC"/>
    <w:rsid w:val="00927D06"/>
    <w:rsid w:val="00930328"/>
    <w:rsid w:val="0093032D"/>
    <w:rsid w:val="00930CB7"/>
    <w:rsid w:val="009312C6"/>
    <w:rsid w:val="009313A1"/>
    <w:rsid w:val="00931CA4"/>
    <w:rsid w:val="00931F56"/>
    <w:rsid w:val="00932649"/>
    <w:rsid w:val="0093285E"/>
    <w:rsid w:val="0093286F"/>
    <w:rsid w:val="0093293F"/>
    <w:rsid w:val="009330F9"/>
    <w:rsid w:val="009336FA"/>
    <w:rsid w:val="00933A6F"/>
    <w:rsid w:val="00933BE3"/>
    <w:rsid w:val="00934419"/>
    <w:rsid w:val="009348D7"/>
    <w:rsid w:val="00935912"/>
    <w:rsid w:val="00935E6D"/>
    <w:rsid w:val="0093660E"/>
    <w:rsid w:val="0093663B"/>
    <w:rsid w:val="009366BF"/>
    <w:rsid w:val="00936838"/>
    <w:rsid w:val="00936A8A"/>
    <w:rsid w:val="00937482"/>
    <w:rsid w:val="009405C8"/>
    <w:rsid w:val="00941115"/>
    <w:rsid w:val="009411B9"/>
    <w:rsid w:val="0094122F"/>
    <w:rsid w:val="0094129C"/>
    <w:rsid w:val="00941B71"/>
    <w:rsid w:val="00941C8B"/>
    <w:rsid w:val="0094264B"/>
    <w:rsid w:val="009427E5"/>
    <w:rsid w:val="00943069"/>
    <w:rsid w:val="009432DD"/>
    <w:rsid w:val="009434F1"/>
    <w:rsid w:val="009439A2"/>
    <w:rsid w:val="009445BB"/>
    <w:rsid w:val="00944E81"/>
    <w:rsid w:val="009456D4"/>
    <w:rsid w:val="009461DC"/>
    <w:rsid w:val="0094686C"/>
    <w:rsid w:val="009473FE"/>
    <w:rsid w:val="00947B90"/>
    <w:rsid w:val="00947EBC"/>
    <w:rsid w:val="00950063"/>
    <w:rsid w:val="00950379"/>
    <w:rsid w:val="00950551"/>
    <w:rsid w:val="00950A77"/>
    <w:rsid w:val="0095185A"/>
    <w:rsid w:val="00951B39"/>
    <w:rsid w:val="0095374C"/>
    <w:rsid w:val="0095387D"/>
    <w:rsid w:val="00953B1D"/>
    <w:rsid w:val="009544BE"/>
    <w:rsid w:val="0095469E"/>
    <w:rsid w:val="009548CA"/>
    <w:rsid w:val="0095515C"/>
    <w:rsid w:val="009551A9"/>
    <w:rsid w:val="00955C70"/>
    <w:rsid w:val="00955D25"/>
    <w:rsid w:val="009566C7"/>
    <w:rsid w:val="009578F0"/>
    <w:rsid w:val="00957999"/>
    <w:rsid w:val="00957AAC"/>
    <w:rsid w:val="00957B36"/>
    <w:rsid w:val="00957E9B"/>
    <w:rsid w:val="00957FF7"/>
    <w:rsid w:val="009602C6"/>
    <w:rsid w:val="009603AE"/>
    <w:rsid w:val="00960711"/>
    <w:rsid w:val="00961876"/>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5DB0"/>
    <w:rsid w:val="00965EC2"/>
    <w:rsid w:val="0096610A"/>
    <w:rsid w:val="0096644E"/>
    <w:rsid w:val="00966645"/>
    <w:rsid w:val="009668EB"/>
    <w:rsid w:val="00966F19"/>
    <w:rsid w:val="0096754D"/>
    <w:rsid w:val="00967F0A"/>
    <w:rsid w:val="00970195"/>
    <w:rsid w:val="009702B3"/>
    <w:rsid w:val="00970372"/>
    <w:rsid w:val="009704BB"/>
    <w:rsid w:val="00970516"/>
    <w:rsid w:val="00970997"/>
    <w:rsid w:val="00970A2A"/>
    <w:rsid w:val="00970ADE"/>
    <w:rsid w:val="00970E76"/>
    <w:rsid w:val="00971B5C"/>
    <w:rsid w:val="00971E4A"/>
    <w:rsid w:val="0097223A"/>
    <w:rsid w:val="0097268F"/>
    <w:rsid w:val="0097287C"/>
    <w:rsid w:val="0097378B"/>
    <w:rsid w:val="00973952"/>
    <w:rsid w:val="00973F34"/>
    <w:rsid w:val="00974309"/>
    <w:rsid w:val="00974324"/>
    <w:rsid w:val="009746ED"/>
    <w:rsid w:val="009748E2"/>
    <w:rsid w:val="00974B1E"/>
    <w:rsid w:val="00975943"/>
    <w:rsid w:val="00976376"/>
    <w:rsid w:val="009764A0"/>
    <w:rsid w:val="0097664A"/>
    <w:rsid w:val="00976669"/>
    <w:rsid w:val="00977579"/>
    <w:rsid w:val="00977875"/>
    <w:rsid w:val="00977C30"/>
    <w:rsid w:val="00977D01"/>
    <w:rsid w:val="00977DEB"/>
    <w:rsid w:val="0098002B"/>
    <w:rsid w:val="00980CC9"/>
    <w:rsid w:val="00980E62"/>
    <w:rsid w:val="009818B5"/>
    <w:rsid w:val="00982A02"/>
    <w:rsid w:val="00982BDE"/>
    <w:rsid w:val="00982EBB"/>
    <w:rsid w:val="00982F44"/>
    <w:rsid w:val="00983903"/>
    <w:rsid w:val="009843C9"/>
    <w:rsid w:val="00984E9E"/>
    <w:rsid w:val="0098505F"/>
    <w:rsid w:val="00985485"/>
    <w:rsid w:val="00985554"/>
    <w:rsid w:val="009857EB"/>
    <w:rsid w:val="00985F9B"/>
    <w:rsid w:val="00986319"/>
    <w:rsid w:val="0098663A"/>
    <w:rsid w:val="00986774"/>
    <w:rsid w:val="009867A3"/>
    <w:rsid w:val="00986AAA"/>
    <w:rsid w:val="0098752F"/>
    <w:rsid w:val="00987933"/>
    <w:rsid w:val="00987987"/>
    <w:rsid w:val="009879D2"/>
    <w:rsid w:val="00987F1A"/>
    <w:rsid w:val="00987FDE"/>
    <w:rsid w:val="00990577"/>
    <w:rsid w:val="00990B19"/>
    <w:rsid w:val="00990B38"/>
    <w:rsid w:val="00990B6B"/>
    <w:rsid w:val="009925C9"/>
    <w:rsid w:val="009928DB"/>
    <w:rsid w:val="00992A29"/>
    <w:rsid w:val="0099375D"/>
    <w:rsid w:val="009941F6"/>
    <w:rsid w:val="009942E0"/>
    <w:rsid w:val="00994698"/>
    <w:rsid w:val="00994832"/>
    <w:rsid w:val="0099496D"/>
    <w:rsid w:val="00994AB3"/>
    <w:rsid w:val="009951FC"/>
    <w:rsid w:val="009958CF"/>
    <w:rsid w:val="009961EC"/>
    <w:rsid w:val="0099625A"/>
    <w:rsid w:val="0099668F"/>
    <w:rsid w:val="00996D1D"/>
    <w:rsid w:val="00996D35"/>
    <w:rsid w:val="00996E07"/>
    <w:rsid w:val="009972B9"/>
    <w:rsid w:val="00997475"/>
    <w:rsid w:val="00997BCF"/>
    <w:rsid w:val="00997F99"/>
    <w:rsid w:val="009A01B9"/>
    <w:rsid w:val="009A0233"/>
    <w:rsid w:val="009A0920"/>
    <w:rsid w:val="009A0BA4"/>
    <w:rsid w:val="009A1054"/>
    <w:rsid w:val="009A17EA"/>
    <w:rsid w:val="009A1821"/>
    <w:rsid w:val="009A2ADB"/>
    <w:rsid w:val="009A3D7C"/>
    <w:rsid w:val="009A3F33"/>
    <w:rsid w:val="009A3FE1"/>
    <w:rsid w:val="009A45D8"/>
    <w:rsid w:val="009A466F"/>
    <w:rsid w:val="009A4923"/>
    <w:rsid w:val="009A4DDF"/>
    <w:rsid w:val="009A4EC6"/>
    <w:rsid w:val="009A54AB"/>
    <w:rsid w:val="009A5917"/>
    <w:rsid w:val="009A60AD"/>
    <w:rsid w:val="009A6396"/>
    <w:rsid w:val="009A6466"/>
    <w:rsid w:val="009A668E"/>
    <w:rsid w:val="009A6837"/>
    <w:rsid w:val="009A6958"/>
    <w:rsid w:val="009A6EDA"/>
    <w:rsid w:val="009A6F73"/>
    <w:rsid w:val="009A72B7"/>
    <w:rsid w:val="009A75DD"/>
    <w:rsid w:val="009A7FA3"/>
    <w:rsid w:val="009B0433"/>
    <w:rsid w:val="009B0665"/>
    <w:rsid w:val="009B0A5A"/>
    <w:rsid w:val="009B115A"/>
    <w:rsid w:val="009B1239"/>
    <w:rsid w:val="009B17E1"/>
    <w:rsid w:val="009B1C44"/>
    <w:rsid w:val="009B1CAB"/>
    <w:rsid w:val="009B1CCC"/>
    <w:rsid w:val="009B286D"/>
    <w:rsid w:val="009B2B93"/>
    <w:rsid w:val="009B2C2A"/>
    <w:rsid w:val="009B352A"/>
    <w:rsid w:val="009B3917"/>
    <w:rsid w:val="009B3A05"/>
    <w:rsid w:val="009B40EE"/>
    <w:rsid w:val="009B46DE"/>
    <w:rsid w:val="009B49A9"/>
    <w:rsid w:val="009B4F9E"/>
    <w:rsid w:val="009B5047"/>
    <w:rsid w:val="009B578F"/>
    <w:rsid w:val="009B5C69"/>
    <w:rsid w:val="009B6287"/>
    <w:rsid w:val="009B6333"/>
    <w:rsid w:val="009B793A"/>
    <w:rsid w:val="009B79F2"/>
    <w:rsid w:val="009B7B18"/>
    <w:rsid w:val="009B7B4E"/>
    <w:rsid w:val="009C1004"/>
    <w:rsid w:val="009C150D"/>
    <w:rsid w:val="009C279E"/>
    <w:rsid w:val="009C3F0D"/>
    <w:rsid w:val="009C4015"/>
    <w:rsid w:val="009C4048"/>
    <w:rsid w:val="009C43FF"/>
    <w:rsid w:val="009C4712"/>
    <w:rsid w:val="009C4AD0"/>
    <w:rsid w:val="009C5017"/>
    <w:rsid w:val="009C51B3"/>
    <w:rsid w:val="009C5C7C"/>
    <w:rsid w:val="009C5E0A"/>
    <w:rsid w:val="009C652D"/>
    <w:rsid w:val="009C67AC"/>
    <w:rsid w:val="009C6C69"/>
    <w:rsid w:val="009C7B74"/>
    <w:rsid w:val="009C7C02"/>
    <w:rsid w:val="009C7DB9"/>
    <w:rsid w:val="009C7E15"/>
    <w:rsid w:val="009D0308"/>
    <w:rsid w:val="009D03C3"/>
    <w:rsid w:val="009D0414"/>
    <w:rsid w:val="009D079B"/>
    <w:rsid w:val="009D0A37"/>
    <w:rsid w:val="009D0C9C"/>
    <w:rsid w:val="009D0D14"/>
    <w:rsid w:val="009D1A63"/>
    <w:rsid w:val="009D2493"/>
    <w:rsid w:val="009D338F"/>
    <w:rsid w:val="009D33E7"/>
    <w:rsid w:val="009D44D1"/>
    <w:rsid w:val="009D4DD5"/>
    <w:rsid w:val="009D506C"/>
    <w:rsid w:val="009D5D62"/>
    <w:rsid w:val="009D636D"/>
    <w:rsid w:val="009D6E21"/>
    <w:rsid w:val="009D6FA9"/>
    <w:rsid w:val="009D7617"/>
    <w:rsid w:val="009D7BA6"/>
    <w:rsid w:val="009E0024"/>
    <w:rsid w:val="009E037D"/>
    <w:rsid w:val="009E0CE1"/>
    <w:rsid w:val="009E14E1"/>
    <w:rsid w:val="009E18FC"/>
    <w:rsid w:val="009E1C60"/>
    <w:rsid w:val="009E1FFD"/>
    <w:rsid w:val="009E2590"/>
    <w:rsid w:val="009E2D94"/>
    <w:rsid w:val="009E31DC"/>
    <w:rsid w:val="009E364A"/>
    <w:rsid w:val="009E3745"/>
    <w:rsid w:val="009E4360"/>
    <w:rsid w:val="009E468D"/>
    <w:rsid w:val="009E493F"/>
    <w:rsid w:val="009E4AE7"/>
    <w:rsid w:val="009E5110"/>
    <w:rsid w:val="009E5184"/>
    <w:rsid w:val="009E547B"/>
    <w:rsid w:val="009E5F69"/>
    <w:rsid w:val="009E6070"/>
    <w:rsid w:val="009E6A4B"/>
    <w:rsid w:val="009E6D16"/>
    <w:rsid w:val="009E71E1"/>
    <w:rsid w:val="009F02B3"/>
    <w:rsid w:val="009F0967"/>
    <w:rsid w:val="009F0A2E"/>
    <w:rsid w:val="009F0BD2"/>
    <w:rsid w:val="009F1176"/>
    <w:rsid w:val="009F1EC8"/>
    <w:rsid w:val="009F2EB3"/>
    <w:rsid w:val="009F2FDF"/>
    <w:rsid w:val="009F3440"/>
    <w:rsid w:val="009F3474"/>
    <w:rsid w:val="009F463E"/>
    <w:rsid w:val="009F4BBA"/>
    <w:rsid w:val="009F4D49"/>
    <w:rsid w:val="009F4D6C"/>
    <w:rsid w:val="009F4D71"/>
    <w:rsid w:val="009F5935"/>
    <w:rsid w:val="009F5D43"/>
    <w:rsid w:val="009F6027"/>
    <w:rsid w:val="009F60CD"/>
    <w:rsid w:val="009F6B6B"/>
    <w:rsid w:val="009F6EBE"/>
    <w:rsid w:val="00A0011C"/>
    <w:rsid w:val="00A00259"/>
    <w:rsid w:val="00A00395"/>
    <w:rsid w:val="00A006C4"/>
    <w:rsid w:val="00A00988"/>
    <w:rsid w:val="00A00E35"/>
    <w:rsid w:val="00A01528"/>
    <w:rsid w:val="00A01BBC"/>
    <w:rsid w:val="00A01F61"/>
    <w:rsid w:val="00A021F7"/>
    <w:rsid w:val="00A0243C"/>
    <w:rsid w:val="00A0248E"/>
    <w:rsid w:val="00A02837"/>
    <w:rsid w:val="00A048E2"/>
    <w:rsid w:val="00A04B65"/>
    <w:rsid w:val="00A04FAB"/>
    <w:rsid w:val="00A0503F"/>
    <w:rsid w:val="00A05089"/>
    <w:rsid w:val="00A05141"/>
    <w:rsid w:val="00A0542F"/>
    <w:rsid w:val="00A055B2"/>
    <w:rsid w:val="00A05639"/>
    <w:rsid w:val="00A05E90"/>
    <w:rsid w:val="00A0631C"/>
    <w:rsid w:val="00A0635C"/>
    <w:rsid w:val="00A0637F"/>
    <w:rsid w:val="00A06509"/>
    <w:rsid w:val="00A06848"/>
    <w:rsid w:val="00A069B4"/>
    <w:rsid w:val="00A07A4E"/>
    <w:rsid w:val="00A07D41"/>
    <w:rsid w:val="00A07FBD"/>
    <w:rsid w:val="00A1040F"/>
    <w:rsid w:val="00A114E3"/>
    <w:rsid w:val="00A114F1"/>
    <w:rsid w:val="00A11B60"/>
    <w:rsid w:val="00A11D0D"/>
    <w:rsid w:val="00A124EC"/>
    <w:rsid w:val="00A12694"/>
    <w:rsid w:val="00A128B0"/>
    <w:rsid w:val="00A12ED5"/>
    <w:rsid w:val="00A13083"/>
    <w:rsid w:val="00A13136"/>
    <w:rsid w:val="00A1347F"/>
    <w:rsid w:val="00A136F6"/>
    <w:rsid w:val="00A13A77"/>
    <w:rsid w:val="00A13F04"/>
    <w:rsid w:val="00A14E6F"/>
    <w:rsid w:val="00A14F11"/>
    <w:rsid w:val="00A153FB"/>
    <w:rsid w:val="00A15543"/>
    <w:rsid w:val="00A157F2"/>
    <w:rsid w:val="00A15B04"/>
    <w:rsid w:val="00A16C3E"/>
    <w:rsid w:val="00A17558"/>
    <w:rsid w:val="00A2000D"/>
    <w:rsid w:val="00A20926"/>
    <w:rsid w:val="00A21386"/>
    <w:rsid w:val="00A21C0B"/>
    <w:rsid w:val="00A21CDB"/>
    <w:rsid w:val="00A21D9F"/>
    <w:rsid w:val="00A223A5"/>
    <w:rsid w:val="00A230C4"/>
    <w:rsid w:val="00A231CC"/>
    <w:rsid w:val="00A23698"/>
    <w:rsid w:val="00A244EE"/>
    <w:rsid w:val="00A24799"/>
    <w:rsid w:val="00A24CE3"/>
    <w:rsid w:val="00A250C5"/>
    <w:rsid w:val="00A252B8"/>
    <w:rsid w:val="00A25C70"/>
    <w:rsid w:val="00A26556"/>
    <w:rsid w:val="00A275FA"/>
    <w:rsid w:val="00A27C38"/>
    <w:rsid w:val="00A30415"/>
    <w:rsid w:val="00A30FAE"/>
    <w:rsid w:val="00A311F3"/>
    <w:rsid w:val="00A314B7"/>
    <w:rsid w:val="00A31748"/>
    <w:rsid w:val="00A31F64"/>
    <w:rsid w:val="00A3257A"/>
    <w:rsid w:val="00A328B9"/>
    <w:rsid w:val="00A328CA"/>
    <w:rsid w:val="00A32C54"/>
    <w:rsid w:val="00A32D66"/>
    <w:rsid w:val="00A32F32"/>
    <w:rsid w:val="00A33787"/>
    <w:rsid w:val="00A338D5"/>
    <w:rsid w:val="00A33D95"/>
    <w:rsid w:val="00A340AF"/>
    <w:rsid w:val="00A34B8F"/>
    <w:rsid w:val="00A35133"/>
    <w:rsid w:val="00A353B0"/>
    <w:rsid w:val="00A354DA"/>
    <w:rsid w:val="00A35738"/>
    <w:rsid w:val="00A35817"/>
    <w:rsid w:val="00A35824"/>
    <w:rsid w:val="00A35A85"/>
    <w:rsid w:val="00A366AA"/>
    <w:rsid w:val="00A37078"/>
    <w:rsid w:val="00A37375"/>
    <w:rsid w:val="00A37B2B"/>
    <w:rsid w:val="00A40098"/>
    <w:rsid w:val="00A42227"/>
    <w:rsid w:val="00A42716"/>
    <w:rsid w:val="00A42A30"/>
    <w:rsid w:val="00A42CEC"/>
    <w:rsid w:val="00A42E1E"/>
    <w:rsid w:val="00A4416D"/>
    <w:rsid w:val="00A4448F"/>
    <w:rsid w:val="00A4455F"/>
    <w:rsid w:val="00A44841"/>
    <w:rsid w:val="00A44F21"/>
    <w:rsid w:val="00A45117"/>
    <w:rsid w:val="00A45399"/>
    <w:rsid w:val="00A45C55"/>
    <w:rsid w:val="00A45DA1"/>
    <w:rsid w:val="00A45FB0"/>
    <w:rsid w:val="00A4632A"/>
    <w:rsid w:val="00A46611"/>
    <w:rsid w:val="00A46810"/>
    <w:rsid w:val="00A46E8F"/>
    <w:rsid w:val="00A4714A"/>
    <w:rsid w:val="00A474A1"/>
    <w:rsid w:val="00A50081"/>
    <w:rsid w:val="00A503A0"/>
    <w:rsid w:val="00A50CD3"/>
    <w:rsid w:val="00A5201D"/>
    <w:rsid w:val="00A52525"/>
    <w:rsid w:val="00A525B8"/>
    <w:rsid w:val="00A5293B"/>
    <w:rsid w:val="00A52C3C"/>
    <w:rsid w:val="00A5391C"/>
    <w:rsid w:val="00A54237"/>
    <w:rsid w:val="00A542AB"/>
    <w:rsid w:val="00A543B5"/>
    <w:rsid w:val="00A543D9"/>
    <w:rsid w:val="00A54426"/>
    <w:rsid w:val="00A54912"/>
    <w:rsid w:val="00A55109"/>
    <w:rsid w:val="00A55A71"/>
    <w:rsid w:val="00A55BE8"/>
    <w:rsid w:val="00A560AF"/>
    <w:rsid w:val="00A5661C"/>
    <w:rsid w:val="00A5696A"/>
    <w:rsid w:val="00A56C25"/>
    <w:rsid w:val="00A57003"/>
    <w:rsid w:val="00A57157"/>
    <w:rsid w:val="00A57559"/>
    <w:rsid w:val="00A57B80"/>
    <w:rsid w:val="00A60326"/>
    <w:rsid w:val="00A60CAE"/>
    <w:rsid w:val="00A60CD0"/>
    <w:rsid w:val="00A60EAC"/>
    <w:rsid w:val="00A60EED"/>
    <w:rsid w:val="00A610C5"/>
    <w:rsid w:val="00A61885"/>
    <w:rsid w:val="00A61BC0"/>
    <w:rsid w:val="00A62724"/>
    <w:rsid w:val="00A62BA8"/>
    <w:rsid w:val="00A62CEB"/>
    <w:rsid w:val="00A63B25"/>
    <w:rsid w:val="00A63CDA"/>
    <w:rsid w:val="00A63EB2"/>
    <w:rsid w:val="00A641E3"/>
    <w:rsid w:val="00A64E3A"/>
    <w:rsid w:val="00A652E5"/>
    <w:rsid w:val="00A658AD"/>
    <w:rsid w:val="00A659EF"/>
    <w:rsid w:val="00A65DB0"/>
    <w:rsid w:val="00A66483"/>
    <w:rsid w:val="00A66721"/>
    <w:rsid w:val="00A6781F"/>
    <w:rsid w:val="00A707FE"/>
    <w:rsid w:val="00A70CAB"/>
    <w:rsid w:val="00A710F5"/>
    <w:rsid w:val="00A71199"/>
    <w:rsid w:val="00A71C01"/>
    <w:rsid w:val="00A72324"/>
    <w:rsid w:val="00A7254A"/>
    <w:rsid w:val="00A726ED"/>
    <w:rsid w:val="00A738B1"/>
    <w:rsid w:val="00A7435B"/>
    <w:rsid w:val="00A746DC"/>
    <w:rsid w:val="00A749FD"/>
    <w:rsid w:val="00A74B13"/>
    <w:rsid w:val="00A74B5C"/>
    <w:rsid w:val="00A752A8"/>
    <w:rsid w:val="00A755AD"/>
    <w:rsid w:val="00A7666B"/>
    <w:rsid w:val="00A766F2"/>
    <w:rsid w:val="00A7672E"/>
    <w:rsid w:val="00A770BB"/>
    <w:rsid w:val="00A778D7"/>
    <w:rsid w:val="00A779DB"/>
    <w:rsid w:val="00A801C4"/>
    <w:rsid w:val="00A80710"/>
    <w:rsid w:val="00A809C0"/>
    <w:rsid w:val="00A80A9A"/>
    <w:rsid w:val="00A80F86"/>
    <w:rsid w:val="00A812E7"/>
    <w:rsid w:val="00A8210B"/>
    <w:rsid w:val="00A82378"/>
    <w:rsid w:val="00A826BA"/>
    <w:rsid w:val="00A82982"/>
    <w:rsid w:val="00A829FF"/>
    <w:rsid w:val="00A8316A"/>
    <w:rsid w:val="00A83C4D"/>
    <w:rsid w:val="00A83F31"/>
    <w:rsid w:val="00A8422D"/>
    <w:rsid w:val="00A84644"/>
    <w:rsid w:val="00A846BB"/>
    <w:rsid w:val="00A84B77"/>
    <w:rsid w:val="00A84E05"/>
    <w:rsid w:val="00A854BF"/>
    <w:rsid w:val="00A859CD"/>
    <w:rsid w:val="00A85FFB"/>
    <w:rsid w:val="00A864FD"/>
    <w:rsid w:val="00A866BC"/>
    <w:rsid w:val="00A8739B"/>
    <w:rsid w:val="00A87B27"/>
    <w:rsid w:val="00A87FFA"/>
    <w:rsid w:val="00A90409"/>
    <w:rsid w:val="00A9045D"/>
    <w:rsid w:val="00A904AD"/>
    <w:rsid w:val="00A906C8"/>
    <w:rsid w:val="00A90972"/>
    <w:rsid w:val="00A90F1E"/>
    <w:rsid w:val="00A90FE2"/>
    <w:rsid w:val="00A91038"/>
    <w:rsid w:val="00A91824"/>
    <w:rsid w:val="00A91BAD"/>
    <w:rsid w:val="00A91D2D"/>
    <w:rsid w:val="00A92254"/>
    <w:rsid w:val="00A926B1"/>
    <w:rsid w:val="00A9290F"/>
    <w:rsid w:val="00A9310F"/>
    <w:rsid w:val="00A93B61"/>
    <w:rsid w:val="00A93F15"/>
    <w:rsid w:val="00A94327"/>
    <w:rsid w:val="00A94905"/>
    <w:rsid w:val="00A949B0"/>
    <w:rsid w:val="00A94E7A"/>
    <w:rsid w:val="00A94EBE"/>
    <w:rsid w:val="00A95A66"/>
    <w:rsid w:val="00A95BA1"/>
    <w:rsid w:val="00A95E4B"/>
    <w:rsid w:val="00A9616C"/>
    <w:rsid w:val="00A96508"/>
    <w:rsid w:val="00A96DF1"/>
    <w:rsid w:val="00A9748A"/>
    <w:rsid w:val="00A977AC"/>
    <w:rsid w:val="00AA0B3A"/>
    <w:rsid w:val="00AA0FBC"/>
    <w:rsid w:val="00AA1174"/>
    <w:rsid w:val="00AA17F8"/>
    <w:rsid w:val="00AA1D3E"/>
    <w:rsid w:val="00AA1D4A"/>
    <w:rsid w:val="00AA1F6B"/>
    <w:rsid w:val="00AA262C"/>
    <w:rsid w:val="00AA2D5A"/>
    <w:rsid w:val="00AA2E88"/>
    <w:rsid w:val="00AA397B"/>
    <w:rsid w:val="00AA39C8"/>
    <w:rsid w:val="00AA3C1D"/>
    <w:rsid w:val="00AA53A7"/>
    <w:rsid w:val="00AA5D08"/>
    <w:rsid w:val="00AA6307"/>
    <w:rsid w:val="00AA6902"/>
    <w:rsid w:val="00AA6922"/>
    <w:rsid w:val="00AA6E18"/>
    <w:rsid w:val="00AA78B5"/>
    <w:rsid w:val="00AB053C"/>
    <w:rsid w:val="00AB05BD"/>
    <w:rsid w:val="00AB0724"/>
    <w:rsid w:val="00AB19C5"/>
    <w:rsid w:val="00AB19C8"/>
    <w:rsid w:val="00AB1B6F"/>
    <w:rsid w:val="00AB22E6"/>
    <w:rsid w:val="00AB23D7"/>
    <w:rsid w:val="00AB2843"/>
    <w:rsid w:val="00AB351B"/>
    <w:rsid w:val="00AB39DA"/>
    <w:rsid w:val="00AB3AF5"/>
    <w:rsid w:val="00AB3C29"/>
    <w:rsid w:val="00AB41D3"/>
    <w:rsid w:val="00AB4B6C"/>
    <w:rsid w:val="00AB506A"/>
    <w:rsid w:val="00AB50D0"/>
    <w:rsid w:val="00AB536C"/>
    <w:rsid w:val="00AB5D62"/>
    <w:rsid w:val="00AB6A3B"/>
    <w:rsid w:val="00AB7587"/>
    <w:rsid w:val="00AC0BF5"/>
    <w:rsid w:val="00AC1495"/>
    <w:rsid w:val="00AC14A0"/>
    <w:rsid w:val="00AC1508"/>
    <w:rsid w:val="00AC154C"/>
    <w:rsid w:val="00AC165D"/>
    <w:rsid w:val="00AC23A8"/>
    <w:rsid w:val="00AC2440"/>
    <w:rsid w:val="00AC25F2"/>
    <w:rsid w:val="00AC2DFC"/>
    <w:rsid w:val="00AC3009"/>
    <w:rsid w:val="00AC3035"/>
    <w:rsid w:val="00AC3401"/>
    <w:rsid w:val="00AC36A0"/>
    <w:rsid w:val="00AC3DE3"/>
    <w:rsid w:val="00AC3E40"/>
    <w:rsid w:val="00AC45DA"/>
    <w:rsid w:val="00AC53B7"/>
    <w:rsid w:val="00AC5CE9"/>
    <w:rsid w:val="00AC5D93"/>
    <w:rsid w:val="00AC5FCB"/>
    <w:rsid w:val="00AC60AA"/>
    <w:rsid w:val="00AC60DE"/>
    <w:rsid w:val="00AC6326"/>
    <w:rsid w:val="00AC6554"/>
    <w:rsid w:val="00AC65C3"/>
    <w:rsid w:val="00AC6A38"/>
    <w:rsid w:val="00AC6BAB"/>
    <w:rsid w:val="00AC7190"/>
    <w:rsid w:val="00AC76A0"/>
    <w:rsid w:val="00AC784C"/>
    <w:rsid w:val="00AC7BB3"/>
    <w:rsid w:val="00AC7D5B"/>
    <w:rsid w:val="00AD0800"/>
    <w:rsid w:val="00AD0989"/>
    <w:rsid w:val="00AD0D23"/>
    <w:rsid w:val="00AD12F8"/>
    <w:rsid w:val="00AD1BF6"/>
    <w:rsid w:val="00AD235D"/>
    <w:rsid w:val="00AD269E"/>
    <w:rsid w:val="00AD2755"/>
    <w:rsid w:val="00AD2A79"/>
    <w:rsid w:val="00AD2DB6"/>
    <w:rsid w:val="00AD5329"/>
    <w:rsid w:val="00AD5384"/>
    <w:rsid w:val="00AD5FB6"/>
    <w:rsid w:val="00AD6187"/>
    <w:rsid w:val="00AD632C"/>
    <w:rsid w:val="00AD632F"/>
    <w:rsid w:val="00AD6477"/>
    <w:rsid w:val="00AD6B94"/>
    <w:rsid w:val="00AD6D99"/>
    <w:rsid w:val="00AD6F66"/>
    <w:rsid w:val="00AE004A"/>
    <w:rsid w:val="00AE086E"/>
    <w:rsid w:val="00AE112B"/>
    <w:rsid w:val="00AE1F65"/>
    <w:rsid w:val="00AE2812"/>
    <w:rsid w:val="00AE2DE0"/>
    <w:rsid w:val="00AE3058"/>
    <w:rsid w:val="00AE329C"/>
    <w:rsid w:val="00AE35B3"/>
    <w:rsid w:val="00AE38B2"/>
    <w:rsid w:val="00AE3A36"/>
    <w:rsid w:val="00AE3E59"/>
    <w:rsid w:val="00AE3EF7"/>
    <w:rsid w:val="00AE3F8C"/>
    <w:rsid w:val="00AE46BC"/>
    <w:rsid w:val="00AE4838"/>
    <w:rsid w:val="00AE4AE8"/>
    <w:rsid w:val="00AE5179"/>
    <w:rsid w:val="00AE54AC"/>
    <w:rsid w:val="00AE5CD8"/>
    <w:rsid w:val="00AE6686"/>
    <w:rsid w:val="00AE67CD"/>
    <w:rsid w:val="00AE6F6A"/>
    <w:rsid w:val="00AE73B8"/>
    <w:rsid w:val="00AE7455"/>
    <w:rsid w:val="00AE7CA1"/>
    <w:rsid w:val="00AF0DF1"/>
    <w:rsid w:val="00AF1303"/>
    <w:rsid w:val="00AF190F"/>
    <w:rsid w:val="00AF2927"/>
    <w:rsid w:val="00AF2C5B"/>
    <w:rsid w:val="00AF316C"/>
    <w:rsid w:val="00AF3BE2"/>
    <w:rsid w:val="00AF41DA"/>
    <w:rsid w:val="00AF47BC"/>
    <w:rsid w:val="00AF48E2"/>
    <w:rsid w:val="00AF4D8D"/>
    <w:rsid w:val="00AF4F6C"/>
    <w:rsid w:val="00AF4FAC"/>
    <w:rsid w:val="00AF52A9"/>
    <w:rsid w:val="00AF5599"/>
    <w:rsid w:val="00AF59AE"/>
    <w:rsid w:val="00AF5C3B"/>
    <w:rsid w:val="00AF625A"/>
    <w:rsid w:val="00AF6C05"/>
    <w:rsid w:val="00AF763E"/>
    <w:rsid w:val="00B00A96"/>
    <w:rsid w:val="00B00AD6"/>
    <w:rsid w:val="00B0109E"/>
    <w:rsid w:val="00B01839"/>
    <w:rsid w:val="00B019F6"/>
    <w:rsid w:val="00B01C4B"/>
    <w:rsid w:val="00B020A8"/>
    <w:rsid w:val="00B02525"/>
    <w:rsid w:val="00B02BA1"/>
    <w:rsid w:val="00B02FD2"/>
    <w:rsid w:val="00B030E2"/>
    <w:rsid w:val="00B032A5"/>
    <w:rsid w:val="00B03341"/>
    <w:rsid w:val="00B03571"/>
    <w:rsid w:val="00B03C17"/>
    <w:rsid w:val="00B03F8F"/>
    <w:rsid w:val="00B03FAC"/>
    <w:rsid w:val="00B046D0"/>
    <w:rsid w:val="00B04B6B"/>
    <w:rsid w:val="00B04BAF"/>
    <w:rsid w:val="00B04F1E"/>
    <w:rsid w:val="00B0506C"/>
    <w:rsid w:val="00B05994"/>
    <w:rsid w:val="00B062F6"/>
    <w:rsid w:val="00B0652F"/>
    <w:rsid w:val="00B067A3"/>
    <w:rsid w:val="00B067F5"/>
    <w:rsid w:val="00B06A53"/>
    <w:rsid w:val="00B07556"/>
    <w:rsid w:val="00B076BD"/>
    <w:rsid w:val="00B104B0"/>
    <w:rsid w:val="00B106EB"/>
    <w:rsid w:val="00B10711"/>
    <w:rsid w:val="00B10B2B"/>
    <w:rsid w:val="00B10D42"/>
    <w:rsid w:val="00B113BE"/>
    <w:rsid w:val="00B114C5"/>
    <w:rsid w:val="00B12688"/>
    <w:rsid w:val="00B1277A"/>
    <w:rsid w:val="00B12B7F"/>
    <w:rsid w:val="00B12BAF"/>
    <w:rsid w:val="00B12C4F"/>
    <w:rsid w:val="00B12FA7"/>
    <w:rsid w:val="00B134DB"/>
    <w:rsid w:val="00B1399D"/>
    <w:rsid w:val="00B13CA3"/>
    <w:rsid w:val="00B14402"/>
    <w:rsid w:val="00B15879"/>
    <w:rsid w:val="00B15C30"/>
    <w:rsid w:val="00B16655"/>
    <w:rsid w:val="00B16703"/>
    <w:rsid w:val="00B16A34"/>
    <w:rsid w:val="00B16AAD"/>
    <w:rsid w:val="00B1736C"/>
    <w:rsid w:val="00B1778B"/>
    <w:rsid w:val="00B178F1"/>
    <w:rsid w:val="00B17BD2"/>
    <w:rsid w:val="00B17CEF"/>
    <w:rsid w:val="00B20536"/>
    <w:rsid w:val="00B20A46"/>
    <w:rsid w:val="00B20AC8"/>
    <w:rsid w:val="00B2106F"/>
    <w:rsid w:val="00B218FC"/>
    <w:rsid w:val="00B22473"/>
    <w:rsid w:val="00B226D3"/>
    <w:rsid w:val="00B22E6A"/>
    <w:rsid w:val="00B22EBE"/>
    <w:rsid w:val="00B23062"/>
    <w:rsid w:val="00B231E5"/>
    <w:rsid w:val="00B238F8"/>
    <w:rsid w:val="00B23EB4"/>
    <w:rsid w:val="00B241D3"/>
    <w:rsid w:val="00B24F1D"/>
    <w:rsid w:val="00B254DE"/>
    <w:rsid w:val="00B2578A"/>
    <w:rsid w:val="00B25813"/>
    <w:rsid w:val="00B265CF"/>
    <w:rsid w:val="00B272C7"/>
    <w:rsid w:val="00B27711"/>
    <w:rsid w:val="00B30327"/>
    <w:rsid w:val="00B304BA"/>
    <w:rsid w:val="00B305FE"/>
    <w:rsid w:val="00B309FA"/>
    <w:rsid w:val="00B30ED1"/>
    <w:rsid w:val="00B31932"/>
    <w:rsid w:val="00B31DAC"/>
    <w:rsid w:val="00B325BE"/>
    <w:rsid w:val="00B33018"/>
    <w:rsid w:val="00B333AC"/>
    <w:rsid w:val="00B34257"/>
    <w:rsid w:val="00B34925"/>
    <w:rsid w:val="00B34A76"/>
    <w:rsid w:val="00B34ADB"/>
    <w:rsid w:val="00B34B9B"/>
    <w:rsid w:val="00B34BA7"/>
    <w:rsid w:val="00B3544D"/>
    <w:rsid w:val="00B35A03"/>
    <w:rsid w:val="00B360F8"/>
    <w:rsid w:val="00B3683C"/>
    <w:rsid w:val="00B36BB8"/>
    <w:rsid w:val="00B371B9"/>
    <w:rsid w:val="00B37CB9"/>
    <w:rsid w:val="00B4024C"/>
    <w:rsid w:val="00B40E65"/>
    <w:rsid w:val="00B414A9"/>
    <w:rsid w:val="00B41D60"/>
    <w:rsid w:val="00B41FB1"/>
    <w:rsid w:val="00B4343C"/>
    <w:rsid w:val="00B434AD"/>
    <w:rsid w:val="00B439F5"/>
    <w:rsid w:val="00B44181"/>
    <w:rsid w:val="00B44DF0"/>
    <w:rsid w:val="00B46114"/>
    <w:rsid w:val="00B461F3"/>
    <w:rsid w:val="00B46298"/>
    <w:rsid w:val="00B46331"/>
    <w:rsid w:val="00B47005"/>
    <w:rsid w:val="00B470CD"/>
    <w:rsid w:val="00B4714D"/>
    <w:rsid w:val="00B47A93"/>
    <w:rsid w:val="00B47D65"/>
    <w:rsid w:val="00B5024A"/>
    <w:rsid w:val="00B50336"/>
    <w:rsid w:val="00B50397"/>
    <w:rsid w:val="00B50762"/>
    <w:rsid w:val="00B510B0"/>
    <w:rsid w:val="00B517CC"/>
    <w:rsid w:val="00B51DAE"/>
    <w:rsid w:val="00B52177"/>
    <w:rsid w:val="00B52252"/>
    <w:rsid w:val="00B52561"/>
    <w:rsid w:val="00B5290D"/>
    <w:rsid w:val="00B52931"/>
    <w:rsid w:val="00B52A1B"/>
    <w:rsid w:val="00B52BC5"/>
    <w:rsid w:val="00B530FD"/>
    <w:rsid w:val="00B5330C"/>
    <w:rsid w:val="00B53423"/>
    <w:rsid w:val="00B53927"/>
    <w:rsid w:val="00B539C5"/>
    <w:rsid w:val="00B54370"/>
    <w:rsid w:val="00B547EC"/>
    <w:rsid w:val="00B54D0B"/>
    <w:rsid w:val="00B55108"/>
    <w:rsid w:val="00B560A8"/>
    <w:rsid w:val="00B5643A"/>
    <w:rsid w:val="00B56515"/>
    <w:rsid w:val="00B57307"/>
    <w:rsid w:val="00B5759C"/>
    <w:rsid w:val="00B60309"/>
    <w:rsid w:val="00B606AA"/>
    <w:rsid w:val="00B616B9"/>
    <w:rsid w:val="00B618F6"/>
    <w:rsid w:val="00B61DC7"/>
    <w:rsid w:val="00B62087"/>
    <w:rsid w:val="00B62106"/>
    <w:rsid w:val="00B62177"/>
    <w:rsid w:val="00B6323C"/>
    <w:rsid w:val="00B639DE"/>
    <w:rsid w:val="00B63BB0"/>
    <w:rsid w:val="00B6497C"/>
    <w:rsid w:val="00B64BD1"/>
    <w:rsid w:val="00B65517"/>
    <w:rsid w:val="00B65D15"/>
    <w:rsid w:val="00B65E18"/>
    <w:rsid w:val="00B6641D"/>
    <w:rsid w:val="00B6685A"/>
    <w:rsid w:val="00B66B54"/>
    <w:rsid w:val="00B66F0C"/>
    <w:rsid w:val="00B672B1"/>
    <w:rsid w:val="00B678B1"/>
    <w:rsid w:val="00B7040C"/>
    <w:rsid w:val="00B71039"/>
    <w:rsid w:val="00B71860"/>
    <w:rsid w:val="00B71892"/>
    <w:rsid w:val="00B71936"/>
    <w:rsid w:val="00B71B2B"/>
    <w:rsid w:val="00B7270E"/>
    <w:rsid w:val="00B73933"/>
    <w:rsid w:val="00B73C86"/>
    <w:rsid w:val="00B73EB7"/>
    <w:rsid w:val="00B75B5D"/>
    <w:rsid w:val="00B75C1C"/>
    <w:rsid w:val="00B75FBB"/>
    <w:rsid w:val="00B761B3"/>
    <w:rsid w:val="00B76306"/>
    <w:rsid w:val="00B763D7"/>
    <w:rsid w:val="00B76CFD"/>
    <w:rsid w:val="00B7753A"/>
    <w:rsid w:val="00B778AF"/>
    <w:rsid w:val="00B77904"/>
    <w:rsid w:val="00B77F88"/>
    <w:rsid w:val="00B80144"/>
    <w:rsid w:val="00B805DF"/>
    <w:rsid w:val="00B80705"/>
    <w:rsid w:val="00B80803"/>
    <w:rsid w:val="00B80B25"/>
    <w:rsid w:val="00B80C18"/>
    <w:rsid w:val="00B80C80"/>
    <w:rsid w:val="00B80E32"/>
    <w:rsid w:val="00B80F19"/>
    <w:rsid w:val="00B81004"/>
    <w:rsid w:val="00B815F5"/>
    <w:rsid w:val="00B81D66"/>
    <w:rsid w:val="00B825FC"/>
    <w:rsid w:val="00B83011"/>
    <w:rsid w:val="00B8301C"/>
    <w:rsid w:val="00B839FA"/>
    <w:rsid w:val="00B840DC"/>
    <w:rsid w:val="00B8421E"/>
    <w:rsid w:val="00B84667"/>
    <w:rsid w:val="00B84980"/>
    <w:rsid w:val="00B8533F"/>
    <w:rsid w:val="00B853B4"/>
    <w:rsid w:val="00B85B5F"/>
    <w:rsid w:val="00B871BE"/>
    <w:rsid w:val="00B877B3"/>
    <w:rsid w:val="00B878EA"/>
    <w:rsid w:val="00B900BD"/>
    <w:rsid w:val="00B90146"/>
    <w:rsid w:val="00B901F8"/>
    <w:rsid w:val="00B90998"/>
    <w:rsid w:val="00B911D4"/>
    <w:rsid w:val="00B9172E"/>
    <w:rsid w:val="00B91E87"/>
    <w:rsid w:val="00B920BE"/>
    <w:rsid w:val="00B92F3E"/>
    <w:rsid w:val="00B9313A"/>
    <w:rsid w:val="00B93F9A"/>
    <w:rsid w:val="00B95131"/>
    <w:rsid w:val="00B95175"/>
    <w:rsid w:val="00B957D6"/>
    <w:rsid w:val="00B95BA7"/>
    <w:rsid w:val="00B95E3A"/>
    <w:rsid w:val="00B960DB"/>
    <w:rsid w:val="00B96381"/>
    <w:rsid w:val="00B96586"/>
    <w:rsid w:val="00B96744"/>
    <w:rsid w:val="00B97016"/>
    <w:rsid w:val="00B97492"/>
    <w:rsid w:val="00B97864"/>
    <w:rsid w:val="00B9786A"/>
    <w:rsid w:val="00B9790D"/>
    <w:rsid w:val="00B97B23"/>
    <w:rsid w:val="00BA01F5"/>
    <w:rsid w:val="00BA0C41"/>
    <w:rsid w:val="00BA0FA6"/>
    <w:rsid w:val="00BA10B1"/>
    <w:rsid w:val="00BA13CD"/>
    <w:rsid w:val="00BA1440"/>
    <w:rsid w:val="00BA1597"/>
    <w:rsid w:val="00BA19AD"/>
    <w:rsid w:val="00BA1BCB"/>
    <w:rsid w:val="00BA2828"/>
    <w:rsid w:val="00BA28A1"/>
    <w:rsid w:val="00BA2B8A"/>
    <w:rsid w:val="00BA3053"/>
    <w:rsid w:val="00BA3295"/>
    <w:rsid w:val="00BA383A"/>
    <w:rsid w:val="00BA3B53"/>
    <w:rsid w:val="00BA40BB"/>
    <w:rsid w:val="00BA505D"/>
    <w:rsid w:val="00BA52FA"/>
    <w:rsid w:val="00BA5573"/>
    <w:rsid w:val="00BA5C2D"/>
    <w:rsid w:val="00BA61ED"/>
    <w:rsid w:val="00BA664E"/>
    <w:rsid w:val="00BA7426"/>
    <w:rsid w:val="00BA7481"/>
    <w:rsid w:val="00BA754A"/>
    <w:rsid w:val="00BA7790"/>
    <w:rsid w:val="00BA7A07"/>
    <w:rsid w:val="00BA7E73"/>
    <w:rsid w:val="00BA7F13"/>
    <w:rsid w:val="00BB0126"/>
    <w:rsid w:val="00BB0392"/>
    <w:rsid w:val="00BB0523"/>
    <w:rsid w:val="00BB1E8D"/>
    <w:rsid w:val="00BB1E8F"/>
    <w:rsid w:val="00BB1F86"/>
    <w:rsid w:val="00BB2257"/>
    <w:rsid w:val="00BB2AD3"/>
    <w:rsid w:val="00BB2CCA"/>
    <w:rsid w:val="00BB2E0D"/>
    <w:rsid w:val="00BB331E"/>
    <w:rsid w:val="00BB33F5"/>
    <w:rsid w:val="00BB3706"/>
    <w:rsid w:val="00BB381E"/>
    <w:rsid w:val="00BB38DF"/>
    <w:rsid w:val="00BB3A53"/>
    <w:rsid w:val="00BB3F38"/>
    <w:rsid w:val="00BB43F1"/>
    <w:rsid w:val="00BB4441"/>
    <w:rsid w:val="00BB4634"/>
    <w:rsid w:val="00BB4680"/>
    <w:rsid w:val="00BB490D"/>
    <w:rsid w:val="00BB4EB8"/>
    <w:rsid w:val="00BB4EC4"/>
    <w:rsid w:val="00BB527B"/>
    <w:rsid w:val="00BB5486"/>
    <w:rsid w:val="00BB551F"/>
    <w:rsid w:val="00BB613A"/>
    <w:rsid w:val="00BB61C8"/>
    <w:rsid w:val="00BB6BA3"/>
    <w:rsid w:val="00BB6EA6"/>
    <w:rsid w:val="00BB739E"/>
    <w:rsid w:val="00BB7FB9"/>
    <w:rsid w:val="00BC006C"/>
    <w:rsid w:val="00BC097D"/>
    <w:rsid w:val="00BC0B4E"/>
    <w:rsid w:val="00BC0BDE"/>
    <w:rsid w:val="00BC154D"/>
    <w:rsid w:val="00BC1FB9"/>
    <w:rsid w:val="00BC210E"/>
    <w:rsid w:val="00BC2520"/>
    <w:rsid w:val="00BC3107"/>
    <w:rsid w:val="00BC35FA"/>
    <w:rsid w:val="00BC3948"/>
    <w:rsid w:val="00BC45AD"/>
    <w:rsid w:val="00BC4744"/>
    <w:rsid w:val="00BC4E67"/>
    <w:rsid w:val="00BC51FA"/>
    <w:rsid w:val="00BC549D"/>
    <w:rsid w:val="00BC567F"/>
    <w:rsid w:val="00BC570E"/>
    <w:rsid w:val="00BC66CE"/>
    <w:rsid w:val="00BC6ADD"/>
    <w:rsid w:val="00BC6E15"/>
    <w:rsid w:val="00BC71F8"/>
    <w:rsid w:val="00BC732A"/>
    <w:rsid w:val="00BC796E"/>
    <w:rsid w:val="00BC7DF5"/>
    <w:rsid w:val="00BC7E41"/>
    <w:rsid w:val="00BC7FED"/>
    <w:rsid w:val="00BD061B"/>
    <w:rsid w:val="00BD07D4"/>
    <w:rsid w:val="00BD0F61"/>
    <w:rsid w:val="00BD1B03"/>
    <w:rsid w:val="00BD23DF"/>
    <w:rsid w:val="00BD291B"/>
    <w:rsid w:val="00BD2CBE"/>
    <w:rsid w:val="00BD4748"/>
    <w:rsid w:val="00BD4951"/>
    <w:rsid w:val="00BD4CCA"/>
    <w:rsid w:val="00BD4E00"/>
    <w:rsid w:val="00BD5FA9"/>
    <w:rsid w:val="00BD6406"/>
    <w:rsid w:val="00BD6E84"/>
    <w:rsid w:val="00BD7538"/>
    <w:rsid w:val="00BD76F4"/>
    <w:rsid w:val="00BD7EAC"/>
    <w:rsid w:val="00BE0648"/>
    <w:rsid w:val="00BE0E42"/>
    <w:rsid w:val="00BE1513"/>
    <w:rsid w:val="00BE226A"/>
    <w:rsid w:val="00BE2AD6"/>
    <w:rsid w:val="00BE2BA6"/>
    <w:rsid w:val="00BE2FF6"/>
    <w:rsid w:val="00BE32BD"/>
    <w:rsid w:val="00BE3671"/>
    <w:rsid w:val="00BE458B"/>
    <w:rsid w:val="00BE4F88"/>
    <w:rsid w:val="00BE56F4"/>
    <w:rsid w:val="00BE57A8"/>
    <w:rsid w:val="00BE5AF8"/>
    <w:rsid w:val="00BE5CFA"/>
    <w:rsid w:val="00BE60DF"/>
    <w:rsid w:val="00BE6123"/>
    <w:rsid w:val="00BE6202"/>
    <w:rsid w:val="00BE638D"/>
    <w:rsid w:val="00BE6F06"/>
    <w:rsid w:val="00BE6F4C"/>
    <w:rsid w:val="00BE7A5E"/>
    <w:rsid w:val="00BE7D9E"/>
    <w:rsid w:val="00BF04C4"/>
    <w:rsid w:val="00BF0581"/>
    <w:rsid w:val="00BF0756"/>
    <w:rsid w:val="00BF0E89"/>
    <w:rsid w:val="00BF1178"/>
    <w:rsid w:val="00BF1352"/>
    <w:rsid w:val="00BF13B0"/>
    <w:rsid w:val="00BF18D0"/>
    <w:rsid w:val="00BF28F4"/>
    <w:rsid w:val="00BF2C0A"/>
    <w:rsid w:val="00BF3340"/>
    <w:rsid w:val="00BF359E"/>
    <w:rsid w:val="00BF3B0E"/>
    <w:rsid w:val="00BF3BB9"/>
    <w:rsid w:val="00BF3C66"/>
    <w:rsid w:val="00BF3FB4"/>
    <w:rsid w:val="00BF40E4"/>
    <w:rsid w:val="00BF42B0"/>
    <w:rsid w:val="00BF627D"/>
    <w:rsid w:val="00BF63BF"/>
    <w:rsid w:val="00BF6B71"/>
    <w:rsid w:val="00BF72E6"/>
    <w:rsid w:val="00BF74F9"/>
    <w:rsid w:val="00BF765A"/>
    <w:rsid w:val="00BF7A4C"/>
    <w:rsid w:val="00C005D3"/>
    <w:rsid w:val="00C0083D"/>
    <w:rsid w:val="00C00BEC"/>
    <w:rsid w:val="00C00FF7"/>
    <w:rsid w:val="00C0127C"/>
    <w:rsid w:val="00C016AA"/>
    <w:rsid w:val="00C01AE0"/>
    <w:rsid w:val="00C01B4F"/>
    <w:rsid w:val="00C01F12"/>
    <w:rsid w:val="00C01F75"/>
    <w:rsid w:val="00C02BE6"/>
    <w:rsid w:val="00C03733"/>
    <w:rsid w:val="00C03753"/>
    <w:rsid w:val="00C03869"/>
    <w:rsid w:val="00C04A1F"/>
    <w:rsid w:val="00C05032"/>
    <w:rsid w:val="00C0549D"/>
    <w:rsid w:val="00C06197"/>
    <w:rsid w:val="00C06738"/>
    <w:rsid w:val="00C07F97"/>
    <w:rsid w:val="00C101FB"/>
    <w:rsid w:val="00C1036A"/>
    <w:rsid w:val="00C1051E"/>
    <w:rsid w:val="00C1054F"/>
    <w:rsid w:val="00C1079D"/>
    <w:rsid w:val="00C10B9A"/>
    <w:rsid w:val="00C10DAC"/>
    <w:rsid w:val="00C10DE1"/>
    <w:rsid w:val="00C10F67"/>
    <w:rsid w:val="00C11712"/>
    <w:rsid w:val="00C11ED1"/>
    <w:rsid w:val="00C11F21"/>
    <w:rsid w:val="00C1230B"/>
    <w:rsid w:val="00C12322"/>
    <w:rsid w:val="00C12391"/>
    <w:rsid w:val="00C12A28"/>
    <w:rsid w:val="00C12F25"/>
    <w:rsid w:val="00C1339D"/>
    <w:rsid w:val="00C1341B"/>
    <w:rsid w:val="00C13480"/>
    <w:rsid w:val="00C1371A"/>
    <w:rsid w:val="00C14007"/>
    <w:rsid w:val="00C14819"/>
    <w:rsid w:val="00C151D3"/>
    <w:rsid w:val="00C1550F"/>
    <w:rsid w:val="00C15CF2"/>
    <w:rsid w:val="00C15FEB"/>
    <w:rsid w:val="00C16358"/>
    <w:rsid w:val="00C16550"/>
    <w:rsid w:val="00C170B2"/>
    <w:rsid w:val="00C174D3"/>
    <w:rsid w:val="00C179F5"/>
    <w:rsid w:val="00C17B5E"/>
    <w:rsid w:val="00C17C0F"/>
    <w:rsid w:val="00C20097"/>
    <w:rsid w:val="00C2024C"/>
    <w:rsid w:val="00C20E42"/>
    <w:rsid w:val="00C20E48"/>
    <w:rsid w:val="00C2121B"/>
    <w:rsid w:val="00C21605"/>
    <w:rsid w:val="00C223B7"/>
    <w:rsid w:val="00C23A48"/>
    <w:rsid w:val="00C23A66"/>
    <w:rsid w:val="00C23B11"/>
    <w:rsid w:val="00C23CAC"/>
    <w:rsid w:val="00C23FE5"/>
    <w:rsid w:val="00C2448C"/>
    <w:rsid w:val="00C248E1"/>
    <w:rsid w:val="00C24904"/>
    <w:rsid w:val="00C252FE"/>
    <w:rsid w:val="00C25A33"/>
    <w:rsid w:val="00C25DC2"/>
    <w:rsid w:val="00C25FB5"/>
    <w:rsid w:val="00C26206"/>
    <w:rsid w:val="00C270A3"/>
    <w:rsid w:val="00C2754F"/>
    <w:rsid w:val="00C27556"/>
    <w:rsid w:val="00C27D76"/>
    <w:rsid w:val="00C30171"/>
    <w:rsid w:val="00C301C1"/>
    <w:rsid w:val="00C30B18"/>
    <w:rsid w:val="00C30D91"/>
    <w:rsid w:val="00C3101A"/>
    <w:rsid w:val="00C31057"/>
    <w:rsid w:val="00C31A1F"/>
    <w:rsid w:val="00C31C6E"/>
    <w:rsid w:val="00C31C89"/>
    <w:rsid w:val="00C31CCE"/>
    <w:rsid w:val="00C3278E"/>
    <w:rsid w:val="00C32A01"/>
    <w:rsid w:val="00C32CC1"/>
    <w:rsid w:val="00C32FFE"/>
    <w:rsid w:val="00C33167"/>
    <w:rsid w:val="00C33E2C"/>
    <w:rsid w:val="00C33E9F"/>
    <w:rsid w:val="00C33FF6"/>
    <w:rsid w:val="00C34119"/>
    <w:rsid w:val="00C342C7"/>
    <w:rsid w:val="00C34739"/>
    <w:rsid w:val="00C3473E"/>
    <w:rsid w:val="00C347B3"/>
    <w:rsid w:val="00C34910"/>
    <w:rsid w:val="00C355B0"/>
    <w:rsid w:val="00C355DD"/>
    <w:rsid w:val="00C35640"/>
    <w:rsid w:val="00C35659"/>
    <w:rsid w:val="00C3628B"/>
    <w:rsid w:val="00C3693D"/>
    <w:rsid w:val="00C36B14"/>
    <w:rsid w:val="00C3766B"/>
    <w:rsid w:val="00C37CDE"/>
    <w:rsid w:val="00C37CF7"/>
    <w:rsid w:val="00C37D9E"/>
    <w:rsid w:val="00C40331"/>
    <w:rsid w:val="00C409FD"/>
    <w:rsid w:val="00C427A9"/>
    <w:rsid w:val="00C42B40"/>
    <w:rsid w:val="00C432AE"/>
    <w:rsid w:val="00C43629"/>
    <w:rsid w:val="00C43662"/>
    <w:rsid w:val="00C4379F"/>
    <w:rsid w:val="00C444F6"/>
    <w:rsid w:val="00C4478A"/>
    <w:rsid w:val="00C4485B"/>
    <w:rsid w:val="00C44911"/>
    <w:rsid w:val="00C452CB"/>
    <w:rsid w:val="00C45331"/>
    <w:rsid w:val="00C4555F"/>
    <w:rsid w:val="00C456AC"/>
    <w:rsid w:val="00C456C5"/>
    <w:rsid w:val="00C45BF3"/>
    <w:rsid w:val="00C4619E"/>
    <w:rsid w:val="00C466C6"/>
    <w:rsid w:val="00C46879"/>
    <w:rsid w:val="00C47726"/>
    <w:rsid w:val="00C47C39"/>
    <w:rsid w:val="00C50570"/>
    <w:rsid w:val="00C50574"/>
    <w:rsid w:val="00C50D7F"/>
    <w:rsid w:val="00C51471"/>
    <w:rsid w:val="00C5159F"/>
    <w:rsid w:val="00C51BD2"/>
    <w:rsid w:val="00C52612"/>
    <w:rsid w:val="00C526E3"/>
    <w:rsid w:val="00C528CD"/>
    <w:rsid w:val="00C52C49"/>
    <w:rsid w:val="00C52F66"/>
    <w:rsid w:val="00C538F3"/>
    <w:rsid w:val="00C53B13"/>
    <w:rsid w:val="00C54366"/>
    <w:rsid w:val="00C547CA"/>
    <w:rsid w:val="00C549CE"/>
    <w:rsid w:val="00C54F38"/>
    <w:rsid w:val="00C55DD1"/>
    <w:rsid w:val="00C55F87"/>
    <w:rsid w:val="00C563D6"/>
    <w:rsid w:val="00C56736"/>
    <w:rsid w:val="00C56A45"/>
    <w:rsid w:val="00C56C9E"/>
    <w:rsid w:val="00C56D72"/>
    <w:rsid w:val="00C57214"/>
    <w:rsid w:val="00C57E44"/>
    <w:rsid w:val="00C60197"/>
    <w:rsid w:val="00C60709"/>
    <w:rsid w:val="00C60717"/>
    <w:rsid w:val="00C60FB0"/>
    <w:rsid w:val="00C613B6"/>
    <w:rsid w:val="00C614A2"/>
    <w:rsid w:val="00C61B18"/>
    <w:rsid w:val="00C61B67"/>
    <w:rsid w:val="00C61EEC"/>
    <w:rsid w:val="00C620A4"/>
    <w:rsid w:val="00C62287"/>
    <w:rsid w:val="00C62553"/>
    <w:rsid w:val="00C626E5"/>
    <w:rsid w:val="00C627E0"/>
    <w:rsid w:val="00C633E3"/>
    <w:rsid w:val="00C63443"/>
    <w:rsid w:val="00C634FE"/>
    <w:rsid w:val="00C63803"/>
    <w:rsid w:val="00C63E68"/>
    <w:rsid w:val="00C64240"/>
    <w:rsid w:val="00C64D3A"/>
    <w:rsid w:val="00C65C59"/>
    <w:rsid w:val="00C65CCB"/>
    <w:rsid w:val="00C65DFC"/>
    <w:rsid w:val="00C66763"/>
    <w:rsid w:val="00C66764"/>
    <w:rsid w:val="00C66822"/>
    <w:rsid w:val="00C6718D"/>
    <w:rsid w:val="00C677F5"/>
    <w:rsid w:val="00C70450"/>
    <w:rsid w:val="00C70C4D"/>
    <w:rsid w:val="00C71239"/>
    <w:rsid w:val="00C712FD"/>
    <w:rsid w:val="00C71566"/>
    <w:rsid w:val="00C716B7"/>
    <w:rsid w:val="00C71EF4"/>
    <w:rsid w:val="00C73057"/>
    <w:rsid w:val="00C732CB"/>
    <w:rsid w:val="00C732ED"/>
    <w:rsid w:val="00C73370"/>
    <w:rsid w:val="00C7357C"/>
    <w:rsid w:val="00C73A49"/>
    <w:rsid w:val="00C744E9"/>
    <w:rsid w:val="00C7464F"/>
    <w:rsid w:val="00C748E3"/>
    <w:rsid w:val="00C74BA5"/>
    <w:rsid w:val="00C74BED"/>
    <w:rsid w:val="00C74C61"/>
    <w:rsid w:val="00C7554E"/>
    <w:rsid w:val="00C75683"/>
    <w:rsid w:val="00C7651D"/>
    <w:rsid w:val="00C76588"/>
    <w:rsid w:val="00C767F8"/>
    <w:rsid w:val="00C76CA8"/>
    <w:rsid w:val="00C76CF8"/>
    <w:rsid w:val="00C76CFF"/>
    <w:rsid w:val="00C76E8D"/>
    <w:rsid w:val="00C76F0A"/>
    <w:rsid w:val="00C771B0"/>
    <w:rsid w:val="00C772AE"/>
    <w:rsid w:val="00C77F3F"/>
    <w:rsid w:val="00C800B3"/>
    <w:rsid w:val="00C80165"/>
    <w:rsid w:val="00C80C46"/>
    <w:rsid w:val="00C813AC"/>
    <w:rsid w:val="00C81709"/>
    <w:rsid w:val="00C8172E"/>
    <w:rsid w:val="00C81730"/>
    <w:rsid w:val="00C81A8D"/>
    <w:rsid w:val="00C823E3"/>
    <w:rsid w:val="00C8241D"/>
    <w:rsid w:val="00C8258D"/>
    <w:rsid w:val="00C825B3"/>
    <w:rsid w:val="00C8269C"/>
    <w:rsid w:val="00C82A06"/>
    <w:rsid w:val="00C82DF4"/>
    <w:rsid w:val="00C8329C"/>
    <w:rsid w:val="00C836D4"/>
    <w:rsid w:val="00C84538"/>
    <w:rsid w:val="00C8453A"/>
    <w:rsid w:val="00C846D7"/>
    <w:rsid w:val="00C84716"/>
    <w:rsid w:val="00C85355"/>
    <w:rsid w:val="00C8558C"/>
    <w:rsid w:val="00C8592A"/>
    <w:rsid w:val="00C8603F"/>
    <w:rsid w:val="00C86281"/>
    <w:rsid w:val="00C866B2"/>
    <w:rsid w:val="00C8696C"/>
    <w:rsid w:val="00C869FA"/>
    <w:rsid w:val="00C87F42"/>
    <w:rsid w:val="00C90416"/>
    <w:rsid w:val="00C90CEA"/>
    <w:rsid w:val="00C9123D"/>
    <w:rsid w:val="00C9134C"/>
    <w:rsid w:val="00C9184E"/>
    <w:rsid w:val="00C91926"/>
    <w:rsid w:val="00C92125"/>
    <w:rsid w:val="00C9310F"/>
    <w:rsid w:val="00C93141"/>
    <w:rsid w:val="00C93D32"/>
    <w:rsid w:val="00C95136"/>
    <w:rsid w:val="00C95324"/>
    <w:rsid w:val="00C95519"/>
    <w:rsid w:val="00C9570A"/>
    <w:rsid w:val="00C95E23"/>
    <w:rsid w:val="00C96715"/>
    <w:rsid w:val="00C969E9"/>
    <w:rsid w:val="00C96FC2"/>
    <w:rsid w:val="00C97882"/>
    <w:rsid w:val="00C97A31"/>
    <w:rsid w:val="00CA059D"/>
    <w:rsid w:val="00CA0CB0"/>
    <w:rsid w:val="00CA0DC5"/>
    <w:rsid w:val="00CA0EC8"/>
    <w:rsid w:val="00CA26D6"/>
    <w:rsid w:val="00CA3951"/>
    <w:rsid w:val="00CA3BAE"/>
    <w:rsid w:val="00CA420D"/>
    <w:rsid w:val="00CA49E1"/>
    <w:rsid w:val="00CA4A9B"/>
    <w:rsid w:val="00CA4CF1"/>
    <w:rsid w:val="00CA4CF2"/>
    <w:rsid w:val="00CA5043"/>
    <w:rsid w:val="00CA59BB"/>
    <w:rsid w:val="00CA6FE6"/>
    <w:rsid w:val="00CA745D"/>
    <w:rsid w:val="00CB054B"/>
    <w:rsid w:val="00CB0A62"/>
    <w:rsid w:val="00CB0C30"/>
    <w:rsid w:val="00CB0D8F"/>
    <w:rsid w:val="00CB1571"/>
    <w:rsid w:val="00CB1A9F"/>
    <w:rsid w:val="00CB1DE9"/>
    <w:rsid w:val="00CB26DA"/>
    <w:rsid w:val="00CB30DC"/>
    <w:rsid w:val="00CB3AF4"/>
    <w:rsid w:val="00CB42C0"/>
    <w:rsid w:val="00CB45B7"/>
    <w:rsid w:val="00CB4B70"/>
    <w:rsid w:val="00CB5217"/>
    <w:rsid w:val="00CB56B7"/>
    <w:rsid w:val="00CB5DF7"/>
    <w:rsid w:val="00CB5F5D"/>
    <w:rsid w:val="00CB6122"/>
    <w:rsid w:val="00CB62A8"/>
    <w:rsid w:val="00CB6DD8"/>
    <w:rsid w:val="00CB76B9"/>
    <w:rsid w:val="00CB78D9"/>
    <w:rsid w:val="00CC008A"/>
    <w:rsid w:val="00CC07EC"/>
    <w:rsid w:val="00CC13A6"/>
    <w:rsid w:val="00CC15E0"/>
    <w:rsid w:val="00CC1C10"/>
    <w:rsid w:val="00CC1D26"/>
    <w:rsid w:val="00CC22AD"/>
    <w:rsid w:val="00CC2598"/>
    <w:rsid w:val="00CC2CF3"/>
    <w:rsid w:val="00CC2D3A"/>
    <w:rsid w:val="00CC3001"/>
    <w:rsid w:val="00CC3032"/>
    <w:rsid w:val="00CC308F"/>
    <w:rsid w:val="00CC47DD"/>
    <w:rsid w:val="00CC66C1"/>
    <w:rsid w:val="00CC73A7"/>
    <w:rsid w:val="00CC7972"/>
    <w:rsid w:val="00CC79A2"/>
    <w:rsid w:val="00CC7B22"/>
    <w:rsid w:val="00CC7D01"/>
    <w:rsid w:val="00CC7E01"/>
    <w:rsid w:val="00CD0029"/>
    <w:rsid w:val="00CD094A"/>
    <w:rsid w:val="00CD0974"/>
    <w:rsid w:val="00CD0B23"/>
    <w:rsid w:val="00CD0E2B"/>
    <w:rsid w:val="00CD0ECA"/>
    <w:rsid w:val="00CD1079"/>
    <w:rsid w:val="00CD11C6"/>
    <w:rsid w:val="00CD1280"/>
    <w:rsid w:val="00CD1B16"/>
    <w:rsid w:val="00CD2307"/>
    <w:rsid w:val="00CD2506"/>
    <w:rsid w:val="00CD25A3"/>
    <w:rsid w:val="00CD2698"/>
    <w:rsid w:val="00CD3850"/>
    <w:rsid w:val="00CD3C96"/>
    <w:rsid w:val="00CD50FF"/>
    <w:rsid w:val="00CD5136"/>
    <w:rsid w:val="00CD5CA5"/>
    <w:rsid w:val="00CD5D68"/>
    <w:rsid w:val="00CD5F97"/>
    <w:rsid w:val="00CD6579"/>
    <w:rsid w:val="00CD6666"/>
    <w:rsid w:val="00CD696A"/>
    <w:rsid w:val="00CD6B62"/>
    <w:rsid w:val="00CD6BBB"/>
    <w:rsid w:val="00CD73B5"/>
    <w:rsid w:val="00CD7D7A"/>
    <w:rsid w:val="00CE0291"/>
    <w:rsid w:val="00CE0998"/>
    <w:rsid w:val="00CE0BE2"/>
    <w:rsid w:val="00CE151A"/>
    <w:rsid w:val="00CE1533"/>
    <w:rsid w:val="00CE1BF7"/>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6871"/>
    <w:rsid w:val="00CE7277"/>
    <w:rsid w:val="00CE7AF8"/>
    <w:rsid w:val="00CE7FEC"/>
    <w:rsid w:val="00CF0032"/>
    <w:rsid w:val="00CF00F1"/>
    <w:rsid w:val="00CF0141"/>
    <w:rsid w:val="00CF087E"/>
    <w:rsid w:val="00CF0C13"/>
    <w:rsid w:val="00CF0CDB"/>
    <w:rsid w:val="00CF14F3"/>
    <w:rsid w:val="00CF16FE"/>
    <w:rsid w:val="00CF2511"/>
    <w:rsid w:val="00CF2692"/>
    <w:rsid w:val="00CF2C8F"/>
    <w:rsid w:val="00CF304A"/>
    <w:rsid w:val="00CF31A5"/>
    <w:rsid w:val="00CF3CB2"/>
    <w:rsid w:val="00CF425A"/>
    <w:rsid w:val="00CF43F4"/>
    <w:rsid w:val="00CF4FB5"/>
    <w:rsid w:val="00CF6749"/>
    <w:rsid w:val="00CF724A"/>
    <w:rsid w:val="00CF7296"/>
    <w:rsid w:val="00CF7378"/>
    <w:rsid w:val="00CF7A30"/>
    <w:rsid w:val="00CF7D8A"/>
    <w:rsid w:val="00CF7D94"/>
    <w:rsid w:val="00CF7DF1"/>
    <w:rsid w:val="00CF7EA2"/>
    <w:rsid w:val="00CF7F79"/>
    <w:rsid w:val="00D00C88"/>
    <w:rsid w:val="00D01159"/>
    <w:rsid w:val="00D01248"/>
    <w:rsid w:val="00D01623"/>
    <w:rsid w:val="00D021F0"/>
    <w:rsid w:val="00D02686"/>
    <w:rsid w:val="00D026BC"/>
    <w:rsid w:val="00D027D9"/>
    <w:rsid w:val="00D02EA1"/>
    <w:rsid w:val="00D034FE"/>
    <w:rsid w:val="00D037E9"/>
    <w:rsid w:val="00D04468"/>
    <w:rsid w:val="00D0498A"/>
    <w:rsid w:val="00D05257"/>
    <w:rsid w:val="00D0561D"/>
    <w:rsid w:val="00D05AC6"/>
    <w:rsid w:val="00D06351"/>
    <w:rsid w:val="00D06C0D"/>
    <w:rsid w:val="00D07511"/>
    <w:rsid w:val="00D0755B"/>
    <w:rsid w:val="00D07573"/>
    <w:rsid w:val="00D10113"/>
    <w:rsid w:val="00D102B8"/>
    <w:rsid w:val="00D1054C"/>
    <w:rsid w:val="00D122ED"/>
    <w:rsid w:val="00D12569"/>
    <w:rsid w:val="00D12655"/>
    <w:rsid w:val="00D1286E"/>
    <w:rsid w:val="00D12A92"/>
    <w:rsid w:val="00D12AA5"/>
    <w:rsid w:val="00D136B6"/>
    <w:rsid w:val="00D13FA3"/>
    <w:rsid w:val="00D1404C"/>
    <w:rsid w:val="00D1406E"/>
    <w:rsid w:val="00D14759"/>
    <w:rsid w:val="00D14762"/>
    <w:rsid w:val="00D1550E"/>
    <w:rsid w:val="00D1563C"/>
    <w:rsid w:val="00D158D0"/>
    <w:rsid w:val="00D15B33"/>
    <w:rsid w:val="00D15C89"/>
    <w:rsid w:val="00D16B8F"/>
    <w:rsid w:val="00D17429"/>
    <w:rsid w:val="00D17517"/>
    <w:rsid w:val="00D1796B"/>
    <w:rsid w:val="00D20001"/>
    <w:rsid w:val="00D202BD"/>
    <w:rsid w:val="00D20342"/>
    <w:rsid w:val="00D20A32"/>
    <w:rsid w:val="00D212B6"/>
    <w:rsid w:val="00D21A3D"/>
    <w:rsid w:val="00D22CFF"/>
    <w:rsid w:val="00D23CA0"/>
    <w:rsid w:val="00D23F64"/>
    <w:rsid w:val="00D24192"/>
    <w:rsid w:val="00D24372"/>
    <w:rsid w:val="00D244F0"/>
    <w:rsid w:val="00D24911"/>
    <w:rsid w:val="00D25620"/>
    <w:rsid w:val="00D25BAA"/>
    <w:rsid w:val="00D26539"/>
    <w:rsid w:val="00D26897"/>
    <w:rsid w:val="00D26C86"/>
    <w:rsid w:val="00D2725E"/>
    <w:rsid w:val="00D2756F"/>
    <w:rsid w:val="00D27CDB"/>
    <w:rsid w:val="00D27D7E"/>
    <w:rsid w:val="00D30678"/>
    <w:rsid w:val="00D30B00"/>
    <w:rsid w:val="00D30BC8"/>
    <w:rsid w:val="00D315F4"/>
    <w:rsid w:val="00D316A3"/>
    <w:rsid w:val="00D31705"/>
    <w:rsid w:val="00D318EB"/>
    <w:rsid w:val="00D31A95"/>
    <w:rsid w:val="00D31AA0"/>
    <w:rsid w:val="00D32F99"/>
    <w:rsid w:val="00D33490"/>
    <w:rsid w:val="00D33916"/>
    <w:rsid w:val="00D33DFA"/>
    <w:rsid w:val="00D33EC3"/>
    <w:rsid w:val="00D34FA3"/>
    <w:rsid w:val="00D351F2"/>
    <w:rsid w:val="00D356DE"/>
    <w:rsid w:val="00D3628C"/>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B4D"/>
    <w:rsid w:val="00D43D58"/>
    <w:rsid w:val="00D441BC"/>
    <w:rsid w:val="00D441D8"/>
    <w:rsid w:val="00D44582"/>
    <w:rsid w:val="00D450D6"/>
    <w:rsid w:val="00D46080"/>
    <w:rsid w:val="00D4622E"/>
    <w:rsid w:val="00D465DC"/>
    <w:rsid w:val="00D466B5"/>
    <w:rsid w:val="00D4731E"/>
    <w:rsid w:val="00D47D47"/>
    <w:rsid w:val="00D501AE"/>
    <w:rsid w:val="00D50AEC"/>
    <w:rsid w:val="00D50B7A"/>
    <w:rsid w:val="00D50BAB"/>
    <w:rsid w:val="00D5224A"/>
    <w:rsid w:val="00D52391"/>
    <w:rsid w:val="00D5245B"/>
    <w:rsid w:val="00D524B0"/>
    <w:rsid w:val="00D52CC7"/>
    <w:rsid w:val="00D52D40"/>
    <w:rsid w:val="00D5385E"/>
    <w:rsid w:val="00D53CC7"/>
    <w:rsid w:val="00D5407D"/>
    <w:rsid w:val="00D54638"/>
    <w:rsid w:val="00D548EA"/>
    <w:rsid w:val="00D54928"/>
    <w:rsid w:val="00D556FE"/>
    <w:rsid w:val="00D5576D"/>
    <w:rsid w:val="00D56385"/>
    <w:rsid w:val="00D563E5"/>
    <w:rsid w:val="00D56E50"/>
    <w:rsid w:val="00D571DB"/>
    <w:rsid w:val="00D57A7E"/>
    <w:rsid w:val="00D57CF9"/>
    <w:rsid w:val="00D60D6F"/>
    <w:rsid w:val="00D61240"/>
    <w:rsid w:val="00D617A6"/>
    <w:rsid w:val="00D61D52"/>
    <w:rsid w:val="00D625E7"/>
    <w:rsid w:val="00D62762"/>
    <w:rsid w:val="00D631A3"/>
    <w:rsid w:val="00D63323"/>
    <w:rsid w:val="00D63363"/>
    <w:rsid w:val="00D63848"/>
    <w:rsid w:val="00D63C3F"/>
    <w:rsid w:val="00D64308"/>
    <w:rsid w:val="00D64451"/>
    <w:rsid w:val="00D644A3"/>
    <w:rsid w:val="00D6461B"/>
    <w:rsid w:val="00D64DA4"/>
    <w:rsid w:val="00D65C1A"/>
    <w:rsid w:val="00D65C3B"/>
    <w:rsid w:val="00D65C61"/>
    <w:rsid w:val="00D65EF7"/>
    <w:rsid w:val="00D66088"/>
    <w:rsid w:val="00D676F4"/>
    <w:rsid w:val="00D679CC"/>
    <w:rsid w:val="00D67D19"/>
    <w:rsid w:val="00D703C1"/>
    <w:rsid w:val="00D70FAD"/>
    <w:rsid w:val="00D716E2"/>
    <w:rsid w:val="00D7266D"/>
    <w:rsid w:val="00D7335C"/>
    <w:rsid w:val="00D73C43"/>
    <w:rsid w:val="00D740D8"/>
    <w:rsid w:val="00D742DB"/>
    <w:rsid w:val="00D748B7"/>
    <w:rsid w:val="00D7633D"/>
    <w:rsid w:val="00D76C92"/>
    <w:rsid w:val="00D77325"/>
    <w:rsid w:val="00D804AA"/>
    <w:rsid w:val="00D809FF"/>
    <w:rsid w:val="00D81560"/>
    <w:rsid w:val="00D821A2"/>
    <w:rsid w:val="00D8261B"/>
    <w:rsid w:val="00D8272B"/>
    <w:rsid w:val="00D8326E"/>
    <w:rsid w:val="00D83B96"/>
    <w:rsid w:val="00D848A7"/>
    <w:rsid w:val="00D85511"/>
    <w:rsid w:val="00D865FA"/>
    <w:rsid w:val="00D86726"/>
    <w:rsid w:val="00D875B3"/>
    <w:rsid w:val="00D87C5D"/>
    <w:rsid w:val="00D901A3"/>
    <w:rsid w:val="00D9084F"/>
    <w:rsid w:val="00D90E5E"/>
    <w:rsid w:val="00D915A4"/>
    <w:rsid w:val="00D925DC"/>
    <w:rsid w:val="00D92701"/>
    <w:rsid w:val="00D92FE1"/>
    <w:rsid w:val="00D9316E"/>
    <w:rsid w:val="00D932BC"/>
    <w:rsid w:val="00D934A9"/>
    <w:rsid w:val="00D93BF5"/>
    <w:rsid w:val="00D9450C"/>
    <w:rsid w:val="00D94C7A"/>
    <w:rsid w:val="00D952F9"/>
    <w:rsid w:val="00D9556A"/>
    <w:rsid w:val="00D95A34"/>
    <w:rsid w:val="00D95D96"/>
    <w:rsid w:val="00D96951"/>
    <w:rsid w:val="00D97078"/>
    <w:rsid w:val="00D974DC"/>
    <w:rsid w:val="00D97FB7"/>
    <w:rsid w:val="00DA0113"/>
    <w:rsid w:val="00DA063D"/>
    <w:rsid w:val="00DA1180"/>
    <w:rsid w:val="00DA1800"/>
    <w:rsid w:val="00DA1B28"/>
    <w:rsid w:val="00DA1B5C"/>
    <w:rsid w:val="00DA1C13"/>
    <w:rsid w:val="00DA1E9E"/>
    <w:rsid w:val="00DA24C0"/>
    <w:rsid w:val="00DA25F0"/>
    <w:rsid w:val="00DA28AB"/>
    <w:rsid w:val="00DA2CC4"/>
    <w:rsid w:val="00DA2E4A"/>
    <w:rsid w:val="00DA3D47"/>
    <w:rsid w:val="00DA46D3"/>
    <w:rsid w:val="00DA4BDA"/>
    <w:rsid w:val="00DA4CAC"/>
    <w:rsid w:val="00DA4EE4"/>
    <w:rsid w:val="00DA530D"/>
    <w:rsid w:val="00DA5588"/>
    <w:rsid w:val="00DA5BDE"/>
    <w:rsid w:val="00DA6275"/>
    <w:rsid w:val="00DA68D2"/>
    <w:rsid w:val="00DA79A5"/>
    <w:rsid w:val="00DA7FB0"/>
    <w:rsid w:val="00DB025C"/>
    <w:rsid w:val="00DB078E"/>
    <w:rsid w:val="00DB13D7"/>
    <w:rsid w:val="00DB14FC"/>
    <w:rsid w:val="00DB2311"/>
    <w:rsid w:val="00DB2665"/>
    <w:rsid w:val="00DB30B8"/>
    <w:rsid w:val="00DB3102"/>
    <w:rsid w:val="00DB33F0"/>
    <w:rsid w:val="00DB3585"/>
    <w:rsid w:val="00DB3A58"/>
    <w:rsid w:val="00DB3A7F"/>
    <w:rsid w:val="00DB4B0D"/>
    <w:rsid w:val="00DB4DA1"/>
    <w:rsid w:val="00DB6ABE"/>
    <w:rsid w:val="00DB6E8F"/>
    <w:rsid w:val="00DB6F52"/>
    <w:rsid w:val="00DC07BF"/>
    <w:rsid w:val="00DC081B"/>
    <w:rsid w:val="00DC089C"/>
    <w:rsid w:val="00DC0AD3"/>
    <w:rsid w:val="00DC1083"/>
    <w:rsid w:val="00DC1118"/>
    <w:rsid w:val="00DC1272"/>
    <w:rsid w:val="00DC17F0"/>
    <w:rsid w:val="00DC18DB"/>
    <w:rsid w:val="00DC1B1B"/>
    <w:rsid w:val="00DC249D"/>
    <w:rsid w:val="00DC24E5"/>
    <w:rsid w:val="00DC24FD"/>
    <w:rsid w:val="00DC28AF"/>
    <w:rsid w:val="00DC2961"/>
    <w:rsid w:val="00DC330F"/>
    <w:rsid w:val="00DC3485"/>
    <w:rsid w:val="00DC3716"/>
    <w:rsid w:val="00DC3812"/>
    <w:rsid w:val="00DC3E3A"/>
    <w:rsid w:val="00DC40D7"/>
    <w:rsid w:val="00DC5198"/>
    <w:rsid w:val="00DC5AB1"/>
    <w:rsid w:val="00DC5EB8"/>
    <w:rsid w:val="00DC5F39"/>
    <w:rsid w:val="00DC62C7"/>
    <w:rsid w:val="00DC6315"/>
    <w:rsid w:val="00DC68EB"/>
    <w:rsid w:val="00DC7960"/>
    <w:rsid w:val="00DD087F"/>
    <w:rsid w:val="00DD0914"/>
    <w:rsid w:val="00DD0B9F"/>
    <w:rsid w:val="00DD0D93"/>
    <w:rsid w:val="00DD15AE"/>
    <w:rsid w:val="00DD1D53"/>
    <w:rsid w:val="00DD20D7"/>
    <w:rsid w:val="00DD2245"/>
    <w:rsid w:val="00DD26C8"/>
    <w:rsid w:val="00DD2918"/>
    <w:rsid w:val="00DD2985"/>
    <w:rsid w:val="00DD3139"/>
    <w:rsid w:val="00DD31C8"/>
    <w:rsid w:val="00DD42C3"/>
    <w:rsid w:val="00DD4828"/>
    <w:rsid w:val="00DD4FBE"/>
    <w:rsid w:val="00DD555F"/>
    <w:rsid w:val="00DD5A67"/>
    <w:rsid w:val="00DD5E5E"/>
    <w:rsid w:val="00DD5ED0"/>
    <w:rsid w:val="00DD6254"/>
    <w:rsid w:val="00DD6782"/>
    <w:rsid w:val="00DD6F62"/>
    <w:rsid w:val="00DD7573"/>
    <w:rsid w:val="00DD7EF8"/>
    <w:rsid w:val="00DE026E"/>
    <w:rsid w:val="00DE0475"/>
    <w:rsid w:val="00DE0554"/>
    <w:rsid w:val="00DE05AF"/>
    <w:rsid w:val="00DE0731"/>
    <w:rsid w:val="00DE0870"/>
    <w:rsid w:val="00DE09E2"/>
    <w:rsid w:val="00DE1152"/>
    <w:rsid w:val="00DE173B"/>
    <w:rsid w:val="00DE1B29"/>
    <w:rsid w:val="00DE1B72"/>
    <w:rsid w:val="00DE1E75"/>
    <w:rsid w:val="00DE2B15"/>
    <w:rsid w:val="00DE2C5A"/>
    <w:rsid w:val="00DE368A"/>
    <w:rsid w:val="00DE4A5C"/>
    <w:rsid w:val="00DE520E"/>
    <w:rsid w:val="00DE5872"/>
    <w:rsid w:val="00DE625D"/>
    <w:rsid w:val="00DE6BED"/>
    <w:rsid w:val="00DE6D39"/>
    <w:rsid w:val="00DE6E8F"/>
    <w:rsid w:val="00DE77E9"/>
    <w:rsid w:val="00DF0E16"/>
    <w:rsid w:val="00DF112A"/>
    <w:rsid w:val="00DF1167"/>
    <w:rsid w:val="00DF1B65"/>
    <w:rsid w:val="00DF1DF0"/>
    <w:rsid w:val="00DF248A"/>
    <w:rsid w:val="00DF2A17"/>
    <w:rsid w:val="00DF2C91"/>
    <w:rsid w:val="00DF3230"/>
    <w:rsid w:val="00DF37C8"/>
    <w:rsid w:val="00DF3871"/>
    <w:rsid w:val="00DF39D1"/>
    <w:rsid w:val="00DF39DB"/>
    <w:rsid w:val="00DF3C7A"/>
    <w:rsid w:val="00DF412D"/>
    <w:rsid w:val="00DF4693"/>
    <w:rsid w:val="00DF4CAE"/>
    <w:rsid w:val="00DF57FB"/>
    <w:rsid w:val="00DF596B"/>
    <w:rsid w:val="00DF5AB2"/>
    <w:rsid w:val="00DF65EC"/>
    <w:rsid w:val="00DF69EE"/>
    <w:rsid w:val="00DF6B7D"/>
    <w:rsid w:val="00DF73F3"/>
    <w:rsid w:val="00DF76BA"/>
    <w:rsid w:val="00DF7E4E"/>
    <w:rsid w:val="00E007D4"/>
    <w:rsid w:val="00E00ADB"/>
    <w:rsid w:val="00E016DC"/>
    <w:rsid w:val="00E0188D"/>
    <w:rsid w:val="00E01A54"/>
    <w:rsid w:val="00E022ED"/>
    <w:rsid w:val="00E024DB"/>
    <w:rsid w:val="00E026D1"/>
    <w:rsid w:val="00E03430"/>
    <w:rsid w:val="00E03497"/>
    <w:rsid w:val="00E03B77"/>
    <w:rsid w:val="00E03C23"/>
    <w:rsid w:val="00E048E7"/>
    <w:rsid w:val="00E050AB"/>
    <w:rsid w:val="00E053A5"/>
    <w:rsid w:val="00E05443"/>
    <w:rsid w:val="00E05DAC"/>
    <w:rsid w:val="00E05E4E"/>
    <w:rsid w:val="00E0656F"/>
    <w:rsid w:val="00E06B09"/>
    <w:rsid w:val="00E06C0A"/>
    <w:rsid w:val="00E076EE"/>
    <w:rsid w:val="00E0774C"/>
    <w:rsid w:val="00E07AB7"/>
    <w:rsid w:val="00E07DB6"/>
    <w:rsid w:val="00E10508"/>
    <w:rsid w:val="00E10B32"/>
    <w:rsid w:val="00E11103"/>
    <w:rsid w:val="00E112E4"/>
    <w:rsid w:val="00E116DF"/>
    <w:rsid w:val="00E11F47"/>
    <w:rsid w:val="00E12B81"/>
    <w:rsid w:val="00E12DE4"/>
    <w:rsid w:val="00E13163"/>
    <w:rsid w:val="00E13BE2"/>
    <w:rsid w:val="00E13F7B"/>
    <w:rsid w:val="00E143D4"/>
    <w:rsid w:val="00E14469"/>
    <w:rsid w:val="00E1463E"/>
    <w:rsid w:val="00E14991"/>
    <w:rsid w:val="00E14F73"/>
    <w:rsid w:val="00E1577A"/>
    <w:rsid w:val="00E15F21"/>
    <w:rsid w:val="00E168B3"/>
    <w:rsid w:val="00E17330"/>
    <w:rsid w:val="00E17666"/>
    <w:rsid w:val="00E17AF9"/>
    <w:rsid w:val="00E20986"/>
    <w:rsid w:val="00E20C6A"/>
    <w:rsid w:val="00E20E4C"/>
    <w:rsid w:val="00E213E1"/>
    <w:rsid w:val="00E21489"/>
    <w:rsid w:val="00E214F0"/>
    <w:rsid w:val="00E2167E"/>
    <w:rsid w:val="00E21890"/>
    <w:rsid w:val="00E2196D"/>
    <w:rsid w:val="00E21E89"/>
    <w:rsid w:val="00E22A2E"/>
    <w:rsid w:val="00E22ADF"/>
    <w:rsid w:val="00E22C8F"/>
    <w:rsid w:val="00E23072"/>
    <w:rsid w:val="00E23402"/>
    <w:rsid w:val="00E234F3"/>
    <w:rsid w:val="00E23659"/>
    <w:rsid w:val="00E23A18"/>
    <w:rsid w:val="00E23ACD"/>
    <w:rsid w:val="00E24D18"/>
    <w:rsid w:val="00E25040"/>
    <w:rsid w:val="00E2542A"/>
    <w:rsid w:val="00E2549B"/>
    <w:rsid w:val="00E25823"/>
    <w:rsid w:val="00E26C3D"/>
    <w:rsid w:val="00E26E59"/>
    <w:rsid w:val="00E26FCA"/>
    <w:rsid w:val="00E27241"/>
    <w:rsid w:val="00E27295"/>
    <w:rsid w:val="00E27B7D"/>
    <w:rsid w:val="00E27C1A"/>
    <w:rsid w:val="00E27FE8"/>
    <w:rsid w:val="00E304F4"/>
    <w:rsid w:val="00E30A7B"/>
    <w:rsid w:val="00E30B0D"/>
    <w:rsid w:val="00E3135F"/>
    <w:rsid w:val="00E3141B"/>
    <w:rsid w:val="00E31A80"/>
    <w:rsid w:val="00E31AF5"/>
    <w:rsid w:val="00E31C05"/>
    <w:rsid w:val="00E31D6D"/>
    <w:rsid w:val="00E31DA0"/>
    <w:rsid w:val="00E32394"/>
    <w:rsid w:val="00E33795"/>
    <w:rsid w:val="00E341F7"/>
    <w:rsid w:val="00E3445C"/>
    <w:rsid w:val="00E345C9"/>
    <w:rsid w:val="00E3495F"/>
    <w:rsid w:val="00E34A62"/>
    <w:rsid w:val="00E35F62"/>
    <w:rsid w:val="00E35FC5"/>
    <w:rsid w:val="00E36269"/>
    <w:rsid w:val="00E3642D"/>
    <w:rsid w:val="00E3728D"/>
    <w:rsid w:val="00E37370"/>
    <w:rsid w:val="00E373B3"/>
    <w:rsid w:val="00E37632"/>
    <w:rsid w:val="00E4086E"/>
    <w:rsid w:val="00E416E8"/>
    <w:rsid w:val="00E41BDA"/>
    <w:rsid w:val="00E42698"/>
    <w:rsid w:val="00E429B1"/>
    <w:rsid w:val="00E4333F"/>
    <w:rsid w:val="00E436FC"/>
    <w:rsid w:val="00E43CE9"/>
    <w:rsid w:val="00E43F39"/>
    <w:rsid w:val="00E45451"/>
    <w:rsid w:val="00E45472"/>
    <w:rsid w:val="00E455DE"/>
    <w:rsid w:val="00E4564F"/>
    <w:rsid w:val="00E4566E"/>
    <w:rsid w:val="00E45931"/>
    <w:rsid w:val="00E4651E"/>
    <w:rsid w:val="00E46C1F"/>
    <w:rsid w:val="00E46D5A"/>
    <w:rsid w:val="00E46E51"/>
    <w:rsid w:val="00E472E5"/>
    <w:rsid w:val="00E47AD0"/>
    <w:rsid w:val="00E47D0A"/>
    <w:rsid w:val="00E50DF7"/>
    <w:rsid w:val="00E51243"/>
    <w:rsid w:val="00E51263"/>
    <w:rsid w:val="00E51F16"/>
    <w:rsid w:val="00E521A6"/>
    <w:rsid w:val="00E522D1"/>
    <w:rsid w:val="00E52BBC"/>
    <w:rsid w:val="00E52D47"/>
    <w:rsid w:val="00E52FF9"/>
    <w:rsid w:val="00E5383C"/>
    <w:rsid w:val="00E54178"/>
    <w:rsid w:val="00E54786"/>
    <w:rsid w:val="00E54998"/>
    <w:rsid w:val="00E549CA"/>
    <w:rsid w:val="00E54E09"/>
    <w:rsid w:val="00E5553D"/>
    <w:rsid w:val="00E55638"/>
    <w:rsid w:val="00E55B6B"/>
    <w:rsid w:val="00E56792"/>
    <w:rsid w:val="00E57167"/>
    <w:rsid w:val="00E57602"/>
    <w:rsid w:val="00E5763F"/>
    <w:rsid w:val="00E57A6B"/>
    <w:rsid w:val="00E6062C"/>
    <w:rsid w:val="00E6138D"/>
    <w:rsid w:val="00E61A30"/>
    <w:rsid w:val="00E62436"/>
    <w:rsid w:val="00E63402"/>
    <w:rsid w:val="00E63915"/>
    <w:rsid w:val="00E639FB"/>
    <w:rsid w:val="00E63BED"/>
    <w:rsid w:val="00E63CEF"/>
    <w:rsid w:val="00E64785"/>
    <w:rsid w:val="00E64896"/>
    <w:rsid w:val="00E65BB8"/>
    <w:rsid w:val="00E65E92"/>
    <w:rsid w:val="00E660C9"/>
    <w:rsid w:val="00E66215"/>
    <w:rsid w:val="00E662E6"/>
    <w:rsid w:val="00E664FD"/>
    <w:rsid w:val="00E66579"/>
    <w:rsid w:val="00E66581"/>
    <w:rsid w:val="00E66908"/>
    <w:rsid w:val="00E673E1"/>
    <w:rsid w:val="00E67972"/>
    <w:rsid w:val="00E70060"/>
    <w:rsid w:val="00E7042E"/>
    <w:rsid w:val="00E70499"/>
    <w:rsid w:val="00E704C4"/>
    <w:rsid w:val="00E70719"/>
    <w:rsid w:val="00E70914"/>
    <w:rsid w:val="00E70A12"/>
    <w:rsid w:val="00E713E8"/>
    <w:rsid w:val="00E713F5"/>
    <w:rsid w:val="00E719C1"/>
    <w:rsid w:val="00E71A82"/>
    <w:rsid w:val="00E722AC"/>
    <w:rsid w:val="00E72E67"/>
    <w:rsid w:val="00E7314C"/>
    <w:rsid w:val="00E73377"/>
    <w:rsid w:val="00E7358D"/>
    <w:rsid w:val="00E73A82"/>
    <w:rsid w:val="00E74541"/>
    <w:rsid w:val="00E749B6"/>
    <w:rsid w:val="00E74A01"/>
    <w:rsid w:val="00E753E2"/>
    <w:rsid w:val="00E75895"/>
    <w:rsid w:val="00E76A62"/>
    <w:rsid w:val="00E7710B"/>
    <w:rsid w:val="00E7739B"/>
    <w:rsid w:val="00E776BF"/>
    <w:rsid w:val="00E80201"/>
    <w:rsid w:val="00E80EA6"/>
    <w:rsid w:val="00E81206"/>
    <w:rsid w:val="00E81649"/>
    <w:rsid w:val="00E816F3"/>
    <w:rsid w:val="00E8180A"/>
    <w:rsid w:val="00E81CC0"/>
    <w:rsid w:val="00E82B13"/>
    <w:rsid w:val="00E82F0B"/>
    <w:rsid w:val="00E8402D"/>
    <w:rsid w:val="00E8484A"/>
    <w:rsid w:val="00E84BDF"/>
    <w:rsid w:val="00E85E95"/>
    <w:rsid w:val="00E863F8"/>
    <w:rsid w:val="00E86927"/>
    <w:rsid w:val="00E86D38"/>
    <w:rsid w:val="00E87299"/>
    <w:rsid w:val="00E876D3"/>
    <w:rsid w:val="00E87970"/>
    <w:rsid w:val="00E87D3D"/>
    <w:rsid w:val="00E87E45"/>
    <w:rsid w:val="00E87EAF"/>
    <w:rsid w:val="00E87FB1"/>
    <w:rsid w:val="00E901AC"/>
    <w:rsid w:val="00E90922"/>
    <w:rsid w:val="00E90B62"/>
    <w:rsid w:val="00E90C0C"/>
    <w:rsid w:val="00E90CEA"/>
    <w:rsid w:val="00E91057"/>
    <w:rsid w:val="00E9186A"/>
    <w:rsid w:val="00E919AB"/>
    <w:rsid w:val="00E9291F"/>
    <w:rsid w:val="00E9367A"/>
    <w:rsid w:val="00E93A18"/>
    <w:rsid w:val="00E93C2B"/>
    <w:rsid w:val="00E944F1"/>
    <w:rsid w:val="00E94A19"/>
    <w:rsid w:val="00E94B0C"/>
    <w:rsid w:val="00E94D76"/>
    <w:rsid w:val="00E94F86"/>
    <w:rsid w:val="00E9517F"/>
    <w:rsid w:val="00E9599D"/>
    <w:rsid w:val="00E95A50"/>
    <w:rsid w:val="00E961A5"/>
    <w:rsid w:val="00E9628D"/>
    <w:rsid w:val="00E96490"/>
    <w:rsid w:val="00E96567"/>
    <w:rsid w:val="00E968C1"/>
    <w:rsid w:val="00E969A7"/>
    <w:rsid w:val="00E97339"/>
    <w:rsid w:val="00EA01F5"/>
    <w:rsid w:val="00EA0324"/>
    <w:rsid w:val="00EA0CE4"/>
    <w:rsid w:val="00EA1152"/>
    <w:rsid w:val="00EA1173"/>
    <w:rsid w:val="00EA16C4"/>
    <w:rsid w:val="00EA1829"/>
    <w:rsid w:val="00EA1A5B"/>
    <w:rsid w:val="00EA1C32"/>
    <w:rsid w:val="00EA1FDD"/>
    <w:rsid w:val="00EA33AA"/>
    <w:rsid w:val="00EA38FF"/>
    <w:rsid w:val="00EA3916"/>
    <w:rsid w:val="00EA3966"/>
    <w:rsid w:val="00EA3B34"/>
    <w:rsid w:val="00EA3C09"/>
    <w:rsid w:val="00EA3C14"/>
    <w:rsid w:val="00EA40D8"/>
    <w:rsid w:val="00EA44CA"/>
    <w:rsid w:val="00EA5931"/>
    <w:rsid w:val="00EA6074"/>
    <w:rsid w:val="00EA6AFD"/>
    <w:rsid w:val="00EA713D"/>
    <w:rsid w:val="00EA72C0"/>
    <w:rsid w:val="00EA790F"/>
    <w:rsid w:val="00EA7A36"/>
    <w:rsid w:val="00EA7C47"/>
    <w:rsid w:val="00EB0D83"/>
    <w:rsid w:val="00EB12C0"/>
    <w:rsid w:val="00EB15BE"/>
    <w:rsid w:val="00EB1CCE"/>
    <w:rsid w:val="00EB1E2E"/>
    <w:rsid w:val="00EB217D"/>
    <w:rsid w:val="00EB289E"/>
    <w:rsid w:val="00EB2A50"/>
    <w:rsid w:val="00EB323E"/>
    <w:rsid w:val="00EB35F9"/>
    <w:rsid w:val="00EB3693"/>
    <w:rsid w:val="00EB3A37"/>
    <w:rsid w:val="00EB3CFE"/>
    <w:rsid w:val="00EB4F31"/>
    <w:rsid w:val="00EB50B3"/>
    <w:rsid w:val="00EB5351"/>
    <w:rsid w:val="00EB5A35"/>
    <w:rsid w:val="00EB5CED"/>
    <w:rsid w:val="00EB5FFF"/>
    <w:rsid w:val="00EB619F"/>
    <w:rsid w:val="00EB6225"/>
    <w:rsid w:val="00EB62C1"/>
    <w:rsid w:val="00EB6340"/>
    <w:rsid w:val="00EB64C1"/>
    <w:rsid w:val="00EB77E2"/>
    <w:rsid w:val="00EB7C5C"/>
    <w:rsid w:val="00EC04F2"/>
    <w:rsid w:val="00EC0BDE"/>
    <w:rsid w:val="00EC0C72"/>
    <w:rsid w:val="00EC0F40"/>
    <w:rsid w:val="00EC190A"/>
    <w:rsid w:val="00EC218C"/>
    <w:rsid w:val="00EC2415"/>
    <w:rsid w:val="00EC26D8"/>
    <w:rsid w:val="00EC2D36"/>
    <w:rsid w:val="00EC3A04"/>
    <w:rsid w:val="00EC3A15"/>
    <w:rsid w:val="00EC3DAB"/>
    <w:rsid w:val="00EC3DCE"/>
    <w:rsid w:val="00EC3EB2"/>
    <w:rsid w:val="00EC3FA4"/>
    <w:rsid w:val="00EC40C8"/>
    <w:rsid w:val="00EC4B6E"/>
    <w:rsid w:val="00EC4C2B"/>
    <w:rsid w:val="00EC53C8"/>
    <w:rsid w:val="00EC5404"/>
    <w:rsid w:val="00EC543F"/>
    <w:rsid w:val="00EC580B"/>
    <w:rsid w:val="00EC5F0A"/>
    <w:rsid w:val="00EC6BED"/>
    <w:rsid w:val="00EC6DB9"/>
    <w:rsid w:val="00EC6EFB"/>
    <w:rsid w:val="00EC71F1"/>
    <w:rsid w:val="00ED07FB"/>
    <w:rsid w:val="00ED08F7"/>
    <w:rsid w:val="00ED1761"/>
    <w:rsid w:val="00ED1946"/>
    <w:rsid w:val="00ED1C26"/>
    <w:rsid w:val="00ED1C96"/>
    <w:rsid w:val="00ED1E9C"/>
    <w:rsid w:val="00ED25FA"/>
    <w:rsid w:val="00ED2874"/>
    <w:rsid w:val="00ED29C7"/>
    <w:rsid w:val="00ED2B36"/>
    <w:rsid w:val="00ED38D5"/>
    <w:rsid w:val="00ED4146"/>
    <w:rsid w:val="00ED449B"/>
    <w:rsid w:val="00ED4A08"/>
    <w:rsid w:val="00ED5222"/>
    <w:rsid w:val="00ED5961"/>
    <w:rsid w:val="00ED5A02"/>
    <w:rsid w:val="00ED631C"/>
    <w:rsid w:val="00ED69B2"/>
    <w:rsid w:val="00ED6F48"/>
    <w:rsid w:val="00ED70D4"/>
    <w:rsid w:val="00ED7334"/>
    <w:rsid w:val="00ED758E"/>
    <w:rsid w:val="00ED7B8B"/>
    <w:rsid w:val="00EE0266"/>
    <w:rsid w:val="00EE0747"/>
    <w:rsid w:val="00EE11F6"/>
    <w:rsid w:val="00EE12AA"/>
    <w:rsid w:val="00EE172E"/>
    <w:rsid w:val="00EE1BD9"/>
    <w:rsid w:val="00EE1D3E"/>
    <w:rsid w:val="00EE1E6C"/>
    <w:rsid w:val="00EE1F38"/>
    <w:rsid w:val="00EE216B"/>
    <w:rsid w:val="00EE224E"/>
    <w:rsid w:val="00EE25F5"/>
    <w:rsid w:val="00EE26D9"/>
    <w:rsid w:val="00EE276E"/>
    <w:rsid w:val="00EE2A03"/>
    <w:rsid w:val="00EE2BA8"/>
    <w:rsid w:val="00EE3098"/>
    <w:rsid w:val="00EE344E"/>
    <w:rsid w:val="00EE3466"/>
    <w:rsid w:val="00EE3525"/>
    <w:rsid w:val="00EE38BB"/>
    <w:rsid w:val="00EE3D1D"/>
    <w:rsid w:val="00EE3DA3"/>
    <w:rsid w:val="00EE3EBF"/>
    <w:rsid w:val="00EE3FE7"/>
    <w:rsid w:val="00EE43CE"/>
    <w:rsid w:val="00EE464B"/>
    <w:rsid w:val="00EE480A"/>
    <w:rsid w:val="00EE4D4A"/>
    <w:rsid w:val="00EE4EA1"/>
    <w:rsid w:val="00EE572B"/>
    <w:rsid w:val="00EE5744"/>
    <w:rsid w:val="00EE5900"/>
    <w:rsid w:val="00EE62D9"/>
    <w:rsid w:val="00EF03EB"/>
    <w:rsid w:val="00EF08DB"/>
    <w:rsid w:val="00EF0F65"/>
    <w:rsid w:val="00EF10FF"/>
    <w:rsid w:val="00EF11D3"/>
    <w:rsid w:val="00EF291E"/>
    <w:rsid w:val="00EF29BE"/>
    <w:rsid w:val="00EF340A"/>
    <w:rsid w:val="00EF35EE"/>
    <w:rsid w:val="00EF40D1"/>
    <w:rsid w:val="00EF491D"/>
    <w:rsid w:val="00EF4C12"/>
    <w:rsid w:val="00EF52BD"/>
    <w:rsid w:val="00EF5D9B"/>
    <w:rsid w:val="00EF66C8"/>
    <w:rsid w:val="00EF69EC"/>
    <w:rsid w:val="00EF6A0F"/>
    <w:rsid w:val="00EF6E6E"/>
    <w:rsid w:val="00EF6FF1"/>
    <w:rsid w:val="00EF7CC3"/>
    <w:rsid w:val="00EF7F66"/>
    <w:rsid w:val="00F007BD"/>
    <w:rsid w:val="00F00A48"/>
    <w:rsid w:val="00F015E1"/>
    <w:rsid w:val="00F019B0"/>
    <w:rsid w:val="00F01F9C"/>
    <w:rsid w:val="00F02542"/>
    <w:rsid w:val="00F02BA0"/>
    <w:rsid w:val="00F02CFD"/>
    <w:rsid w:val="00F037F5"/>
    <w:rsid w:val="00F03982"/>
    <w:rsid w:val="00F039AD"/>
    <w:rsid w:val="00F03A95"/>
    <w:rsid w:val="00F03DBE"/>
    <w:rsid w:val="00F0447D"/>
    <w:rsid w:val="00F044A5"/>
    <w:rsid w:val="00F04589"/>
    <w:rsid w:val="00F0463A"/>
    <w:rsid w:val="00F048E0"/>
    <w:rsid w:val="00F04E9C"/>
    <w:rsid w:val="00F05311"/>
    <w:rsid w:val="00F053D5"/>
    <w:rsid w:val="00F05513"/>
    <w:rsid w:val="00F059C5"/>
    <w:rsid w:val="00F05CA4"/>
    <w:rsid w:val="00F05F4D"/>
    <w:rsid w:val="00F065BF"/>
    <w:rsid w:val="00F06733"/>
    <w:rsid w:val="00F06826"/>
    <w:rsid w:val="00F07965"/>
    <w:rsid w:val="00F106A5"/>
    <w:rsid w:val="00F10989"/>
    <w:rsid w:val="00F10F9F"/>
    <w:rsid w:val="00F113EE"/>
    <w:rsid w:val="00F114D8"/>
    <w:rsid w:val="00F11B0D"/>
    <w:rsid w:val="00F11C22"/>
    <w:rsid w:val="00F120F3"/>
    <w:rsid w:val="00F12435"/>
    <w:rsid w:val="00F1284E"/>
    <w:rsid w:val="00F12DC1"/>
    <w:rsid w:val="00F130E0"/>
    <w:rsid w:val="00F13112"/>
    <w:rsid w:val="00F13145"/>
    <w:rsid w:val="00F13300"/>
    <w:rsid w:val="00F1332E"/>
    <w:rsid w:val="00F13523"/>
    <w:rsid w:val="00F138B2"/>
    <w:rsid w:val="00F13B51"/>
    <w:rsid w:val="00F14335"/>
    <w:rsid w:val="00F14F06"/>
    <w:rsid w:val="00F15076"/>
    <w:rsid w:val="00F15412"/>
    <w:rsid w:val="00F159C6"/>
    <w:rsid w:val="00F15C63"/>
    <w:rsid w:val="00F15CA8"/>
    <w:rsid w:val="00F15DBF"/>
    <w:rsid w:val="00F15F7A"/>
    <w:rsid w:val="00F16A94"/>
    <w:rsid w:val="00F17013"/>
    <w:rsid w:val="00F173EB"/>
    <w:rsid w:val="00F17595"/>
    <w:rsid w:val="00F17A85"/>
    <w:rsid w:val="00F20170"/>
    <w:rsid w:val="00F2096F"/>
    <w:rsid w:val="00F20F44"/>
    <w:rsid w:val="00F21071"/>
    <w:rsid w:val="00F21677"/>
    <w:rsid w:val="00F218DF"/>
    <w:rsid w:val="00F21A12"/>
    <w:rsid w:val="00F21A33"/>
    <w:rsid w:val="00F22577"/>
    <w:rsid w:val="00F2293D"/>
    <w:rsid w:val="00F22D00"/>
    <w:rsid w:val="00F23316"/>
    <w:rsid w:val="00F23700"/>
    <w:rsid w:val="00F23AB2"/>
    <w:rsid w:val="00F23E51"/>
    <w:rsid w:val="00F24121"/>
    <w:rsid w:val="00F24447"/>
    <w:rsid w:val="00F2497A"/>
    <w:rsid w:val="00F25718"/>
    <w:rsid w:val="00F25885"/>
    <w:rsid w:val="00F25E9D"/>
    <w:rsid w:val="00F264DD"/>
    <w:rsid w:val="00F265DA"/>
    <w:rsid w:val="00F2669E"/>
    <w:rsid w:val="00F266AB"/>
    <w:rsid w:val="00F268C7"/>
    <w:rsid w:val="00F271BD"/>
    <w:rsid w:val="00F2740A"/>
    <w:rsid w:val="00F27410"/>
    <w:rsid w:val="00F2776B"/>
    <w:rsid w:val="00F27E27"/>
    <w:rsid w:val="00F30B6D"/>
    <w:rsid w:val="00F31A0D"/>
    <w:rsid w:val="00F32148"/>
    <w:rsid w:val="00F3215C"/>
    <w:rsid w:val="00F324FD"/>
    <w:rsid w:val="00F3268E"/>
    <w:rsid w:val="00F33218"/>
    <w:rsid w:val="00F33F2F"/>
    <w:rsid w:val="00F3507D"/>
    <w:rsid w:val="00F3510E"/>
    <w:rsid w:val="00F35498"/>
    <w:rsid w:val="00F35E9E"/>
    <w:rsid w:val="00F35FD8"/>
    <w:rsid w:val="00F36145"/>
    <w:rsid w:val="00F366AD"/>
    <w:rsid w:val="00F36914"/>
    <w:rsid w:val="00F36A9C"/>
    <w:rsid w:val="00F36BBA"/>
    <w:rsid w:val="00F37902"/>
    <w:rsid w:val="00F37905"/>
    <w:rsid w:val="00F37947"/>
    <w:rsid w:val="00F37997"/>
    <w:rsid w:val="00F37CF8"/>
    <w:rsid w:val="00F4017A"/>
    <w:rsid w:val="00F40B8B"/>
    <w:rsid w:val="00F40C39"/>
    <w:rsid w:val="00F40CE2"/>
    <w:rsid w:val="00F4129D"/>
    <w:rsid w:val="00F414C5"/>
    <w:rsid w:val="00F41F40"/>
    <w:rsid w:val="00F420E5"/>
    <w:rsid w:val="00F42A4E"/>
    <w:rsid w:val="00F43445"/>
    <w:rsid w:val="00F43DA5"/>
    <w:rsid w:val="00F43E5E"/>
    <w:rsid w:val="00F447C4"/>
    <w:rsid w:val="00F448D2"/>
    <w:rsid w:val="00F4497F"/>
    <w:rsid w:val="00F44BB6"/>
    <w:rsid w:val="00F45073"/>
    <w:rsid w:val="00F46513"/>
    <w:rsid w:val="00F46662"/>
    <w:rsid w:val="00F47044"/>
    <w:rsid w:val="00F4720D"/>
    <w:rsid w:val="00F47216"/>
    <w:rsid w:val="00F47376"/>
    <w:rsid w:val="00F474E9"/>
    <w:rsid w:val="00F479DD"/>
    <w:rsid w:val="00F47CE3"/>
    <w:rsid w:val="00F5024E"/>
    <w:rsid w:val="00F50E6F"/>
    <w:rsid w:val="00F5169F"/>
    <w:rsid w:val="00F519DC"/>
    <w:rsid w:val="00F52232"/>
    <w:rsid w:val="00F527B4"/>
    <w:rsid w:val="00F52990"/>
    <w:rsid w:val="00F52A7D"/>
    <w:rsid w:val="00F52C56"/>
    <w:rsid w:val="00F53E5C"/>
    <w:rsid w:val="00F54A53"/>
    <w:rsid w:val="00F5518C"/>
    <w:rsid w:val="00F552FA"/>
    <w:rsid w:val="00F55F24"/>
    <w:rsid w:val="00F55FE0"/>
    <w:rsid w:val="00F56196"/>
    <w:rsid w:val="00F56606"/>
    <w:rsid w:val="00F568F1"/>
    <w:rsid w:val="00F56D9D"/>
    <w:rsid w:val="00F572A9"/>
    <w:rsid w:val="00F57615"/>
    <w:rsid w:val="00F57650"/>
    <w:rsid w:val="00F5791F"/>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374"/>
    <w:rsid w:val="00F63413"/>
    <w:rsid w:val="00F63C4D"/>
    <w:rsid w:val="00F63FC3"/>
    <w:rsid w:val="00F643AE"/>
    <w:rsid w:val="00F644F3"/>
    <w:rsid w:val="00F645A5"/>
    <w:rsid w:val="00F6461F"/>
    <w:rsid w:val="00F64E86"/>
    <w:rsid w:val="00F6564B"/>
    <w:rsid w:val="00F6564D"/>
    <w:rsid w:val="00F6575D"/>
    <w:rsid w:val="00F66367"/>
    <w:rsid w:val="00F670C0"/>
    <w:rsid w:val="00F70252"/>
    <w:rsid w:val="00F706F6"/>
    <w:rsid w:val="00F70729"/>
    <w:rsid w:val="00F709BA"/>
    <w:rsid w:val="00F70D8C"/>
    <w:rsid w:val="00F70DF1"/>
    <w:rsid w:val="00F71183"/>
    <w:rsid w:val="00F7122A"/>
    <w:rsid w:val="00F71B86"/>
    <w:rsid w:val="00F725F3"/>
    <w:rsid w:val="00F72B64"/>
    <w:rsid w:val="00F72C0B"/>
    <w:rsid w:val="00F72F2A"/>
    <w:rsid w:val="00F736C1"/>
    <w:rsid w:val="00F73781"/>
    <w:rsid w:val="00F73829"/>
    <w:rsid w:val="00F73A12"/>
    <w:rsid w:val="00F73F99"/>
    <w:rsid w:val="00F73FC6"/>
    <w:rsid w:val="00F74B04"/>
    <w:rsid w:val="00F74DE1"/>
    <w:rsid w:val="00F74DEB"/>
    <w:rsid w:val="00F75405"/>
    <w:rsid w:val="00F7548A"/>
    <w:rsid w:val="00F75B48"/>
    <w:rsid w:val="00F75E70"/>
    <w:rsid w:val="00F75E99"/>
    <w:rsid w:val="00F76012"/>
    <w:rsid w:val="00F76A13"/>
    <w:rsid w:val="00F76AD3"/>
    <w:rsid w:val="00F76D7C"/>
    <w:rsid w:val="00F771DB"/>
    <w:rsid w:val="00F7766C"/>
    <w:rsid w:val="00F77900"/>
    <w:rsid w:val="00F7795E"/>
    <w:rsid w:val="00F803E5"/>
    <w:rsid w:val="00F80532"/>
    <w:rsid w:val="00F806DA"/>
    <w:rsid w:val="00F80BC6"/>
    <w:rsid w:val="00F80ED3"/>
    <w:rsid w:val="00F81188"/>
    <w:rsid w:val="00F819D1"/>
    <w:rsid w:val="00F81F86"/>
    <w:rsid w:val="00F82A6B"/>
    <w:rsid w:val="00F835D4"/>
    <w:rsid w:val="00F83EB2"/>
    <w:rsid w:val="00F848B6"/>
    <w:rsid w:val="00F84D0B"/>
    <w:rsid w:val="00F84DFF"/>
    <w:rsid w:val="00F84FED"/>
    <w:rsid w:val="00F854C0"/>
    <w:rsid w:val="00F863D4"/>
    <w:rsid w:val="00F866B4"/>
    <w:rsid w:val="00F86726"/>
    <w:rsid w:val="00F86798"/>
    <w:rsid w:val="00F86B22"/>
    <w:rsid w:val="00F87247"/>
    <w:rsid w:val="00F87AF6"/>
    <w:rsid w:val="00F9072C"/>
    <w:rsid w:val="00F907A1"/>
    <w:rsid w:val="00F90B14"/>
    <w:rsid w:val="00F91666"/>
    <w:rsid w:val="00F92138"/>
    <w:rsid w:val="00F9249A"/>
    <w:rsid w:val="00F92596"/>
    <w:rsid w:val="00F926C0"/>
    <w:rsid w:val="00F9288B"/>
    <w:rsid w:val="00F935D9"/>
    <w:rsid w:val="00F935DA"/>
    <w:rsid w:val="00F93A6A"/>
    <w:rsid w:val="00F93B47"/>
    <w:rsid w:val="00F9439F"/>
    <w:rsid w:val="00F94805"/>
    <w:rsid w:val="00F9516F"/>
    <w:rsid w:val="00F95563"/>
    <w:rsid w:val="00F95C4E"/>
    <w:rsid w:val="00F95CD2"/>
    <w:rsid w:val="00F960B0"/>
    <w:rsid w:val="00F96724"/>
    <w:rsid w:val="00F96871"/>
    <w:rsid w:val="00F96D5B"/>
    <w:rsid w:val="00F97278"/>
    <w:rsid w:val="00F975D7"/>
    <w:rsid w:val="00FA1458"/>
    <w:rsid w:val="00FA1A3E"/>
    <w:rsid w:val="00FA1A73"/>
    <w:rsid w:val="00FA1B66"/>
    <w:rsid w:val="00FA1BCE"/>
    <w:rsid w:val="00FA21D2"/>
    <w:rsid w:val="00FA22B7"/>
    <w:rsid w:val="00FA2C2F"/>
    <w:rsid w:val="00FA2E13"/>
    <w:rsid w:val="00FA3669"/>
    <w:rsid w:val="00FA3746"/>
    <w:rsid w:val="00FA37B7"/>
    <w:rsid w:val="00FA3BC9"/>
    <w:rsid w:val="00FA3C37"/>
    <w:rsid w:val="00FA3C6C"/>
    <w:rsid w:val="00FA45F9"/>
    <w:rsid w:val="00FA4999"/>
    <w:rsid w:val="00FA49A7"/>
    <w:rsid w:val="00FA4AA0"/>
    <w:rsid w:val="00FA53F3"/>
    <w:rsid w:val="00FA54DE"/>
    <w:rsid w:val="00FA587B"/>
    <w:rsid w:val="00FA61A0"/>
    <w:rsid w:val="00FA6579"/>
    <w:rsid w:val="00FA6892"/>
    <w:rsid w:val="00FA7DF2"/>
    <w:rsid w:val="00FB0199"/>
    <w:rsid w:val="00FB0708"/>
    <w:rsid w:val="00FB1624"/>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B54"/>
    <w:rsid w:val="00FB5E4B"/>
    <w:rsid w:val="00FB5F04"/>
    <w:rsid w:val="00FB63CF"/>
    <w:rsid w:val="00FB6B16"/>
    <w:rsid w:val="00FC093A"/>
    <w:rsid w:val="00FC17B1"/>
    <w:rsid w:val="00FC21BC"/>
    <w:rsid w:val="00FC2469"/>
    <w:rsid w:val="00FC2FB9"/>
    <w:rsid w:val="00FC3079"/>
    <w:rsid w:val="00FC343C"/>
    <w:rsid w:val="00FC3540"/>
    <w:rsid w:val="00FC42A3"/>
    <w:rsid w:val="00FC4464"/>
    <w:rsid w:val="00FC5489"/>
    <w:rsid w:val="00FC5563"/>
    <w:rsid w:val="00FC70D5"/>
    <w:rsid w:val="00FC74D2"/>
    <w:rsid w:val="00FD0237"/>
    <w:rsid w:val="00FD0577"/>
    <w:rsid w:val="00FD0778"/>
    <w:rsid w:val="00FD0DDD"/>
    <w:rsid w:val="00FD0EA3"/>
    <w:rsid w:val="00FD0FE8"/>
    <w:rsid w:val="00FD14EA"/>
    <w:rsid w:val="00FD169E"/>
    <w:rsid w:val="00FD2D52"/>
    <w:rsid w:val="00FD2D65"/>
    <w:rsid w:val="00FD3038"/>
    <w:rsid w:val="00FD3587"/>
    <w:rsid w:val="00FD415E"/>
    <w:rsid w:val="00FD44EA"/>
    <w:rsid w:val="00FD4775"/>
    <w:rsid w:val="00FD477B"/>
    <w:rsid w:val="00FD4872"/>
    <w:rsid w:val="00FD496D"/>
    <w:rsid w:val="00FD4D32"/>
    <w:rsid w:val="00FD50DE"/>
    <w:rsid w:val="00FD5128"/>
    <w:rsid w:val="00FD57D0"/>
    <w:rsid w:val="00FD5974"/>
    <w:rsid w:val="00FD5D0B"/>
    <w:rsid w:val="00FD5F79"/>
    <w:rsid w:val="00FD63F3"/>
    <w:rsid w:val="00FD64D7"/>
    <w:rsid w:val="00FD675A"/>
    <w:rsid w:val="00FD694D"/>
    <w:rsid w:val="00FD71F9"/>
    <w:rsid w:val="00FD78B1"/>
    <w:rsid w:val="00FD7C18"/>
    <w:rsid w:val="00FD7E9C"/>
    <w:rsid w:val="00FD7F39"/>
    <w:rsid w:val="00FE0530"/>
    <w:rsid w:val="00FE054D"/>
    <w:rsid w:val="00FE0B8F"/>
    <w:rsid w:val="00FE0DB1"/>
    <w:rsid w:val="00FE123B"/>
    <w:rsid w:val="00FE1707"/>
    <w:rsid w:val="00FE1E66"/>
    <w:rsid w:val="00FE3263"/>
    <w:rsid w:val="00FE32D5"/>
    <w:rsid w:val="00FE406D"/>
    <w:rsid w:val="00FE465D"/>
    <w:rsid w:val="00FE48DE"/>
    <w:rsid w:val="00FE533E"/>
    <w:rsid w:val="00FE53E7"/>
    <w:rsid w:val="00FE5516"/>
    <w:rsid w:val="00FE625F"/>
    <w:rsid w:val="00FE6566"/>
    <w:rsid w:val="00FE7163"/>
    <w:rsid w:val="00FE72BE"/>
    <w:rsid w:val="00FE7A44"/>
    <w:rsid w:val="00FE7DB4"/>
    <w:rsid w:val="00FF004B"/>
    <w:rsid w:val="00FF052D"/>
    <w:rsid w:val="00FF0A4D"/>
    <w:rsid w:val="00FF17A6"/>
    <w:rsid w:val="00FF2133"/>
    <w:rsid w:val="00FF25A4"/>
    <w:rsid w:val="00FF2625"/>
    <w:rsid w:val="00FF2960"/>
    <w:rsid w:val="00FF2DE3"/>
    <w:rsid w:val="00FF358A"/>
    <w:rsid w:val="00FF40F5"/>
    <w:rsid w:val="00FF43D8"/>
    <w:rsid w:val="00FF456F"/>
    <w:rsid w:val="00FF4EEB"/>
    <w:rsid w:val="00FF54A0"/>
    <w:rsid w:val="00FF5B6A"/>
    <w:rsid w:val="00FF5C30"/>
    <w:rsid w:val="00FF5F39"/>
    <w:rsid w:val="00FF5FEF"/>
    <w:rsid w:val="00FF6162"/>
    <w:rsid w:val="00FF6348"/>
    <w:rsid w:val="00FF6AD6"/>
    <w:rsid w:val="00FF6ADB"/>
    <w:rsid w:val="00FF6D13"/>
    <w:rsid w:val="00FF6E04"/>
    <w:rsid w:val="00FF6F4B"/>
    <w:rsid w:val="00FF7F16"/>
    <w:rsid w:val="014E5170"/>
    <w:rsid w:val="01DD30AC"/>
    <w:rsid w:val="039F26EC"/>
    <w:rsid w:val="04627981"/>
    <w:rsid w:val="047A2D0B"/>
    <w:rsid w:val="049C255B"/>
    <w:rsid w:val="04D57112"/>
    <w:rsid w:val="06871610"/>
    <w:rsid w:val="0689046C"/>
    <w:rsid w:val="06EC5A68"/>
    <w:rsid w:val="08666F7F"/>
    <w:rsid w:val="08FC75F7"/>
    <w:rsid w:val="092642E1"/>
    <w:rsid w:val="09EB6BBC"/>
    <w:rsid w:val="09FC233D"/>
    <w:rsid w:val="0AEB2ADC"/>
    <w:rsid w:val="0C90361E"/>
    <w:rsid w:val="0DA85805"/>
    <w:rsid w:val="0DC8201B"/>
    <w:rsid w:val="0E6B43A9"/>
    <w:rsid w:val="0EBC47AA"/>
    <w:rsid w:val="0F5031AE"/>
    <w:rsid w:val="106B383B"/>
    <w:rsid w:val="11CD74C7"/>
    <w:rsid w:val="127F05CD"/>
    <w:rsid w:val="135A41F9"/>
    <w:rsid w:val="1364442F"/>
    <w:rsid w:val="13A57499"/>
    <w:rsid w:val="14400668"/>
    <w:rsid w:val="1489376D"/>
    <w:rsid w:val="16623271"/>
    <w:rsid w:val="168E23DD"/>
    <w:rsid w:val="179C2CF8"/>
    <w:rsid w:val="17AA13A4"/>
    <w:rsid w:val="17EB1729"/>
    <w:rsid w:val="1869085E"/>
    <w:rsid w:val="18732F02"/>
    <w:rsid w:val="18DF5030"/>
    <w:rsid w:val="19542234"/>
    <w:rsid w:val="1A863F4C"/>
    <w:rsid w:val="1B3F045F"/>
    <w:rsid w:val="1B5E17FA"/>
    <w:rsid w:val="1CA10BDB"/>
    <w:rsid w:val="1CB26960"/>
    <w:rsid w:val="1D435BD8"/>
    <w:rsid w:val="1D8A6885"/>
    <w:rsid w:val="1DFD7BEE"/>
    <w:rsid w:val="1E2E1E3D"/>
    <w:rsid w:val="1E517AE7"/>
    <w:rsid w:val="1E6370B6"/>
    <w:rsid w:val="1E914E2B"/>
    <w:rsid w:val="1F8D1254"/>
    <w:rsid w:val="1FA27036"/>
    <w:rsid w:val="209A442A"/>
    <w:rsid w:val="22A61640"/>
    <w:rsid w:val="22FA40AF"/>
    <w:rsid w:val="2506656E"/>
    <w:rsid w:val="278C2B55"/>
    <w:rsid w:val="27DD37A4"/>
    <w:rsid w:val="289E0EF0"/>
    <w:rsid w:val="2A514EA5"/>
    <w:rsid w:val="2A7B60C9"/>
    <w:rsid w:val="2BC74FDC"/>
    <w:rsid w:val="2BE35BDB"/>
    <w:rsid w:val="2D3D55F0"/>
    <w:rsid w:val="2ED00E6C"/>
    <w:rsid w:val="2F3450B0"/>
    <w:rsid w:val="2F62755D"/>
    <w:rsid w:val="2FC601DF"/>
    <w:rsid w:val="300F7DA2"/>
    <w:rsid w:val="31487A62"/>
    <w:rsid w:val="31AB4DE8"/>
    <w:rsid w:val="31D311B6"/>
    <w:rsid w:val="322C0C69"/>
    <w:rsid w:val="33BE40B4"/>
    <w:rsid w:val="3484046F"/>
    <w:rsid w:val="34A41103"/>
    <w:rsid w:val="35F610CC"/>
    <w:rsid w:val="36923D86"/>
    <w:rsid w:val="36E72989"/>
    <w:rsid w:val="376E1D7F"/>
    <w:rsid w:val="37BD679F"/>
    <w:rsid w:val="37C51933"/>
    <w:rsid w:val="38176328"/>
    <w:rsid w:val="38C727FF"/>
    <w:rsid w:val="38EE0F64"/>
    <w:rsid w:val="3AA1362B"/>
    <w:rsid w:val="3B423318"/>
    <w:rsid w:val="3BE144FC"/>
    <w:rsid w:val="3CDF57D8"/>
    <w:rsid w:val="3D162E2E"/>
    <w:rsid w:val="3DF73E10"/>
    <w:rsid w:val="3FD31FAD"/>
    <w:rsid w:val="404D164D"/>
    <w:rsid w:val="413F3FCD"/>
    <w:rsid w:val="452C2AF7"/>
    <w:rsid w:val="453778CF"/>
    <w:rsid w:val="454437E0"/>
    <w:rsid w:val="45B2099B"/>
    <w:rsid w:val="468B0A30"/>
    <w:rsid w:val="46B16710"/>
    <w:rsid w:val="478F0512"/>
    <w:rsid w:val="49C70B88"/>
    <w:rsid w:val="49E14566"/>
    <w:rsid w:val="4A3D070B"/>
    <w:rsid w:val="4B716A61"/>
    <w:rsid w:val="4C840FB5"/>
    <w:rsid w:val="4CF828D2"/>
    <w:rsid w:val="4FAE1644"/>
    <w:rsid w:val="501E0023"/>
    <w:rsid w:val="517059FE"/>
    <w:rsid w:val="518520AA"/>
    <w:rsid w:val="52275800"/>
    <w:rsid w:val="526C02F9"/>
    <w:rsid w:val="54040D25"/>
    <w:rsid w:val="55133F2D"/>
    <w:rsid w:val="55616C94"/>
    <w:rsid w:val="57E37B70"/>
    <w:rsid w:val="58BE1CE9"/>
    <w:rsid w:val="5C014A7E"/>
    <w:rsid w:val="5C410965"/>
    <w:rsid w:val="5D094760"/>
    <w:rsid w:val="5E4E0FEE"/>
    <w:rsid w:val="5F126429"/>
    <w:rsid w:val="5F5E0A3D"/>
    <w:rsid w:val="5FCB4B81"/>
    <w:rsid w:val="60BA6573"/>
    <w:rsid w:val="6107791F"/>
    <w:rsid w:val="61E92AAE"/>
    <w:rsid w:val="629B5A91"/>
    <w:rsid w:val="62C75623"/>
    <w:rsid w:val="62F83629"/>
    <w:rsid w:val="635E7337"/>
    <w:rsid w:val="659C63EB"/>
    <w:rsid w:val="65A1799D"/>
    <w:rsid w:val="66832C05"/>
    <w:rsid w:val="672B4460"/>
    <w:rsid w:val="67D7383D"/>
    <w:rsid w:val="69456F48"/>
    <w:rsid w:val="6A7E031B"/>
    <w:rsid w:val="6A815A9F"/>
    <w:rsid w:val="6B82710A"/>
    <w:rsid w:val="6B9F536F"/>
    <w:rsid w:val="6CF317FD"/>
    <w:rsid w:val="6D167B4F"/>
    <w:rsid w:val="6DA03AEE"/>
    <w:rsid w:val="6E186CF9"/>
    <w:rsid w:val="6E1B01BC"/>
    <w:rsid w:val="6FD805C8"/>
    <w:rsid w:val="70201102"/>
    <w:rsid w:val="7021123B"/>
    <w:rsid w:val="705005A5"/>
    <w:rsid w:val="718425F7"/>
    <w:rsid w:val="71D3156E"/>
    <w:rsid w:val="72C31D75"/>
    <w:rsid w:val="72D70442"/>
    <w:rsid w:val="73AF72C0"/>
    <w:rsid w:val="744922BB"/>
    <w:rsid w:val="745D1BAB"/>
    <w:rsid w:val="75D2531F"/>
    <w:rsid w:val="76490C35"/>
    <w:rsid w:val="764F2FDE"/>
    <w:rsid w:val="76774D14"/>
    <w:rsid w:val="773E2DB8"/>
    <w:rsid w:val="77AE3793"/>
    <w:rsid w:val="780C549C"/>
    <w:rsid w:val="78F03D4D"/>
    <w:rsid w:val="7936534A"/>
    <w:rsid w:val="79502290"/>
    <w:rsid w:val="7A313C5A"/>
    <w:rsid w:val="7C531129"/>
    <w:rsid w:val="7EA56369"/>
    <w:rsid w:val="7F4B3686"/>
    <w:rsid w:val="7FDF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4"/>
    <w:qFormat/>
    <w:uiPriority w:val="9"/>
    <w:pPr>
      <w:keepNext/>
      <w:keepLines/>
      <w:spacing w:line="360" w:lineRule="auto"/>
      <w:outlineLvl w:val="0"/>
    </w:pPr>
    <w:rPr>
      <w:rFonts w:ascii="Calibri" w:hAnsi="Calibri"/>
      <w:b/>
      <w:bCs/>
      <w:kern w:val="44"/>
      <w:sz w:val="44"/>
      <w:szCs w:val="44"/>
    </w:rPr>
  </w:style>
  <w:style w:type="paragraph" w:styleId="5">
    <w:name w:val="heading 2"/>
    <w:basedOn w:val="1"/>
    <w:next w:val="1"/>
    <w:link w:val="51"/>
    <w:qFormat/>
    <w:uiPriority w:val="0"/>
    <w:pPr>
      <w:keepNext/>
      <w:keepLines/>
      <w:spacing w:line="360" w:lineRule="auto"/>
      <w:ind w:left="567"/>
      <w:outlineLvl w:val="1"/>
    </w:pPr>
    <w:rPr>
      <w:rFonts w:ascii="Cambria" w:hAnsi="Cambria"/>
      <w:b/>
      <w:bCs/>
      <w:sz w:val="32"/>
      <w:szCs w:val="32"/>
    </w:rPr>
  </w:style>
  <w:style w:type="paragraph" w:styleId="6">
    <w:name w:val="heading 3"/>
    <w:basedOn w:val="1"/>
    <w:next w:val="1"/>
    <w:link w:val="82"/>
    <w:qFormat/>
    <w:uiPriority w:val="0"/>
    <w:pPr>
      <w:keepNext/>
      <w:keepLines/>
      <w:spacing w:before="260" w:after="260" w:line="416" w:lineRule="auto"/>
      <w:outlineLvl w:val="2"/>
    </w:pPr>
    <w:rPr>
      <w:b/>
      <w:bCs/>
      <w:sz w:val="32"/>
      <w:szCs w:val="32"/>
    </w:rPr>
  </w:style>
  <w:style w:type="paragraph" w:styleId="7">
    <w:name w:val="heading 4"/>
    <w:basedOn w:val="1"/>
    <w:next w:val="1"/>
    <w:link w:val="76"/>
    <w:qFormat/>
    <w:uiPriority w:val="0"/>
    <w:pPr>
      <w:keepNext/>
      <w:keepLines/>
      <w:spacing w:before="280" w:after="290" w:line="376" w:lineRule="atLeast"/>
      <w:ind w:firstLine="200" w:firstLineChars="200"/>
      <w:outlineLvl w:val="3"/>
    </w:pPr>
    <w:rPr>
      <w:rFonts w:ascii="Cambria" w:hAnsi="Cambria"/>
      <w:b/>
      <w:bCs/>
      <w:sz w:val="28"/>
      <w:szCs w:val="28"/>
    </w:rPr>
  </w:style>
  <w:style w:type="paragraph" w:styleId="8">
    <w:name w:val="heading 5"/>
    <w:basedOn w:val="1"/>
    <w:next w:val="1"/>
    <w:link w:val="54"/>
    <w:qFormat/>
    <w:uiPriority w:val="0"/>
    <w:pPr>
      <w:keepNext/>
      <w:keepLines/>
      <w:spacing w:before="280" w:after="290" w:line="376" w:lineRule="atLeast"/>
      <w:ind w:firstLine="200" w:firstLineChars="200"/>
      <w:outlineLvl w:val="4"/>
    </w:pPr>
    <w:rPr>
      <w:rFonts w:ascii="Calibri" w:hAnsi="Calibri"/>
      <w:b/>
      <w:bCs/>
      <w:sz w:val="28"/>
      <w:szCs w:val="28"/>
    </w:rPr>
  </w:style>
  <w:style w:type="paragraph" w:styleId="9">
    <w:name w:val="heading 6"/>
    <w:basedOn w:val="1"/>
    <w:next w:val="1"/>
    <w:link w:val="77"/>
    <w:qFormat/>
    <w:uiPriority w:val="0"/>
    <w:pPr>
      <w:keepNext/>
      <w:keepLines/>
      <w:spacing w:before="240" w:after="64" w:line="320" w:lineRule="auto"/>
      <w:outlineLvl w:val="5"/>
    </w:pPr>
    <w:rPr>
      <w:rFonts w:ascii="Arial" w:hAnsi="Arial" w:eastAsia="黑体"/>
      <w:b/>
      <w:bCs/>
      <w:sz w:val="24"/>
    </w:rPr>
  </w:style>
  <w:style w:type="paragraph" w:styleId="10">
    <w:name w:val="heading 7"/>
    <w:next w:val="1"/>
    <w:link w:val="69"/>
    <w:qFormat/>
    <w:uiPriority w:val="0"/>
    <w:pPr>
      <w:keepNext/>
      <w:keepLines/>
      <w:spacing w:beforeLines="60" w:after="96" w:line="319" w:lineRule="auto"/>
      <w:ind w:left="3827" w:hanging="3685"/>
      <w:outlineLvl w:val="6"/>
    </w:pPr>
    <w:rPr>
      <w:rFonts w:ascii="Times New Roman" w:hAnsi="Times New Roman" w:eastAsia="宋体" w:cs="Times New Roman"/>
      <w:b/>
      <w:bCs/>
      <w:kern w:val="2"/>
      <w:sz w:val="24"/>
      <w:szCs w:val="24"/>
      <w:lang w:val="en-US" w:eastAsia="zh-CN" w:bidi="ar-SA"/>
    </w:rPr>
  </w:style>
  <w:style w:type="paragraph" w:styleId="11">
    <w:name w:val="heading 8"/>
    <w:basedOn w:val="10"/>
    <w:next w:val="1"/>
    <w:link w:val="73"/>
    <w:qFormat/>
    <w:uiPriority w:val="0"/>
    <w:pPr>
      <w:ind w:left="5500" w:hanging="5330"/>
      <w:outlineLvl w:val="7"/>
    </w:pPr>
  </w:style>
  <w:style w:type="character" w:default="1" w:styleId="27">
    <w:name w:val="Default Paragraph Font"/>
    <w:semiHidden/>
    <w:qFormat/>
    <w:uiPriority w:val="0"/>
  </w:style>
  <w:style w:type="table" w:default="1" w:styleId="4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12">
    <w:name w:val="annotation subject"/>
    <w:basedOn w:val="13"/>
    <w:next w:val="13"/>
    <w:link w:val="67"/>
    <w:qFormat/>
    <w:uiPriority w:val="0"/>
    <w:rPr>
      <w:b/>
      <w:bCs/>
    </w:rPr>
  </w:style>
  <w:style w:type="paragraph" w:styleId="13">
    <w:name w:val="annotation text"/>
    <w:basedOn w:val="1"/>
    <w:link w:val="65"/>
    <w:qFormat/>
    <w:uiPriority w:val="0"/>
    <w:pPr>
      <w:jc w:val="left"/>
    </w:pPr>
  </w:style>
  <w:style w:type="paragraph" w:styleId="14">
    <w:name w:val="Body Text First Indent"/>
    <w:basedOn w:val="15"/>
    <w:unhideWhenUsed/>
    <w:qFormat/>
    <w:uiPriority w:val="99"/>
    <w:pPr>
      <w:spacing w:line="400" w:lineRule="atLeast"/>
      <w:ind w:firstLine="426"/>
    </w:pPr>
    <w:rPr>
      <w:szCs w:val="20"/>
    </w:rPr>
  </w:style>
  <w:style w:type="paragraph" w:styleId="15">
    <w:name w:val="Body Text"/>
    <w:basedOn w:val="1"/>
    <w:unhideWhenUsed/>
    <w:qFormat/>
    <w:uiPriority w:val="99"/>
    <w:pPr>
      <w:spacing w:after="120"/>
    </w:pPr>
  </w:style>
  <w:style w:type="paragraph" w:styleId="16">
    <w:name w:val="index 8"/>
    <w:basedOn w:val="1"/>
    <w:next w:val="1"/>
    <w:qFormat/>
    <w:uiPriority w:val="0"/>
    <w:pPr>
      <w:ind w:left="2940"/>
    </w:pPr>
  </w:style>
  <w:style w:type="paragraph" w:styleId="17">
    <w:name w:val="Normal Indent"/>
    <w:basedOn w:val="1"/>
    <w:link w:val="81"/>
    <w:qFormat/>
    <w:uiPriority w:val="0"/>
    <w:pPr>
      <w:ind w:firstLine="420"/>
    </w:pPr>
    <w:rPr>
      <w:szCs w:val="20"/>
    </w:rPr>
  </w:style>
  <w:style w:type="paragraph" w:styleId="18">
    <w:name w:val="Document Map"/>
    <w:basedOn w:val="1"/>
    <w:link w:val="78"/>
    <w:qFormat/>
    <w:uiPriority w:val="0"/>
    <w:rPr>
      <w:rFonts w:ascii="宋体"/>
      <w:sz w:val="18"/>
      <w:szCs w:val="18"/>
    </w:rPr>
  </w:style>
  <w:style w:type="paragraph" w:styleId="19">
    <w:name w:val="Body Text 3"/>
    <w:basedOn w:val="1"/>
    <w:qFormat/>
    <w:uiPriority w:val="0"/>
    <w:pPr>
      <w:spacing w:line="240" w:lineRule="exact"/>
    </w:pPr>
    <w:rPr>
      <w:rFonts w:ascii="宋体" w:hAnsi="宋体"/>
      <w:color w:val="000000"/>
      <w:szCs w:val="21"/>
    </w:rPr>
  </w:style>
  <w:style w:type="paragraph" w:styleId="20">
    <w:name w:val="Plain Text"/>
    <w:basedOn w:val="1"/>
    <w:next w:val="16"/>
    <w:link w:val="61"/>
    <w:qFormat/>
    <w:uiPriority w:val="0"/>
    <w:rPr>
      <w:rFonts w:ascii="宋体" w:hAnsi="Courier New"/>
      <w:szCs w:val="20"/>
    </w:rPr>
  </w:style>
  <w:style w:type="paragraph" w:styleId="21">
    <w:name w:val="Date"/>
    <w:basedOn w:val="1"/>
    <w:next w:val="1"/>
    <w:link w:val="45"/>
    <w:qFormat/>
    <w:uiPriority w:val="99"/>
    <w:pPr>
      <w:ind w:left="100" w:leftChars="2500"/>
    </w:pPr>
  </w:style>
  <w:style w:type="paragraph" w:styleId="22">
    <w:name w:val="Balloon Text"/>
    <w:basedOn w:val="1"/>
    <w:link w:val="75"/>
    <w:qFormat/>
    <w:uiPriority w:val="0"/>
    <w:rPr>
      <w:sz w:val="18"/>
      <w:szCs w:val="18"/>
    </w:rPr>
  </w:style>
  <w:style w:type="paragraph" w:styleId="23">
    <w:name w:val="footer"/>
    <w:basedOn w:val="1"/>
    <w:link w:val="47"/>
    <w:qFormat/>
    <w:uiPriority w:val="99"/>
    <w:pPr>
      <w:tabs>
        <w:tab w:val="center" w:pos="4153"/>
        <w:tab w:val="right" w:pos="8306"/>
      </w:tabs>
      <w:snapToGrid w:val="0"/>
      <w:jc w:val="left"/>
    </w:pPr>
    <w:rPr>
      <w:sz w:val="18"/>
      <w:szCs w:val="18"/>
    </w:rPr>
  </w:style>
  <w:style w:type="paragraph" w:styleId="24">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25">
    <w:name w:val="HTML Preformatted"/>
    <w:basedOn w:val="1"/>
    <w:link w:val="8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none"/>
    </w:rPr>
  </w:style>
  <w:style w:type="character" w:styleId="31">
    <w:name w:val="Emphasis"/>
    <w:qFormat/>
    <w:uiPriority w:val="0"/>
  </w:style>
  <w:style w:type="character" w:styleId="32">
    <w:name w:val="line number"/>
    <w:basedOn w:val="27"/>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7"/>
    <w:qFormat/>
    <w:uiPriority w:val="0"/>
  </w:style>
  <w:style w:type="character" w:styleId="36">
    <w:name w:val="HTML Variable"/>
    <w:qFormat/>
    <w:uiPriority w:val="0"/>
  </w:style>
  <w:style w:type="character" w:styleId="37">
    <w:name w:val="Hyperlink"/>
    <w:qFormat/>
    <w:uiPriority w:val="0"/>
    <w:rPr>
      <w:color w:val="0000FF"/>
      <w:u w:val="none"/>
    </w:rPr>
  </w:style>
  <w:style w:type="character" w:styleId="38">
    <w:name w:val="HTML Code"/>
    <w:qFormat/>
    <w:uiPriority w:val="0"/>
    <w:rPr>
      <w:rFonts w:ascii="monospace" w:hAnsi="monospace" w:eastAsia="monospace" w:cs="monospace"/>
      <w:sz w:val="20"/>
    </w:rPr>
  </w:style>
  <w:style w:type="character" w:styleId="39">
    <w:name w:val="annotation reference"/>
    <w:qFormat/>
    <w:uiPriority w:val="99"/>
    <w:rPr>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5">
    <w:name w:val="日期 Char"/>
    <w:link w:val="21"/>
    <w:qFormat/>
    <w:uiPriority w:val="99"/>
    <w:rPr>
      <w:kern w:val="2"/>
      <w:sz w:val="21"/>
      <w:szCs w:val="24"/>
    </w:rPr>
  </w:style>
  <w:style w:type="character" w:customStyle="1" w:styleId="46">
    <w:name w:val="批注文字 Char"/>
    <w:qFormat/>
    <w:uiPriority w:val="99"/>
    <w:rPr>
      <w:rFonts w:eastAsia="宋体"/>
      <w:kern w:val="2"/>
      <w:sz w:val="21"/>
      <w:szCs w:val="24"/>
      <w:lang w:val="en-US" w:eastAsia="zh-CN" w:bidi="ar-SA"/>
    </w:rPr>
  </w:style>
  <w:style w:type="character" w:customStyle="1" w:styleId="47">
    <w:name w:val="页脚 Char"/>
    <w:link w:val="23"/>
    <w:qFormat/>
    <w:uiPriority w:val="99"/>
    <w:rPr>
      <w:rFonts w:eastAsia="宋体"/>
      <w:kern w:val="2"/>
      <w:sz w:val="18"/>
      <w:szCs w:val="18"/>
      <w:lang w:val="en-US" w:eastAsia="zh-CN" w:bidi="ar-SA"/>
    </w:rPr>
  </w:style>
  <w:style w:type="character" w:customStyle="1" w:styleId="48">
    <w:name w:val="font11"/>
    <w:qFormat/>
    <w:uiPriority w:val="0"/>
    <w:rPr>
      <w:rFonts w:hint="eastAsia" w:ascii="宋体" w:hAnsi="宋体" w:eastAsia="宋体" w:cs="宋体"/>
      <w:color w:val="FF0000"/>
      <w:sz w:val="20"/>
      <w:szCs w:val="20"/>
      <w:u w:val="none"/>
    </w:rPr>
  </w:style>
  <w:style w:type="character" w:customStyle="1" w:styleId="49">
    <w:name w:val="PIM 6 Char1"/>
    <w:qFormat/>
    <w:uiPriority w:val="0"/>
    <w:rPr>
      <w:rFonts w:ascii="Arial" w:hAnsi="Arial" w:eastAsia="黑体"/>
      <w:b/>
      <w:bCs/>
      <w:kern w:val="2"/>
      <w:sz w:val="24"/>
      <w:szCs w:val="24"/>
      <w:lang w:val="en-US" w:eastAsia="zh-CN" w:bidi="ar-SA"/>
    </w:rPr>
  </w:style>
  <w:style w:type="character" w:customStyle="1" w:styleId="50">
    <w:name w:val="普通文字 Char Char5"/>
    <w:qFormat/>
    <w:uiPriority w:val="0"/>
    <w:rPr>
      <w:rFonts w:ascii="宋体" w:hAnsi="Courier New" w:eastAsia="宋体"/>
      <w:szCs w:val="21"/>
      <w:lang w:bidi="ar-SA"/>
    </w:rPr>
  </w:style>
  <w:style w:type="character" w:customStyle="1" w:styleId="51">
    <w:name w:val="标题 2 Char"/>
    <w:link w:val="5"/>
    <w:qFormat/>
    <w:uiPriority w:val="0"/>
    <w:rPr>
      <w:rFonts w:ascii="Cambria" w:hAnsi="Cambria" w:eastAsia="宋体"/>
      <w:b/>
      <w:bCs/>
      <w:kern w:val="2"/>
      <w:sz w:val="32"/>
      <w:szCs w:val="32"/>
      <w:lang w:val="en-US" w:eastAsia="zh-CN" w:bidi="ar-SA"/>
    </w:rPr>
  </w:style>
  <w:style w:type="character" w:customStyle="1" w:styleId="52">
    <w:name w:val="Char Char10"/>
    <w:qFormat/>
    <w:locked/>
    <w:uiPriority w:val="0"/>
    <w:rPr>
      <w:rFonts w:ascii="宋体" w:hAnsi="宋体" w:eastAsia="宋体"/>
      <w:kern w:val="2"/>
      <w:sz w:val="21"/>
      <w:szCs w:val="24"/>
      <w:lang w:val="en-US" w:eastAsia="zh-CN" w:bidi="ar-SA"/>
    </w:rPr>
  </w:style>
  <w:style w:type="character" w:customStyle="1" w:styleId="53">
    <w:name w:val=" Char Char1"/>
    <w:qFormat/>
    <w:uiPriority w:val="0"/>
    <w:rPr>
      <w:rFonts w:eastAsia="宋体"/>
      <w:kern w:val="2"/>
      <w:sz w:val="21"/>
      <w:szCs w:val="24"/>
      <w:lang w:val="en-US" w:eastAsia="zh-CN" w:bidi="ar-SA"/>
    </w:rPr>
  </w:style>
  <w:style w:type="character" w:customStyle="1" w:styleId="54">
    <w:name w:val="标题 5 Char"/>
    <w:link w:val="8"/>
    <w:qFormat/>
    <w:uiPriority w:val="0"/>
    <w:rPr>
      <w:rFonts w:ascii="Calibri" w:hAnsi="Calibri" w:eastAsia="宋体"/>
      <w:b/>
      <w:bCs/>
      <w:kern w:val="2"/>
      <w:sz w:val="28"/>
      <w:szCs w:val="28"/>
      <w:lang w:val="en-US" w:eastAsia="zh-CN" w:bidi="ar-SA"/>
    </w:rPr>
  </w:style>
  <w:style w:type="character" w:customStyle="1" w:styleId="55">
    <w:name w:val="fontstyle01"/>
    <w:qFormat/>
    <w:uiPriority w:val="0"/>
    <w:rPr>
      <w:rFonts w:hint="eastAsia" w:ascii="宋体" w:hAnsi="宋体" w:eastAsia="宋体"/>
      <w:color w:val="000000"/>
      <w:sz w:val="22"/>
      <w:szCs w:val="22"/>
    </w:rPr>
  </w:style>
  <w:style w:type="character" w:customStyle="1" w:styleId="56">
    <w:name w:val="编号1 Char"/>
    <w:link w:val="57"/>
    <w:qFormat/>
    <w:uiPriority w:val="0"/>
    <w:rPr>
      <w:rFonts w:ascii="宋体" w:hAnsi="宋体"/>
      <w:b/>
      <w:sz w:val="24"/>
      <w:szCs w:val="24"/>
    </w:rPr>
  </w:style>
  <w:style w:type="paragraph" w:customStyle="1" w:styleId="57">
    <w:name w:val="编号1"/>
    <w:basedOn w:val="1"/>
    <w:link w:val="56"/>
    <w:qFormat/>
    <w:uiPriority w:val="0"/>
    <w:pPr>
      <w:spacing w:line="360" w:lineRule="auto"/>
      <w:ind w:left="113" w:firstLine="454"/>
    </w:pPr>
    <w:rPr>
      <w:rFonts w:ascii="宋体" w:hAnsi="宋体"/>
      <w:b/>
      <w:kern w:val="0"/>
      <w:sz w:val="24"/>
    </w:rPr>
  </w:style>
  <w:style w:type="character" w:customStyle="1" w:styleId="58">
    <w:name w:val="文章正文 Char"/>
    <w:link w:val="59"/>
    <w:qFormat/>
    <w:uiPriority w:val="0"/>
    <w:rPr>
      <w:rFonts w:ascii="宋体" w:hAnsi="宋体" w:eastAsia="宋体"/>
      <w:sz w:val="24"/>
      <w:szCs w:val="21"/>
      <w:lang w:val="en-US" w:eastAsia="en-US" w:bidi="en-US"/>
    </w:rPr>
  </w:style>
  <w:style w:type="paragraph" w:customStyle="1" w:styleId="59">
    <w:name w:val="文章正文"/>
    <w:basedOn w:val="1"/>
    <w:link w:val="58"/>
    <w:qFormat/>
    <w:locked/>
    <w:uiPriority w:val="0"/>
    <w:pPr>
      <w:widowControl/>
      <w:adjustRightInd w:val="0"/>
      <w:snapToGrid w:val="0"/>
      <w:spacing w:line="360" w:lineRule="auto"/>
      <w:ind w:left="359" w:leftChars="171" w:firstLine="480" w:firstLineChars="200"/>
      <w:jc w:val="left"/>
    </w:pPr>
    <w:rPr>
      <w:rFonts w:ascii="宋体" w:hAnsi="宋体"/>
      <w:kern w:val="0"/>
      <w:sz w:val="24"/>
      <w:szCs w:val="21"/>
      <w:lang w:val="en-US" w:eastAsia="en-US" w:bidi="en-US"/>
    </w:rPr>
  </w:style>
  <w:style w:type="character" w:customStyle="1" w:styleId="60">
    <w:name w:val="Comment Text Char"/>
    <w:semiHidden/>
    <w:qFormat/>
    <w:locked/>
    <w:uiPriority w:val="0"/>
    <w:rPr>
      <w:rFonts w:ascii="宋体" w:hAnsi="Courier New" w:eastAsia="宋体" w:cs="Times New Roman"/>
      <w:sz w:val="20"/>
      <w:szCs w:val="20"/>
    </w:rPr>
  </w:style>
  <w:style w:type="character" w:customStyle="1" w:styleId="61">
    <w:name w:val="纯文本 Char"/>
    <w:link w:val="20"/>
    <w:qFormat/>
    <w:uiPriority w:val="0"/>
    <w:rPr>
      <w:rFonts w:ascii="宋体" w:hAnsi="Courier New" w:eastAsia="宋体"/>
      <w:kern w:val="2"/>
      <w:sz w:val="21"/>
      <w:lang w:val="en-US" w:eastAsia="zh-CN" w:bidi="ar-SA"/>
    </w:rPr>
  </w:style>
  <w:style w:type="character" w:customStyle="1" w:styleId="62">
    <w:name w:val="纯文本 字符"/>
    <w:qFormat/>
    <w:uiPriority w:val="0"/>
    <w:rPr>
      <w:rFonts w:ascii="宋体" w:hAnsi="Courier New"/>
      <w:kern w:val="2"/>
      <w:sz w:val="21"/>
    </w:rPr>
  </w:style>
  <w:style w:type="character" w:customStyle="1" w:styleId="63">
    <w:name w:val="fontstyle21"/>
    <w:qFormat/>
    <w:uiPriority w:val="0"/>
    <w:rPr>
      <w:rFonts w:hint="eastAsia" w:ascii="宋体" w:hAnsi="宋体" w:eastAsia="宋体"/>
      <w:color w:val="000000"/>
      <w:sz w:val="22"/>
      <w:szCs w:val="22"/>
    </w:rPr>
  </w:style>
  <w:style w:type="character" w:customStyle="1" w:styleId="64">
    <w:name w:val="日期 Char1"/>
    <w:qFormat/>
    <w:uiPriority w:val="0"/>
    <w:rPr>
      <w:kern w:val="2"/>
      <w:sz w:val="21"/>
      <w:szCs w:val="24"/>
    </w:rPr>
  </w:style>
  <w:style w:type="character" w:customStyle="1" w:styleId="65">
    <w:name w:val="批注文字 Char1"/>
    <w:link w:val="13"/>
    <w:qFormat/>
    <w:uiPriority w:val="0"/>
    <w:rPr>
      <w:rFonts w:eastAsia="宋体"/>
      <w:kern w:val="2"/>
      <w:sz w:val="21"/>
      <w:szCs w:val="24"/>
      <w:lang w:val="en-US" w:eastAsia="zh-CN" w:bidi="ar-SA"/>
    </w:rPr>
  </w:style>
  <w:style w:type="character" w:customStyle="1" w:styleId="66">
    <w:name w:val="Plain Text Char"/>
    <w:semiHidden/>
    <w:qFormat/>
    <w:locked/>
    <w:uiPriority w:val="0"/>
    <w:rPr>
      <w:rFonts w:ascii="宋体" w:hAnsi="Courier New" w:eastAsia="宋体" w:cs="Courier New"/>
      <w:sz w:val="21"/>
      <w:szCs w:val="21"/>
    </w:rPr>
  </w:style>
  <w:style w:type="character" w:customStyle="1" w:styleId="67">
    <w:name w:val="批注主题 Char"/>
    <w:link w:val="12"/>
    <w:qFormat/>
    <w:locked/>
    <w:uiPriority w:val="0"/>
    <w:rPr>
      <w:b/>
      <w:bCs/>
      <w:kern w:val="2"/>
      <w:sz w:val="21"/>
      <w:szCs w:val="24"/>
    </w:rPr>
  </w:style>
  <w:style w:type="character" w:customStyle="1" w:styleId="68">
    <w:name w:val="Heading 1 Char"/>
    <w:qFormat/>
    <w:locked/>
    <w:uiPriority w:val="0"/>
    <w:rPr>
      <w:rFonts w:ascii="宋体" w:hAnsi="Times New Roman" w:eastAsia="宋体" w:cs="Times New Roman"/>
      <w:sz w:val="24"/>
      <w:szCs w:val="24"/>
    </w:rPr>
  </w:style>
  <w:style w:type="character" w:customStyle="1" w:styleId="69">
    <w:name w:val="标题 7 Char"/>
    <w:link w:val="10"/>
    <w:qFormat/>
    <w:uiPriority w:val="0"/>
    <w:rPr>
      <w:b/>
      <w:bCs/>
      <w:kern w:val="2"/>
      <w:sz w:val="24"/>
      <w:szCs w:val="24"/>
      <w:lang w:val="en-US" w:eastAsia="zh-CN" w:bidi="ar-SA"/>
    </w:rPr>
  </w:style>
  <w:style w:type="character" w:customStyle="1" w:styleId="70">
    <w:name w:val="无间隔 Char"/>
    <w:link w:val="71"/>
    <w:qFormat/>
    <w:uiPriority w:val="0"/>
    <w:rPr>
      <w:kern w:val="2"/>
      <w:sz w:val="21"/>
      <w:szCs w:val="22"/>
      <w:lang w:val="en-US" w:eastAsia="zh-CN" w:bidi="ar-SA"/>
    </w:rPr>
  </w:style>
  <w:style w:type="paragraph" w:styleId="71">
    <w:name w:val="No Spacing"/>
    <w:link w:val="7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2">
    <w:name w:val="Char Char1"/>
    <w:qFormat/>
    <w:uiPriority w:val="0"/>
    <w:rPr>
      <w:rFonts w:eastAsia="宋体"/>
      <w:kern w:val="2"/>
      <w:sz w:val="21"/>
      <w:szCs w:val="24"/>
      <w:lang w:val="en-US" w:eastAsia="zh-CN" w:bidi="ar-SA"/>
    </w:rPr>
  </w:style>
  <w:style w:type="character" w:customStyle="1" w:styleId="73">
    <w:name w:val="标题 8 Char"/>
    <w:link w:val="11"/>
    <w:qFormat/>
    <w:uiPriority w:val="0"/>
    <w:rPr>
      <w:rFonts w:eastAsia="宋体"/>
      <w:b/>
      <w:bCs/>
      <w:kern w:val="2"/>
      <w:sz w:val="24"/>
      <w:szCs w:val="24"/>
      <w:lang w:val="en-US" w:eastAsia="zh-CN" w:bidi="ar-SA"/>
    </w:rPr>
  </w:style>
  <w:style w:type="character" w:customStyle="1" w:styleId="74">
    <w:name w:val="页眉 Char"/>
    <w:link w:val="24"/>
    <w:qFormat/>
    <w:uiPriority w:val="99"/>
    <w:rPr>
      <w:rFonts w:eastAsia="宋体"/>
      <w:kern w:val="2"/>
      <w:sz w:val="18"/>
      <w:szCs w:val="18"/>
      <w:lang w:val="en-US" w:eastAsia="zh-CN" w:bidi="ar-SA"/>
    </w:rPr>
  </w:style>
  <w:style w:type="character" w:customStyle="1" w:styleId="75">
    <w:name w:val="批注框文本 Char"/>
    <w:link w:val="22"/>
    <w:qFormat/>
    <w:locked/>
    <w:uiPriority w:val="0"/>
    <w:rPr>
      <w:kern w:val="2"/>
      <w:sz w:val="18"/>
      <w:szCs w:val="18"/>
    </w:rPr>
  </w:style>
  <w:style w:type="character" w:customStyle="1" w:styleId="76">
    <w:name w:val="标题 4 Char"/>
    <w:link w:val="7"/>
    <w:qFormat/>
    <w:uiPriority w:val="0"/>
    <w:rPr>
      <w:rFonts w:ascii="Cambria" w:hAnsi="Cambria" w:eastAsia="宋体"/>
      <w:b/>
      <w:bCs/>
      <w:kern w:val="2"/>
      <w:sz w:val="28"/>
      <w:szCs w:val="28"/>
      <w:lang w:val="en-US" w:eastAsia="zh-CN" w:bidi="ar-SA"/>
    </w:rPr>
  </w:style>
  <w:style w:type="character" w:customStyle="1" w:styleId="77">
    <w:name w:val="标题 6 Char"/>
    <w:link w:val="9"/>
    <w:qFormat/>
    <w:uiPriority w:val="0"/>
    <w:rPr>
      <w:rFonts w:ascii="Arial" w:hAnsi="Arial" w:eastAsia="黑体"/>
      <w:b/>
      <w:bCs/>
      <w:kern w:val="2"/>
      <w:sz w:val="24"/>
      <w:szCs w:val="24"/>
      <w:lang w:val="en-US" w:eastAsia="zh-CN" w:bidi="ar-SA"/>
    </w:rPr>
  </w:style>
  <w:style w:type="character" w:customStyle="1" w:styleId="78">
    <w:name w:val="文档结构图 Char"/>
    <w:link w:val="18"/>
    <w:qFormat/>
    <w:uiPriority w:val="0"/>
    <w:rPr>
      <w:rFonts w:ascii="宋体"/>
      <w:kern w:val="2"/>
      <w:sz w:val="18"/>
      <w:szCs w:val="18"/>
    </w:rPr>
  </w:style>
  <w:style w:type="character" w:customStyle="1" w:styleId="79">
    <w:name w:val="HTML 预设格式 Char1"/>
    <w:qFormat/>
    <w:uiPriority w:val="0"/>
    <w:rPr>
      <w:rFonts w:ascii="Courier New" w:hAnsi="Courier New" w:cs="Courier New"/>
      <w:kern w:val="2"/>
    </w:rPr>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正文缩进 Char"/>
    <w:link w:val="17"/>
    <w:qFormat/>
    <w:locked/>
    <w:uiPriority w:val="0"/>
    <w:rPr>
      <w:rFonts w:eastAsia="宋体"/>
      <w:kern w:val="2"/>
      <w:sz w:val="21"/>
      <w:lang w:val="en-US" w:eastAsia="zh-CN" w:bidi="ar-SA"/>
    </w:rPr>
  </w:style>
  <w:style w:type="character" w:customStyle="1" w:styleId="82">
    <w:name w:val="标题 3 Char"/>
    <w:link w:val="6"/>
    <w:qFormat/>
    <w:uiPriority w:val="0"/>
    <w:rPr>
      <w:rFonts w:eastAsia="宋体"/>
      <w:b/>
      <w:bCs/>
      <w:kern w:val="2"/>
      <w:sz w:val="32"/>
      <w:szCs w:val="32"/>
      <w:lang w:val="en-US" w:eastAsia="zh-CN" w:bidi="ar-SA"/>
    </w:rPr>
  </w:style>
  <w:style w:type="character" w:customStyle="1" w:styleId="83">
    <w:name w:val="apple-converted-space"/>
    <w:basedOn w:val="27"/>
    <w:qFormat/>
    <w:uiPriority w:val="0"/>
  </w:style>
  <w:style w:type="character" w:customStyle="1" w:styleId="84">
    <w:name w:val="标题 1 Char"/>
    <w:link w:val="4"/>
    <w:qFormat/>
    <w:uiPriority w:val="9"/>
    <w:rPr>
      <w:rFonts w:ascii="Calibri" w:hAnsi="Calibri" w:eastAsia="宋体"/>
      <w:b/>
      <w:bCs/>
      <w:kern w:val="44"/>
      <w:sz w:val="44"/>
      <w:szCs w:val="44"/>
      <w:lang w:val="en-US" w:eastAsia="zh-CN" w:bidi="ar-SA"/>
    </w:rPr>
  </w:style>
  <w:style w:type="character" w:customStyle="1" w:styleId="85">
    <w:name w:val="编号2 Char"/>
    <w:link w:val="86"/>
    <w:qFormat/>
    <w:uiPriority w:val="0"/>
    <w:rPr>
      <w:rFonts w:ascii="宋体" w:hAnsi="宋体"/>
      <w:sz w:val="24"/>
      <w:szCs w:val="24"/>
      <w:lang w:val="zh-CN"/>
    </w:rPr>
  </w:style>
  <w:style w:type="paragraph" w:customStyle="1" w:styleId="86">
    <w:name w:val="编号2"/>
    <w:basedOn w:val="1"/>
    <w:link w:val="85"/>
    <w:qFormat/>
    <w:uiPriority w:val="0"/>
    <w:pPr>
      <w:spacing w:line="360" w:lineRule="auto"/>
      <w:ind w:left="737"/>
    </w:pPr>
    <w:rPr>
      <w:rFonts w:ascii="宋体" w:hAnsi="宋体"/>
      <w:kern w:val="0"/>
      <w:sz w:val="24"/>
      <w:lang w:val="zh-CN"/>
    </w:rPr>
  </w:style>
  <w:style w:type="character" w:customStyle="1" w:styleId="87">
    <w:name w:val="PIM 6 Char"/>
    <w:qFormat/>
    <w:uiPriority w:val="0"/>
    <w:rPr>
      <w:rFonts w:ascii="Times New Roman" w:hAnsi="Times New Roman" w:eastAsia="宋体" w:cs="Times New Roman"/>
      <w:b/>
      <w:bCs/>
      <w:kern w:val="2"/>
      <w:sz w:val="24"/>
      <w:szCs w:val="24"/>
      <w:lang w:val="en-US" w:eastAsia="zh-CN" w:bidi="ar-SA"/>
    </w:rPr>
  </w:style>
  <w:style w:type="character" w:customStyle="1" w:styleId="88">
    <w:name w:val="HTML 预设格式 Char"/>
    <w:link w:val="25"/>
    <w:qFormat/>
    <w:locked/>
    <w:uiPriority w:val="0"/>
    <w:rPr>
      <w:rFonts w:ascii="宋体" w:hAnsi="宋体" w:cs="宋体"/>
      <w:sz w:val="24"/>
      <w:szCs w:val="24"/>
    </w:rPr>
  </w:style>
  <w:style w:type="paragraph" w:customStyle="1" w:styleId="89">
    <w:name w:val="Plain Text1"/>
    <w:basedOn w:val="1"/>
    <w:qFormat/>
    <w:uiPriority w:val="0"/>
    <w:rPr>
      <w:rFonts w:ascii="宋体" w:hAnsi="Courier New" w:cs="Courier New"/>
      <w:szCs w:val="21"/>
    </w:rPr>
  </w:style>
  <w:style w:type="paragraph" w:customStyle="1" w:styleId="90">
    <w:name w:val="Char Char Char Char"/>
    <w:basedOn w:val="1"/>
    <w:qFormat/>
    <w:uiPriority w:val="0"/>
    <w:rPr>
      <w:rFonts w:ascii="宋体" w:hAnsi="Courier New"/>
      <w:szCs w:val="20"/>
    </w:rPr>
  </w:style>
  <w:style w:type="paragraph" w:customStyle="1" w:styleId="91">
    <w:name w:val="无间隔1"/>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92">
    <w:name w:val="List Paragraph1"/>
    <w:basedOn w:val="1"/>
    <w:qFormat/>
    <w:uiPriority w:val="0"/>
    <w:pPr>
      <w:ind w:firstLine="420" w:firstLineChars="200"/>
    </w:pPr>
    <w:rPr>
      <w:rFonts w:ascii="Calibri" w:hAnsi="Calibri"/>
      <w:szCs w:val="22"/>
    </w:rPr>
  </w:style>
  <w:style w:type="paragraph" w:customStyle="1" w:styleId="93">
    <w:name w:val="列出段落1"/>
    <w:basedOn w:val="1"/>
    <w:qFormat/>
    <w:uiPriority w:val="34"/>
    <w:pPr>
      <w:ind w:firstLine="420" w:firstLineChars="200"/>
    </w:pPr>
    <w:rPr>
      <w:rFonts w:ascii="Calibri" w:hAnsi="Calibri"/>
      <w:sz w:val="24"/>
      <w:szCs w:val="22"/>
    </w:rPr>
  </w:style>
  <w:style w:type="paragraph" w:customStyle="1" w:styleId="94">
    <w:name w:val="[基本段落]"/>
    <w:basedOn w:val="1"/>
    <w:qFormat/>
    <w:uiPriority w:val="99"/>
    <w:pPr>
      <w:autoSpaceDE w:val="0"/>
      <w:autoSpaceDN w:val="0"/>
      <w:adjustRightInd w:val="0"/>
      <w:spacing w:line="288" w:lineRule="auto"/>
      <w:textAlignment w:val="center"/>
    </w:pPr>
    <w:rPr>
      <w:rFonts w:ascii="宋体" w:cs="宋体"/>
      <w:color w:val="000000"/>
      <w:kern w:val="0"/>
      <w:sz w:val="24"/>
      <w:lang w:val="zh-CN"/>
    </w:rPr>
  </w:style>
  <w:style w:type="paragraph" w:customStyle="1" w:styleId="95">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_"/>
    <w:basedOn w:val="1"/>
    <w:qFormat/>
    <w:uiPriority w:val="0"/>
    <w:pPr>
      <w:adjustRightInd w:val="0"/>
      <w:spacing w:line="360" w:lineRule="auto"/>
      <w:ind w:left="480"/>
      <w:textAlignment w:val="baseline"/>
    </w:pPr>
    <w:rPr>
      <w:kern w:val="0"/>
      <w:sz w:val="24"/>
      <w:szCs w:val="20"/>
    </w:rPr>
  </w:style>
  <w:style w:type="paragraph" w:customStyle="1" w:styleId="97">
    <w:name w:val="_Style 2"/>
    <w:basedOn w:val="1"/>
    <w:qFormat/>
    <w:uiPriority w:val="0"/>
    <w:pPr>
      <w:ind w:firstLine="420" w:firstLineChars="200"/>
    </w:pPr>
    <w:rPr>
      <w:rFonts w:ascii="Calibri" w:hAnsi="Calibri"/>
      <w:szCs w:val="21"/>
    </w:r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1"/>
    <w:basedOn w:val="1"/>
    <w:next w:val="20"/>
    <w:qFormat/>
    <w:uiPriority w:val="0"/>
    <w:rPr>
      <w:rFonts w:ascii="宋体" w:hAnsi="Courier New"/>
      <w:szCs w:val="20"/>
    </w:rPr>
  </w:style>
  <w:style w:type="paragraph" w:customStyle="1" w:styleId="100">
    <w:name w:val="Table Paragraph"/>
    <w:basedOn w:val="1"/>
    <w:qFormat/>
    <w:uiPriority w:val="1"/>
    <w:pPr>
      <w:jc w:val="left"/>
    </w:pPr>
    <w:rPr>
      <w:kern w:val="0"/>
      <w:sz w:val="22"/>
      <w:lang w:eastAsia="en-US"/>
    </w:rPr>
  </w:style>
  <w:style w:type="paragraph" w:customStyle="1" w:styleId="101">
    <w:name w:val="_Style 1"/>
    <w:basedOn w:val="1"/>
    <w:qFormat/>
    <w:uiPriority w:val="34"/>
    <w:pPr>
      <w:ind w:firstLine="420" w:firstLineChars="200"/>
    </w:pPr>
    <w:rPr>
      <w:rFonts w:ascii="Calibri" w:hAnsi="Calibri"/>
    </w:rPr>
  </w:style>
  <w:style w:type="paragraph" w:customStyle="1" w:styleId="102">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Char Char Char Char1"/>
    <w:basedOn w:val="1"/>
    <w:qFormat/>
    <w:uiPriority w:val="0"/>
    <w:rPr>
      <w:rFonts w:ascii="宋体" w:hAnsi="Courier New"/>
      <w:szCs w:val="20"/>
    </w:rPr>
  </w:style>
  <w:style w:type="paragraph" w:customStyle="1" w:styleId="104">
    <w:name w:val="Default"/>
    <w:qFormat/>
    <w:uiPriority w:val="0"/>
    <w:pPr>
      <w:widowControl w:val="0"/>
      <w:autoSpaceDE w:val="0"/>
      <w:autoSpaceDN w:val="0"/>
      <w:adjustRightInd w:val="0"/>
    </w:pPr>
    <w:rPr>
      <w:rFonts w:ascii="E+H Serif Asia_ME" w:hAnsi="Times New Roman" w:eastAsia="E+H Serif Asia_ME" w:cs="E+H Serif Asia_ME"/>
      <w:color w:val="000000"/>
      <w:sz w:val="24"/>
      <w:szCs w:val="24"/>
      <w:lang w:val="en-US" w:eastAsia="zh-CN" w:bidi="ar-SA"/>
    </w:rPr>
  </w:style>
  <w:style w:type="paragraph" w:customStyle="1" w:styleId="105">
    <w:name w:val="_Style 36"/>
    <w:basedOn w:val="1"/>
    <w:qFormat/>
    <w:uiPriority w:val="0"/>
    <w:rPr>
      <w:rFonts w:ascii="Tahoma" w:hAnsi="Tahoma"/>
      <w:sz w:val="24"/>
      <w:szCs w:val="20"/>
    </w:rPr>
  </w:style>
  <w:style w:type="paragraph" w:customStyle="1" w:styleId="106">
    <w:name w:val="样式1"/>
    <w:qFormat/>
    <w:uiPriority w:val="0"/>
    <w:pPr>
      <w:tabs>
        <w:tab w:val="left" w:pos="1134"/>
      </w:tabs>
      <w:spacing w:line="360" w:lineRule="auto"/>
      <w:ind w:left="1077" w:hanging="567"/>
    </w:pPr>
    <w:rPr>
      <w:rFonts w:ascii="Times New Roman" w:hAnsi="Times New Roman" w:eastAsia="宋体" w:cs="宋体"/>
      <w:b/>
      <w:kern w:val="2"/>
      <w:sz w:val="24"/>
      <w:lang w:val="en-US" w:eastAsia="zh-CN" w:bidi="ar-SA"/>
    </w:rPr>
  </w:style>
  <w:style w:type="paragraph" w:customStyle="1" w:styleId="107">
    <w:name w:val="p0"/>
    <w:basedOn w:val="1"/>
    <w:qFormat/>
    <w:uiPriority w:val="0"/>
    <w:pPr>
      <w:widowControl/>
    </w:pPr>
    <w:rPr>
      <w:kern w:val="0"/>
      <w:szCs w:val="21"/>
    </w:rPr>
  </w:style>
  <w:style w:type="paragraph" w:styleId="108">
    <w:name w:val="List Paragraph"/>
    <w:basedOn w:val="1"/>
    <w:qFormat/>
    <w:uiPriority w:val="99"/>
    <w:pPr>
      <w:spacing w:line="440" w:lineRule="exact"/>
      <w:ind w:firstLine="420" w:firstLineChars="200"/>
    </w:pPr>
    <w:rPr>
      <w:rFonts w:ascii="Calibri" w:hAnsi="Calibri"/>
      <w:szCs w:val="22"/>
    </w:rPr>
  </w:style>
  <w:style w:type="paragraph" w:customStyle="1" w:styleId="109">
    <w:name w:val="纯文本1"/>
    <w:basedOn w:val="1"/>
    <w:qFormat/>
    <w:uiPriority w:val="0"/>
    <w:pPr>
      <w:suppressAutoHyphens/>
    </w:pPr>
    <w:rPr>
      <w:rFonts w:ascii="宋体" w:hAnsi="宋体" w:cs="Courier New"/>
      <w:kern w:val="1"/>
      <w:szCs w:val="21"/>
      <w:lang w:eastAsia="ar-SA"/>
    </w:rPr>
  </w:style>
  <w:style w:type="paragraph" w:customStyle="1" w:styleId="110">
    <w:name w:val="Char1 Char Char Char Char Char Char"/>
    <w:basedOn w:val="1"/>
    <w:qFormat/>
    <w:uiPriority w:val="0"/>
    <w:rPr>
      <w:sz w:val="28"/>
      <w:szCs w:val="20"/>
    </w:rPr>
  </w:style>
  <w:style w:type="paragraph" w:customStyle="1" w:styleId="111">
    <w:name w:val="_Style 29"/>
    <w:basedOn w:val="1"/>
    <w:qFormat/>
    <w:uiPriority w:val="0"/>
    <w:rPr>
      <w:rFonts w:ascii="Tahoma" w:hAnsi="Tahoma"/>
      <w:sz w:val="24"/>
      <w:szCs w:val="20"/>
    </w:rPr>
  </w:style>
  <w:style w:type="paragraph" w:customStyle="1" w:styleId="112">
    <w:name w:val=" Char Char8"/>
    <w:basedOn w:val="1"/>
    <w:qFormat/>
    <w:uiPriority w:val="0"/>
    <w:rPr>
      <w:rFonts w:ascii="Tahoma" w:hAnsi="Tahoma" w:eastAsia="Times New Roman"/>
      <w:kern w:val="0"/>
      <w:sz w:val="24"/>
      <w:szCs w:val="20"/>
      <w:lang w:val="en-US" w:eastAsia="zh-CN"/>
    </w:rPr>
  </w:style>
  <w:style w:type="paragraph" w:customStyle="1" w:styleId="113">
    <w:name w:val="p16"/>
    <w:basedOn w:val="1"/>
    <w:qFormat/>
    <w:uiPriority w:val="0"/>
    <w:pPr>
      <w:widowControl/>
      <w:ind w:firstLine="420"/>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HANDY</Company>
  <Pages>54</Pages>
  <Words>6536</Words>
  <Characters>37256</Characters>
  <Lines>310</Lines>
  <Paragraphs>87</Paragraphs>
  <TotalTime>5</TotalTime>
  <ScaleCrop>false</ScaleCrop>
  <LinksUpToDate>false</LinksUpToDate>
  <CharactersWithSpaces>43705</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2020-07-10T07:06:00Z</dcterms:created>
  <dc:creator>微软用户</dc:creator>
  <cp:lastModifiedBy>小豆芽</cp:lastModifiedBy>
  <cp:lastPrinted>2020-08-12T02:16:00Z</cp:lastPrinted>
  <dcterms:modified xsi:type="dcterms:W3CDTF">2020-09-24T03:05:19Z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