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hint="eastAsia" w:ascii="宋体" w:hAnsi="宋体" w:cs="宋体"/>
          <w:color w:val="auto"/>
          <w:sz w:val="36"/>
          <w:szCs w:val="36"/>
          <w:lang w:eastAsia="zh-CN"/>
        </w:rPr>
      </w:pPr>
      <w:r>
        <w:rPr>
          <w:rFonts w:hint="eastAsia" w:ascii="宋体" w:hAnsi="宋体" w:cs="宋体"/>
          <w:color w:val="auto"/>
          <w:sz w:val="36"/>
          <w:szCs w:val="36"/>
          <w:lang w:eastAsia="zh-CN"/>
        </w:rPr>
        <w:t>广西科文招标有限公司青秀区医疗卫生提升PPP项目合作社会资本投资方采购（NNZC2021-G3-030002-KWZB</w:t>
      </w:r>
      <w:r>
        <w:rPr>
          <w:rFonts w:hint="eastAsia" w:ascii="宋体" w:hAnsi="宋体" w:cs="宋体"/>
          <w:color w:val="auto"/>
          <w:sz w:val="36"/>
          <w:szCs w:val="36"/>
          <w:lang w:val="en-US" w:eastAsia="zh-CN"/>
        </w:rPr>
        <w:t>-Y</w:t>
      </w:r>
      <w:r>
        <w:rPr>
          <w:rFonts w:hint="eastAsia" w:ascii="宋体" w:hAnsi="宋体" w:cs="宋体"/>
          <w:color w:val="auto"/>
          <w:sz w:val="36"/>
          <w:szCs w:val="36"/>
          <w:lang w:eastAsia="zh-CN"/>
        </w:rPr>
        <w:t>）</w:t>
      </w:r>
    </w:p>
    <w:p>
      <w:pPr>
        <w:pStyle w:val="3"/>
        <w:spacing w:before="0" w:after="0" w:line="360" w:lineRule="auto"/>
        <w:jc w:val="center"/>
        <w:rPr>
          <w:rFonts w:ascii="宋体" w:hAnsi="宋体" w:cs="宋体"/>
          <w:color w:val="auto"/>
          <w:sz w:val="36"/>
          <w:szCs w:val="36"/>
        </w:rPr>
      </w:pPr>
      <w:r>
        <w:rPr>
          <w:rFonts w:hint="eastAsia" w:ascii="宋体" w:hAnsi="宋体" w:cs="宋体"/>
          <w:color w:val="auto"/>
          <w:sz w:val="36"/>
          <w:szCs w:val="36"/>
        </w:rPr>
        <w:t>资格预审公告</w:t>
      </w:r>
    </w:p>
    <w:tbl>
      <w:tblPr>
        <w:tblStyle w:val="5"/>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noWrap w:val="0"/>
            <w:vAlign w:val="top"/>
          </w:tcPr>
          <w:p>
            <w:pPr>
              <w:pStyle w:val="7"/>
              <w:spacing w:line="400" w:lineRule="exact"/>
              <w:ind w:firstLine="0" w:firstLineChars="0"/>
              <w:rPr>
                <w:rFonts w:hint="eastAsia" w:cs="宋体"/>
                <w:color w:val="auto"/>
                <w:kern w:val="0"/>
                <w:sz w:val="21"/>
                <w:highlight w:val="none"/>
              </w:rPr>
            </w:pPr>
            <w:bookmarkStart w:id="0" w:name="_Toc482173658"/>
            <w:bookmarkStart w:id="1" w:name="_Toc24082"/>
            <w:r>
              <w:rPr>
                <w:rFonts w:hint="eastAsia" w:cs="宋体"/>
                <w:color w:val="auto"/>
                <w:kern w:val="0"/>
                <w:sz w:val="21"/>
                <w:highlight w:val="none"/>
              </w:rPr>
              <w:t>项目概况</w:t>
            </w:r>
          </w:p>
          <w:p>
            <w:pPr>
              <w:pStyle w:val="7"/>
              <w:wordWrap w:val="0"/>
              <w:spacing w:line="400" w:lineRule="exact"/>
              <w:ind w:firstLine="420"/>
              <w:rPr>
                <w:rFonts w:hint="eastAsia" w:cs="宋体"/>
                <w:color w:val="auto"/>
                <w:kern w:val="0"/>
                <w:sz w:val="21"/>
                <w:highlight w:val="none"/>
              </w:rPr>
            </w:pPr>
            <w:r>
              <w:rPr>
                <w:rFonts w:hint="eastAsia" w:cs="宋体"/>
                <w:color w:val="auto"/>
                <w:kern w:val="0"/>
                <w:sz w:val="21"/>
                <w:highlight w:val="none"/>
                <w:u w:val="single"/>
                <w:lang w:eastAsia="zh-CN"/>
              </w:rPr>
              <w:t>青秀区医疗卫生提升PPP项目合作社会资本投资方采购</w:t>
            </w:r>
            <w:r>
              <w:rPr>
                <w:rFonts w:hint="eastAsia" w:cs="宋体"/>
                <w:color w:val="auto"/>
                <w:kern w:val="0"/>
                <w:sz w:val="21"/>
                <w:highlight w:val="none"/>
                <w:u w:val="none"/>
              </w:rPr>
              <w:t>项目</w:t>
            </w:r>
            <w:r>
              <w:rPr>
                <w:rFonts w:hint="eastAsia" w:cs="宋体"/>
                <w:color w:val="auto"/>
                <w:kern w:val="0"/>
                <w:sz w:val="21"/>
                <w:highlight w:val="none"/>
              </w:rPr>
              <w:t>的潜在资格预审申请人应在南宁市公共资源交易平台（http://ggzy.nanning.gov.cn）</w:t>
            </w:r>
            <w:r>
              <w:rPr>
                <w:rFonts w:hint="eastAsia" w:cs="宋体"/>
                <w:color w:val="auto"/>
                <w:kern w:val="0"/>
                <w:sz w:val="21"/>
                <w:highlight w:val="none"/>
                <w:lang w:eastAsia="zh-CN"/>
              </w:rPr>
              <w:t>免费下载</w:t>
            </w:r>
            <w:r>
              <w:rPr>
                <w:rFonts w:hint="eastAsia" w:cs="宋体"/>
                <w:color w:val="auto"/>
                <w:kern w:val="0"/>
                <w:sz w:val="21"/>
                <w:highlight w:val="none"/>
              </w:rPr>
              <w:t>资格预审文件，并于202</w:t>
            </w:r>
            <w:r>
              <w:rPr>
                <w:rFonts w:hint="eastAsia" w:cs="宋体"/>
                <w:color w:val="auto"/>
                <w:kern w:val="0"/>
                <w:sz w:val="21"/>
                <w:highlight w:val="none"/>
                <w:lang w:val="en-US" w:eastAsia="zh-CN"/>
              </w:rPr>
              <w:t>1</w:t>
            </w:r>
            <w:r>
              <w:rPr>
                <w:rFonts w:hint="eastAsia" w:cs="宋体"/>
                <w:color w:val="auto"/>
                <w:kern w:val="0"/>
                <w:sz w:val="21"/>
                <w:highlight w:val="none"/>
              </w:rPr>
              <w:t>年</w:t>
            </w:r>
            <w:r>
              <w:rPr>
                <w:rFonts w:hint="eastAsia" w:cs="宋体"/>
                <w:color w:val="auto"/>
                <w:kern w:val="0"/>
                <w:sz w:val="21"/>
                <w:highlight w:val="none"/>
                <w:lang w:val="en-US" w:eastAsia="zh-CN"/>
              </w:rPr>
              <w:t>3</w:t>
            </w:r>
            <w:r>
              <w:rPr>
                <w:rFonts w:hint="eastAsia" w:cs="宋体"/>
                <w:color w:val="auto"/>
                <w:kern w:val="0"/>
                <w:sz w:val="21"/>
                <w:highlight w:val="none"/>
              </w:rPr>
              <w:t>月</w:t>
            </w:r>
            <w:r>
              <w:rPr>
                <w:rFonts w:hint="eastAsia" w:cs="宋体"/>
                <w:color w:val="auto"/>
                <w:kern w:val="0"/>
                <w:sz w:val="21"/>
                <w:highlight w:val="none"/>
                <w:lang w:val="en-US" w:eastAsia="zh-CN"/>
              </w:rPr>
              <w:t>9</w:t>
            </w:r>
            <w:r>
              <w:rPr>
                <w:rFonts w:hint="eastAsia" w:cs="宋体"/>
                <w:color w:val="auto"/>
                <w:kern w:val="0"/>
                <w:sz w:val="21"/>
                <w:highlight w:val="none"/>
              </w:rPr>
              <w:t>日</w:t>
            </w:r>
            <w:r>
              <w:rPr>
                <w:rFonts w:hint="eastAsia" w:cs="宋体"/>
                <w:color w:val="auto"/>
                <w:kern w:val="0"/>
                <w:sz w:val="21"/>
                <w:highlight w:val="none"/>
                <w:lang w:val="en-US" w:eastAsia="zh-CN"/>
              </w:rPr>
              <w:t>9</w:t>
            </w:r>
            <w:r>
              <w:rPr>
                <w:rFonts w:hint="eastAsia" w:cs="宋体"/>
                <w:color w:val="auto"/>
                <w:kern w:val="0"/>
                <w:sz w:val="21"/>
                <w:highlight w:val="none"/>
              </w:rPr>
              <w:t>时</w:t>
            </w:r>
            <w:r>
              <w:rPr>
                <w:rFonts w:hint="eastAsia" w:cs="宋体"/>
                <w:color w:val="auto"/>
                <w:kern w:val="0"/>
                <w:sz w:val="21"/>
                <w:highlight w:val="none"/>
                <w:lang w:val="en-US" w:eastAsia="zh-CN"/>
              </w:rPr>
              <w:t>30</w:t>
            </w:r>
            <w:r>
              <w:rPr>
                <w:rFonts w:hint="eastAsia" w:cs="宋体"/>
                <w:color w:val="auto"/>
                <w:kern w:val="0"/>
                <w:sz w:val="21"/>
                <w:highlight w:val="none"/>
              </w:rPr>
              <w:t>分（北京时间）前提交申请文件。</w:t>
            </w:r>
          </w:p>
        </w:tc>
      </w:tr>
    </w:tbl>
    <w:p>
      <w:pPr>
        <w:pStyle w:val="7"/>
        <w:spacing w:line="400" w:lineRule="exact"/>
        <w:ind w:firstLine="0" w:firstLineChars="0"/>
        <w:rPr>
          <w:rFonts w:hint="eastAsia" w:cs="宋体"/>
          <w:b/>
          <w:bCs/>
          <w:color w:val="auto"/>
          <w:kern w:val="0"/>
          <w:sz w:val="21"/>
          <w:highlight w:val="none"/>
        </w:rPr>
      </w:pPr>
      <w:bookmarkStart w:id="2" w:name="_Toc28359079"/>
      <w:bookmarkStart w:id="3" w:name="_Toc35393790"/>
      <w:bookmarkStart w:id="4" w:name="_Toc28359002"/>
      <w:bookmarkStart w:id="5" w:name="_Toc35393621"/>
      <w:bookmarkStart w:id="6" w:name="_Hlk24379207"/>
      <w:r>
        <w:rPr>
          <w:rFonts w:hint="eastAsia" w:cs="宋体"/>
          <w:b/>
          <w:bCs/>
          <w:color w:val="auto"/>
          <w:kern w:val="0"/>
          <w:sz w:val="21"/>
          <w:highlight w:val="none"/>
        </w:rPr>
        <w:t>一、项目基本情况</w:t>
      </w:r>
      <w:bookmarkEnd w:id="2"/>
      <w:bookmarkEnd w:id="3"/>
      <w:bookmarkEnd w:id="4"/>
      <w:bookmarkEnd w:id="5"/>
    </w:p>
    <w:p>
      <w:pPr>
        <w:pStyle w:val="7"/>
        <w:spacing w:line="400" w:lineRule="exact"/>
        <w:ind w:firstLine="420"/>
        <w:rPr>
          <w:rFonts w:hint="eastAsia" w:eastAsia="宋体" w:cs="宋体"/>
          <w:color w:val="auto"/>
          <w:kern w:val="0"/>
          <w:sz w:val="21"/>
          <w:highlight w:val="none"/>
          <w:lang w:eastAsia="zh-CN"/>
        </w:rPr>
      </w:pPr>
      <w:r>
        <w:rPr>
          <w:rFonts w:hint="eastAsia" w:cs="宋体"/>
          <w:b/>
          <w:bCs/>
          <w:color w:val="auto"/>
          <w:kern w:val="0"/>
          <w:sz w:val="21"/>
          <w:highlight w:val="none"/>
          <w:lang w:val="en-US" w:eastAsia="zh-CN"/>
        </w:rPr>
        <w:t>1.</w:t>
      </w:r>
      <w:r>
        <w:rPr>
          <w:rFonts w:hint="eastAsia" w:cs="宋体"/>
          <w:b/>
          <w:bCs/>
          <w:color w:val="auto"/>
          <w:kern w:val="0"/>
          <w:sz w:val="21"/>
          <w:highlight w:val="none"/>
        </w:rPr>
        <w:t>项目编号：</w:t>
      </w:r>
      <w:r>
        <w:rPr>
          <w:rFonts w:hint="eastAsia" w:cs="宋体"/>
          <w:color w:val="auto"/>
          <w:kern w:val="0"/>
          <w:sz w:val="21"/>
          <w:highlight w:val="none"/>
        </w:rPr>
        <w:t>NNZC2021-G3-030002-KWZB</w:t>
      </w:r>
      <w:r>
        <w:rPr>
          <w:rFonts w:hint="eastAsia" w:cs="宋体"/>
          <w:color w:val="auto"/>
          <w:kern w:val="0"/>
          <w:sz w:val="21"/>
          <w:highlight w:val="none"/>
          <w:lang w:val="en-US" w:eastAsia="zh-CN"/>
        </w:rPr>
        <w:t>-Y</w:t>
      </w:r>
      <w:r>
        <w:rPr>
          <w:rFonts w:hint="eastAsia" w:cs="宋体"/>
          <w:color w:val="auto"/>
          <w:kern w:val="0"/>
          <w:sz w:val="21"/>
          <w:highlight w:val="none"/>
          <w:lang w:eastAsia="zh-CN"/>
        </w:rPr>
        <w:t>，政府采购计划编号：</w:t>
      </w:r>
      <w:r>
        <w:rPr>
          <w:rFonts w:hint="eastAsia" w:cs="宋体"/>
          <w:color w:val="auto"/>
          <w:kern w:val="0"/>
          <w:sz w:val="21"/>
          <w:highlight w:val="none"/>
          <w:lang w:eastAsia="zh-CN"/>
        </w:rPr>
        <w:fldChar w:fldCharType="begin"/>
      </w:r>
      <w:r>
        <w:rPr>
          <w:rFonts w:hint="eastAsia" w:cs="宋体"/>
          <w:color w:val="auto"/>
          <w:kern w:val="0"/>
          <w:sz w:val="21"/>
          <w:highlight w:val="none"/>
          <w:lang w:eastAsia="zh-CN"/>
        </w:rPr>
        <w:instrText xml:space="preserve"> HYPERLINK "https://pay.zcygov.cn/purchaseplan_front/" \l "/plan/list/detail?id=1000000000004313722&amp;encrypt=d2a65c92658b1102d2078b21d28308c1" \t "https://www.zcygov.cn/proj-procurement/project-result-detail/blank" </w:instrText>
      </w:r>
      <w:r>
        <w:rPr>
          <w:rFonts w:hint="eastAsia" w:cs="宋体"/>
          <w:color w:val="auto"/>
          <w:kern w:val="0"/>
          <w:sz w:val="21"/>
          <w:highlight w:val="none"/>
          <w:lang w:eastAsia="zh-CN"/>
        </w:rPr>
        <w:fldChar w:fldCharType="separate"/>
      </w:r>
      <w:r>
        <w:rPr>
          <w:rFonts w:hint="eastAsia" w:cs="宋体"/>
          <w:color w:val="auto"/>
          <w:kern w:val="0"/>
          <w:sz w:val="21"/>
          <w:highlight w:val="none"/>
          <w:lang w:eastAsia="zh-CN"/>
        </w:rPr>
        <w:t>QXZC2020-G3-01545-001</w:t>
      </w:r>
      <w:r>
        <w:rPr>
          <w:rFonts w:hint="eastAsia" w:cs="宋体"/>
          <w:color w:val="auto"/>
          <w:kern w:val="0"/>
          <w:sz w:val="21"/>
          <w:highlight w:val="none"/>
          <w:lang w:eastAsia="zh-CN"/>
        </w:rPr>
        <w:fldChar w:fldCharType="end"/>
      </w:r>
    </w:p>
    <w:p>
      <w:pPr>
        <w:pStyle w:val="7"/>
        <w:spacing w:line="400" w:lineRule="exact"/>
        <w:ind w:firstLine="420"/>
        <w:rPr>
          <w:rFonts w:hint="eastAsia" w:cs="宋体"/>
          <w:color w:val="auto"/>
          <w:kern w:val="0"/>
          <w:sz w:val="21"/>
          <w:highlight w:val="none"/>
        </w:rPr>
      </w:pPr>
      <w:r>
        <w:rPr>
          <w:rFonts w:hint="eastAsia" w:cs="宋体"/>
          <w:b/>
          <w:bCs/>
          <w:color w:val="auto"/>
          <w:kern w:val="0"/>
          <w:sz w:val="21"/>
          <w:highlight w:val="none"/>
          <w:lang w:val="en-US" w:eastAsia="zh-CN"/>
        </w:rPr>
        <w:t>2.</w:t>
      </w:r>
      <w:r>
        <w:rPr>
          <w:rFonts w:hint="eastAsia" w:cs="宋体"/>
          <w:b/>
          <w:bCs/>
          <w:color w:val="auto"/>
          <w:kern w:val="0"/>
          <w:sz w:val="21"/>
          <w:highlight w:val="none"/>
        </w:rPr>
        <w:t>项目名称：</w:t>
      </w:r>
      <w:r>
        <w:rPr>
          <w:rFonts w:hint="eastAsia" w:cs="宋体"/>
          <w:color w:val="auto"/>
          <w:kern w:val="0"/>
          <w:sz w:val="21"/>
          <w:highlight w:val="none"/>
          <w:lang w:eastAsia="zh-CN"/>
        </w:rPr>
        <w:t>青秀区医疗卫生提升PPP项目合作社会资本投资方采购</w:t>
      </w:r>
    </w:p>
    <w:p>
      <w:pPr>
        <w:pStyle w:val="7"/>
        <w:spacing w:line="400" w:lineRule="exact"/>
        <w:ind w:firstLine="420"/>
        <w:rPr>
          <w:rFonts w:hint="eastAsia" w:cs="宋体"/>
          <w:color w:val="auto"/>
          <w:kern w:val="0"/>
          <w:sz w:val="21"/>
          <w:highlight w:val="none"/>
        </w:rPr>
      </w:pPr>
      <w:r>
        <w:rPr>
          <w:rFonts w:hint="eastAsia" w:cs="宋体"/>
          <w:b/>
          <w:bCs/>
          <w:color w:val="auto"/>
          <w:kern w:val="0"/>
          <w:sz w:val="21"/>
          <w:highlight w:val="none"/>
          <w:lang w:val="en-US" w:eastAsia="zh-CN"/>
        </w:rPr>
        <w:t>3.</w:t>
      </w:r>
      <w:r>
        <w:rPr>
          <w:rFonts w:hint="eastAsia" w:cs="宋体"/>
          <w:b/>
          <w:bCs/>
          <w:color w:val="auto"/>
          <w:kern w:val="0"/>
          <w:sz w:val="21"/>
          <w:highlight w:val="none"/>
        </w:rPr>
        <w:t>采购方式：</w:t>
      </w:r>
      <w:r>
        <w:rPr>
          <w:rFonts w:hint="eastAsia" w:cs="宋体"/>
          <w:color w:val="auto"/>
          <w:kern w:val="0"/>
          <w:sz w:val="21"/>
          <w:highlight w:val="none"/>
        </w:rPr>
        <w:sym w:font="Wingdings 2" w:char="0052"/>
      </w:r>
      <w:r>
        <w:rPr>
          <w:rFonts w:hint="eastAsia" w:cs="宋体"/>
          <w:color w:val="auto"/>
          <w:kern w:val="0"/>
          <w:sz w:val="21"/>
          <w:highlight w:val="none"/>
        </w:rPr>
        <w:t xml:space="preserve">公开招标  </w:t>
      </w:r>
      <w:r>
        <w:rPr>
          <w:rFonts w:hint="eastAsia" w:cs="宋体"/>
          <w:color w:val="auto"/>
          <w:kern w:val="0"/>
          <w:sz w:val="21"/>
          <w:highlight w:val="none"/>
          <w:lang w:eastAsia="zh-CN"/>
        </w:rPr>
        <w:t>□</w:t>
      </w:r>
      <w:r>
        <w:rPr>
          <w:rFonts w:hint="eastAsia" w:cs="宋体"/>
          <w:color w:val="auto"/>
          <w:kern w:val="0"/>
          <w:sz w:val="21"/>
          <w:highlight w:val="none"/>
        </w:rPr>
        <w:t>邀请招标</w:t>
      </w:r>
    </w:p>
    <w:p>
      <w:pPr>
        <w:pStyle w:val="7"/>
        <w:spacing w:line="400" w:lineRule="exact"/>
        <w:ind w:firstLine="420"/>
        <w:rPr>
          <w:rFonts w:hint="eastAsia" w:eastAsia="宋体" w:cs="宋体"/>
          <w:color w:val="auto"/>
          <w:kern w:val="0"/>
          <w:sz w:val="21"/>
          <w:highlight w:val="none"/>
          <w:lang w:eastAsia="zh-CN"/>
        </w:rPr>
      </w:pPr>
      <w:r>
        <w:rPr>
          <w:rFonts w:hint="eastAsia" w:cs="宋体"/>
          <w:b/>
          <w:bCs/>
          <w:color w:val="auto"/>
          <w:kern w:val="0"/>
          <w:sz w:val="21"/>
          <w:highlight w:val="none"/>
          <w:lang w:val="en-US" w:eastAsia="zh-CN"/>
        </w:rPr>
        <w:t>4.</w:t>
      </w:r>
      <w:r>
        <w:rPr>
          <w:rFonts w:hint="eastAsia" w:cs="宋体"/>
          <w:b/>
          <w:bCs/>
          <w:color w:val="auto"/>
          <w:kern w:val="0"/>
          <w:sz w:val="21"/>
          <w:highlight w:val="none"/>
        </w:rPr>
        <w:t>预算金额</w:t>
      </w:r>
      <w:r>
        <w:rPr>
          <w:rFonts w:hint="eastAsia" w:cs="宋体"/>
          <w:color w:val="auto"/>
          <w:kern w:val="0"/>
          <w:sz w:val="21"/>
          <w:highlight w:val="none"/>
        </w:rPr>
        <w:t>：</w:t>
      </w:r>
      <w:r>
        <w:rPr>
          <w:rFonts w:hint="eastAsia" w:cs="宋体"/>
          <w:color w:val="auto"/>
          <w:kern w:val="0"/>
          <w:sz w:val="21"/>
          <w:highlight w:val="none"/>
          <w:lang w:eastAsia="zh-CN"/>
        </w:rPr>
        <w:t>总投资约</w:t>
      </w:r>
      <w:r>
        <w:rPr>
          <w:rFonts w:hint="eastAsia" w:cs="宋体"/>
          <w:color w:val="auto"/>
          <w:kern w:val="0"/>
          <w:sz w:val="21"/>
          <w:highlight w:val="none"/>
        </w:rPr>
        <w:t>19358.12</w:t>
      </w:r>
      <w:r>
        <w:rPr>
          <w:rFonts w:hint="eastAsia" w:cs="宋体"/>
          <w:color w:val="auto"/>
          <w:kern w:val="0"/>
          <w:sz w:val="21"/>
          <w:highlight w:val="none"/>
          <w:lang w:eastAsia="zh-CN"/>
        </w:rPr>
        <w:t>万元</w:t>
      </w:r>
    </w:p>
    <w:p>
      <w:pPr>
        <w:pStyle w:val="7"/>
        <w:spacing w:line="400" w:lineRule="exact"/>
        <w:ind w:firstLine="420"/>
        <w:rPr>
          <w:rFonts w:hint="eastAsia" w:eastAsia="宋体" w:cs="宋体"/>
          <w:color w:val="auto"/>
          <w:kern w:val="0"/>
          <w:sz w:val="21"/>
          <w:highlight w:val="none"/>
          <w:lang w:val="en-US" w:eastAsia="zh-CN"/>
        </w:rPr>
      </w:pPr>
      <w:r>
        <w:rPr>
          <w:rFonts w:hint="eastAsia" w:cs="宋体"/>
          <w:b/>
          <w:bCs/>
          <w:color w:val="auto"/>
          <w:kern w:val="0"/>
          <w:sz w:val="21"/>
          <w:highlight w:val="none"/>
          <w:lang w:val="en-US" w:eastAsia="zh-CN"/>
        </w:rPr>
        <w:t>5.</w:t>
      </w:r>
      <w:r>
        <w:rPr>
          <w:rFonts w:hint="eastAsia" w:cs="宋体"/>
          <w:b/>
          <w:bCs/>
          <w:color w:val="auto"/>
          <w:kern w:val="0"/>
          <w:sz w:val="21"/>
          <w:highlight w:val="none"/>
        </w:rPr>
        <w:t>最高限价：</w:t>
      </w:r>
      <w:r>
        <w:rPr>
          <w:rFonts w:hint="eastAsia" w:cs="宋体"/>
          <w:color w:val="auto"/>
          <w:kern w:val="0"/>
          <w:sz w:val="21"/>
          <w:highlight w:val="none"/>
          <w:lang w:val="en-US" w:eastAsia="zh-CN"/>
        </w:rPr>
        <w:t>/</w:t>
      </w:r>
    </w:p>
    <w:bookmarkEnd w:id="6"/>
    <w:p>
      <w:pPr>
        <w:pStyle w:val="7"/>
        <w:spacing w:line="400" w:lineRule="exact"/>
        <w:ind w:firstLine="420"/>
        <w:rPr>
          <w:rFonts w:hint="eastAsia" w:cs="宋体"/>
          <w:b/>
          <w:bCs/>
          <w:color w:val="auto"/>
          <w:kern w:val="0"/>
          <w:sz w:val="21"/>
          <w:highlight w:val="none"/>
        </w:rPr>
      </w:pPr>
      <w:r>
        <w:rPr>
          <w:rFonts w:hint="eastAsia" w:cs="宋体"/>
          <w:b/>
          <w:bCs/>
          <w:color w:val="auto"/>
          <w:kern w:val="0"/>
          <w:sz w:val="21"/>
          <w:highlight w:val="none"/>
          <w:lang w:val="en-US" w:eastAsia="zh-CN"/>
        </w:rPr>
        <w:t>6.</w:t>
      </w:r>
      <w:r>
        <w:rPr>
          <w:rFonts w:hint="eastAsia" w:cs="宋体"/>
          <w:b/>
          <w:bCs/>
          <w:color w:val="auto"/>
          <w:kern w:val="0"/>
          <w:sz w:val="21"/>
          <w:highlight w:val="none"/>
        </w:rPr>
        <w:t>采购需求：</w:t>
      </w:r>
    </w:p>
    <w:p>
      <w:pPr>
        <w:pStyle w:val="4"/>
        <w:spacing w:before="0" w:after="0" w:line="400" w:lineRule="exact"/>
        <w:ind w:firstLine="422" w:firstLineChars="200"/>
        <w:rPr>
          <w:rFonts w:hint="eastAsia" w:ascii="宋体" w:hAnsi="宋体" w:eastAsia="宋体" w:cs="宋体"/>
          <w:color w:val="auto"/>
          <w:sz w:val="21"/>
          <w:szCs w:val="21"/>
          <w:highlight w:val="none"/>
          <w:lang w:eastAsia="zh-CN"/>
        </w:rPr>
      </w:pPr>
      <w:bookmarkStart w:id="7" w:name="_Toc31328"/>
      <w:bookmarkStart w:id="8" w:name="_Toc482173652"/>
      <w:bookmarkStart w:id="9" w:name="_Toc25543"/>
      <w:r>
        <w:rPr>
          <w:rFonts w:hint="eastAsia" w:ascii="宋体" w:hAnsi="宋体" w:cs="宋体"/>
          <w:color w:val="auto"/>
          <w:sz w:val="21"/>
          <w:szCs w:val="21"/>
          <w:highlight w:val="none"/>
          <w:lang w:val="en-US" w:eastAsia="zh-CN"/>
        </w:rPr>
        <w:t>6.1</w:t>
      </w:r>
      <w:r>
        <w:rPr>
          <w:rFonts w:hint="eastAsia" w:ascii="宋体" w:hAnsi="宋体" w:cs="宋体"/>
          <w:color w:val="auto"/>
          <w:sz w:val="21"/>
          <w:szCs w:val="21"/>
          <w:highlight w:val="none"/>
        </w:rPr>
        <w:t>采购</w:t>
      </w:r>
      <w:bookmarkEnd w:id="7"/>
      <w:bookmarkEnd w:id="8"/>
      <w:r>
        <w:rPr>
          <w:rFonts w:hint="eastAsia" w:ascii="宋体" w:hAnsi="宋体" w:cs="宋体"/>
          <w:color w:val="auto"/>
          <w:sz w:val="21"/>
          <w:szCs w:val="21"/>
          <w:highlight w:val="none"/>
          <w:lang w:eastAsia="zh-CN"/>
        </w:rPr>
        <w:t>内容</w:t>
      </w:r>
      <w:bookmarkEnd w:id="9"/>
    </w:p>
    <w:p>
      <w:pPr>
        <w:spacing w:line="400" w:lineRule="exact"/>
        <w:ind w:firstLine="420" w:firstLineChars="200"/>
        <w:jc w:val="both"/>
        <w:rPr>
          <w:color w:val="auto"/>
          <w:highlight w:val="none"/>
          <w:lang w:val="zh-CN"/>
        </w:rPr>
      </w:pPr>
      <w:r>
        <w:rPr>
          <w:rFonts w:hint="eastAsia" w:ascii="宋体" w:hAnsi="宋体" w:cs="宋体"/>
          <w:color w:val="auto"/>
          <w:sz w:val="21"/>
          <w:szCs w:val="21"/>
          <w:highlight w:val="none"/>
          <w:lang w:val="zh-CN"/>
        </w:rPr>
        <w:t>拟采购社会资本方，在合作期限内，由政府出资方代表</w:t>
      </w:r>
      <w:r>
        <w:rPr>
          <w:rFonts w:hint="eastAsia" w:ascii="宋体" w:hAnsi="宋体" w:cs="宋体"/>
          <w:color w:val="auto"/>
          <w:sz w:val="21"/>
          <w:szCs w:val="21"/>
          <w:highlight w:val="none"/>
          <w:lang w:val="zh-CN" w:eastAsia="zh-CN"/>
        </w:rPr>
        <w:t>广西南宁晟宁资产经营投资有限公司</w:t>
      </w:r>
      <w:r>
        <w:rPr>
          <w:rFonts w:hint="eastAsia" w:ascii="宋体" w:hAnsi="宋体" w:cs="宋体"/>
          <w:color w:val="auto"/>
          <w:sz w:val="21"/>
          <w:szCs w:val="21"/>
          <w:highlight w:val="none"/>
          <w:lang w:val="zh-CN"/>
        </w:rPr>
        <w:t>与中选的社会资本方按</w:t>
      </w:r>
      <w:r>
        <w:rPr>
          <w:rFonts w:hint="eastAsia" w:ascii="宋体" w:hAnsi="宋体" w:cs="宋体"/>
          <w:color w:val="auto"/>
          <w:sz w:val="21"/>
          <w:szCs w:val="21"/>
          <w:highlight w:val="none"/>
          <w:lang w:val="en-US" w:eastAsia="zh-CN"/>
        </w:rPr>
        <w:t>1</w:t>
      </w:r>
      <w:r>
        <w:rPr>
          <w:rFonts w:ascii="宋体" w:hAnsi="宋体" w:cs="宋体"/>
          <w:color w:val="auto"/>
          <w:sz w:val="21"/>
          <w:szCs w:val="21"/>
          <w:highlight w:val="none"/>
          <w:lang w:val="zh-CN"/>
        </w:rPr>
        <w:t>0%</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9</w:t>
      </w:r>
      <w:r>
        <w:rPr>
          <w:rFonts w:ascii="宋体" w:hAnsi="宋体" w:cs="宋体"/>
          <w:color w:val="auto"/>
          <w:sz w:val="21"/>
          <w:szCs w:val="21"/>
          <w:highlight w:val="none"/>
          <w:lang w:val="zh-CN"/>
        </w:rPr>
        <w:t>0%</w:t>
      </w:r>
      <w:r>
        <w:rPr>
          <w:rFonts w:hint="eastAsia" w:ascii="宋体" w:hAnsi="宋体" w:cs="宋体"/>
          <w:color w:val="auto"/>
          <w:sz w:val="21"/>
          <w:szCs w:val="21"/>
          <w:highlight w:val="none"/>
          <w:lang w:val="zh-CN"/>
        </w:rPr>
        <w:t>出资共同在南宁市青秀区注册成立项目公司。南宁市青秀区医疗卫生提升项目为新建医疗基础设施项目，分为南宁市青秀区卫生健康服务综合大楼和南宁市青秀区长塘镇卫生院整体搬迁两个子项目，采用 PPP模式运作，项目公司负责授权范围内的项目投（融）资、建设、运营、管理及合作期满移交工作。项目公司在项目合作期内，建设符合国家、行业、地方标准和规范，且达到南宁市青秀区医疗卫生提升项目预定建设目标的工程及其附属设施，并提供符合国家、行业、地方标准和规范规程要求的建筑及设施管养服务，提供医院内食堂、停车场、建筑设施设备维护等物业的经营服务。合作期满后，项目公司在移交日向南宁市青秀区人民政府或其指定机构在完好、能正常运营、无债务、无设定抵押担保的条件下无偿移交项目设施的所有权和所有权益。</w:t>
      </w:r>
    </w:p>
    <w:p>
      <w:pPr>
        <w:pStyle w:val="4"/>
        <w:spacing w:before="0" w:after="0" w:line="400" w:lineRule="exact"/>
        <w:ind w:firstLine="422" w:firstLineChars="200"/>
        <w:rPr>
          <w:rFonts w:hint="eastAsia" w:ascii="宋体" w:hAnsi="宋体" w:eastAsia="宋体" w:cs="宋体"/>
          <w:color w:val="auto"/>
          <w:sz w:val="21"/>
          <w:szCs w:val="21"/>
          <w:highlight w:val="none"/>
          <w:lang w:eastAsia="zh-CN"/>
        </w:rPr>
      </w:pPr>
      <w:bookmarkStart w:id="10" w:name="_Toc482173653"/>
      <w:bookmarkStart w:id="11" w:name="_Toc19005"/>
      <w:bookmarkStart w:id="12" w:name="_Toc30366"/>
      <w:r>
        <w:rPr>
          <w:rFonts w:hint="eastAsia" w:ascii="宋体" w:hAnsi="宋体" w:cs="宋体"/>
          <w:color w:val="auto"/>
          <w:sz w:val="21"/>
          <w:szCs w:val="21"/>
          <w:highlight w:val="none"/>
          <w:lang w:val="en-US" w:eastAsia="zh-CN"/>
        </w:rPr>
        <w:t>6.2</w:t>
      </w:r>
      <w:r>
        <w:rPr>
          <w:rFonts w:hint="eastAsia" w:ascii="宋体" w:hAnsi="宋体" w:cs="宋体"/>
          <w:color w:val="auto"/>
          <w:sz w:val="21"/>
          <w:szCs w:val="21"/>
          <w:highlight w:val="none"/>
        </w:rPr>
        <w:t>项目概况及</w:t>
      </w:r>
      <w:bookmarkEnd w:id="10"/>
      <w:bookmarkEnd w:id="11"/>
      <w:r>
        <w:rPr>
          <w:rFonts w:hint="eastAsia" w:ascii="宋体" w:hAnsi="宋体" w:cs="宋体"/>
          <w:color w:val="auto"/>
          <w:sz w:val="21"/>
          <w:szCs w:val="21"/>
          <w:highlight w:val="none"/>
          <w:lang w:eastAsia="zh-CN"/>
        </w:rPr>
        <w:t>建设内容</w:t>
      </w:r>
      <w:bookmarkEnd w:id="12"/>
    </w:p>
    <w:p>
      <w:pPr>
        <w:spacing w:line="400" w:lineRule="exact"/>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lang w:val="en-US" w:eastAsia="zh-CN"/>
        </w:rPr>
        <w:t>6.2.1项目区位</w:t>
      </w:r>
    </w:p>
    <w:p>
      <w:pPr>
        <w:spacing w:line="400" w:lineRule="exact"/>
        <w:ind w:firstLine="420" w:firstLineChars="200"/>
        <w:jc w:val="both"/>
        <w:rPr>
          <w:rFonts w:hint="eastAsia"/>
          <w:color w:val="auto"/>
          <w:sz w:val="21"/>
          <w:szCs w:val="21"/>
          <w:highlight w:val="none"/>
          <w:lang w:val="zh-CN"/>
        </w:rPr>
      </w:pPr>
      <w:r>
        <w:rPr>
          <w:rFonts w:hint="eastAsia"/>
          <w:color w:val="auto"/>
          <w:sz w:val="21"/>
          <w:szCs w:val="21"/>
          <w:highlight w:val="none"/>
          <w:lang w:val="zh-CN"/>
        </w:rPr>
        <w:t>南宁市青秀区卫生健康服务综合大楼拟建地点位于青秀区青环路与铜鼓岭东二巷交叉口西南侧。</w:t>
      </w:r>
    </w:p>
    <w:p>
      <w:pPr>
        <w:spacing w:line="400" w:lineRule="exact"/>
        <w:ind w:firstLine="420" w:firstLineChars="200"/>
        <w:jc w:val="both"/>
        <w:rPr>
          <w:rFonts w:hint="eastAsia"/>
          <w:color w:val="auto"/>
          <w:sz w:val="21"/>
          <w:szCs w:val="21"/>
          <w:highlight w:val="none"/>
          <w:lang w:val="zh-CN"/>
        </w:rPr>
      </w:pPr>
      <w:r>
        <w:rPr>
          <w:rFonts w:hint="eastAsia"/>
          <w:color w:val="auto"/>
          <w:sz w:val="21"/>
          <w:szCs w:val="21"/>
          <w:highlight w:val="none"/>
          <w:lang w:val="zh-CN"/>
        </w:rPr>
        <w:t>南宁市青秀区长塘镇卫生院位于南宁市青秀区长塘镇镇区，属于长塘镇中心地块，毗邻长塘镇养老院和长塘镇人口和计划生育服务所。</w:t>
      </w:r>
    </w:p>
    <w:p>
      <w:pPr>
        <w:spacing w:line="400" w:lineRule="exact"/>
        <w:ind w:firstLine="422" w:firstLineChars="200"/>
        <w:jc w:val="both"/>
        <w:rPr>
          <w:rFonts w:hint="eastAsia"/>
          <w:b/>
          <w:bCs/>
          <w:color w:val="auto"/>
          <w:sz w:val="21"/>
          <w:szCs w:val="21"/>
          <w:highlight w:val="none"/>
          <w:lang w:val="en-US" w:eastAsia="zh-CN"/>
        </w:rPr>
      </w:pPr>
      <w:r>
        <w:rPr>
          <w:rFonts w:hint="eastAsia"/>
          <w:b/>
          <w:bCs/>
          <w:color w:val="auto"/>
          <w:sz w:val="21"/>
          <w:szCs w:val="21"/>
          <w:highlight w:val="none"/>
          <w:lang w:val="en-US" w:eastAsia="zh-CN"/>
        </w:rPr>
        <w:t>6.2.2 项目主要产出说明</w:t>
      </w:r>
    </w:p>
    <w:p>
      <w:pPr>
        <w:spacing w:line="400" w:lineRule="exact"/>
        <w:ind w:firstLine="420" w:firstLineChars="200"/>
        <w:jc w:val="both"/>
        <w:rPr>
          <w:rFonts w:hint="eastAsia"/>
          <w:color w:val="auto"/>
          <w:sz w:val="21"/>
          <w:szCs w:val="21"/>
          <w:highlight w:val="none"/>
          <w:lang w:val="en-US" w:eastAsia="zh-CN"/>
        </w:rPr>
      </w:pPr>
      <w:r>
        <w:rPr>
          <w:color w:val="auto"/>
          <w:sz w:val="21"/>
          <w:szCs w:val="21"/>
          <w:highlight w:val="none"/>
        </w:rPr>
        <w:t xml:space="preserve"> </w:t>
      </w:r>
      <w:r>
        <w:rPr>
          <w:rFonts w:hint="eastAsia"/>
          <w:color w:val="auto"/>
          <w:sz w:val="21"/>
          <w:szCs w:val="21"/>
          <w:highlight w:val="none"/>
          <w:lang w:val="en-US" w:eastAsia="zh-CN"/>
        </w:rPr>
        <w:t>项目将建成符合国家、行业、地方标准和规范，且达到项目预定建设目标的建筑及其附属设施。卫生健康服务综合大楼和卫生院的功能符合其预定目标及使用要求，作为医疗服务机构与场所，为工作人员及服务人群提供安全舒适的工作及办事就医环境。</w:t>
      </w:r>
    </w:p>
    <w:p>
      <w:pPr>
        <w:spacing w:line="400" w:lineRule="exact"/>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项目公司承担项目建设和非医疗领域范围的项目维护运营管理工作。</w:t>
      </w:r>
    </w:p>
    <w:p>
      <w:pPr>
        <w:spacing w:line="400" w:lineRule="exact"/>
        <w:ind w:firstLine="422" w:firstLineChars="200"/>
        <w:jc w:val="both"/>
        <w:rPr>
          <w:rFonts w:hint="eastAsia"/>
          <w:b/>
          <w:bCs/>
          <w:color w:val="auto"/>
          <w:sz w:val="21"/>
          <w:szCs w:val="21"/>
          <w:highlight w:val="none"/>
          <w:lang w:val="en-US" w:eastAsia="zh-CN"/>
        </w:rPr>
      </w:pPr>
      <w:r>
        <w:rPr>
          <w:rFonts w:hint="eastAsia"/>
          <w:b/>
          <w:bCs/>
          <w:color w:val="auto"/>
          <w:sz w:val="21"/>
          <w:szCs w:val="21"/>
          <w:highlight w:val="none"/>
          <w:lang w:val="en-US" w:eastAsia="zh-CN"/>
        </w:rPr>
        <w:t>6.2.3建设内容和建设规模</w:t>
      </w:r>
    </w:p>
    <w:p>
      <w:pPr>
        <w:pStyle w:val="2"/>
        <w:ind w:firstLine="422" w:firstLineChars="200"/>
        <w:rPr>
          <w:rFonts w:hint="eastAsia" w:ascii="Times New Roman" w:hAnsi="Times New Roman" w:eastAsia="宋体" w:cs="Times New Roman"/>
          <w:b/>
          <w:bCs/>
          <w:color w:val="auto"/>
          <w:spacing w:val="0"/>
          <w:kern w:val="2"/>
          <w:sz w:val="21"/>
          <w:szCs w:val="21"/>
          <w:highlight w:val="none"/>
          <w:lang w:val="en-US" w:eastAsia="zh-CN" w:bidi="ar-SA"/>
        </w:rPr>
      </w:pPr>
      <w:r>
        <w:rPr>
          <w:rFonts w:hint="eastAsia" w:ascii="Times New Roman" w:hAnsi="Times New Roman" w:eastAsia="宋体" w:cs="Times New Roman"/>
          <w:b/>
          <w:bCs/>
          <w:color w:val="auto"/>
          <w:spacing w:val="0"/>
          <w:kern w:val="2"/>
          <w:sz w:val="21"/>
          <w:szCs w:val="21"/>
          <w:highlight w:val="none"/>
          <w:lang w:val="en-US" w:eastAsia="zh-CN" w:bidi="ar-SA"/>
        </w:rPr>
        <w:t xml:space="preserve">6.2.3.1南宁市青秀区卫生健康服务综合大楼 </w:t>
      </w:r>
    </w:p>
    <w:p>
      <w:pPr>
        <w:pStyle w:val="2"/>
        <w:ind w:firstLine="420" w:firstLineChars="200"/>
        <w:rPr>
          <w:rFonts w:hint="eastAsia" w:ascii="Times New Roman" w:hAnsi="Times New Roman" w:eastAsia="宋体" w:cs="Times New Roman"/>
          <w:bCs w:val="0"/>
          <w:color w:val="auto"/>
          <w:spacing w:val="0"/>
          <w:kern w:val="2"/>
          <w:sz w:val="21"/>
          <w:szCs w:val="21"/>
          <w:highlight w:val="none"/>
          <w:lang w:val="en-US" w:eastAsia="zh-CN" w:bidi="ar-SA"/>
        </w:rPr>
      </w:pPr>
      <w:r>
        <w:rPr>
          <w:rFonts w:hint="eastAsia" w:ascii="Times New Roman" w:hAnsi="Times New Roman" w:eastAsia="宋体" w:cs="Times New Roman"/>
          <w:bCs w:val="0"/>
          <w:color w:val="auto"/>
          <w:spacing w:val="0"/>
          <w:kern w:val="2"/>
          <w:sz w:val="21"/>
          <w:szCs w:val="21"/>
          <w:highlight w:val="none"/>
          <w:lang w:val="en-US" w:eastAsia="zh-CN" w:bidi="ar-SA"/>
        </w:rPr>
        <w:t>根据可研数据，本项目新建1栋地下负2层、地上20层的卫生健康服务综合楼，以及1栋地上2层的附属用房，项目总用地面积5110.98平方米（合7.67亩），总建筑面积为24271.66平方米，其中：地上建筑面积17797.36平方米，地下建筑面积 6474.30 平方米。</w:t>
      </w:r>
    </w:p>
    <w:p>
      <w:pPr>
        <w:pStyle w:val="2"/>
        <w:ind w:firstLine="420" w:firstLineChars="200"/>
        <w:rPr>
          <w:rFonts w:hint="eastAsia" w:ascii="Times New Roman" w:hAnsi="Times New Roman" w:eastAsia="宋体" w:cs="Times New Roman"/>
          <w:bCs w:val="0"/>
          <w:color w:val="auto"/>
          <w:spacing w:val="0"/>
          <w:kern w:val="2"/>
          <w:sz w:val="21"/>
          <w:szCs w:val="21"/>
          <w:highlight w:val="none"/>
          <w:lang w:val="en-US" w:eastAsia="zh-CN" w:bidi="ar-SA"/>
        </w:rPr>
      </w:pPr>
      <w:r>
        <w:rPr>
          <w:rFonts w:hint="eastAsia" w:ascii="Times New Roman" w:hAnsi="Times New Roman" w:eastAsia="宋体" w:cs="Times New Roman"/>
          <w:bCs w:val="0"/>
          <w:color w:val="auto"/>
          <w:spacing w:val="0"/>
          <w:kern w:val="2"/>
          <w:sz w:val="21"/>
          <w:szCs w:val="21"/>
          <w:highlight w:val="none"/>
          <w:lang w:val="en-US" w:eastAsia="zh-CN" w:bidi="ar-SA"/>
        </w:rPr>
        <w:t>青秀区卫生健康服务综合大楼在功能上主要由社区卫生健康服务中心、妇幼保健中心、 疾病预防控制中心及卫生应急指挥中心组成。设备用房主要为液氧站等相关设备用房。</w:t>
      </w:r>
    </w:p>
    <w:p>
      <w:pPr>
        <w:autoSpaceDE w:val="0"/>
        <w:autoSpaceDN w:val="0"/>
        <w:adjustRightInd w:val="0"/>
        <w:snapToGrid w:val="0"/>
        <w:spacing w:line="360" w:lineRule="auto"/>
        <w:ind w:firstLine="420" w:firstLineChars="200"/>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sz w:val="21"/>
          <w:szCs w:val="21"/>
          <w:highlight w:val="none"/>
        </w:rPr>
        <w:drawing>
          <wp:anchor distT="0" distB="0" distL="114300" distR="114300" simplePos="0" relativeHeight="251659264" behindDoc="0" locked="0" layoutInCell="1" allowOverlap="1">
            <wp:simplePos x="0" y="0"/>
            <wp:positionH relativeFrom="column">
              <wp:posOffset>361315</wp:posOffset>
            </wp:positionH>
            <wp:positionV relativeFrom="paragraph">
              <wp:posOffset>185420</wp:posOffset>
            </wp:positionV>
            <wp:extent cx="5324475" cy="4770755"/>
            <wp:effectExtent l="0" t="0" r="9525" b="14605"/>
            <wp:wrapNone/>
            <wp:docPr id="2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pic:cNvPicPr>
                      <a:picLocks noChangeAspect="1"/>
                    </pic:cNvPicPr>
                  </pic:nvPicPr>
                  <pic:blipFill>
                    <a:blip r:embed="rId4"/>
                    <a:stretch>
                      <a:fillRect/>
                    </a:stretch>
                  </pic:blipFill>
                  <pic:spPr>
                    <a:xfrm>
                      <a:off x="0" y="0"/>
                      <a:ext cx="5324475" cy="4770755"/>
                    </a:xfrm>
                    <a:prstGeom prst="rect">
                      <a:avLst/>
                    </a:prstGeom>
                    <a:noFill/>
                    <a:ln w="9525">
                      <a:noFill/>
                    </a:ln>
                  </pic:spPr>
                </pic:pic>
              </a:graphicData>
            </a:graphic>
          </wp:anchor>
        </w:drawing>
      </w:r>
      <w:r>
        <w:rPr>
          <w:rFonts w:hint="eastAsia" w:ascii="宋体" w:hAnsi="宋体" w:eastAsia="宋体" w:cs="宋体"/>
          <w:color w:val="auto"/>
          <w:kern w:val="0"/>
          <w:sz w:val="21"/>
          <w:szCs w:val="21"/>
          <w:highlight w:val="none"/>
          <w:lang w:val="zh-CN" w:eastAsia="zh-CN"/>
        </w:rPr>
        <w:t xml:space="preserve">项目技术经济指标见表 </w:t>
      </w:r>
      <w:r>
        <w:rPr>
          <w:rFonts w:hint="eastAsia" w:ascii="宋体" w:hAnsi="宋体" w:eastAsia="宋体" w:cs="宋体"/>
          <w:color w:val="auto"/>
          <w:kern w:val="0"/>
          <w:sz w:val="21"/>
          <w:szCs w:val="21"/>
          <w:highlight w:val="none"/>
          <w:lang w:val="en-US" w:eastAsia="zh-CN"/>
        </w:rPr>
        <w:t>6.2.3.1-1</w:t>
      </w:r>
      <w:r>
        <w:rPr>
          <w:rFonts w:hint="eastAsia" w:ascii="宋体" w:hAnsi="宋体" w:eastAsia="宋体" w:cs="宋体"/>
          <w:color w:val="auto"/>
          <w:kern w:val="0"/>
          <w:sz w:val="21"/>
          <w:szCs w:val="21"/>
          <w:highlight w:val="none"/>
          <w:lang w:val="zh-CN" w:eastAsia="zh-CN"/>
        </w:rPr>
        <w:t>：</w:t>
      </w:r>
    </w:p>
    <w:p>
      <w:pPr>
        <w:pStyle w:val="2"/>
        <w:ind w:firstLine="420" w:firstLineChars="200"/>
        <w:rPr>
          <w:rFonts w:hint="eastAsia" w:ascii="Times New Roman" w:hAnsi="Times New Roman" w:eastAsia="宋体" w:cs="Times New Roman"/>
          <w:bCs w:val="0"/>
          <w:color w:val="auto"/>
          <w:spacing w:val="0"/>
          <w:kern w:val="2"/>
          <w:sz w:val="21"/>
          <w:szCs w:val="21"/>
          <w:highlight w:val="none"/>
          <w:lang w:val="en-US" w:eastAsia="zh-CN" w:bidi="ar-SA"/>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sz w:val="21"/>
          <w:szCs w:val="21"/>
          <w:highlight w:val="none"/>
          <w:lang w:val="en-US" w:eastAsia="zh-CN"/>
        </w:rPr>
      </w:pPr>
      <w:r>
        <w:rPr>
          <w:rFonts w:hint="eastAsia"/>
          <w:color w:val="auto"/>
          <w:sz w:val="21"/>
          <w:szCs w:val="21"/>
          <w:highlight w:val="none"/>
          <w:lang w:val="en-US" w:eastAsia="zh-CN"/>
        </w:rPr>
        <w:t>注：项目建设规模和内容以经批复的设计为准。</w:t>
      </w:r>
    </w:p>
    <w:p>
      <w:pPr>
        <w:autoSpaceDE w:val="0"/>
        <w:autoSpaceDN w:val="0"/>
        <w:adjustRightInd w:val="0"/>
        <w:snapToGrid w:val="0"/>
        <w:spacing w:line="360" w:lineRule="auto"/>
        <w:ind w:firstLine="422" w:firstLineChars="200"/>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 xml:space="preserve">6.2.3.2 南宁市青秀区长塘镇卫生院 </w:t>
      </w:r>
    </w:p>
    <w:p>
      <w:pPr>
        <w:autoSpaceDE w:val="0"/>
        <w:autoSpaceDN w:val="0"/>
        <w:adjustRightInd w:val="0"/>
        <w:snapToGrid w:val="0"/>
        <w:spacing w:line="360" w:lineRule="auto"/>
        <w:ind w:firstLine="420" w:firstLineChars="200"/>
        <w:rPr>
          <w:rFonts w:hint="eastAsia" w:ascii="Times New Roman" w:hAnsi="Times New Roman" w:eastAsia="宋体" w:cs="Times New Roman"/>
          <w:bCs w:val="0"/>
          <w:color w:val="auto"/>
          <w:spacing w:val="0"/>
          <w:kern w:val="2"/>
          <w:sz w:val="21"/>
          <w:szCs w:val="21"/>
          <w:highlight w:val="none"/>
          <w:lang w:val="zh-CN" w:eastAsia="zh-CN" w:bidi="ar-SA"/>
        </w:rPr>
      </w:pPr>
      <w:r>
        <w:rPr>
          <w:rFonts w:hint="eastAsia" w:ascii="Times New Roman" w:hAnsi="Times New Roman" w:eastAsia="宋体" w:cs="Times New Roman"/>
          <w:bCs w:val="0"/>
          <w:color w:val="auto"/>
          <w:spacing w:val="0"/>
          <w:kern w:val="2"/>
          <w:sz w:val="21"/>
          <w:szCs w:val="21"/>
          <w:highlight w:val="none"/>
          <w:lang w:val="zh-CN" w:eastAsia="zh-CN" w:bidi="ar-SA"/>
        </w:rPr>
        <w:t>根据可研数据，本项目总用地面积约为5800平方米，建筑占地面积为1295平方米。总建筑面积7585平方米，其中计容面积为5845平方米，现有办公楼面积为575平方米，地下室面积为1740平方米，床位数约96张。</w:t>
      </w:r>
    </w:p>
    <w:p>
      <w:pPr>
        <w:autoSpaceDE w:val="0"/>
        <w:autoSpaceDN w:val="0"/>
        <w:adjustRightInd w:val="0"/>
        <w:snapToGrid w:val="0"/>
        <w:spacing w:line="360" w:lineRule="auto"/>
        <w:ind w:firstLine="420" w:firstLineChars="200"/>
        <w:rPr>
          <w:rFonts w:hint="eastAsia" w:ascii="Times New Roman" w:hAnsi="Times New Roman" w:eastAsia="宋体" w:cs="Times New Roman"/>
          <w:bCs w:val="0"/>
          <w:color w:val="auto"/>
          <w:spacing w:val="0"/>
          <w:kern w:val="2"/>
          <w:sz w:val="21"/>
          <w:szCs w:val="21"/>
          <w:highlight w:val="none"/>
          <w:lang w:val="zh-CN" w:eastAsia="zh-CN" w:bidi="ar-SA"/>
        </w:rPr>
      </w:pPr>
      <w:r>
        <w:rPr>
          <w:rFonts w:hint="eastAsia" w:ascii="Times New Roman" w:hAnsi="Times New Roman" w:eastAsia="宋体" w:cs="Times New Roman"/>
          <w:bCs w:val="0"/>
          <w:color w:val="auto"/>
          <w:spacing w:val="0"/>
          <w:kern w:val="2"/>
          <w:sz w:val="21"/>
          <w:szCs w:val="21"/>
          <w:highlight w:val="none"/>
          <w:lang w:val="zh-CN" w:eastAsia="zh-CN" w:bidi="ar-SA"/>
        </w:rPr>
        <w:t>本项目包括房屋建筑、场地和附属设施。其中房屋建筑主要为卫生院主楼，含预防保健及合作医疗管理用房、医疗(门诊、放射、检验和住院)用房、行政后勤保障用房等。场地包括道路、绿地和停车场等。服务设施包括供水供电、污水处理、垃圾收集等。</w:t>
      </w:r>
    </w:p>
    <w:p>
      <w:pPr>
        <w:autoSpaceDE w:val="0"/>
        <w:autoSpaceDN w:val="0"/>
        <w:adjustRightInd w:val="0"/>
        <w:snapToGrid w:val="0"/>
        <w:spacing w:line="360" w:lineRule="auto"/>
        <w:ind w:firstLine="420" w:firstLineChars="200"/>
        <w:rPr>
          <w:rFonts w:hint="eastAsia" w:ascii="Times New Roman" w:hAnsi="Times New Roman" w:eastAsia="宋体" w:cs="Times New Roman"/>
          <w:bCs w:val="0"/>
          <w:color w:val="auto"/>
          <w:spacing w:val="0"/>
          <w:kern w:val="2"/>
          <w:sz w:val="21"/>
          <w:szCs w:val="21"/>
          <w:highlight w:val="none"/>
          <w:lang w:val="zh-CN" w:eastAsia="zh-CN" w:bidi="ar-SA"/>
        </w:rPr>
      </w:pPr>
      <w:r>
        <w:rPr>
          <w:rFonts w:hint="eastAsia" w:ascii="Times New Roman" w:hAnsi="Times New Roman" w:eastAsia="宋体" w:cs="Times New Roman"/>
          <w:bCs w:val="0"/>
          <w:color w:val="auto"/>
          <w:spacing w:val="0"/>
          <w:kern w:val="2"/>
          <w:sz w:val="21"/>
          <w:szCs w:val="21"/>
          <w:highlight w:val="none"/>
          <w:lang w:val="en-US" w:eastAsia="zh-CN" w:bidi="ar-SA"/>
        </w:rPr>
        <w:drawing>
          <wp:anchor distT="0" distB="0" distL="114300" distR="114300" simplePos="0" relativeHeight="251662336" behindDoc="0" locked="0" layoutInCell="1" allowOverlap="1">
            <wp:simplePos x="0" y="0"/>
            <wp:positionH relativeFrom="column">
              <wp:posOffset>86360</wp:posOffset>
            </wp:positionH>
            <wp:positionV relativeFrom="paragraph">
              <wp:posOffset>184785</wp:posOffset>
            </wp:positionV>
            <wp:extent cx="5742940" cy="1996440"/>
            <wp:effectExtent l="0" t="0" r="2540" b="0"/>
            <wp:wrapNone/>
            <wp:docPr id="2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pic:cNvPicPr>
                      <a:picLocks noChangeAspect="1"/>
                    </pic:cNvPicPr>
                  </pic:nvPicPr>
                  <pic:blipFill>
                    <a:blip r:embed="rId5"/>
                    <a:stretch>
                      <a:fillRect/>
                    </a:stretch>
                  </pic:blipFill>
                  <pic:spPr>
                    <a:xfrm>
                      <a:off x="0" y="0"/>
                      <a:ext cx="5742940" cy="1996440"/>
                    </a:xfrm>
                    <a:prstGeom prst="rect">
                      <a:avLst/>
                    </a:prstGeom>
                    <a:noFill/>
                    <a:ln w="9525">
                      <a:noFill/>
                    </a:ln>
                  </pic:spPr>
                </pic:pic>
              </a:graphicData>
            </a:graphic>
          </wp:anchor>
        </w:drawing>
      </w:r>
      <w:r>
        <w:rPr>
          <w:rFonts w:hint="eastAsia" w:ascii="Times New Roman" w:hAnsi="Times New Roman" w:eastAsia="宋体" w:cs="Times New Roman"/>
          <w:bCs w:val="0"/>
          <w:color w:val="auto"/>
          <w:spacing w:val="0"/>
          <w:kern w:val="2"/>
          <w:sz w:val="21"/>
          <w:szCs w:val="21"/>
          <w:highlight w:val="none"/>
          <w:lang w:val="zh-CN" w:eastAsia="zh-CN" w:bidi="ar-SA"/>
        </w:rPr>
        <w:t xml:space="preserve">长塘镇卫生院主楼各楼层布局如下： </w:t>
      </w: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autoSpaceDE w:val="0"/>
        <w:autoSpaceDN w:val="0"/>
        <w:adjustRightInd w:val="0"/>
        <w:snapToGrid w:val="0"/>
        <w:spacing w:line="360" w:lineRule="auto"/>
        <w:ind w:firstLine="420" w:firstLineChars="200"/>
        <w:rPr>
          <w:rFonts w:hint="eastAsia" w:cs="宋体"/>
          <w:color w:val="auto"/>
          <w:kern w:val="0"/>
          <w:sz w:val="21"/>
          <w:szCs w:val="21"/>
          <w:highlight w:val="none"/>
          <w:lang w:val="zh-CN" w:eastAsia="zh-CN"/>
        </w:rPr>
      </w:pPr>
      <w:r>
        <w:rPr>
          <w:color w:val="auto"/>
          <w:sz w:val="21"/>
          <w:szCs w:val="21"/>
          <w:highlight w:val="none"/>
        </w:rPr>
        <w:drawing>
          <wp:anchor distT="0" distB="0" distL="114300" distR="114300" simplePos="0" relativeHeight="251666432" behindDoc="0" locked="0" layoutInCell="1" allowOverlap="1">
            <wp:simplePos x="0" y="0"/>
            <wp:positionH relativeFrom="column">
              <wp:posOffset>245745</wp:posOffset>
            </wp:positionH>
            <wp:positionV relativeFrom="paragraph">
              <wp:posOffset>204470</wp:posOffset>
            </wp:positionV>
            <wp:extent cx="5492115" cy="4027170"/>
            <wp:effectExtent l="0" t="0" r="9525" b="11430"/>
            <wp:wrapNone/>
            <wp:docPr id="2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pic:cNvPicPr>
                      <a:picLocks noChangeAspect="1"/>
                    </pic:cNvPicPr>
                  </pic:nvPicPr>
                  <pic:blipFill>
                    <a:blip r:embed="rId6"/>
                    <a:stretch>
                      <a:fillRect/>
                    </a:stretch>
                  </pic:blipFill>
                  <pic:spPr>
                    <a:xfrm>
                      <a:off x="0" y="0"/>
                      <a:ext cx="5492115" cy="4027170"/>
                    </a:xfrm>
                    <a:prstGeom prst="rect">
                      <a:avLst/>
                    </a:prstGeom>
                    <a:noFill/>
                    <a:ln w="9525">
                      <a:noFill/>
                    </a:ln>
                  </pic:spPr>
                </pic:pic>
              </a:graphicData>
            </a:graphic>
          </wp:anchor>
        </w:drawing>
      </w:r>
      <w:r>
        <w:rPr>
          <w:rFonts w:hint="eastAsia" w:cs="宋体"/>
          <w:color w:val="auto"/>
          <w:kern w:val="0"/>
          <w:sz w:val="21"/>
          <w:szCs w:val="21"/>
          <w:highlight w:val="none"/>
          <w:lang w:val="zh-CN" w:eastAsia="zh-CN"/>
        </w:rPr>
        <w:t xml:space="preserve">项目技术经济指标见表 </w:t>
      </w:r>
      <w:r>
        <w:rPr>
          <w:rFonts w:hint="eastAsia" w:cs="宋体"/>
          <w:color w:val="auto"/>
          <w:kern w:val="0"/>
          <w:sz w:val="21"/>
          <w:szCs w:val="21"/>
          <w:highlight w:val="none"/>
          <w:lang w:val="en-US" w:eastAsia="zh-CN"/>
        </w:rPr>
        <w:t>6.2.3.2</w:t>
      </w:r>
      <w:r>
        <w:rPr>
          <w:rFonts w:hint="eastAsia" w:cs="宋体"/>
          <w:color w:val="auto"/>
          <w:kern w:val="0"/>
          <w:sz w:val="21"/>
          <w:szCs w:val="21"/>
          <w:highlight w:val="none"/>
          <w:lang w:val="zh-CN" w:eastAsia="zh-CN"/>
        </w:rPr>
        <w:t>-</w:t>
      </w:r>
      <w:r>
        <w:rPr>
          <w:rFonts w:hint="eastAsia" w:cs="宋体"/>
          <w:color w:val="auto"/>
          <w:kern w:val="0"/>
          <w:sz w:val="21"/>
          <w:szCs w:val="21"/>
          <w:highlight w:val="none"/>
          <w:lang w:val="en-US" w:eastAsia="zh-CN"/>
        </w:rPr>
        <w:t>1</w:t>
      </w:r>
      <w:r>
        <w:rPr>
          <w:rFonts w:hint="eastAsia" w:cs="宋体"/>
          <w:color w:val="auto"/>
          <w:kern w:val="0"/>
          <w:sz w:val="21"/>
          <w:szCs w:val="21"/>
          <w:highlight w:val="none"/>
          <w:lang w:val="zh-CN" w:eastAsia="zh-CN"/>
        </w:rPr>
        <w:t xml:space="preserve">： </w:t>
      </w:r>
    </w:p>
    <w:p>
      <w:pPr>
        <w:autoSpaceDE w:val="0"/>
        <w:autoSpaceDN w:val="0"/>
        <w:adjustRightInd w:val="0"/>
        <w:snapToGrid w:val="0"/>
        <w:spacing w:line="360" w:lineRule="auto"/>
        <w:ind w:firstLine="482" w:firstLineChars="200"/>
        <w:rPr>
          <w:rFonts w:cs="宋体"/>
          <w:b/>
          <w:color w:val="auto"/>
          <w:kern w:val="0"/>
          <w:sz w:val="24"/>
          <w:szCs w:val="28"/>
          <w:highlight w:val="none"/>
          <w:lang w:val="zh-CN"/>
        </w:rPr>
      </w:pPr>
    </w:p>
    <w:p>
      <w:pPr>
        <w:autoSpaceDE w:val="0"/>
        <w:autoSpaceDN w:val="0"/>
        <w:adjustRightInd w:val="0"/>
        <w:snapToGrid w:val="0"/>
        <w:spacing w:line="360" w:lineRule="auto"/>
        <w:ind w:firstLine="482" w:firstLineChars="200"/>
        <w:rPr>
          <w:rFonts w:cs="宋体"/>
          <w:b/>
          <w:color w:val="auto"/>
          <w:kern w:val="0"/>
          <w:sz w:val="24"/>
          <w:szCs w:val="28"/>
          <w:highlight w:val="none"/>
          <w:lang w:val="zh-CN"/>
        </w:rPr>
      </w:pPr>
    </w:p>
    <w:p>
      <w:pPr>
        <w:autoSpaceDE w:val="0"/>
        <w:autoSpaceDN w:val="0"/>
        <w:adjustRightInd w:val="0"/>
        <w:snapToGrid w:val="0"/>
        <w:spacing w:line="360" w:lineRule="auto"/>
        <w:ind w:firstLine="482" w:firstLineChars="200"/>
        <w:rPr>
          <w:rFonts w:cs="宋体"/>
          <w:b/>
          <w:color w:val="auto"/>
          <w:kern w:val="0"/>
          <w:sz w:val="24"/>
          <w:szCs w:val="28"/>
          <w:highlight w:val="none"/>
          <w:lang w:val="zh-CN"/>
        </w:rPr>
      </w:pPr>
    </w:p>
    <w:p>
      <w:pPr>
        <w:autoSpaceDE w:val="0"/>
        <w:autoSpaceDN w:val="0"/>
        <w:adjustRightInd w:val="0"/>
        <w:snapToGrid w:val="0"/>
        <w:spacing w:line="360" w:lineRule="auto"/>
        <w:ind w:firstLine="482" w:firstLineChars="200"/>
        <w:rPr>
          <w:rFonts w:cs="宋体"/>
          <w:b/>
          <w:color w:val="auto"/>
          <w:kern w:val="0"/>
          <w:sz w:val="24"/>
          <w:szCs w:val="28"/>
          <w:highlight w:val="none"/>
          <w:lang w:val="zh-CN"/>
        </w:rPr>
      </w:pPr>
    </w:p>
    <w:p>
      <w:pPr>
        <w:autoSpaceDE w:val="0"/>
        <w:autoSpaceDN w:val="0"/>
        <w:adjustRightInd w:val="0"/>
        <w:snapToGrid w:val="0"/>
        <w:spacing w:line="360" w:lineRule="auto"/>
        <w:ind w:firstLine="482" w:firstLineChars="200"/>
        <w:rPr>
          <w:rFonts w:cs="宋体"/>
          <w:b/>
          <w:color w:val="auto"/>
          <w:kern w:val="0"/>
          <w:sz w:val="24"/>
          <w:szCs w:val="28"/>
          <w:highlight w:val="none"/>
          <w:lang w:val="zh-CN"/>
        </w:rPr>
      </w:pPr>
    </w:p>
    <w:p>
      <w:pPr>
        <w:autoSpaceDE w:val="0"/>
        <w:autoSpaceDN w:val="0"/>
        <w:adjustRightInd w:val="0"/>
        <w:snapToGrid w:val="0"/>
        <w:spacing w:line="360" w:lineRule="auto"/>
        <w:ind w:firstLine="482" w:firstLineChars="200"/>
        <w:rPr>
          <w:rFonts w:cs="宋体"/>
          <w:b/>
          <w:color w:val="auto"/>
          <w:kern w:val="0"/>
          <w:sz w:val="24"/>
          <w:szCs w:val="28"/>
          <w:highlight w:val="none"/>
          <w:lang w:val="zh-CN"/>
        </w:rPr>
      </w:pPr>
    </w:p>
    <w:p>
      <w:pPr>
        <w:autoSpaceDE w:val="0"/>
        <w:autoSpaceDN w:val="0"/>
        <w:adjustRightInd w:val="0"/>
        <w:snapToGrid w:val="0"/>
        <w:spacing w:line="360" w:lineRule="auto"/>
        <w:ind w:firstLine="482" w:firstLineChars="200"/>
        <w:rPr>
          <w:rFonts w:cs="宋体"/>
          <w:b/>
          <w:color w:val="auto"/>
          <w:kern w:val="0"/>
          <w:sz w:val="24"/>
          <w:szCs w:val="28"/>
          <w:highlight w:val="none"/>
          <w:lang w:val="zh-CN"/>
        </w:rPr>
      </w:pPr>
    </w:p>
    <w:p>
      <w:pPr>
        <w:autoSpaceDE w:val="0"/>
        <w:autoSpaceDN w:val="0"/>
        <w:adjustRightInd w:val="0"/>
        <w:snapToGrid w:val="0"/>
        <w:spacing w:line="360" w:lineRule="auto"/>
        <w:ind w:firstLine="482" w:firstLineChars="200"/>
        <w:rPr>
          <w:rFonts w:cs="宋体"/>
          <w:b/>
          <w:color w:val="auto"/>
          <w:kern w:val="0"/>
          <w:sz w:val="24"/>
          <w:szCs w:val="28"/>
          <w:highlight w:val="none"/>
          <w:lang w:val="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r>
        <w:rPr>
          <w:color w:val="auto"/>
          <w:highlight w:val="none"/>
        </w:rPr>
        <w:drawing>
          <wp:anchor distT="0" distB="0" distL="114300" distR="114300" simplePos="0" relativeHeight="251671552" behindDoc="0" locked="0" layoutInCell="1" allowOverlap="1">
            <wp:simplePos x="0" y="0"/>
            <wp:positionH relativeFrom="column">
              <wp:posOffset>346075</wp:posOffset>
            </wp:positionH>
            <wp:positionV relativeFrom="paragraph">
              <wp:posOffset>88265</wp:posOffset>
            </wp:positionV>
            <wp:extent cx="5213350" cy="1927225"/>
            <wp:effectExtent l="0" t="0" r="13970" b="8255"/>
            <wp:wrapNone/>
            <wp:docPr id="2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pic:cNvPicPr>
                      <a:picLocks noChangeAspect="1"/>
                    </pic:cNvPicPr>
                  </pic:nvPicPr>
                  <pic:blipFill>
                    <a:blip r:embed="rId7"/>
                    <a:stretch>
                      <a:fillRect/>
                    </a:stretch>
                  </pic:blipFill>
                  <pic:spPr>
                    <a:xfrm>
                      <a:off x="0" y="0"/>
                      <a:ext cx="5213350" cy="1927225"/>
                    </a:xfrm>
                    <a:prstGeom prst="rect">
                      <a:avLst/>
                    </a:prstGeom>
                    <a:noFill/>
                    <a:ln w="9525">
                      <a:noFill/>
                    </a:ln>
                  </pic:spPr>
                </pic:pic>
              </a:graphicData>
            </a:graphic>
          </wp:anchor>
        </w:drawing>
      </w: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spacing w:line="400" w:lineRule="exact"/>
        <w:ind w:firstLine="422" w:firstLineChars="200"/>
        <w:jc w:val="both"/>
        <w:rPr>
          <w:rFonts w:hint="eastAsia"/>
          <w:b/>
          <w:bCs/>
          <w:color w:val="auto"/>
          <w:sz w:val="21"/>
          <w:szCs w:val="21"/>
          <w:highlight w:val="none"/>
          <w:lang w:val="en-US" w:eastAsia="zh-CN"/>
        </w:rPr>
      </w:pPr>
      <w:r>
        <w:rPr>
          <w:rFonts w:hint="eastAsia"/>
          <w:b/>
          <w:bCs/>
          <w:color w:val="auto"/>
          <w:sz w:val="21"/>
          <w:szCs w:val="21"/>
          <w:highlight w:val="none"/>
          <w:lang w:val="en-US" w:eastAsia="zh-CN"/>
        </w:rPr>
        <w:t>6.3 项目运营和维护</w:t>
      </w:r>
    </w:p>
    <w:p>
      <w:pPr>
        <w:autoSpaceDE w:val="0"/>
        <w:autoSpaceDN w:val="0"/>
        <w:adjustRightInd w:val="0"/>
        <w:snapToGrid w:val="0"/>
        <w:spacing w:line="360" w:lineRule="auto"/>
        <w:ind w:firstLine="420" w:firstLineChars="200"/>
        <w:rPr>
          <w:rFonts w:hint="eastAsia" w:ascii="Times New Roman" w:hAnsi="Times New Roman" w:eastAsia="宋体" w:cs="Times New Roman"/>
          <w:bCs w:val="0"/>
          <w:color w:val="auto"/>
          <w:spacing w:val="0"/>
          <w:kern w:val="2"/>
          <w:sz w:val="21"/>
          <w:szCs w:val="21"/>
          <w:highlight w:val="none"/>
          <w:lang w:val="en-US" w:eastAsia="zh-CN" w:bidi="ar-SA"/>
        </w:rPr>
      </w:pPr>
      <w:r>
        <w:rPr>
          <w:rFonts w:hint="eastAsia" w:ascii="Times New Roman" w:hAnsi="Times New Roman" w:eastAsia="宋体" w:cs="Times New Roman"/>
          <w:bCs w:val="0"/>
          <w:color w:val="auto"/>
          <w:spacing w:val="0"/>
          <w:kern w:val="2"/>
          <w:sz w:val="21"/>
          <w:szCs w:val="21"/>
          <w:highlight w:val="none"/>
          <w:lang w:val="en-US" w:eastAsia="zh-CN" w:bidi="ar-SA"/>
        </w:rPr>
        <w:t>项目公司应按国家、省、市相关行业主管部门发布的有关规定对项目进行维护管理，本项目最终的实际维护管理范围以双方商定为准。项目运营和维护内容包括但不限于以下几个方面：</w:t>
      </w:r>
    </w:p>
    <w:p>
      <w:pPr>
        <w:autoSpaceDE w:val="0"/>
        <w:autoSpaceDN w:val="0"/>
        <w:adjustRightInd w:val="0"/>
        <w:snapToGrid w:val="0"/>
        <w:spacing w:line="360" w:lineRule="auto"/>
        <w:ind w:firstLine="420" w:firstLineChars="200"/>
        <w:rPr>
          <w:rFonts w:hint="eastAsia" w:ascii="Times New Roman" w:hAnsi="Times New Roman" w:eastAsia="宋体" w:cs="Times New Roman"/>
          <w:bCs w:val="0"/>
          <w:color w:val="auto"/>
          <w:spacing w:val="0"/>
          <w:kern w:val="2"/>
          <w:sz w:val="21"/>
          <w:szCs w:val="21"/>
          <w:highlight w:val="none"/>
          <w:lang w:val="en-US" w:eastAsia="zh-CN" w:bidi="ar-SA"/>
        </w:rPr>
      </w:pPr>
      <w:r>
        <w:rPr>
          <w:rFonts w:hint="eastAsia" w:ascii="Times New Roman" w:hAnsi="Times New Roman" w:eastAsia="宋体" w:cs="Times New Roman"/>
          <w:bCs w:val="0"/>
          <w:color w:val="auto"/>
          <w:spacing w:val="0"/>
          <w:kern w:val="2"/>
          <w:sz w:val="21"/>
          <w:szCs w:val="21"/>
          <w:highlight w:val="none"/>
          <w:lang w:val="en-US" w:eastAsia="zh-CN" w:bidi="ar-SA"/>
        </w:rPr>
        <w:t>（1）提供卫生健康服务综合大楼和长塘镇卫生院建筑及设施等的维护保养服务，不包括医疗设施设备；</w:t>
      </w:r>
    </w:p>
    <w:p>
      <w:pPr>
        <w:autoSpaceDE w:val="0"/>
        <w:autoSpaceDN w:val="0"/>
        <w:adjustRightInd w:val="0"/>
        <w:snapToGrid w:val="0"/>
        <w:spacing w:line="360" w:lineRule="auto"/>
        <w:ind w:firstLine="420" w:firstLineChars="200"/>
        <w:rPr>
          <w:rFonts w:hint="eastAsia" w:ascii="Times New Roman" w:hAnsi="Times New Roman" w:eastAsia="宋体" w:cs="Times New Roman"/>
          <w:bCs w:val="0"/>
          <w:color w:val="auto"/>
          <w:spacing w:val="0"/>
          <w:kern w:val="2"/>
          <w:sz w:val="21"/>
          <w:szCs w:val="21"/>
          <w:highlight w:val="none"/>
          <w:lang w:val="en-US" w:eastAsia="zh-CN" w:bidi="ar-SA"/>
        </w:rPr>
      </w:pPr>
      <w:r>
        <w:rPr>
          <w:rFonts w:hint="eastAsia" w:ascii="Times New Roman" w:hAnsi="Times New Roman" w:eastAsia="宋体" w:cs="Times New Roman"/>
          <w:bCs w:val="0"/>
          <w:color w:val="auto"/>
          <w:spacing w:val="0"/>
          <w:kern w:val="2"/>
          <w:sz w:val="21"/>
          <w:szCs w:val="21"/>
          <w:highlight w:val="none"/>
          <w:lang w:val="en-US" w:eastAsia="zh-CN" w:bidi="ar-SA"/>
        </w:rPr>
        <w:t>（2）提供项目范围内公共区域的安保、卫生保洁服务及绿化养护服务；</w:t>
      </w:r>
    </w:p>
    <w:p>
      <w:pPr>
        <w:autoSpaceDE w:val="0"/>
        <w:autoSpaceDN w:val="0"/>
        <w:adjustRightInd w:val="0"/>
        <w:snapToGrid w:val="0"/>
        <w:spacing w:line="360" w:lineRule="auto"/>
        <w:ind w:firstLine="420" w:firstLineChars="200"/>
        <w:rPr>
          <w:rFonts w:hint="eastAsia" w:ascii="Times New Roman" w:hAnsi="Times New Roman" w:eastAsia="宋体" w:cs="Times New Roman"/>
          <w:bCs w:val="0"/>
          <w:color w:val="auto"/>
          <w:spacing w:val="0"/>
          <w:kern w:val="2"/>
          <w:sz w:val="21"/>
          <w:szCs w:val="21"/>
          <w:highlight w:val="none"/>
          <w:lang w:val="en-US" w:eastAsia="zh-CN" w:bidi="ar-SA"/>
        </w:rPr>
      </w:pPr>
      <w:r>
        <w:rPr>
          <w:rFonts w:hint="eastAsia" w:ascii="Times New Roman" w:hAnsi="Times New Roman" w:eastAsia="宋体" w:cs="Times New Roman"/>
          <w:bCs w:val="0"/>
          <w:color w:val="auto"/>
          <w:spacing w:val="0"/>
          <w:kern w:val="2"/>
          <w:sz w:val="21"/>
          <w:szCs w:val="21"/>
          <w:highlight w:val="none"/>
          <w:lang w:val="en-US" w:eastAsia="zh-CN" w:bidi="ar-SA"/>
        </w:rPr>
        <w:t>（3）提供餐饮服务，经营项目停车场；</w:t>
      </w:r>
    </w:p>
    <w:p>
      <w:pPr>
        <w:autoSpaceDE w:val="0"/>
        <w:autoSpaceDN w:val="0"/>
        <w:adjustRightInd w:val="0"/>
        <w:snapToGrid w:val="0"/>
        <w:spacing w:line="360" w:lineRule="auto"/>
        <w:ind w:firstLine="420" w:firstLineChars="200"/>
        <w:rPr>
          <w:rFonts w:hint="eastAsia" w:ascii="Times New Roman" w:hAnsi="Times New Roman" w:eastAsia="宋体" w:cs="Times New Roman"/>
          <w:bCs w:val="0"/>
          <w:color w:val="auto"/>
          <w:spacing w:val="0"/>
          <w:kern w:val="2"/>
          <w:sz w:val="21"/>
          <w:szCs w:val="21"/>
          <w:highlight w:val="none"/>
          <w:lang w:val="en-US" w:eastAsia="zh-CN" w:bidi="ar-SA"/>
        </w:rPr>
      </w:pPr>
      <w:r>
        <w:rPr>
          <w:rFonts w:hint="eastAsia" w:ascii="Times New Roman" w:hAnsi="Times New Roman" w:eastAsia="宋体" w:cs="Times New Roman"/>
          <w:bCs w:val="0"/>
          <w:color w:val="auto"/>
          <w:spacing w:val="0"/>
          <w:kern w:val="2"/>
          <w:sz w:val="21"/>
          <w:szCs w:val="21"/>
          <w:highlight w:val="none"/>
          <w:lang w:val="en-US" w:eastAsia="zh-CN" w:bidi="ar-SA"/>
        </w:rPr>
        <w:t>（4）承担社会责任（环境保护、安全生产和文明施工、应急处理、投诉处理等）；</w:t>
      </w:r>
    </w:p>
    <w:p>
      <w:pPr>
        <w:autoSpaceDE w:val="0"/>
        <w:autoSpaceDN w:val="0"/>
        <w:adjustRightInd w:val="0"/>
        <w:snapToGrid w:val="0"/>
        <w:spacing w:line="360" w:lineRule="auto"/>
        <w:ind w:firstLine="420" w:firstLineChars="200"/>
        <w:rPr>
          <w:rFonts w:hint="eastAsia" w:ascii="Times New Roman" w:hAnsi="Times New Roman" w:eastAsia="宋体" w:cs="Times New Roman"/>
          <w:bCs w:val="0"/>
          <w:color w:val="auto"/>
          <w:spacing w:val="0"/>
          <w:kern w:val="2"/>
          <w:sz w:val="21"/>
          <w:szCs w:val="21"/>
          <w:highlight w:val="none"/>
          <w:lang w:val="en-US" w:eastAsia="zh-CN" w:bidi="ar-SA"/>
        </w:rPr>
      </w:pPr>
      <w:r>
        <w:rPr>
          <w:rFonts w:hint="eastAsia" w:ascii="Times New Roman" w:hAnsi="Times New Roman" w:eastAsia="宋体" w:cs="Times New Roman"/>
          <w:bCs w:val="0"/>
          <w:color w:val="auto"/>
          <w:spacing w:val="0"/>
          <w:kern w:val="2"/>
          <w:sz w:val="21"/>
          <w:szCs w:val="21"/>
          <w:highlight w:val="none"/>
          <w:lang w:val="en-US" w:eastAsia="zh-CN" w:bidi="ar-SA"/>
        </w:rPr>
        <w:t>（5）双方协商确认的其它工作内容。</w:t>
      </w:r>
    </w:p>
    <w:p>
      <w:pPr>
        <w:autoSpaceDE w:val="0"/>
        <w:autoSpaceDN w:val="0"/>
        <w:adjustRightInd w:val="0"/>
        <w:snapToGrid w:val="0"/>
        <w:spacing w:line="360" w:lineRule="auto"/>
        <w:ind w:firstLine="420" w:firstLineChars="200"/>
        <w:rPr>
          <w:rFonts w:hint="eastAsia" w:ascii="Times New Roman" w:hAnsi="Times New Roman" w:eastAsia="宋体" w:cs="Times New Roman"/>
          <w:bCs w:val="0"/>
          <w:color w:val="auto"/>
          <w:spacing w:val="0"/>
          <w:kern w:val="2"/>
          <w:sz w:val="21"/>
          <w:szCs w:val="21"/>
          <w:highlight w:val="none"/>
          <w:lang w:val="en-US" w:eastAsia="zh-CN" w:bidi="ar-SA"/>
        </w:rPr>
      </w:pPr>
      <w:r>
        <w:rPr>
          <w:rFonts w:hint="eastAsia" w:ascii="Times New Roman" w:hAnsi="Times New Roman" w:eastAsia="宋体" w:cs="Times New Roman"/>
          <w:bCs w:val="0"/>
          <w:color w:val="auto"/>
          <w:spacing w:val="0"/>
          <w:kern w:val="2"/>
          <w:sz w:val="21"/>
          <w:szCs w:val="21"/>
          <w:highlight w:val="none"/>
          <w:lang w:val="en-US" w:eastAsia="zh-CN" w:bidi="ar-SA"/>
        </w:rPr>
        <w:t>注：项目公司不承担以下工作内容：</w:t>
      </w:r>
    </w:p>
    <w:p>
      <w:pPr>
        <w:autoSpaceDE w:val="0"/>
        <w:autoSpaceDN w:val="0"/>
        <w:adjustRightInd w:val="0"/>
        <w:snapToGrid w:val="0"/>
        <w:spacing w:line="360" w:lineRule="auto"/>
        <w:ind w:firstLine="420" w:firstLineChars="200"/>
        <w:rPr>
          <w:rFonts w:hint="eastAsia" w:ascii="Times New Roman" w:hAnsi="Times New Roman" w:eastAsia="宋体" w:cs="Times New Roman"/>
          <w:bCs w:val="0"/>
          <w:color w:val="auto"/>
          <w:spacing w:val="0"/>
          <w:kern w:val="2"/>
          <w:sz w:val="21"/>
          <w:szCs w:val="21"/>
          <w:highlight w:val="none"/>
          <w:lang w:val="en-US" w:eastAsia="zh-CN" w:bidi="ar-SA"/>
        </w:rPr>
      </w:pPr>
      <w:r>
        <w:rPr>
          <w:rFonts w:hint="eastAsia" w:ascii="Times New Roman" w:hAnsi="Times New Roman" w:eastAsia="宋体" w:cs="Times New Roman"/>
          <w:bCs w:val="0"/>
          <w:color w:val="auto"/>
          <w:spacing w:val="0"/>
          <w:kern w:val="2"/>
          <w:sz w:val="21"/>
          <w:szCs w:val="21"/>
          <w:highlight w:val="none"/>
          <w:lang w:val="en-US" w:eastAsia="zh-CN" w:bidi="ar-SA"/>
        </w:rPr>
        <w:t>（1）由院方自主购置的医疗设备和器械的维护；</w:t>
      </w:r>
    </w:p>
    <w:p>
      <w:pPr>
        <w:autoSpaceDE w:val="0"/>
        <w:autoSpaceDN w:val="0"/>
        <w:adjustRightInd w:val="0"/>
        <w:snapToGrid w:val="0"/>
        <w:spacing w:line="360" w:lineRule="auto"/>
        <w:ind w:firstLine="420" w:firstLineChars="200"/>
        <w:rPr>
          <w:rFonts w:hint="eastAsia" w:ascii="Times New Roman" w:hAnsi="Times New Roman" w:eastAsia="宋体" w:cs="Times New Roman"/>
          <w:bCs w:val="0"/>
          <w:color w:val="auto"/>
          <w:spacing w:val="0"/>
          <w:kern w:val="2"/>
          <w:sz w:val="21"/>
          <w:szCs w:val="21"/>
          <w:highlight w:val="none"/>
          <w:lang w:val="en-US" w:eastAsia="zh-CN" w:bidi="ar-SA"/>
        </w:rPr>
      </w:pPr>
      <w:r>
        <w:rPr>
          <w:rFonts w:hint="eastAsia" w:ascii="Times New Roman" w:hAnsi="Times New Roman" w:eastAsia="宋体" w:cs="Times New Roman"/>
          <w:bCs w:val="0"/>
          <w:color w:val="auto"/>
          <w:spacing w:val="0"/>
          <w:kern w:val="2"/>
          <w:sz w:val="21"/>
          <w:szCs w:val="21"/>
          <w:highlight w:val="none"/>
          <w:lang w:val="en-US" w:eastAsia="zh-CN" w:bidi="ar-SA"/>
        </w:rPr>
        <w:t>（2）由院方自主购置的医疗辅助服务，如医疗废弃物处理、医疗废水处理、由专业人员负责的清洁消毒工作、指定专业人员进出的特殊用房的维护工作等有严格专业限制且项目公司不具备相应资质和人员的工作内容。</w:t>
      </w:r>
    </w:p>
    <w:p>
      <w:pPr>
        <w:autoSpaceDE w:val="0"/>
        <w:autoSpaceDN w:val="0"/>
        <w:adjustRightInd w:val="0"/>
        <w:snapToGrid w:val="0"/>
        <w:spacing w:line="360" w:lineRule="auto"/>
        <w:ind w:firstLine="422" w:firstLineChars="200"/>
        <w:rPr>
          <w:rFonts w:hint="eastAsia" w:ascii="Times New Roman" w:hAnsi="Times New Roman" w:eastAsia="宋体" w:cs="Times New Roman"/>
          <w:b/>
          <w:bCs/>
          <w:color w:val="auto"/>
          <w:spacing w:val="0"/>
          <w:kern w:val="2"/>
          <w:sz w:val="21"/>
          <w:szCs w:val="21"/>
          <w:highlight w:val="none"/>
          <w:lang w:val="en-US" w:eastAsia="zh-CN" w:bidi="ar-SA"/>
        </w:rPr>
      </w:pPr>
      <w:r>
        <w:rPr>
          <w:rFonts w:hint="eastAsia" w:cs="Times New Roman"/>
          <w:b/>
          <w:bCs/>
          <w:color w:val="auto"/>
          <w:spacing w:val="0"/>
          <w:kern w:val="2"/>
          <w:sz w:val="21"/>
          <w:szCs w:val="21"/>
          <w:highlight w:val="none"/>
          <w:lang w:val="en-US" w:eastAsia="zh-CN" w:bidi="ar-SA"/>
        </w:rPr>
        <w:t>6.4</w:t>
      </w:r>
      <w:r>
        <w:rPr>
          <w:rFonts w:hint="eastAsia" w:ascii="Times New Roman" w:hAnsi="Times New Roman" w:eastAsia="宋体" w:cs="Times New Roman"/>
          <w:b/>
          <w:bCs/>
          <w:color w:val="auto"/>
          <w:spacing w:val="0"/>
          <w:kern w:val="2"/>
          <w:sz w:val="21"/>
          <w:szCs w:val="21"/>
          <w:highlight w:val="none"/>
          <w:lang w:val="en-US" w:eastAsia="zh-CN" w:bidi="ar-SA"/>
        </w:rPr>
        <w:t xml:space="preserve"> 项目建设总投资</w:t>
      </w:r>
    </w:p>
    <w:p>
      <w:pPr>
        <w:autoSpaceDE w:val="0"/>
        <w:autoSpaceDN w:val="0"/>
        <w:adjustRightInd w:val="0"/>
        <w:snapToGrid w:val="0"/>
        <w:spacing w:line="360" w:lineRule="auto"/>
        <w:ind w:firstLine="422" w:firstLineChars="200"/>
        <w:rPr>
          <w:rFonts w:hint="eastAsia" w:ascii="Times New Roman" w:hAnsi="Times New Roman" w:eastAsia="宋体" w:cs="Times New Roman"/>
          <w:b/>
          <w:bCs/>
          <w:color w:val="auto"/>
          <w:spacing w:val="0"/>
          <w:kern w:val="2"/>
          <w:sz w:val="21"/>
          <w:szCs w:val="21"/>
          <w:highlight w:val="none"/>
          <w:lang w:val="en-US" w:eastAsia="zh-CN" w:bidi="ar-SA"/>
        </w:rPr>
      </w:pPr>
      <w:r>
        <w:rPr>
          <w:rFonts w:hint="eastAsia" w:ascii="Times New Roman" w:hAnsi="Times New Roman" w:eastAsia="宋体" w:cs="Times New Roman"/>
          <w:b/>
          <w:bCs/>
          <w:color w:val="auto"/>
          <w:spacing w:val="0"/>
          <w:kern w:val="2"/>
          <w:sz w:val="21"/>
          <w:szCs w:val="21"/>
          <w:highlight w:val="none"/>
          <w:lang w:val="en-US" w:eastAsia="zh-CN" w:bidi="ar-SA"/>
        </w:rPr>
        <w:t xml:space="preserve">（1）建设项目总投资 </w:t>
      </w:r>
    </w:p>
    <w:p>
      <w:pPr>
        <w:autoSpaceDE w:val="0"/>
        <w:autoSpaceDN w:val="0"/>
        <w:adjustRightInd w:val="0"/>
        <w:snapToGrid w:val="0"/>
        <w:spacing w:line="360" w:lineRule="auto"/>
        <w:ind w:firstLine="420" w:firstLineChars="200"/>
        <w:rPr>
          <w:rFonts w:hint="eastAsia" w:ascii="Times New Roman" w:hAnsi="Times New Roman" w:eastAsia="宋体" w:cs="Times New Roman"/>
          <w:bCs w:val="0"/>
          <w:color w:val="auto"/>
          <w:spacing w:val="0"/>
          <w:kern w:val="2"/>
          <w:sz w:val="21"/>
          <w:szCs w:val="21"/>
          <w:highlight w:val="none"/>
          <w:lang w:val="en-US" w:eastAsia="zh-CN" w:bidi="ar-SA"/>
        </w:rPr>
      </w:pPr>
      <w:r>
        <w:rPr>
          <w:rFonts w:hint="eastAsia" w:ascii="Times New Roman" w:hAnsi="Times New Roman" w:eastAsia="宋体" w:cs="Times New Roman"/>
          <w:bCs w:val="0"/>
          <w:color w:val="auto"/>
          <w:spacing w:val="0"/>
          <w:kern w:val="2"/>
          <w:sz w:val="21"/>
          <w:szCs w:val="21"/>
          <w:highlight w:val="none"/>
          <w:lang w:val="en-US" w:eastAsia="zh-CN" w:bidi="ar-SA"/>
        </w:rPr>
        <w:t>根据项目可行性研究报告，本项目投资估算总额为19358.12万元， 投资估算表见表</w:t>
      </w:r>
      <w:r>
        <w:rPr>
          <w:rFonts w:hint="eastAsia" w:cs="Times New Roman"/>
          <w:bCs w:val="0"/>
          <w:color w:val="auto"/>
          <w:spacing w:val="0"/>
          <w:kern w:val="2"/>
          <w:sz w:val="21"/>
          <w:szCs w:val="21"/>
          <w:highlight w:val="none"/>
          <w:lang w:val="en-US" w:eastAsia="zh-CN" w:bidi="ar-SA"/>
        </w:rPr>
        <w:t>6.4</w:t>
      </w:r>
      <w:r>
        <w:rPr>
          <w:rFonts w:hint="eastAsia" w:ascii="Times New Roman" w:hAnsi="Times New Roman" w:eastAsia="宋体" w:cs="Times New Roman"/>
          <w:bCs w:val="0"/>
          <w:color w:val="auto"/>
          <w:spacing w:val="0"/>
          <w:kern w:val="2"/>
          <w:sz w:val="21"/>
          <w:szCs w:val="21"/>
          <w:highlight w:val="none"/>
          <w:lang w:val="en-US" w:eastAsia="zh-CN" w:bidi="ar-SA"/>
        </w:rPr>
        <w:t>-1、</w:t>
      </w:r>
      <w:r>
        <w:rPr>
          <w:rFonts w:hint="eastAsia" w:cs="Times New Roman"/>
          <w:bCs w:val="0"/>
          <w:color w:val="auto"/>
          <w:spacing w:val="0"/>
          <w:kern w:val="2"/>
          <w:sz w:val="21"/>
          <w:szCs w:val="21"/>
          <w:highlight w:val="none"/>
          <w:lang w:val="en-US" w:eastAsia="zh-CN" w:bidi="ar-SA"/>
        </w:rPr>
        <w:t>6.4</w:t>
      </w:r>
      <w:r>
        <w:rPr>
          <w:rFonts w:hint="eastAsia" w:ascii="Times New Roman" w:hAnsi="Times New Roman" w:eastAsia="宋体" w:cs="Times New Roman"/>
          <w:bCs w:val="0"/>
          <w:color w:val="auto"/>
          <w:spacing w:val="0"/>
          <w:kern w:val="2"/>
          <w:sz w:val="21"/>
          <w:szCs w:val="21"/>
          <w:highlight w:val="none"/>
          <w:lang w:val="en-US" w:eastAsia="zh-CN" w:bidi="ar-SA"/>
        </w:rPr>
        <w:t>-2、</w:t>
      </w:r>
      <w:r>
        <w:rPr>
          <w:rFonts w:hint="eastAsia" w:cs="Times New Roman"/>
          <w:bCs w:val="0"/>
          <w:color w:val="auto"/>
          <w:spacing w:val="0"/>
          <w:kern w:val="2"/>
          <w:sz w:val="21"/>
          <w:szCs w:val="21"/>
          <w:highlight w:val="none"/>
          <w:lang w:val="en-US" w:eastAsia="zh-CN" w:bidi="ar-SA"/>
        </w:rPr>
        <w:t>6.4</w:t>
      </w:r>
      <w:r>
        <w:rPr>
          <w:rFonts w:hint="eastAsia" w:ascii="Times New Roman" w:hAnsi="Times New Roman" w:eastAsia="宋体" w:cs="Times New Roman"/>
          <w:bCs w:val="0"/>
          <w:color w:val="auto"/>
          <w:spacing w:val="0"/>
          <w:kern w:val="2"/>
          <w:sz w:val="21"/>
          <w:szCs w:val="21"/>
          <w:highlight w:val="none"/>
          <w:lang w:val="en-US" w:eastAsia="zh-CN" w:bidi="ar-SA"/>
        </w:rPr>
        <w:t>-3。</w:t>
      </w:r>
    </w:p>
    <w:p>
      <w:pPr>
        <w:autoSpaceDE w:val="0"/>
        <w:autoSpaceDN w:val="0"/>
        <w:adjustRightInd w:val="0"/>
        <w:snapToGrid w:val="0"/>
        <w:spacing w:line="360" w:lineRule="auto"/>
        <w:ind w:firstLine="420" w:firstLineChars="200"/>
        <w:rPr>
          <w:rFonts w:hint="eastAsia" w:ascii="Times New Roman" w:hAnsi="Times New Roman" w:eastAsia="宋体" w:cs="Times New Roman"/>
          <w:bCs w:val="0"/>
          <w:color w:val="auto"/>
          <w:spacing w:val="0"/>
          <w:kern w:val="2"/>
          <w:sz w:val="21"/>
          <w:szCs w:val="21"/>
          <w:highlight w:val="none"/>
          <w:lang w:val="en-US" w:eastAsia="zh-CN" w:bidi="ar-SA"/>
        </w:rPr>
      </w:pPr>
      <w:r>
        <w:rPr>
          <w:color w:val="auto"/>
          <w:highlight w:val="none"/>
        </w:rPr>
        <w:drawing>
          <wp:anchor distT="0" distB="0" distL="114300" distR="114300" simplePos="0" relativeHeight="251677696" behindDoc="0" locked="0" layoutInCell="1" allowOverlap="1">
            <wp:simplePos x="0" y="0"/>
            <wp:positionH relativeFrom="column">
              <wp:posOffset>244475</wp:posOffset>
            </wp:positionH>
            <wp:positionV relativeFrom="paragraph">
              <wp:posOffset>161925</wp:posOffset>
            </wp:positionV>
            <wp:extent cx="5433695" cy="1615440"/>
            <wp:effectExtent l="0" t="0" r="6985" b="0"/>
            <wp:wrapNone/>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pic:cNvPicPr>
                  </pic:nvPicPr>
                  <pic:blipFill>
                    <a:blip r:embed="rId8"/>
                    <a:stretch>
                      <a:fillRect/>
                    </a:stretch>
                  </pic:blipFill>
                  <pic:spPr>
                    <a:xfrm>
                      <a:off x="0" y="0"/>
                      <a:ext cx="5433695" cy="1615440"/>
                    </a:xfrm>
                    <a:prstGeom prst="rect">
                      <a:avLst/>
                    </a:prstGeom>
                    <a:noFill/>
                    <a:ln w="9525">
                      <a:noFill/>
                    </a:ln>
                  </pic:spPr>
                </pic:pic>
              </a:graphicData>
            </a:graphic>
          </wp:anchor>
        </w:drawing>
      </w:r>
      <w:r>
        <w:rPr>
          <w:rFonts w:hint="eastAsia" w:ascii="Times New Roman" w:hAnsi="Times New Roman" w:eastAsia="宋体" w:cs="Times New Roman"/>
          <w:bCs w:val="0"/>
          <w:color w:val="auto"/>
          <w:spacing w:val="0"/>
          <w:kern w:val="2"/>
          <w:sz w:val="21"/>
          <w:szCs w:val="21"/>
          <w:highlight w:val="none"/>
          <w:lang w:val="en-US" w:eastAsia="zh-CN" w:bidi="ar-SA"/>
        </w:rPr>
        <w:t>表</w:t>
      </w:r>
      <w:r>
        <w:rPr>
          <w:rFonts w:hint="eastAsia" w:cs="Times New Roman"/>
          <w:bCs w:val="0"/>
          <w:color w:val="auto"/>
          <w:spacing w:val="0"/>
          <w:kern w:val="2"/>
          <w:sz w:val="21"/>
          <w:szCs w:val="21"/>
          <w:highlight w:val="none"/>
          <w:lang w:val="en-US" w:eastAsia="zh-CN" w:bidi="ar-SA"/>
        </w:rPr>
        <w:t>6.4</w:t>
      </w:r>
      <w:r>
        <w:rPr>
          <w:rFonts w:hint="eastAsia" w:ascii="Times New Roman" w:hAnsi="Times New Roman" w:eastAsia="宋体" w:cs="Times New Roman"/>
          <w:bCs w:val="0"/>
          <w:color w:val="auto"/>
          <w:spacing w:val="0"/>
          <w:kern w:val="2"/>
          <w:sz w:val="21"/>
          <w:szCs w:val="21"/>
          <w:highlight w:val="none"/>
          <w:lang w:val="en-US" w:eastAsia="zh-CN" w:bidi="ar-SA"/>
        </w:rPr>
        <w:t>-1可研建设项目总投资估算表</w:t>
      </w: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spacing w:line="400" w:lineRule="exact"/>
        <w:ind w:firstLine="420" w:firstLineChars="200"/>
        <w:jc w:val="both"/>
        <w:rPr>
          <w:color w:val="auto"/>
          <w:sz w:val="21"/>
          <w:szCs w:val="21"/>
          <w:highlight w:val="none"/>
        </w:rPr>
      </w:pPr>
      <w:r>
        <w:rPr>
          <w:color w:val="auto"/>
          <w:highlight w:val="none"/>
        </w:rPr>
        <w:drawing>
          <wp:anchor distT="0" distB="0" distL="114300" distR="114300" simplePos="0" relativeHeight="251684864" behindDoc="0" locked="0" layoutInCell="1" allowOverlap="1">
            <wp:simplePos x="0" y="0"/>
            <wp:positionH relativeFrom="column">
              <wp:posOffset>184785</wp:posOffset>
            </wp:positionH>
            <wp:positionV relativeFrom="paragraph">
              <wp:posOffset>220345</wp:posOffset>
            </wp:positionV>
            <wp:extent cx="5494655" cy="1638300"/>
            <wp:effectExtent l="0" t="0" r="6985" b="7620"/>
            <wp:wrapNone/>
            <wp:docPr id="2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pic:cNvPicPr>
                      <a:picLocks noChangeAspect="1"/>
                    </pic:cNvPicPr>
                  </pic:nvPicPr>
                  <pic:blipFill>
                    <a:blip r:embed="rId9"/>
                    <a:stretch>
                      <a:fillRect/>
                    </a:stretch>
                  </pic:blipFill>
                  <pic:spPr>
                    <a:xfrm>
                      <a:off x="0" y="0"/>
                      <a:ext cx="5494655" cy="1638300"/>
                    </a:xfrm>
                    <a:prstGeom prst="rect">
                      <a:avLst/>
                    </a:prstGeom>
                    <a:noFill/>
                    <a:ln w="9525">
                      <a:noFill/>
                    </a:ln>
                  </pic:spPr>
                </pic:pic>
              </a:graphicData>
            </a:graphic>
          </wp:anchor>
        </w:drawing>
      </w:r>
      <w:r>
        <w:rPr>
          <w:rFonts w:hint="eastAsia"/>
          <w:color w:val="auto"/>
          <w:sz w:val="21"/>
          <w:szCs w:val="21"/>
          <w:highlight w:val="none"/>
          <w:lang w:val="zh-CN"/>
        </w:rPr>
        <w:t>表</w:t>
      </w:r>
      <w:r>
        <w:rPr>
          <w:rFonts w:hint="eastAsia"/>
          <w:color w:val="auto"/>
          <w:sz w:val="21"/>
          <w:szCs w:val="21"/>
          <w:highlight w:val="none"/>
          <w:lang w:val="en-US" w:eastAsia="zh-CN"/>
        </w:rPr>
        <w:t>6.4-2青秀区卫生健康服务综合大楼可研建设项目总投资估算表</w:t>
      </w:r>
    </w:p>
    <w:p>
      <w:pPr>
        <w:spacing w:line="400" w:lineRule="exact"/>
        <w:ind w:firstLine="420" w:firstLineChars="200"/>
        <w:jc w:val="both"/>
        <w:rPr>
          <w:color w:val="auto"/>
          <w:sz w:val="21"/>
          <w:szCs w:val="21"/>
          <w:highlight w:val="none"/>
        </w:rPr>
      </w:pPr>
    </w:p>
    <w:p>
      <w:pPr>
        <w:spacing w:line="400" w:lineRule="exact"/>
        <w:ind w:firstLine="420" w:firstLineChars="200"/>
        <w:jc w:val="both"/>
        <w:rPr>
          <w:color w:val="auto"/>
          <w:sz w:val="21"/>
          <w:szCs w:val="21"/>
          <w:highlight w:val="none"/>
        </w:rPr>
      </w:pPr>
    </w:p>
    <w:p>
      <w:pPr>
        <w:spacing w:line="400" w:lineRule="exact"/>
        <w:ind w:firstLine="420" w:firstLineChars="200"/>
        <w:jc w:val="both"/>
        <w:rPr>
          <w:color w:val="auto"/>
          <w:sz w:val="21"/>
          <w:szCs w:val="21"/>
          <w:highlight w:val="none"/>
        </w:rPr>
      </w:pPr>
    </w:p>
    <w:p>
      <w:pPr>
        <w:spacing w:line="400" w:lineRule="exact"/>
        <w:ind w:firstLine="420" w:firstLineChars="200"/>
        <w:jc w:val="both"/>
        <w:rPr>
          <w:color w:val="auto"/>
          <w:sz w:val="21"/>
          <w:szCs w:val="21"/>
          <w:highlight w:val="none"/>
        </w:rPr>
      </w:pPr>
    </w:p>
    <w:p>
      <w:pPr>
        <w:spacing w:line="400" w:lineRule="exact"/>
        <w:ind w:firstLine="420" w:firstLineChars="200"/>
        <w:jc w:val="both"/>
        <w:rPr>
          <w:color w:val="auto"/>
          <w:sz w:val="21"/>
          <w:szCs w:val="21"/>
          <w:highlight w:val="none"/>
        </w:rPr>
      </w:pPr>
    </w:p>
    <w:p>
      <w:pPr>
        <w:spacing w:line="400" w:lineRule="exact"/>
        <w:jc w:val="both"/>
        <w:rPr>
          <w:rFonts w:hint="eastAsia" w:eastAsia="宋体"/>
          <w:color w:val="auto"/>
          <w:sz w:val="21"/>
          <w:szCs w:val="21"/>
          <w:highlight w:val="none"/>
          <w:lang w:eastAsia="zh-CN"/>
        </w:rPr>
      </w:pPr>
    </w:p>
    <w:p>
      <w:pPr>
        <w:pStyle w:val="2"/>
        <w:rPr>
          <w:rFonts w:hint="eastAsia" w:eastAsia="宋体"/>
          <w:color w:val="auto"/>
          <w:sz w:val="21"/>
          <w:szCs w:val="21"/>
          <w:highlight w:val="none"/>
          <w:lang w:eastAsia="zh-CN"/>
        </w:rPr>
      </w:pPr>
    </w:p>
    <w:p>
      <w:pPr>
        <w:pStyle w:val="2"/>
        <w:rPr>
          <w:rFonts w:hint="eastAsia" w:eastAsia="宋体"/>
          <w:color w:val="auto"/>
          <w:sz w:val="21"/>
          <w:szCs w:val="21"/>
          <w:highlight w:val="none"/>
          <w:lang w:eastAsia="zh-CN"/>
        </w:rPr>
      </w:pPr>
    </w:p>
    <w:p>
      <w:pPr>
        <w:pStyle w:val="2"/>
        <w:rPr>
          <w:rFonts w:hint="eastAsia" w:eastAsia="宋体"/>
          <w:color w:val="auto"/>
          <w:sz w:val="21"/>
          <w:szCs w:val="21"/>
          <w:highlight w:val="none"/>
          <w:lang w:eastAsia="zh-CN"/>
        </w:rPr>
      </w:pPr>
    </w:p>
    <w:p>
      <w:pPr>
        <w:pStyle w:val="2"/>
        <w:rPr>
          <w:rFonts w:hint="eastAsia" w:eastAsia="宋体"/>
          <w:color w:val="auto"/>
          <w:sz w:val="21"/>
          <w:szCs w:val="21"/>
          <w:highlight w:val="none"/>
          <w:lang w:eastAsia="zh-CN"/>
        </w:rPr>
      </w:pPr>
    </w:p>
    <w:p>
      <w:pPr>
        <w:pStyle w:val="2"/>
        <w:rPr>
          <w:rFonts w:hint="eastAsia" w:eastAsia="宋体"/>
          <w:color w:val="auto"/>
          <w:sz w:val="21"/>
          <w:szCs w:val="21"/>
          <w:highlight w:val="none"/>
          <w:lang w:eastAsia="zh-CN"/>
        </w:rPr>
      </w:pPr>
    </w:p>
    <w:p>
      <w:pPr>
        <w:spacing w:line="400" w:lineRule="exact"/>
        <w:ind w:firstLine="420" w:firstLineChars="200"/>
        <w:jc w:val="both"/>
        <w:rPr>
          <w:color w:val="auto"/>
          <w:sz w:val="21"/>
          <w:szCs w:val="21"/>
          <w:highlight w:val="none"/>
        </w:rPr>
      </w:pPr>
      <w:r>
        <w:rPr>
          <w:rFonts w:hint="eastAsia"/>
          <w:color w:val="auto"/>
          <w:sz w:val="21"/>
          <w:szCs w:val="21"/>
          <w:highlight w:val="none"/>
          <w:lang w:val="zh-CN" w:eastAsia="zh-CN"/>
        </w:rPr>
        <w:t>表</w:t>
      </w:r>
      <w:r>
        <w:rPr>
          <w:rFonts w:hint="eastAsia"/>
          <w:color w:val="auto"/>
          <w:sz w:val="21"/>
          <w:szCs w:val="21"/>
          <w:highlight w:val="none"/>
          <w:lang w:val="en-US" w:eastAsia="zh-CN"/>
        </w:rPr>
        <w:t>6.4-3青秀区长塘镇卫生院整体搬迁项目总投资估算表</w:t>
      </w:r>
    </w:p>
    <w:p>
      <w:pPr>
        <w:spacing w:line="400" w:lineRule="exact"/>
        <w:ind w:firstLine="420" w:firstLineChars="200"/>
        <w:jc w:val="both"/>
        <w:rPr>
          <w:color w:val="auto"/>
          <w:sz w:val="21"/>
          <w:szCs w:val="21"/>
          <w:highlight w:val="none"/>
        </w:rPr>
      </w:pPr>
      <w:r>
        <w:rPr>
          <w:color w:val="auto"/>
          <w:highlight w:val="none"/>
        </w:rPr>
        <w:drawing>
          <wp:anchor distT="0" distB="0" distL="114300" distR="114300" simplePos="0" relativeHeight="251693056" behindDoc="0" locked="0" layoutInCell="1" allowOverlap="1">
            <wp:simplePos x="0" y="0"/>
            <wp:positionH relativeFrom="column">
              <wp:posOffset>66675</wp:posOffset>
            </wp:positionH>
            <wp:positionV relativeFrom="paragraph">
              <wp:posOffset>81280</wp:posOffset>
            </wp:positionV>
            <wp:extent cx="5540375" cy="1638300"/>
            <wp:effectExtent l="0" t="0" r="6985" b="7620"/>
            <wp:wrapNone/>
            <wp:docPr id="2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pic:cNvPicPr>
                      <a:picLocks noChangeAspect="1"/>
                    </pic:cNvPicPr>
                  </pic:nvPicPr>
                  <pic:blipFill>
                    <a:blip r:embed="rId10"/>
                    <a:stretch>
                      <a:fillRect/>
                    </a:stretch>
                  </pic:blipFill>
                  <pic:spPr>
                    <a:xfrm>
                      <a:off x="0" y="0"/>
                      <a:ext cx="5540375" cy="1638300"/>
                    </a:xfrm>
                    <a:prstGeom prst="rect">
                      <a:avLst/>
                    </a:prstGeom>
                    <a:noFill/>
                    <a:ln w="9525">
                      <a:noFill/>
                    </a:ln>
                  </pic:spPr>
                </pic:pic>
              </a:graphicData>
            </a:graphic>
          </wp:anchor>
        </w:drawing>
      </w: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spacing w:line="400" w:lineRule="exact"/>
        <w:ind w:firstLine="422" w:firstLineChars="200"/>
        <w:jc w:val="both"/>
        <w:rPr>
          <w:b/>
          <w:bCs/>
          <w:color w:val="auto"/>
          <w:sz w:val="21"/>
          <w:szCs w:val="21"/>
          <w:highlight w:val="none"/>
        </w:rPr>
      </w:pPr>
      <w:r>
        <w:rPr>
          <w:rFonts w:hint="eastAsia"/>
          <w:b/>
          <w:bCs/>
          <w:color w:val="auto"/>
          <w:sz w:val="21"/>
          <w:szCs w:val="21"/>
          <w:highlight w:val="none"/>
          <w:lang w:val="zh-CN"/>
        </w:rPr>
        <w:t>（2）政府方支付的前期费用</w:t>
      </w:r>
    </w:p>
    <w:p>
      <w:pPr>
        <w:spacing w:line="400" w:lineRule="exact"/>
        <w:ind w:firstLine="420" w:firstLineChars="200"/>
        <w:jc w:val="both"/>
        <w:rPr>
          <w:rFonts w:hint="eastAsia"/>
          <w:color w:val="auto"/>
          <w:sz w:val="21"/>
          <w:szCs w:val="21"/>
          <w:highlight w:val="none"/>
          <w:lang w:val="zh-CN" w:eastAsia="zh-CN"/>
        </w:rPr>
      </w:pPr>
      <w:r>
        <w:rPr>
          <w:rFonts w:hint="eastAsia"/>
          <w:color w:val="auto"/>
          <w:sz w:val="21"/>
          <w:szCs w:val="21"/>
          <w:highlight w:val="none"/>
          <w:lang w:val="zh-CN" w:eastAsia="zh-CN"/>
        </w:rPr>
        <w:t xml:space="preserve">政府方已为本项目支付前期工作费用 85.61 万元，该费用由政府方承担，不计入项目回报计算基数。 前期工作费用支付情况见表 </w:t>
      </w:r>
      <w:r>
        <w:rPr>
          <w:rFonts w:hint="eastAsia"/>
          <w:color w:val="auto"/>
          <w:sz w:val="21"/>
          <w:szCs w:val="21"/>
          <w:highlight w:val="none"/>
          <w:lang w:val="en-US" w:eastAsia="zh-CN"/>
        </w:rPr>
        <w:t>6.4</w:t>
      </w:r>
      <w:r>
        <w:rPr>
          <w:rFonts w:hint="eastAsia"/>
          <w:color w:val="auto"/>
          <w:sz w:val="21"/>
          <w:szCs w:val="21"/>
          <w:highlight w:val="none"/>
          <w:lang w:val="zh-CN" w:eastAsia="zh-CN"/>
        </w:rPr>
        <w:t xml:space="preserve">-4 和 </w:t>
      </w:r>
      <w:r>
        <w:rPr>
          <w:rFonts w:hint="eastAsia"/>
          <w:color w:val="auto"/>
          <w:sz w:val="21"/>
          <w:szCs w:val="21"/>
          <w:highlight w:val="none"/>
          <w:lang w:val="en-US" w:eastAsia="zh-CN"/>
        </w:rPr>
        <w:t>6.4</w:t>
      </w:r>
      <w:r>
        <w:rPr>
          <w:rFonts w:hint="eastAsia"/>
          <w:color w:val="auto"/>
          <w:sz w:val="21"/>
          <w:szCs w:val="21"/>
          <w:highlight w:val="none"/>
          <w:lang w:val="zh-CN" w:eastAsia="zh-CN"/>
        </w:rPr>
        <w:t>-5。</w:t>
      </w:r>
    </w:p>
    <w:p>
      <w:pPr>
        <w:spacing w:line="400" w:lineRule="exact"/>
        <w:ind w:firstLine="420" w:firstLineChars="200"/>
        <w:jc w:val="both"/>
        <w:rPr>
          <w:rFonts w:hint="eastAsia"/>
          <w:color w:val="auto"/>
          <w:sz w:val="21"/>
          <w:szCs w:val="21"/>
          <w:highlight w:val="none"/>
          <w:lang w:val="en-US" w:eastAsia="zh-CN"/>
        </w:rPr>
      </w:pPr>
      <w:r>
        <w:rPr>
          <w:rFonts w:hint="eastAsia"/>
          <w:color w:val="auto"/>
          <w:sz w:val="21"/>
          <w:szCs w:val="21"/>
          <w:highlight w:val="none"/>
          <w:lang w:val="zh-CN" w:eastAsia="zh-CN"/>
        </w:rPr>
        <w:t>表</w:t>
      </w:r>
      <w:r>
        <w:rPr>
          <w:rFonts w:hint="eastAsia"/>
          <w:color w:val="auto"/>
          <w:sz w:val="21"/>
          <w:szCs w:val="21"/>
          <w:highlight w:val="none"/>
          <w:lang w:val="en-US" w:eastAsia="zh-CN"/>
        </w:rPr>
        <w:t xml:space="preserve">6.4-4青秀区卫生健康服务综合大楼项目前期工作费用支付情况表 </w:t>
      </w:r>
    </w:p>
    <w:p>
      <w:pPr>
        <w:pStyle w:val="2"/>
        <w:rPr>
          <w:color w:val="auto"/>
          <w:sz w:val="21"/>
          <w:szCs w:val="21"/>
          <w:highlight w:val="none"/>
        </w:rPr>
      </w:pPr>
      <w:r>
        <w:rPr>
          <w:color w:val="auto"/>
          <w:highlight w:val="none"/>
        </w:rPr>
        <w:drawing>
          <wp:anchor distT="0" distB="0" distL="114300" distR="114300" simplePos="0" relativeHeight="251702272" behindDoc="0" locked="0" layoutInCell="1" allowOverlap="1">
            <wp:simplePos x="0" y="0"/>
            <wp:positionH relativeFrom="column">
              <wp:posOffset>-94615</wp:posOffset>
            </wp:positionH>
            <wp:positionV relativeFrom="paragraph">
              <wp:posOffset>18415</wp:posOffset>
            </wp:positionV>
            <wp:extent cx="5479415" cy="1440180"/>
            <wp:effectExtent l="0" t="0" r="6985" b="7620"/>
            <wp:wrapNone/>
            <wp:docPr id="2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pic:cNvPicPr>
                      <a:picLocks noChangeAspect="1"/>
                    </pic:cNvPicPr>
                  </pic:nvPicPr>
                  <pic:blipFill>
                    <a:blip r:embed="rId11"/>
                    <a:stretch>
                      <a:fillRect/>
                    </a:stretch>
                  </pic:blipFill>
                  <pic:spPr>
                    <a:xfrm>
                      <a:off x="0" y="0"/>
                      <a:ext cx="5479415" cy="1440180"/>
                    </a:xfrm>
                    <a:prstGeom prst="rect">
                      <a:avLst/>
                    </a:prstGeom>
                    <a:noFill/>
                    <a:ln w="9525">
                      <a:noFill/>
                    </a:ln>
                  </pic:spPr>
                </pic:pic>
              </a:graphicData>
            </a:graphic>
          </wp:anchor>
        </w:drawing>
      </w: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pStyle w:val="2"/>
        <w:ind w:firstLine="460" w:firstLineChars="200"/>
        <w:rPr>
          <w:color w:val="auto"/>
          <w:sz w:val="21"/>
          <w:szCs w:val="21"/>
          <w:highlight w:val="none"/>
        </w:rPr>
      </w:pPr>
      <w:r>
        <w:rPr>
          <w:rFonts w:hint="eastAsia"/>
          <w:color w:val="auto"/>
          <w:sz w:val="21"/>
          <w:szCs w:val="21"/>
          <w:highlight w:val="none"/>
          <w:lang w:val="zh-CN"/>
        </w:rPr>
        <w:t>表</w:t>
      </w:r>
      <w:r>
        <w:rPr>
          <w:rFonts w:hint="eastAsia"/>
          <w:color w:val="auto"/>
          <w:sz w:val="21"/>
          <w:szCs w:val="21"/>
          <w:highlight w:val="none"/>
          <w:lang w:val="en-US" w:eastAsia="zh-CN"/>
        </w:rPr>
        <w:t>6.4-5青秀区长塘镇卫生院整体搬迁项目前期工作费用支付情况表</w:t>
      </w:r>
    </w:p>
    <w:p>
      <w:pPr>
        <w:pStyle w:val="2"/>
        <w:rPr>
          <w:color w:val="auto"/>
          <w:sz w:val="21"/>
          <w:szCs w:val="21"/>
          <w:highlight w:val="none"/>
        </w:rPr>
      </w:pPr>
      <w:r>
        <w:rPr>
          <w:color w:val="auto"/>
          <w:highlight w:val="none"/>
        </w:rPr>
        <w:drawing>
          <wp:anchor distT="0" distB="0" distL="114300" distR="114300" simplePos="0" relativeHeight="251712512" behindDoc="0" locked="0" layoutInCell="1" allowOverlap="1">
            <wp:simplePos x="0" y="0"/>
            <wp:positionH relativeFrom="column">
              <wp:posOffset>-1270</wp:posOffset>
            </wp:positionH>
            <wp:positionV relativeFrom="paragraph">
              <wp:posOffset>52070</wp:posOffset>
            </wp:positionV>
            <wp:extent cx="5487035" cy="1866900"/>
            <wp:effectExtent l="0" t="0" r="14605" b="7620"/>
            <wp:wrapNone/>
            <wp:docPr id="2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pic:cNvPicPr>
                      <a:picLocks noChangeAspect="1"/>
                    </pic:cNvPicPr>
                  </pic:nvPicPr>
                  <pic:blipFill>
                    <a:blip r:embed="rId12"/>
                    <a:stretch>
                      <a:fillRect/>
                    </a:stretch>
                  </pic:blipFill>
                  <pic:spPr>
                    <a:xfrm>
                      <a:off x="0" y="0"/>
                      <a:ext cx="5487035" cy="1866900"/>
                    </a:xfrm>
                    <a:prstGeom prst="rect">
                      <a:avLst/>
                    </a:prstGeom>
                    <a:noFill/>
                    <a:ln w="9525">
                      <a:noFill/>
                    </a:ln>
                  </pic:spPr>
                </pic:pic>
              </a:graphicData>
            </a:graphic>
          </wp:anchor>
        </w:drawing>
      </w: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Times New Roman"/>
          <w:bCs w:val="0"/>
          <w:color w:val="auto"/>
          <w:spacing w:val="0"/>
          <w:kern w:val="2"/>
          <w:sz w:val="21"/>
          <w:szCs w:val="21"/>
          <w:highlight w:val="none"/>
          <w:lang w:val="zh-CN" w:eastAsia="zh-CN" w:bidi="ar-SA"/>
        </w:rPr>
      </w:pPr>
      <w:r>
        <w:rPr>
          <w:rFonts w:hint="eastAsia" w:ascii="Times New Roman" w:hAnsi="Times New Roman" w:eastAsia="宋体" w:cs="Times New Roman"/>
          <w:bCs w:val="0"/>
          <w:color w:val="auto"/>
          <w:spacing w:val="0"/>
          <w:kern w:val="2"/>
          <w:sz w:val="21"/>
          <w:szCs w:val="21"/>
          <w:highlight w:val="none"/>
          <w:lang w:val="zh-CN" w:eastAsia="zh-CN" w:bidi="ar-SA"/>
        </w:rPr>
        <w:t>为保</w:t>
      </w:r>
      <w:r>
        <w:rPr>
          <w:rFonts w:hint="eastAsia" w:ascii="Times New Roman" w:hAnsi="Times New Roman" w:cs="Times New Roman"/>
          <w:bCs w:val="0"/>
          <w:color w:val="auto"/>
          <w:spacing w:val="0"/>
          <w:kern w:val="2"/>
          <w:sz w:val="21"/>
          <w:szCs w:val="21"/>
          <w:highlight w:val="none"/>
          <w:lang w:val="zh-CN" w:eastAsia="zh-CN" w:bidi="ar-SA"/>
        </w:rPr>
        <w:t>证</w:t>
      </w:r>
      <w:r>
        <w:rPr>
          <w:rFonts w:hint="eastAsia" w:ascii="Times New Roman" w:hAnsi="Times New Roman" w:eastAsia="宋体" w:cs="Times New Roman"/>
          <w:bCs w:val="0"/>
          <w:color w:val="auto"/>
          <w:spacing w:val="0"/>
          <w:kern w:val="2"/>
          <w:sz w:val="21"/>
          <w:szCs w:val="21"/>
          <w:highlight w:val="none"/>
          <w:lang w:val="zh-CN" w:eastAsia="zh-CN" w:bidi="ar-SA"/>
        </w:rPr>
        <w:t xml:space="preserve">项目的顺利推进，政府方已依法选定勘察、设计方，因此产生的费用由实施机构自行承担，在计算社会资本回报计算基数时根据合同约定按据实发生的费用扣减。 </w:t>
      </w:r>
    </w:p>
    <w:p>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Times New Roman"/>
          <w:bCs w:val="0"/>
          <w:color w:val="auto"/>
          <w:spacing w:val="0"/>
          <w:kern w:val="2"/>
          <w:sz w:val="21"/>
          <w:szCs w:val="21"/>
          <w:highlight w:val="none"/>
          <w:lang w:val="zh-CN" w:eastAsia="zh-CN" w:bidi="ar-SA"/>
        </w:rPr>
      </w:pPr>
      <w:r>
        <w:rPr>
          <w:rFonts w:hint="eastAsia" w:ascii="Times New Roman" w:hAnsi="Times New Roman" w:eastAsia="宋体" w:cs="Times New Roman"/>
          <w:bCs w:val="0"/>
          <w:color w:val="auto"/>
          <w:spacing w:val="0"/>
          <w:kern w:val="2"/>
          <w:sz w:val="21"/>
          <w:szCs w:val="21"/>
          <w:highlight w:val="none"/>
          <w:lang w:val="zh-CN" w:eastAsia="zh-CN" w:bidi="ar-SA"/>
        </w:rPr>
        <w:t>此外，政府方依法选定的其他第三方为项目提供前期服务并签署了协议的，项目公司签署PPP项目合同后，若政府方要求由项目公司支付，项目公司应与政府方及政府方已依法选定的第三方签署三方协议，政府方在该三方协议项下的付费义务交由项目公司承接，项目公司应根据该三方协议的约定向第三方支付相关费用（政府方已经实际向第三方付费的，应视为政府方替项目公司垫付），项目公司按照此等协议而实际支付的费用计入回报计算基数。</w:t>
      </w:r>
    </w:p>
    <w:p>
      <w:pPr>
        <w:pStyle w:val="2"/>
        <w:rPr>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Times New Roman" w:hAnsi="Times New Roman" w:eastAsia="宋体" w:cs="Times New Roman"/>
          <w:bCs w:val="0"/>
          <w:color w:val="auto"/>
          <w:spacing w:val="0"/>
          <w:kern w:val="2"/>
          <w:sz w:val="21"/>
          <w:szCs w:val="21"/>
          <w:highlight w:val="none"/>
          <w:lang w:val="zh-CN" w:eastAsia="zh-CN" w:bidi="ar-SA"/>
        </w:rPr>
      </w:pPr>
      <w:r>
        <w:rPr>
          <w:rFonts w:hint="eastAsia" w:ascii="Times New Roman" w:hAnsi="Times New Roman" w:eastAsia="宋体" w:cs="Times New Roman"/>
          <w:b/>
          <w:bCs/>
          <w:color w:val="auto"/>
          <w:spacing w:val="0"/>
          <w:kern w:val="2"/>
          <w:sz w:val="21"/>
          <w:szCs w:val="21"/>
          <w:highlight w:val="none"/>
          <w:lang w:val="zh-CN" w:eastAsia="zh-CN" w:bidi="ar-SA"/>
        </w:rPr>
        <w:t>（3</w:t>
      </w:r>
      <w:r>
        <w:rPr>
          <w:rFonts w:hint="eastAsia" w:ascii="Times New Roman" w:hAnsi="Times New Roman" w:cs="Times New Roman"/>
          <w:b/>
          <w:bCs/>
          <w:color w:val="auto"/>
          <w:spacing w:val="0"/>
          <w:kern w:val="2"/>
          <w:sz w:val="21"/>
          <w:szCs w:val="21"/>
          <w:highlight w:val="none"/>
          <w:lang w:val="zh-CN" w:eastAsia="zh-CN" w:bidi="ar-SA"/>
        </w:rPr>
        <w:t>）</w:t>
      </w:r>
      <w:r>
        <w:rPr>
          <w:rFonts w:hint="eastAsia" w:ascii="Times New Roman" w:hAnsi="Times New Roman" w:eastAsia="宋体" w:cs="Times New Roman"/>
          <w:b/>
          <w:bCs/>
          <w:color w:val="auto"/>
          <w:spacing w:val="0"/>
          <w:kern w:val="2"/>
          <w:sz w:val="21"/>
          <w:szCs w:val="21"/>
          <w:highlight w:val="none"/>
          <w:lang w:val="zh-CN" w:eastAsia="zh-CN" w:bidi="ar-SA"/>
        </w:rPr>
        <w:t>PPP 项目投资构成</w:t>
      </w:r>
      <w:r>
        <w:rPr>
          <w:rFonts w:hint="eastAsia" w:ascii="Times New Roman" w:hAnsi="Times New Roman" w:eastAsia="宋体" w:cs="Times New Roman"/>
          <w:bCs w:val="0"/>
          <w:color w:val="auto"/>
          <w:spacing w:val="0"/>
          <w:kern w:val="2"/>
          <w:sz w:val="21"/>
          <w:szCs w:val="21"/>
          <w:highlight w:val="none"/>
          <w:lang w:val="zh-CN"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Times New Roman"/>
          <w:bCs w:val="0"/>
          <w:color w:val="auto"/>
          <w:spacing w:val="0"/>
          <w:kern w:val="2"/>
          <w:sz w:val="21"/>
          <w:szCs w:val="21"/>
          <w:highlight w:val="none"/>
          <w:lang w:val="zh-CN" w:eastAsia="zh-CN" w:bidi="ar-SA"/>
        </w:rPr>
      </w:pPr>
      <w:r>
        <w:rPr>
          <w:rFonts w:hint="eastAsia" w:ascii="Times New Roman" w:hAnsi="Times New Roman" w:eastAsia="宋体" w:cs="Times New Roman"/>
          <w:bCs w:val="0"/>
          <w:color w:val="auto"/>
          <w:spacing w:val="0"/>
          <w:kern w:val="2"/>
          <w:sz w:val="21"/>
          <w:szCs w:val="21"/>
          <w:highlight w:val="none"/>
          <w:lang w:val="zh-CN" w:eastAsia="zh-CN" w:bidi="ar-SA"/>
        </w:rPr>
        <w:t>项目由政府方与社会资本共同出资建设，社会资本负责筹集除政府投入外的其余项目投资。本PPP项目投资构成见表</w:t>
      </w:r>
      <w:r>
        <w:rPr>
          <w:rFonts w:hint="eastAsia" w:ascii="Times New Roman" w:hAnsi="Times New Roman" w:eastAsia="宋体" w:cs="Times New Roman"/>
          <w:bCs w:val="0"/>
          <w:color w:val="auto"/>
          <w:spacing w:val="0"/>
          <w:kern w:val="2"/>
          <w:sz w:val="21"/>
          <w:szCs w:val="21"/>
          <w:highlight w:val="none"/>
          <w:lang w:val="en-US" w:eastAsia="zh-CN" w:bidi="ar-SA"/>
        </w:rPr>
        <w:t>6.4</w:t>
      </w:r>
      <w:r>
        <w:rPr>
          <w:rFonts w:hint="eastAsia" w:ascii="Times New Roman" w:hAnsi="Times New Roman" w:eastAsia="宋体" w:cs="Times New Roman"/>
          <w:bCs w:val="0"/>
          <w:color w:val="auto"/>
          <w:spacing w:val="0"/>
          <w:kern w:val="2"/>
          <w:sz w:val="21"/>
          <w:szCs w:val="21"/>
          <w:highlight w:val="none"/>
          <w:lang w:val="zh-CN" w:eastAsia="zh-CN" w:bidi="ar-SA"/>
        </w:rPr>
        <w:t xml:space="preserve">-6。 </w:t>
      </w:r>
    </w:p>
    <w:p>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Times New Roman" w:hAnsi="Times New Roman" w:eastAsia="宋体" w:cs="Times New Roman"/>
          <w:bCs w:val="0"/>
          <w:color w:val="auto"/>
          <w:spacing w:val="0"/>
          <w:kern w:val="2"/>
          <w:sz w:val="21"/>
          <w:szCs w:val="21"/>
          <w:highlight w:val="none"/>
          <w:lang w:val="zh-CN" w:eastAsia="zh-CN" w:bidi="ar-SA"/>
        </w:rPr>
      </w:pPr>
      <w:r>
        <w:rPr>
          <w:rFonts w:hint="eastAsia" w:ascii="Times New Roman" w:hAnsi="Times New Roman" w:eastAsia="宋体" w:cs="Times New Roman"/>
          <w:bCs w:val="0"/>
          <w:color w:val="auto"/>
          <w:spacing w:val="0"/>
          <w:kern w:val="2"/>
          <w:sz w:val="21"/>
          <w:szCs w:val="21"/>
          <w:highlight w:val="none"/>
          <w:lang w:val="zh-CN" w:eastAsia="zh-CN" w:bidi="ar-SA"/>
        </w:rPr>
        <w:t>表</w:t>
      </w:r>
      <w:r>
        <w:rPr>
          <w:rFonts w:hint="eastAsia" w:ascii="Times New Roman" w:hAnsi="Times New Roman" w:eastAsia="宋体" w:cs="Times New Roman"/>
          <w:bCs w:val="0"/>
          <w:color w:val="auto"/>
          <w:spacing w:val="0"/>
          <w:kern w:val="2"/>
          <w:sz w:val="21"/>
          <w:szCs w:val="21"/>
          <w:highlight w:val="none"/>
          <w:lang w:val="en-US" w:eastAsia="zh-CN" w:bidi="ar-SA"/>
        </w:rPr>
        <w:t xml:space="preserve">6.4-6 </w:t>
      </w:r>
      <w:r>
        <w:rPr>
          <w:rFonts w:hint="eastAsia" w:ascii="Times New Roman" w:hAnsi="Times New Roman" w:eastAsia="宋体" w:cs="Times New Roman"/>
          <w:bCs w:val="0"/>
          <w:color w:val="auto"/>
          <w:spacing w:val="0"/>
          <w:kern w:val="2"/>
          <w:sz w:val="21"/>
          <w:szCs w:val="21"/>
          <w:highlight w:val="none"/>
          <w:lang w:val="zh-CN" w:eastAsia="zh-CN" w:bidi="ar-SA"/>
        </w:rPr>
        <w:t>PPP项目建设投资总额构成</w:t>
      </w:r>
    </w:p>
    <w:p>
      <w:pPr>
        <w:pStyle w:val="2"/>
        <w:rPr>
          <w:color w:val="auto"/>
          <w:sz w:val="21"/>
          <w:szCs w:val="21"/>
          <w:highlight w:val="none"/>
        </w:rPr>
      </w:pPr>
      <w:r>
        <w:rPr>
          <w:color w:val="auto"/>
          <w:highlight w:val="none"/>
        </w:rPr>
        <w:drawing>
          <wp:anchor distT="0" distB="0" distL="114300" distR="114300" simplePos="0" relativeHeight="251723776" behindDoc="0" locked="0" layoutInCell="1" allowOverlap="1">
            <wp:simplePos x="0" y="0"/>
            <wp:positionH relativeFrom="column">
              <wp:posOffset>317500</wp:posOffset>
            </wp:positionH>
            <wp:positionV relativeFrom="paragraph">
              <wp:posOffset>23495</wp:posOffset>
            </wp:positionV>
            <wp:extent cx="4885055" cy="3510280"/>
            <wp:effectExtent l="0" t="0" r="6985" b="10160"/>
            <wp:wrapNone/>
            <wp:docPr id="2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pic:cNvPicPr>
                      <a:picLocks noChangeAspect="1"/>
                    </pic:cNvPicPr>
                  </pic:nvPicPr>
                  <pic:blipFill>
                    <a:blip r:embed="rId13"/>
                    <a:stretch>
                      <a:fillRect/>
                    </a:stretch>
                  </pic:blipFill>
                  <pic:spPr>
                    <a:xfrm>
                      <a:off x="0" y="0"/>
                      <a:ext cx="4885055" cy="3510280"/>
                    </a:xfrm>
                    <a:prstGeom prst="rect">
                      <a:avLst/>
                    </a:prstGeom>
                    <a:noFill/>
                    <a:ln w="9525">
                      <a:noFill/>
                    </a:ln>
                  </pic:spPr>
                </pic:pic>
              </a:graphicData>
            </a:graphic>
          </wp:anchor>
        </w:drawing>
      </w: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tabs>
          <w:tab w:val="left" w:pos="993"/>
        </w:tabs>
        <w:adjustRightInd w:val="0"/>
        <w:snapToGrid w:val="0"/>
        <w:spacing w:line="360" w:lineRule="auto"/>
        <w:ind w:firstLine="422" w:firstLineChars="200"/>
        <w:rPr>
          <w:rFonts w:hint="eastAsia" w:ascii="Times New Roman" w:hAnsi="Times New Roman" w:eastAsia="宋体" w:cs="Times New Roman"/>
          <w:b/>
          <w:bCs/>
          <w:color w:val="auto"/>
          <w:spacing w:val="0"/>
          <w:kern w:val="2"/>
          <w:sz w:val="21"/>
          <w:szCs w:val="21"/>
          <w:highlight w:val="none"/>
          <w:lang w:val="zh-CN" w:eastAsia="zh-CN" w:bidi="ar-SA"/>
        </w:rPr>
      </w:pPr>
      <w:r>
        <w:rPr>
          <w:rFonts w:hint="eastAsia" w:ascii="Times New Roman" w:hAnsi="Times New Roman" w:eastAsia="宋体" w:cs="Times New Roman"/>
          <w:b/>
          <w:bCs/>
          <w:color w:val="auto"/>
          <w:spacing w:val="0"/>
          <w:kern w:val="2"/>
          <w:sz w:val="21"/>
          <w:szCs w:val="21"/>
          <w:highlight w:val="none"/>
          <w:lang w:val="zh-CN" w:eastAsia="zh-CN" w:bidi="ar-SA"/>
        </w:rPr>
        <w:t>（</w:t>
      </w:r>
      <w:r>
        <w:rPr>
          <w:rFonts w:hint="eastAsia" w:ascii="Times New Roman" w:hAnsi="Times New Roman" w:eastAsia="宋体" w:cs="Times New Roman"/>
          <w:b/>
          <w:bCs/>
          <w:color w:val="auto"/>
          <w:spacing w:val="0"/>
          <w:kern w:val="2"/>
          <w:sz w:val="21"/>
          <w:szCs w:val="21"/>
          <w:highlight w:val="none"/>
          <w:lang w:val="en-US" w:eastAsia="zh-CN" w:bidi="ar-SA"/>
        </w:rPr>
        <w:t>4</w:t>
      </w:r>
      <w:r>
        <w:rPr>
          <w:rFonts w:hint="eastAsia" w:ascii="Times New Roman" w:hAnsi="Times New Roman" w:eastAsia="宋体" w:cs="Times New Roman"/>
          <w:b/>
          <w:bCs/>
          <w:color w:val="auto"/>
          <w:spacing w:val="0"/>
          <w:kern w:val="2"/>
          <w:sz w:val="21"/>
          <w:szCs w:val="21"/>
          <w:highlight w:val="none"/>
          <w:lang w:val="zh-CN" w:eastAsia="zh-CN" w:bidi="ar-SA"/>
        </w:rPr>
        <w:t>）建设单位管理费</w:t>
      </w:r>
    </w:p>
    <w:p>
      <w:pPr>
        <w:tabs>
          <w:tab w:val="left" w:pos="993"/>
        </w:tabs>
        <w:adjustRightInd w:val="0"/>
        <w:snapToGrid w:val="0"/>
        <w:spacing w:line="360" w:lineRule="auto"/>
        <w:ind w:firstLine="420" w:firstLineChars="200"/>
        <w:rPr>
          <w:rFonts w:hint="eastAsia" w:ascii="Times New Roman" w:hAnsi="Times New Roman" w:eastAsia="宋体" w:cs="Times New Roman"/>
          <w:bCs w:val="0"/>
          <w:color w:val="auto"/>
          <w:spacing w:val="0"/>
          <w:kern w:val="2"/>
          <w:sz w:val="21"/>
          <w:szCs w:val="21"/>
          <w:highlight w:val="none"/>
          <w:lang w:val="zh-CN" w:eastAsia="zh-CN" w:bidi="ar-SA"/>
        </w:rPr>
      </w:pPr>
      <w:r>
        <w:rPr>
          <w:rFonts w:hint="eastAsia" w:ascii="Times New Roman" w:hAnsi="Times New Roman" w:eastAsia="宋体" w:cs="Times New Roman"/>
          <w:bCs w:val="0"/>
          <w:color w:val="auto"/>
          <w:spacing w:val="0"/>
          <w:kern w:val="2"/>
          <w:sz w:val="21"/>
          <w:szCs w:val="21"/>
          <w:highlight w:val="none"/>
          <w:lang w:val="zh-CN" w:eastAsia="zh-CN" w:bidi="ar-SA"/>
        </w:rPr>
        <w:t xml:space="preserve">政府方出资代表作为项目公司股东，参与项目的前期工作、建设、运营及管理。 </w:t>
      </w:r>
    </w:p>
    <w:p>
      <w:pPr>
        <w:tabs>
          <w:tab w:val="left" w:pos="993"/>
        </w:tabs>
        <w:adjustRightInd w:val="0"/>
        <w:snapToGrid w:val="0"/>
        <w:spacing w:line="360" w:lineRule="auto"/>
        <w:ind w:firstLine="420" w:firstLineChars="200"/>
        <w:rPr>
          <w:rFonts w:hint="eastAsia" w:ascii="Times New Roman" w:hAnsi="Times New Roman" w:eastAsia="宋体" w:cs="Times New Roman"/>
          <w:bCs w:val="0"/>
          <w:color w:val="auto"/>
          <w:spacing w:val="0"/>
          <w:kern w:val="2"/>
          <w:sz w:val="21"/>
          <w:szCs w:val="21"/>
          <w:highlight w:val="none"/>
          <w:lang w:val="zh-CN" w:eastAsia="zh-CN" w:bidi="ar-SA"/>
        </w:rPr>
      </w:pPr>
      <w:r>
        <w:rPr>
          <w:rFonts w:hint="eastAsia" w:ascii="Times New Roman" w:hAnsi="Times New Roman" w:eastAsia="宋体" w:cs="Times New Roman"/>
          <w:bCs w:val="0"/>
          <w:color w:val="auto"/>
          <w:spacing w:val="0"/>
          <w:kern w:val="2"/>
          <w:sz w:val="21"/>
          <w:szCs w:val="21"/>
          <w:highlight w:val="none"/>
          <w:lang w:val="zh-CN" w:eastAsia="zh-CN" w:bidi="ar-SA"/>
        </w:rPr>
        <w:t>参照《关于项目前期阶段和实施阶段建设单位管理费划分比例的通知》（南财非税〔 2014〕 275 号）文的要求，项目前期工作未完成而变更业主的，其前期阶段的建设单位管理费可以结合项目前期工作量、项目建设工期等实际情况进行划分。本项目的项目立项、环境影响评价、水土保持、可研等前期工作已由政府方完成，项目建设完成后， 项目公司提取部分建设单位管理费支付至政府方出资代表，具体提取比例按照南财非税〔2014〕275号的要求确定。</w:t>
      </w:r>
    </w:p>
    <w:p>
      <w:pPr>
        <w:tabs>
          <w:tab w:val="left" w:pos="993"/>
        </w:tabs>
        <w:adjustRightInd w:val="0"/>
        <w:snapToGrid w:val="0"/>
        <w:spacing w:line="360" w:lineRule="auto"/>
        <w:ind w:firstLine="422" w:firstLineChars="200"/>
        <w:rPr>
          <w:rFonts w:hint="eastAsia" w:ascii="Times New Roman" w:hAnsi="Times New Roman" w:eastAsia="宋体" w:cs="Times New Roman"/>
          <w:b/>
          <w:bCs/>
          <w:color w:val="auto"/>
          <w:spacing w:val="0"/>
          <w:kern w:val="2"/>
          <w:sz w:val="21"/>
          <w:szCs w:val="21"/>
          <w:highlight w:val="none"/>
          <w:lang w:val="zh-CN" w:eastAsia="zh-CN" w:bidi="ar-SA"/>
        </w:rPr>
      </w:pPr>
      <w:r>
        <w:rPr>
          <w:rFonts w:hint="eastAsia" w:ascii="Times New Roman" w:hAnsi="Times New Roman" w:eastAsia="宋体" w:cs="Times New Roman"/>
          <w:b/>
          <w:bCs/>
          <w:color w:val="auto"/>
          <w:spacing w:val="0"/>
          <w:kern w:val="2"/>
          <w:sz w:val="21"/>
          <w:szCs w:val="21"/>
          <w:highlight w:val="none"/>
          <w:lang w:val="zh-CN" w:eastAsia="zh-CN" w:bidi="ar-SA"/>
        </w:rPr>
        <w:t xml:space="preserve">（5）医疗设施设备器材购置费 </w:t>
      </w:r>
    </w:p>
    <w:p>
      <w:pPr>
        <w:tabs>
          <w:tab w:val="left" w:pos="993"/>
        </w:tabs>
        <w:adjustRightInd w:val="0"/>
        <w:snapToGrid w:val="0"/>
        <w:spacing w:line="360" w:lineRule="auto"/>
        <w:ind w:firstLine="420" w:firstLineChars="200"/>
        <w:rPr>
          <w:rFonts w:hint="eastAsia" w:ascii="Times New Roman" w:hAnsi="Times New Roman" w:eastAsia="宋体" w:cs="Times New Roman"/>
          <w:bCs w:val="0"/>
          <w:color w:val="auto"/>
          <w:spacing w:val="0"/>
          <w:kern w:val="2"/>
          <w:sz w:val="21"/>
          <w:szCs w:val="21"/>
          <w:highlight w:val="none"/>
          <w:lang w:val="zh-CN" w:eastAsia="zh-CN" w:bidi="ar-SA"/>
        </w:rPr>
      </w:pPr>
      <w:r>
        <w:rPr>
          <w:rFonts w:hint="eastAsia" w:ascii="Times New Roman" w:hAnsi="Times New Roman" w:eastAsia="宋体" w:cs="Times New Roman"/>
          <w:bCs w:val="0"/>
          <w:color w:val="auto"/>
          <w:spacing w:val="0"/>
          <w:kern w:val="2"/>
          <w:sz w:val="21"/>
          <w:szCs w:val="21"/>
          <w:highlight w:val="none"/>
          <w:lang w:val="zh-CN" w:eastAsia="zh-CN" w:bidi="ar-SA"/>
        </w:rPr>
        <w:t xml:space="preserve">根据项目可行性研究报告，项目总投资未包括医疗设施设备器材购置费用，若初步设计概算也未计算该项费用，因医疗设施设备器材使用专业性较强，为更好地满足项目医疗工作服务开展需求，医疗设施设备器材由实施机构或院方自主选购，并自行承担此项费用；若初步设计概算包含该项费用，则由项目公司承担此项费用，并根据 PPP 项目合同约定将此项费用计入社会资本回报计算基数。 </w:t>
      </w:r>
    </w:p>
    <w:p>
      <w:pPr>
        <w:tabs>
          <w:tab w:val="left" w:pos="993"/>
        </w:tabs>
        <w:adjustRightInd w:val="0"/>
        <w:snapToGrid w:val="0"/>
        <w:spacing w:line="360" w:lineRule="auto"/>
        <w:ind w:firstLine="422" w:firstLineChars="200"/>
        <w:rPr>
          <w:rFonts w:hint="eastAsia" w:ascii="Times New Roman" w:hAnsi="Times New Roman" w:eastAsia="宋体" w:cs="Times New Roman"/>
          <w:b/>
          <w:bCs/>
          <w:color w:val="auto"/>
          <w:spacing w:val="0"/>
          <w:kern w:val="2"/>
          <w:sz w:val="21"/>
          <w:szCs w:val="21"/>
          <w:highlight w:val="none"/>
          <w:lang w:val="zh-CN" w:eastAsia="zh-CN" w:bidi="ar-SA"/>
        </w:rPr>
      </w:pPr>
      <w:r>
        <w:rPr>
          <w:rFonts w:hint="eastAsia" w:ascii="Times New Roman" w:hAnsi="Times New Roman" w:eastAsia="宋体" w:cs="Times New Roman"/>
          <w:b/>
          <w:bCs/>
          <w:color w:val="auto"/>
          <w:spacing w:val="0"/>
          <w:kern w:val="2"/>
          <w:sz w:val="21"/>
          <w:szCs w:val="21"/>
          <w:highlight w:val="none"/>
          <w:lang w:val="zh-CN" w:eastAsia="zh-CN" w:bidi="ar-SA"/>
        </w:rPr>
        <w:t xml:space="preserve">（6）餐饮经营和停车场经营设施设备购置费 </w:t>
      </w:r>
    </w:p>
    <w:p>
      <w:pPr>
        <w:tabs>
          <w:tab w:val="left" w:pos="993"/>
        </w:tabs>
        <w:adjustRightInd w:val="0"/>
        <w:snapToGrid w:val="0"/>
        <w:spacing w:line="360" w:lineRule="auto"/>
        <w:ind w:firstLine="420" w:firstLineChars="200"/>
        <w:rPr>
          <w:rFonts w:hint="eastAsia" w:ascii="Times New Roman" w:hAnsi="Times New Roman" w:eastAsia="宋体" w:cs="Times New Roman"/>
          <w:bCs w:val="0"/>
          <w:color w:val="auto"/>
          <w:spacing w:val="0"/>
          <w:kern w:val="2"/>
          <w:sz w:val="21"/>
          <w:szCs w:val="21"/>
          <w:highlight w:val="none"/>
          <w:lang w:val="zh-CN" w:eastAsia="zh-CN" w:bidi="ar-SA"/>
        </w:rPr>
      </w:pPr>
      <w:r>
        <w:rPr>
          <w:rFonts w:hint="eastAsia" w:ascii="Times New Roman" w:hAnsi="Times New Roman" w:eastAsia="宋体" w:cs="Times New Roman"/>
          <w:bCs w:val="0"/>
          <w:color w:val="auto"/>
          <w:spacing w:val="0"/>
          <w:kern w:val="2"/>
          <w:sz w:val="21"/>
          <w:szCs w:val="21"/>
          <w:highlight w:val="none"/>
          <w:lang w:val="zh-CN" w:eastAsia="zh-CN" w:bidi="ar-SA"/>
        </w:rPr>
        <w:t>本项目由项目公司负责餐厅食堂和停车场的经营工作，开展经营活动所需要的设备器具由项目公司自行选购，并承担相应的费用，所选购的设备器具必须符合国家、广西自治区、南宁市或行业要求。</w:t>
      </w:r>
    </w:p>
    <w:p>
      <w:pPr>
        <w:tabs>
          <w:tab w:val="left" w:pos="993"/>
        </w:tabs>
        <w:adjustRightInd w:val="0"/>
        <w:snapToGrid w:val="0"/>
        <w:spacing w:line="360" w:lineRule="auto"/>
        <w:ind w:firstLine="422" w:firstLineChars="200"/>
        <w:rPr>
          <w:rFonts w:hint="eastAsia" w:ascii="Times New Roman" w:hAnsi="Times New Roman" w:eastAsia="宋体" w:cs="Times New Roman"/>
          <w:b/>
          <w:bCs/>
          <w:color w:val="auto"/>
          <w:spacing w:val="0"/>
          <w:kern w:val="2"/>
          <w:sz w:val="21"/>
          <w:szCs w:val="21"/>
          <w:highlight w:val="none"/>
          <w:lang w:val="zh-CN" w:eastAsia="zh-CN" w:bidi="ar-SA"/>
        </w:rPr>
      </w:pPr>
      <w:r>
        <w:rPr>
          <w:rFonts w:hint="eastAsia" w:cs="Times New Roman"/>
          <w:b/>
          <w:bCs/>
          <w:color w:val="auto"/>
          <w:spacing w:val="0"/>
          <w:kern w:val="2"/>
          <w:sz w:val="21"/>
          <w:szCs w:val="21"/>
          <w:highlight w:val="none"/>
          <w:lang w:val="en-US" w:eastAsia="zh-CN" w:bidi="ar-SA"/>
        </w:rPr>
        <w:t>6.5</w:t>
      </w:r>
      <w:r>
        <w:rPr>
          <w:rFonts w:hint="eastAsia" w:ascii="Times New Roman" w:hAnsi="Times New Roman" w:eastAsia="宋体" w:cs="Times New Roman"/>
          <w:b/>
          <w:bCs/>
          <w:color w:val="auto"/>
          <w:spacing w:val="0"/>
          <w:kern w:val="2"/>
          <w:sz w:val="21"/>
          <w:szCs w:val="21"/>
          <w:highlight w:val="none"/>
          <w:lang w:val="zh-CN" w:eastAsia="zh-CN" w:bidi="ar-SA"/>
        </w:rPr>
        <w:t xml:space="preserve">项目前期工作 </w:t>
      </w:r>
    </w:p>
    <w:p>
      <w:pPr>
        <w:tabs>
          <w:tab w:val="left" w:pos="993"/>
        </w:tabs>
        <w:adjustRightInd w:val="0"/>
        <w:snapToGrid w:val="0"/>
        <w:spacing w:line="360" w:lineRule="auto"/>
        <w:ind w:firstLine="422" w:firstLineChars="200"/>
        <w:rPr>
          <w:rFonts w:hint="eastAsia" w:ascii="Times New Roman" w:hAnsi="Times New Roman" w:eastAsia="宋体" w:cs="Times New Roman"/>
          <w:bCs w:val="0"/>
          <w:color w:val="auto"/>
          <w:spacing w:val="0"/>
          <w:kern w:val="2"/>
          <w:sz w:val="21"/>
          <w:szCs w:val="21"/>
          <w:highlight w:val="none"/>
          <w:lang w:val="zh-CN" w:eastAsia="zh-CN" w:bidi="ar-SA"/>
        </w:rPr>
      </w:pPr>
      <w:r>
        <w:rPr>
          <w:rFonts w:hint="eastAsia" w:cs="Times New Roman"/>
          <w:b/>
          <w:bCs/>
          <w:color w:val="auto"/>
          <w:spacing w:val="0"/>
          <w:kern w:val="2"/>
          <w:sz w:val="21"/>
          <w:szCs w:val="21"/>
          <w:highlight w:val="none"/>
          <w:lang w:val="en-US" w:eastAsia="zh-CN" w:bidi="ar-SA"/>
        </w:rPr>
        <w:t>6.5.1</w:t>
      </w:r>
      <w:r>
        <w:rPr>
          <w:rFonts w:hint="eastAsia" w:ascii="Times New Roman" w:hAnsi="Times New Roman" w:eastAsia="宋体" w:cs="Times New Roman"/>
          <w:b/>
          <w:bCs/>
          <w:color w:val="auto"/>
          <w:spacing w:val="0"/>
          <w:kern w:val="2"/>
          <w:sz w:val="21"/>
          <w:szCs w:val="21"/>
          <w:highlight w:val="none"/>
          <w:lang w:val="zh-CN" w:eastAsia="zh-CN" w:bidi="ar-SA"/>
        </w:rPr>
        <w:t>前期工作完成情况</w:t>
      </w:r>
      <w:r>
        <w:rPr>
          <w:rFonts w:hint="eastAsia" w:ascii="Times New Roman" w:hAnsi="Times New Roman" w:eastAsia="宋体" w:cs="Times New Roman"/>
          <w:bCs w:val="0"/>
          <w:color w:val="auto"/>
          <w:spacing w:val="0"/>
          <w:kern w:val="2"/>
          <w:sz w:val="21"/>
          <w:szCs w:val="21"/>
          <w:highlight w:val="none"/>
          <w:lang w:val="zh-CN" w:eastAsia="zh-CN" w:bidi="ar-SA"/>
        </w:rPr>
        <w:t xml:space="preserve"> </w:t>
      </w:r>
    </w:p>
    <w:p>
      <w:pPr>
        <w:tabs>
          <w:tab w:val="left" w:pos="993"/>
        </w:tabs>
        <w:adjustRightInd w:val="0"/>
        <w:snapToGrid w:val="0"/>
        <w:spacing w:line="360" w:lineRule="auto"/>
        <w:ind w:firstLine="420" w:firstLineChars="200"/>
        <w:rPr>
          <w:rFonts w:hint="eastAsia" w:ascii="Times New Roman" w:hAnsi="Times New Roman" w:eastAsia="宋体" w:cs="Times New Roman"/>
          <w:bCs w:val="0"/>
          <w:color w:val="auto"/>
          <w:spacing w:val="0"/>
          <w:kern w:val="2"/>
          <w:sz w:val="21"/>
          <w:szCs w:val="21"/>
          <w:highlight w:val="none"/>
          <w:lang w:val="zh-CN" w:eastAsia="zh-CN" w:bidi="ar-SA"/>
        </w:rPr>
      </w:pPr>
      <w:r>
        <w:rPr>
          <w:rFonts w:hint="eastAsia" w:ascii="Times New Roman" w:hAnsi="Times New Roman" w:eastAsia="宋体" w:cs="Times New Roman"/>
          <w:bCs w:val="0"/>
          <w:color w:val="auto"/>
          <w:spacing w:val="0"/>
          <w:kern w:val="2"/>
          <w:sz w:val="21"/>
          <w:szCs w:val="21"/>
          <w:highlight w:val="none"/>
          <w:lang w:val="zh-CN" w:eastAsia="zh-CN" w:bidi="ar-SA"/>
        </w:rPr>
        <w:t>政府方负责本项目立项、用地预审、可行性研究、勘察、初步设计与概算的编制及报批、征地拆迁、三通一平（通路、通水、通电、场地平整工作）等法律法规、基本建设程序所要求的各项前期工作。</w:t>
      </w:r>
      <w:r>
        <w:rPr>
          <w:rFonts w:hint="eastAsia" w:ascii="Times New Roman" w:hAnsi="Times New Roman" w:eastAsia="宋体" w:cs="Times New Roman"/>
          <w:bCs w:val="0"/>
          <w:color w:val="auto"/>
          <w:spacing w:val="0"/>
          <w:kern w:val="2"/>
          <w:sz w:val="21"/>
          <w:szCs w:val="21"/>
          <w:highlight w:val="none"/>
          <w:lang w:val="zh-CN" w:eastAsia="zh-CN" w:bidi="ar-SA"/>
        </w:rPr>
        <w:br w:type="textWrapping"/>
      </w:r>
      <w:r>
        <w:rPr>
          <w:rFonts w:hint="eastAsia" w:ascii="Times New Roman" w:hAnsi="Times New Roman" w:eastAsia="宋体" w:cs="Times New Roman"/>
          <w:bCs w:val="0"/>
          <w:color w:val="auto"/>
          <w:spacing w:val="0"/>
          <w:kern w:val="2"/>
          <w:sz w:val="21"/>
          <w:szCs w:val="21"/>
          <w:highlight w:val="none"/>
          <w:lang w:val="en-US" w:eastAsia="zh-CN" w:bidi="ar-SA"/>
        </w:rPr>
        <w:t xml:space="preserve">  </w:t>
      </w:r>
      <w:r>
        <w:rPr>
          <w:rFonts w:hint="eastAsia" w:ascii="Times New Roman" w:hAnsi="Times New Roman" w:eastAsia="宋体" w:cs="Times New Roman"/>
          <w:bCs w:val="0"/>
          <w:color w:val="auto"/>
          <w:spacing w:val="0"/>
          <w:kern w:val="2"/>
          <w:sz w:val="21"/>
          <w:szCs w:val="21"/>
          <w:highlight w:val="none"/>
          <w:lang w:val="zh-CN" w:eastAsia="zh-CN" w:bidi="ar-SA"/>
        </w:rPr>
        <w:t xml:space="preserve">目前项目已完成的前期工作有： 项目立项、可行性研究 </w:t>
      </w:r>
    </w:p>
    <w:p>
      <w:pPr>
        <w:tabs>
          <w:tab w:val="left" w:pos="993"/>
        </w:tabs>
        <w:adjustRightInd w:val="0"/>
        <w:snapToGrid w:val="0"/>
        <w:spacing w:line="360" w:lineRule="auto"/>
        <w:ind w:firstLine="422" w:firstLineChars="200"/>
        <w:rPr>
          <w:rFonts w:hint="eastAsia" w:ascii="Times New Roman" w:hAnsi="Times New Roman" w:eastAsia="宋体" w:cs="Times New Roman"/>
          <w:b/>
          <w:bCs/>
          <w:color w:val="auto"/>
          <w:spacing w:val="0"/>
          <w:kern w:val="2"/>
          <w:sz w:val="21"/>
          <w:szCs w:val="21"/>
          <w:highlight w:val="none"/>
          <w:lang w:val="zh-CN" w:eastAsia="zh-CN" w:bidi="ar-SA"/>
        </w:rPr>
      </w:pPr>
      <w:r>
        <w:rPr>
          <w:rFonts w:hint="eastAsia" w:cs="Times New Roman"/>
          <w:b/>
          <w:bCs/>
          <w:color w:val="auto"/>
          <w:spacing w:val="0"/>
          <w:kern w:val="2"/>
          <w:sz w:val="21"/>
          <w:szCs w:val="21"/>
          <w:highlight w:val="none"/>
          <w:lang w:val="en-US" w:eastAsia="zh-CN" w:bidi="ar-SA"/>
        </w:rPr>
        <w:t>6.5.2</w:t>
      </w:r>
      <w:r>
        <w:rPr>
          <w:rFonts w:hint="eastAsia" w:ascii="Times New Roman" w:hAnsi="Times New Roman" w:eastAsia="宋体" w:cs="Times New Roman"/>
          <w:b/>
          <w:bCs/>
          <w:color w:val="auto"/>
          <w:spacing w:val="0"/>
          <w:kern w:val="2"/>
          <w:sz w:val="21"/>
          <w:szCs w:val="21"/>
          <w:highlight w:val="none"/>
          <w:lang w:val="zh-CN" w:eastAsia="zh-CN" w:bidi="ar-SA"/>
        </w:rPr>
        <w:t xml:space="preserve">公共设施条件 </w:t>
      </w:r>
    </w:p>
    <w:p>
      <w:pPr>
        <w:tabs>
          <w:tab w:val="left" w:pos="993"/>
        </w:tabs>
        <w:adjustRightInd w:val="0"/>
        <w:snapToGrid w:val="0"/>
        <w:spacing w:line="360" w:lineRule="auto"/>
        <w:ind w:firstLine="420" w:firstLineChars="200"/>
        <w:rPr>
          <w:rFonts w:hint="eastAsia" w:ascii="Times New Roman" w:hAnsi="Times New Roman" w:eastAsia="宋体" w:cs="Times New Roman"/>
          <w:bCs w:val="0"/>
          <w:color w:val="auto"/>
          <w:spacing w:val="0"/>
          <w:kern w:val="2"/>
          <w:sz w:val="21"/>
          <w:szCs w:val="21"/>
          <w:highlight w:val="none"/>
          <w:lang w:val="zh-CN" w:eastAsia="zh-CN" w:bidi="ar-SA"/>
        </w:rPr>
      </w:pPr>
      <w:r>
        <w:rPr>
          <w:rFonts w:hint="eastAsia" w:ascii="Times New Roman" w:hAnsi="Times New Roman" w:eastAsia="宋体" w:cs="Times New Roman"/>
          <w:bCs w:val="0"/>
          <w:color w:val="auto"/>
          <w:spacing w:val="0"/>
          <w:kern w:val="2"/>
          <w:sz w:val="21"/>
          <w:szCs w:val="21"/>
          <w:highlight w:val="none"/>
          <w:lang w:val="zh-CN" w:eastAsia="zh-CN" w:bidi="ar-SA"/>
        </w:rPr>
        <w:t xml:space="preserve">青秀区卫生健康服务综合大楼项目规划用地红线区域内地势较好，无不良地质情况，无市政设施的地下管线穿越，规划建设用地区域内，相关给排水、电力电信等市政基础设施的配套建设均已完成，具备建设条件。长塘镇卫生院项目所在地无不良工程地质现象，项目基地通达性好，水、电、电信、网络等市政管线和管网可通至项目建设地点，水、电等供给条件均可满足项目建设需要，项目选址所在地的规划市政道路网较为完善，交通运输条件便利，市政配套条件基本完善。 </w:t>
      </w:r>
    </w:p>
    <w:p>
      <w:pPr>
        <w:tabs>
          <w:tab w:val="left" w:pos="993"/>
        </w:tabs>
        <w:adjustRightInd w:val="0"/>
        <w:snapToGrid w:val="0"/>
        <w:spacing w:line="360" w:lineRule="auto"/>
        <w:ind w:firstLine="422" w:firstLineChars="200"/>
        <w:rPr>
          <w:rFonts w:hint="eastAsia" w:ascii="Times New Roman" w:hAnsi="Times New Roman" w:eastAsia="宋体" w:cs="Times New Roman"/>
          <w:bCs w:val="0"/>
          <w:color w:val="auto"/>
          <w:spacing w:val="0"/>
          <w:kern w:val="2"/>
          <w:sz w:val="21"/>
          <w:szCs w:val="21"/>
          <w:highlight w:val="none"/>
          <w:lang w:val="zh-CN" w:eastAsia="zh-CN" w:bidi="ar-SA"/>
        </w:rPr>
      </w:pPr>
      <w:r>
        <w:rPr>
          <w:rFonts w:hint="eastAsia" w:cs="Times New Roman"/>
          <w:b/>
          <w:bCs/>
          <w:color w:val="auto"/>
          <w:spacing w:val="0"/>
          <w:kern w:val="2"/>
          <w:sz w:val="21"/>
          <w:szCs w:val="21"/>
          <w:highlight w:val="none"/>
          <w:lang w:val="en-US" w:eastAsia="zh-CN" w:bidi="ar-SA"/>
        </w:rPr>
        <w:t>6.5.3</w:t>
      </w:r>
      <w:r>
        <w:rPr>
          <w:rFonts w:hint="eastAsia" w:ascii="Times New Roman" w:hAnsi="Times New Roman" w:eastAsia="宋体" w:cs="Times New Roman"/>
          <w:b/>
          <w:bCs/>
          <w:color w:val="auto"/>
          <w:spacing w:val="0"/>
          <w:kern w:val="2"/>
          <w:sz w:val="21"/>
          <w:szCs w:val="21"/>
          <w:highlight w:val="none"/>
          <w:lang w:val="zh-CN" w:eastAsia="zh-CN" w:bidi="ar-SA"/>
        </w:rPr>
        <w:t>征地条件</w:t>
      </w:r>
      <w:r>
        <w:rPr>
          <w:rFonts w:hint="eastAsia" w:ascii="Times New Roman" w:hAnsi="Times New Roman" w:eastAsia="宋体" w:cs="Times New Roman"/>
          <w:bCs w:val="0"/>
          <w:color w:val="auto"/>
          <w:spacing w:val="0"/>
          <w:kern w:val="2"/>
          <w:sz w:val="21"/>
          <w:szCs w:val="21"/>
          <w:highlight w:val="none"/>
          <w:lang w:val="zh-CN" w:eastAsia="zh-CN" w:bidi="ar-SA"/>
        </w:rPr>
        <w:t xml:space="preserve"> </w:t>
      </w:r>
    </w:p>
    <w:p>
      <w:pPr>
        <w:tabs>
          <w:tab w:val="left" w:pos="993"/>
        </w:tabs>
        <w:adjustRightInd w:val="0"/>
        <w:snapToGrid w:val="0"/>
        <w:spacing w:line="360" w:lineRule="auto"/>
        <w:ind w:firstLine="420" w:firstLineChars="200"/>
        <w:rPr>
          <w:rFonts w:hint="eastAsia" w:ascii="Times New Roman" w:hAnsi="Times New Roman" w:eastAsia="宋体" w:cs="Times New Roman"/>
          <w:bCs w:val="0"/>
          <w:color w:val="auto"/>
          <w:spacing w:val="0"/>
          <w:kern w:val="2"/>
          <w:sz w:val="21"/>
          <w:szCs w:val="21"/>
          <w:highlight w:val="none"/>
          <w:lang w:val="zh-CN" w:eastAsia="zh-CN" w:bidi="ar-SA"/>
        </w:rPr>
      </w:pPr>
      <w:r>
        <w:rPr>
          <w:rFonts w:hint="eastAsia" w:ascii="Times New Roman" w:hAnsi="Times New Roman" w:eastAsia="宋体" w:cs="Times New Roman"/>
          <w:bCs w:val="0"/>
          <w:color w:val="auto"/>
          <w:spacing w:val="0"/>
          <w:kern w:val="2"/>
          <w:sz w:val="21"/>
          <w:szCs w:val="21"/>
          <w:highlight w:val="none"/>
          <w:lang w:val="zh-CN" w:eastAsia="zh-CN" w:bidi="ar-SA"/>
        </w:rPr>
        <w:t>青秀区卫生健康服务综合大楼项目用地已完成征地，已获得选址许可。用地范围内没有涉及居民拆迁。</w:t>
      </w:r>
    </w:p>
    <w:p>
      <w:pPr>
        <w:autoSpaceDE w:val="0"/>
        <w:autoSpaceDN w:val="0"/>
        <w:adjustRightInd w:val="0"/>
        <w:snapToGrid w:val="0"/>
        <w:spacing w:line="360" w:lineRule="auto"/>
        <w:ind w:firstLine="422" w:firstLineChars="200"/>
        <w:rPr>
          <w:rFonts w:hint="eastAsia" w:ascii="Times New Roman" w:hAnsi="Times New Roman" w:eastAsia="宋体" w:cs="Times New Roman"/>
          <w:b/>
          <w:bCs/>
          <w:color w:val="auto"/>
          <w:spacing w:val="0"/>
          <w:kern w:val="2"/>
          <w:sz w:val="21"/>
          <w:szCs w:val="21"/>
          <w:highlight w:val="none"/>
          <w:lang w:val="en-US" w:eastAsia="zh-CN" w:bidi="ar-SA"/>
        </w:rPr>
      </w:pPr>
      <w:r>
        <w:rPr>
          <w:rFonts w:hint="eastAsia" w:cs="Times New Roman"/>
          <w:b/>
          <w:bCs/>
          <w:color w:val="auto"/>
          <w:spacing w:val="0"/>
          <w:kern w:val="2"/>
          <w:sz w:val="21"/>
          <w:szCs w:val="21"/>
          <w:highlight w:val="none"/>
          <w:lang w:val="en-US" w:eastAsia="zh-CN" w:bidi="ar-SA"/>
        </w:rPr>
        <w:t>6.6</w:t>
      </w:r>
      <w:r>
        <w:rPr>
          <w:rFonts w:hint="eastAsia" w:ascii="Times New Roman" w:hAnsi="Times New Roman" w:eastAsia="宋体" w:cs="Times New Roman"/>
          <w:b/>
          <w:bCs/>
          <w:color w:val="auto"/>
          <w:spacing w:val="0"/>
          <w:kern w:val="2"/>
          <w:sz w:val="21"/>
          <w:szCs w:val="21"/>
          <w:highlight w:val="none"/>
          <w:lang w:val="en-US" w:eastAsia="zh-CN" w:bidi="ar-SA"/>
        </w:rPr>
        <w:t>项目运作方式</w:t>
      </w:r>
    </w:p>
    <w:p>
      <w:pPr>
        <w:tabs>
          <w:tab w:val="left" w:pos="993"/>
        </w:tabs>
        <w:adjustRightInd w:val="0"/>
        <w:snapToGrid w:val="0"/>
        <w:spacing w:line="360" w:lineRule="auto"/>
        <w:ind w:firstLine="420" w:firstLineChars="200"/>
        <w:rPr>
          <w:rFonts w:hint="eastAsia" w:ascii="Times New Roman" w:hAnsi="Times New Roman" w:eastAsia="宋体" w:cs="Times New Roman"/>
          <w:bCs w:val="0"/>
          <w:color w:val="auto"/>
          <w:spacing w:val="0"/>
          <w:kern w:val="2"/>
          <w:sz w:val="21"/>
          <w:szCs w:val="21"/>
          <w:highlight w:val="none"/>
          <w:lang w:val="en-US" w:eastAsia="zh-CN" w:bidi="ar-SA"/>
        </w:rPr>
      </w:pPr>
      <w:r>
        <w:rPr>
          <w:rFonts w:hint="eastAsia" w:ascii="Times New Roman" w:hAnsi="Times New Roman" w:eastAsia="宋体" w:cs="Times New Roman"/>
          <w:bCs w:val="0"/>
          <w:color w:val="auto"/>
          <w:spacing w:val="0"/>
          <w:kern w:val="2"/>
          <w:sz w:val="21"/>
          <w:szCs w:val="21"/>
          <w:highlight w:val="none"/>
          <w:lang w:val="en-US" w:eastAsia="zh-CN" w:bidi="ar-SA"/>
        </w:rPr>
        <w:t>项目采用BOT模式，根据项目的实际情况以及实施目标和特征，综合考虑本项目的收费机制、项目投资收益水平、风险分配基本框架、融资需求等因素，本项目拟采用建设—运营—移交（BOT，Build—建设，Operate—运营，Transfer—移交）的运作模式。</w:t>
      </w:r>
    </w:p>
    <w:p>
      <w:pPr>
        <w:tabs>
          <w:tab w:val="left" w:pos="993"/>
        </w:tabs>
        <w:adjustRightInd w:val="0"/>
        <w:snapToGrid w:val="0"/>
        <w:spacing w:line="360" w:lineRule="auto"/>
        <w:ind w:left="239" w:leftChars="114" w:firstLine="211" w:firstLineChars="100"/>
        <w:rPr>
          <w:rFonts w:hint="eastAsia" w:ascii="Times New Roman" w:hAnsi="Times New Roman" w:eastAsia="宋体" w:cs="Times New Roman"/>
          <w:bCs w:val="0"/>
          <w:color w:val="auto"/>
          <w:spacing w:val="0"/>
          <w:kern w:val="2"/>
          <w:sz w:val="21"/>
          <w:szCs w:val="21"/>
          <w:highlight w:val="none"/>
          <w:lang w:val="en-US" w:eastAsia="zh-CN" w:bidi="ar-SA"/>
        </w:rPr>
      </w:pPr>
      <w:r>
        <w:rPr>
          <w:rFonts w:hint="eastAsia" w:ascii="Times New Roman" w:hAnsi="Times New Roman" w:eastAsia="宋体" w:cs="Times New Roman"/>
          <w:b/>
          <w:bCs/>
          <w:color w:val="auto"/>
          <w:spacing w:val="0"/>
          <w:kern w:val="2"/>
          <w:sz w:val="21"/>
          <w:szCs w:val="21"/>
          <w:highlight w:val="none"/>
          <w:lang w:val="en-US" w:eastAsia="zh-CN" w:bidi="ar-SA"/>
        </w:rPr>
        <w:t>具体运作方式为：</w:t>
      </w:r>
      <w:r>
        <w:rPr>
          <w:rFonts w:hint="eastAsia" w:ascii="Times New Roman" w:hAnsi="Times New Roman" w:eastAsia="宋体" w:cs="Times New Roman"/>
          <w:bCs w:val="0"/>
          <w:color w:val="auto"/>
          <w:spacing w:val="0"/>
          <w:kern w:val="2"/>
          <w:sz w:val="21"/>
          <w:szCs w:val="21"/>
          <w:highlight w:val="none"/>
          <w:lang w:val="en-US" w:eastAsia="zh-CN" w:bidi="ar-SA"/>
        </w:rPr>
        <w:br w:type="textWrapping"/>
      </w:r>
      <w:r>
        <w:rPr>
          <w:rFonts w:hint="eastAsia" w:ascii="Times New Roman" w:hAnsi="Times New Roman" w:eastAsia="宋体" w:cs="Times New Roman"/>
          <w:bCs w:val="0"/>
          <w:color w:val="auto"/>
          <w:spacing w:val="0"/>
          <w:kern w:val="2"/>
          <w:sz w:val="21"/>
          <w:szCs w:val="21"/>
          <w:highlight w:val="none"/>
          <w:lang w:val="en-US" w:eastAsia="zh-CN" w:bidi="ar-SA"/>
        </w:rPr>
        <w:t>（1）本项目实施机构南宁市青秀区卫生健康局通过公开采购方式选择合适的社会资本，待采购到社会资</w:t>
      </w:r>
    </w:p>
    <w:p>
      <w:pPr>
        <w:tabs>
          <w:tab w:val="left" w:pos="993"/>
        </w:tabs>
        <w:adjustRightInd w:val="0"/>
        <w:snapToGrid w:val="0"/>
        <w:spacing w:line="360" w:lineRule="auto"/>
        <w:ind w:left="210" w:hanging="210" w:hangingChars="100"/>
        <w:rPr>
          <w:rFonts w:hint="eastAsia" w:ascii="Times New Roman" w:hAnsi="Times New Roman" w:eastAsia="宋体" w:cs="Times New Roman"/>
          <w:bCs w:val="0"/>
          <w:color w:val="auto"/>
          <w:spacing w:val="0"/>
          <w:kern w:val="2"/>
          <w:sz w:val="21"/>
          <w:szCs w:val="21"/>
          <w:highlight w:val="none"/>
          <w:lang w:val="en-US" w:eastAsia="zh-CN" w:bidi="ar-SA"/>
        </w:rPr>
      </w:pPr>
      <w:r>
        <w:rPr>
          <w:rFonts w:hint="eastAsia" w:ascii="Times New Roman" w:hAnsi="Times New Roman" w:eastAsia="宋体" w:cs="Times New Roman"/>
          <w:bCs w:val="0"/>
          <w:color w:val="auto"/>
          <w:spacing w:val="0"/>
          <w:kern w:val="2"/>
          <w:sz w:val="21"/>
          <w:szCs w:val="21"/>
          <w:highlight w:val="none"/>
          <w:lang w:val="en-US" w:eastAsia="zh-CN" w:bidi="ar-SA"/>
        </w:rPr>
        <w:t>本后，由社会资本与实施机构签订 PPP 项目合同；</w:t>
      </w:r>
      <w:r>
        <w:rPr>
          <w:rFonts w:hint="eastAsia" w:ascii="Times New Roman" w:hAnsi="Times New Roman" w:eastAsia="宋体" w:cs="Times New Roman"/>
          <w:bCs w:val="0"/>
          <w:color w:val="auto"/>
          <w:spacing w:val="0"/>
          <w:kern w:val="2"/>
          <w:sz w:val="21"/>
          <w:szCs w:val="21"/>
          <w:highlight w:val="none"/>
          <w:lang w:val="en-US" w:eastAsia="zh-CN" w:bidi="ar-SA"/>
        </w:rPr>
        <w:br w:type="textWrapping"/>
      </w:r>
      <w:r>
        <w:rPr>
          <w:rFonts w:hint="eastAsia" w:ascii="Times New Roman" w:hAnsi="Times New Roman" w:eastAsia="宋体" w:cs="Times New Roman"/>
          <w:bCs w:val="0"/>
          <w:color w:val="auto"/>
          <w:spacing w:val="0"/>
          <w:kern w:val="2"/>
          <w:sz w:val="21"/>
          <w:szCs w:val="21"/>
          <w:highlight w:val="none"/>
          <w:lang w:val="en-US" w:eastAsia="zh-CN" w:bidi="ar-SA"/>
        </w:rPr>
        <w:t>（2）中选社会资本与政府方出资代表出资成立项目公司， 由项目公司对前述 PPP 项目合同进行追认；</w:t>
      </w:r>
      <w:r>
        <w:rPr>
          <w:rFonts w:hint="eastAsia" w:ascii="Times New Roman" w:hAnsi="Times New Roman" w:eastAsia="宋体" w:cs="Times New Roman"/>
          <w:bCs w:val="0"/>
          <w:color w:val="auto"/>
          <w:spacing w:val="0"/>
          <w:kern w:val="2"/>
          <w:sz w:val="21"/>
          <w:szCs w:val="21"/>
          <w:highlight w:val="none"/>
          <w:lang w:val="en-US" w:eastAsia="zh-CN" w:bidi="ar-SA"/>
        </w:rPr>
        <w:br w:type="textWrapping"/>
      </w:r>
      <w:r>
        <w:rPr>
          <w:rFonts w:hint="eastAsia" w:ascii="Times New Roman" w:hAnsi="Times New Roman" w:eastAsia="宋体" w:cs="Times New Roman"/>
          <w:bCs w:val="0"/>
          <w:color w:val="auto"/>
          <w:spacing w:val="0"/>
          <w:kern w:val="2"/>
          <w:sz w:val="21"/>
          <w:szCs w:val="21"/>
          <w:highlight w:val="none"/>
          <w:lang w:val="en-US" w:eastAsia="zh-CN" w:bidi="ar-SA"/>
        </w:rPr>
        <w:t>（3）合作期内，由项目公司负责授权范围内的项目的投（融）资、建设、运营及期满移交工作，在项目</w:t>
      </w:r>
    </w:p>
    <w:p>
      <w:pPr>
        <w:tabs>
          <w:tab w:val="left" w:pos="993"/>
        </w:tabs>
        <w:adjustRightInd w:val="0"/>
        <w:snapToGrid w:val="0"/>
        <w:spacing w:line="360" w:lineRule="auto"/>
        <w:ind w:left="210" w:hanging="210" w:hangingChars="100"/>
        <w:rPr>
          <w:rFonts w:hint="eastAsia" w:ascii="Times New Roman" w:hAnsi="Times New Roman" w:eastAsia="宋体" w:cs="Times New Roman"/>
          <w:bCs w:val="0"/>
          <w:color w:val="auto"/>
          <w:spacing w:val="0"/>
          <w:kern w:val="2"/>
          <w:sz w:val="21"/>
          <w:szCs w:val="21"/>
          <w:highlight w:val="none"/>
          <w:lang w:val="en-US" w:eastAsia="zh-CN" w:bidi="ar-SA"/>
        </w:rPr>
      </w:pPr>
      <w:r>
        <w:rPr>
          <w:rFonts w:hint="eastAsia" w:ascii="Times New Roman" w:hAnsi="Times New Roman" w:eastAsia="宋体" w:cs="Times New Roman"/>
          <w:bCs w:val="0"/>
          <w:color w:val="auto"/>
          <w:spacing w:val="0"/>
          <w:kern w:val="2"/>
          <w:sz w:val="21"/>
          <w:szCs w:val="21"/>
          <w:highlight w:val="none"/>
          <w:lang w:val="en-US" w:eastAsia="zh-CN" w:bidi="ar-SA"/>
        </w:rPr>
        <w:t>运营期内， 实施机构负责监督项目公司工作。</w:t>
      </w:r>
      <w:r>
        <w:rPr>
          <w:rFonts w:hint="eastAsia" w:ascii="Times New Roman" w:hAnsi="Times New Roman" w:eastAsia="宋体" w:cs="Times New Roman"/>
          <w:bCs w:val="0"/>
          <w:color w:val="auto"/>
          <w:spacing w:val="0"/>
          <w:kern w:val="2"/>
          <w:sz w:val="21"/>
          <w:szCs w:val="21"/>
          <w:highlight w:val="none"/>
          <w:lang w:val="zh-CN" w:eastAsia="zh-CN" w:bidi="ar-SA"/>
        </w:rPr>
        <w:t xml:space="preserve"> </w:t>
      </w:r>
    </w:p>
    <w:p>
      <w:pPr>
        <w:tabs>
          <w:tab w:val="left" w:pos="993"/>
        </w:tabs>
        <w:adjustRightInd w:val="0"/>
        <w:snapToGrid w:val="0"/>
        <w:spacing w:line="360" w:lineRule="auto"/>
        <w:ind w:firstLine="422" w:firstLineChars="200"/>
        <w:rPr>
          <w:rFonts w:hint="eastAsia" w:ascii="Times New Roman" w:hAnsi="Times New Roman" w:eastAsia="宋体" w:cs="Times New Roman"/>
          <w:b/>
          <w:bCs/>
          <w:color w:val="auto"/>
          <w:spacing w:val="0"/>
          <w:kern w:val="2"/>
          <w:sz w:val="21"/>
          <w:szCs w:val="21"/>
          <w:highlight w:val="none"/>
          <w:lang w:val="zh-CN" w:eastAsia="zh-CN" w:bidi="ar-SA"/>
        </w:rPr>
      </w:pPr>
      <w:r>
        <w:rPr>
          <w:rFonts w:hint="eastAsia" w:cs="Times New Roman"/>
          <w:b/>
          <w:bCs/>
          <w:color w:val="auto"/>
          <w:spacing w:val="0"/>
          <w:kern w:val="2"/>
          <w:sz w:val="21"/>
          <w:szCs w:val="21"/>
          <w:highlight w:val="none"/>
          <w:lang w:val="en-US" w:eastAsia="zh-CN" w:bidi="ar-SA"/>
        </w:rPr>
        <w:t>6.7</w:t>
      </w:r>
      <w:r>
        <w:rPr>
          <w:rFonts w:hint="eastAsia" w:ascii="Times New Roman" w:hAnsi="Times New Roman" w:eastAsia="宋体" w:cs="Times New Roman"/>
          <w:b/>
          <w:bCs/>
          <w:color w:val="auto"/>
          <w:spacing w:val="0"/>
          <w:kern w:val="2"/>
          <w:sz w:val="21"/>
          <w:szCs w:val="21"/>
          <w:highlight w:val="none"/>
          <w:lang w:val="zh-CN" w:eastAsia="zh-CN" w:bidi="ar-SA"/>
        </w:rPr>
        <w:t>项目回报机制</w:t>
      </w:r>
    </w:p>
    <w:p>
      <w:pPr>
        <w:tabs>
          <w:tab w:val="left" w:pos="993"/>
        </w:tabs>
        <w:adjustRightInd w:val="0"/>
        <w:snapToGrid w:val="0"/>
        <w:spacing w:line="360" w:lineRule="auto"/>
        <w:ind w:firstLine="420" w:firstLineChars="200"/>
        <w:rPr>
          <w:rFonts w:hint="eastAsia" w:ascii="Times New Roman" w:hAnsi="Times New Roman" w:eastAsia="宋体" w:cs="Times New Roman"/>
          <w:bCs w:val="0"/>
          <w:color w:val="auto"/>
          <w:spacing w:val="0"/>
          <w:kern w:val="2"/>
          <w:sz w:val="21"/>
          <w:szCs w:val="21"/>
          <w:highlight w:val="none"/>
          <w:lang w:val="en-US" w:eastAsia="zh-CN" w:bidi="ar-SA"/>
        </w:rPr>
      </w:pPr>
      <w:r>
        <w:rPr>
          <w:rFonts w:hint="eastAsia" w:cs="Times New Roman"/>
          <w:bCs w:val="0"/>
          <w:color w:val="auto"/>
          <w:spacing w:val="0"/>
          <w:kern w:val="2"/>
          <w:sz w:val="21"/>
          <w:szCs w:val="21"/>
          <w:highlight w:val="none"/>
          <w:lang w:val="en-US" w:eastAsia="zh-CN" w:bidi="ar-SA"/>
        </w:rPr>
        <w:t>6.7.1</w:t>
      </w:r>
      <w:r>
        <w:rPr>
          <w:rFonts w:hint="eastAsia" w:ascii="Times New Roman" w:hAnsi="Times New Roman" w:eastAsia="宋体" w:cs="Times New Roman"/>
          <w:bCs w:val="0"/>
          <w:color w:val="auto"/>
          <w:spacing w:val="0"/>
          <w:kern w:val="2"/>
          <w:sz w:val="21"/>
          <w:szCs w:val="21"/>
          <w:highlight w:val="none"/>
          <w:lang w:val="en-US" w:eastAsia="zh-CN" w:bidi="ar-SA"/>
        </w:rPr>
        <w:t xml:space="preserve">本项目回报机制为“可行性缺口补助”。 </w:t>
      </w:r>
    </w:p>
    <w:p>
      <w:pPr>
        <w:tabs>
          <w:tab w:val="left" w:pos="993"/>
        </w:tabs>
        <w:adjustRightInd w:val="0"/>
        <w:snapToGrid w:val="0"/>
        <w:spacing w:line="360" w:lineRule="auto"/>
        <w:ind w:firstLine="420" w:firstLineChars="200"/>
        <w:rPr>
          <w:rFonts w:hint="eastAsia" w:ascii="Times New Roman" w:hAnsi="Times New Roman" w:eastAsia="宋体" w:cs="Times New Roman"/>
          <w:bCs w:val="0"/>
          <w:color w:val="auto"/>
          <w:spacing w:val="0"/>
          <w:kern w:val="2"/>
          <w:sz w:val="21"/>
          <w:szCs w:val="21"/>
          <w:highlight w:val="none"/>
          <w:lang w:val="en-US" w:eastAsia="zh-CN" w:bidi="ar-SA"/>
        </w:rPr>
      </w:pPr>
      <w:r>
        <w:rPr>
          <w:rFonts w:hint="eastAsia" w:cs="Times New Roman"/>
          <w:bCs w:val="0"/>
          <w:color w:val="auto"/>
          <w:spacing w:val="0"/>
          <w:kern w:val="2"/>
          <w:sz w:val="21"/>
          <w:szCs w:val="21"/>
          <w:highlight w:val="none"/>
          <w:lang w:val="en-US" w:eastAsia="zh-CN" w:bidi="ar-SA"/>
        </w:rPr>
        <w:t>6.7.2</w:t>
      </w:r>
      <w:r>
        <w:rPr>
          <w:rFonts w:hint="eastAsia" w:ascii="Times New Roman" w:hAnsi="Times New Roman" w:eastAsia="宋体" w:cs="Times New Roman"/>
          <w:bCs w:val="0"/>
          <w:color w:val="auto"/>
          <w:spacing w:val="0"/>
          <w:kern w:val="2"/>
          <w:sz w:val="21"/>
          <w:szCs w:val="21"/>
          <w:highlight w:val="none"/>
          <w:lang w:val="en-US" w:eastAsia="zh-CN" w:bidi="ar-SA"/>
        </w:rPr>
        <w:t xml:space="preserve">本项目的主要回报来源： </w:t>
      </w:r>
    </w:p>
    <w:p>
      <w:pPr>
        <w:numPr>
          <w:ilvl w:val="0"/>
          <w:numId w:val="0"/>
        </w:numPr>
        <w:tabs>
          <w:tab w:val="left" w:pos="993"/>
        </w:tabs>
        <w:adjustRightInd w:val="0"/>
        <w:snapToGrid w:val="0"/>
        <w:spacing w:line="360" w:lineRule="auto"/>
        <w:ind w:firstLine="420" w:firstLineChars="200"/>
        <w:rPr>
          <w:rFonts w:hint="eastAsia" w:ascii="Times New Roman" w:hAnsi="Times New Roman" w:eastAsia="宋体" w:cs="Times New Roman"/>
          <w:bCs w:val="0"/>
          <w:color w:val="auto"/>
          <w:spacing w:val="0"/>
          <w:kern w:val="2"/>
          <w:sz w:val="21"/>
          <w:szCs w:val="21"/>
          <w:highlight w:val="none"/>
          <w:lang w:val="en-US" w:eastAsia="zh-CN" w:bidi="ar-SA"/>
        </w:rPr>
      </w:pPr>
      <w:r>
        <w:rPr>
          <w:rFonts w:hint="eastAsia" w:ascii="Times New Roman" w:hAnsi="Times New Roman" w:eastAsia="宋体" w:cs="Times New Roman"/>
          <w:bCs w:val="0"/>
          <w:color w:val="auto"/>
          <w:spacing w:val="0"/>
          <w:kern w:val="2"/>
          <w:sz w:val="21"/>
          <w:szCs w:val="21"/>
          <w:highlight w:val="none"/>
          <w:lang w:val="en-US" w:eastAsia="zh-CN" w:bidi="ar-SA"/>
        </w:rPr>
        <w:t xml:space="preserve">本项目收入分为经营收入和可行性缺口补助，其中，经营收入项包括餐饮经营、停车场收费和其他待定经营项。 </w:t>
      </w:r>
    </w:p>
    <w:p>
      <w:pPr>
        <w:numPr>
          <w:ilvl w:val="0"/>
          <w:numId w:val="0"/>
        </w:numPr>
        <w:tabs>
          <w:tab w:val="left" w:pos="993"/>
        </w:tabs>
        <w:adjustRightInd w:val="0"/>
        <w:snapToGrid w:val="0"/>
        <w:spacing w:line="360" w:lineRule="auto"/>
        <w:ind w:firstLine="420" w:firstLineChars="200"/>
        <w:rPr>
          <w:rFonts w:hint="eastAsia" w:ascii="Times New Roman" w:hAnsi="Times New Roman" w:eastAsia="宋体" w:cs="Times New Roman"/>
          <w:bCs w:val="0"/>
          <w:color w:val="auto"/>
          <w:spacing w:val="0"/>
          <w:kern w:val="2"/>
          <w:sz w:val="21"/>
          <w:szCs w:val="21"/>
          <w:highlight w:val="none"/>
          <w:lang w:val="en-US" w:eastAsia="zh-CN" w:bidi="ar-SA"/>
        </w:rPr>
      </w:pPr>
      <w:r>
        <w:rPr>
          <w:rFonts w:hint="eastAsia" w:ascii="Times New Roman" w:hAnsi="Times New Roman" w:eastAsia="宋体" w:cs="Times New Roman"/>
          <w:bCs w:val="0"/>
          <w:color w:val="auto"/>
          <w:spacing w:val="0"/>
          <w:kern w:val="2"/>
          <w:sz w:val="21"/>
          <w:szCs w:val="21"/>
          <w:highlight w:val="none"/>
          <w:lang w:val="en-US" w:eastAsia="zh-CN" w:bidi="ar-SA"/>
        </w:rPr>
        <w:t xml:space="preserve">（1）餐饮经营  </w:t>
      </w:r>
    </w:p>
    <w:p>
      <w:pPr>
        <w:numPr>
          <w:ilvl w:val="0"/>
          <w:numId w:val="0"/>
        </w:numPr>
        <w:tabs>
          <w:tab w:val="left" w:pos="993"/>
        </w:tabs>
        <w:adjustRightInd w:val="0"/>
        <w:snapToGrid w:val="0"/>
        <w:spacing w:line="360" w:lineRule="auto"/>
        <w:ind w:firstLine="420" w:firstLineChars="200"/>
        <w:rPr>
          <w:rFonts w:hint="eastAsia" w:ascii="Times New Roman" w:hAnsi="Times New Roman" w:eastAsia="宋体" w:cs="Times New Roman"/>
          <w:bCs w:val="0"/>
          <w:color w:val="auto"/>
          <w:spacing w:val="0"/>
          <w:kern w:val="2"/>
          <w:sz w:val="21"/>
          <w:szCs w:val="21"/>
          <w:highlight w:val="none"/>
          <w:lang w:val="en-US" w:eastAsia="zh-CN" w:bidi="ar-SA"/>
        </w:rPr>
      </w:pPr>
      <w:r>
        <w:rPr>
          <w:rFonts w:hint="eastAsia" w:ascii="Times New Roman" w:hAnsi="Times New Roman" w:eastAsia="宋体" w:cs="Times New Roman"/>
          <w:bCs w:val="0"/>
          <w:color w:val="auto"/>
          <w:spacing w:val="0"/>
          <w:kern w:val="2"/>
          <w:sz w:val="21"/>
          <w:szCs w:val="21"/>
          <w:highlight w:val="none"/>
          <w:lang w:val="en-US" w:eastAsia="zh-CN" w:bidi="ar-SA"/>
        </w:rPr>
        <w:t>根据项目可研数据，卫生健康综合大楼和长塘镇卫生院配置食堂，卫生健康综合大楼日均住院量约19人，门（急）诊量约482人次，员工338人；卫生院日均住院量为30人次，日均门（急）诊量约200人次，员工59人。食堂客流主要为患者和员工，预计20%的住院患者在食堂有早中晚餐用餐需求，50%的员工在食堂有早中餐用餐需求。</w:t>
      </w:r>
    </w:p>
    <w:p>
      <w:pPr>
        <w:numPr>
          <w:ilvl w:val="0"/>
          <w:numId w:val="0"/>
        </w:numPr>
        <w:tabs>
          <w:tab w:val="left" w:pos="993"/>
        </w:tabs>
        <w:adjustRightInd w:val="0"/>
        <w:snapToGrid w:val="0"/>
        <w:spacing w:line="360" w:lineRule="auto"/>
        <w:ind w:leftChars="200"/>
        <w:rPr>
          <w:rFonts w:hint="eastAsia" w:ascii="Times New Roman" w:hAnsi="Times New Roman" w:eastAsia="宋体" w:cs="Times New Roman"/>
          <w:bCs w:val="0"/>
          <w:color w:val="auto"/>
          <w:spacing w:val="0"/>
          <w:kern w:val="2"/>
          <w:sz w:val="21"/>
          <w:szCs w:val="21"/>
          <w:highlight w:val="none"/>
          <w:lang w:val="en-US" w:eastAsia="zh-CN" w:bidi="ar-SA"/>
        </w:rPr>
      </w:pPr>
      <w:r>
        <w:rPr>
          <w:rFonts w:hint="eastAsia" w:ascii="Times New Roman" w:hAnsi="Times New Roman" w:eastAsia="宋体" w:cs="Times New Roman"/>
          <w:bCs w:val="0"/>
          <w:color w:val="auto"/>
          <w:spacing w:val="0"/>
          <w:kern w:val="2"/>
          <w:sz w:val="21"/>
          <w:szCs w:val="21"/>
          <w:highlight w:val="none"/>
          <w:lang w:val="en-US" w:eastAsia="zh-CN" w:bidi="ar-SA"/>
        </w:rPr>
        <w:t xml:space="preserve">（2）停车场收费   </w:t>
      </w:r>
    </w:p>
    <w:p>
      <w:pPr>
        <w:numPr>
          <w:ilvl w:val="0"/>
          <w:numId w:val="0"/>
        </w:numPr>
        <w:tabs>
          <w:tab w:val="left" w:pos="993"/>
        </w:tabs>
        <w:adjustRightInd w:val="0"/>
        <w:snapToGrid w:val="0"/>
        <w:spacing w:line="360" w:lineRule="auto"/>
        <w:ind w:firstLine="420" w:firstLineChars="200"/>
        <w:rPr>
          <w:rFonts w:hint="eastAsia" w:ascii="Times New Roman" w:hAnsi="Times New Roman" w:eastAsia="宋体" w:cs="Times New Roman"/>
          <w:bCs w:val="0"/>
          <w:color w:val="auto"/>
          <w:spacing w:val="0"/>
          <w:kern w:val="2"/>
          <w:sz w:val="21"/>
          <w:szCs w:val="21"/>
          <w:highlight w:val="none"/>
          <w:lang w:val="en-US" w:eastAsia="zh-CN" w:bidi="ar-SA"/>
        </w:rPr>
      </w:pPr>
      <w:r>
        <w:rPr>
          <w:rFonts w:hint="eastAsia" w:ascii="Times New Roman" w:hAnsi="Times New Roman" w:eastAsia="宋体" w:cs="Times New Roman"/>
          <w:bCs w:val="0"/>
          <w:color w:val="auto"/>
          <w:spacing w:val="0"/>
          <w:kern w:val="2"/>
          <w:sz w:val="21"/>
          <w:szCs w:val="21"/>
          <w:highlight w:val="none"/>
          <w:lang w:val="en-US" w:eastAsia="zh-CN" w:bidi="ar-SA"/>
        </w:rPr>
        <w:t xml:space="preserve">根据项目可研数据，长塘镇卫生院日均门（急）诊及住院接待量为 230人次，机动车停车位62个，非机动车停车位60个；卫生健康综合服务大楼日均门诊及住院接待量为500人，机动车停车位178个，非机动车停车位267个。 </w:t>
      </w:r>
    </w:p>
    <w:p>
      <w:pPr>
        <w:numPr>
          <w:ilvl w:val="0"/>
          <w:numId w:val="0"/>
        </w:numPr>
        <w:tabs>
          <w:tab w:val="left" w:pos="993"/>
        </w:tabs>
        <w:adjustRightInd w:val="0"/>
        <w:snapToGrid w:val="0"/>
        <w:spacing w:line="360" w:lineRule="auto"/>
        <w:ind w:firstLine="420" w:firstLineChars="200"/>
        <w:rPr>
          <w:rFonts w:hint="eastAsia" w:ascii="Times New Roman" w:hAnsi="Times New Roman" w:eastAsia="宋体" w:cs="Times New Roman"/>
          <w:bCs w:val="0"/>
          <w:color w:val="auto"/>
          <w:spacing w:val="0"/>
          <w:kern w:val="2"/>
          <w:sz w:val="21"/>
          <w:szCs w:val="21"/>
          <w:highlight w:val="none"/>
          <w:lang w:val="en-US" w:eastAsia="zh-CN" w:bidi="ar-SA"/>
        </w:rPr>
      </w:pPr>
      <w:r>
        <w:rPr>
          <w:rFonts w:hint="eastAsia" w:ascii="Times New Roman" w:hAnsi="Times New Roman" w:eastAsia="宋体" w:cs="Times New Roman"/>
          <w:bCs w:val="0"/>
          <w:color w:val="auto"/>
          <w:spacing w:val="0"/>
          <w:kern w:val="2"/>
          <w:sz w:val="21"/>
          <w:szCs w:val="21"/>
          <w:highlight w:val="none"/>
          <w:lang w:val="en-US" w:eastAsia="zh-CN" w:bidi="ar-SA"/>
        </w:rPr>
        <w:t xml:space="preserve">收费标准参考《关于优化调整南宁市机动车停放服务收费标准的通知》（南价费〔2014〕64号）、《关于加强南宁市非机动车停放保管服务收费管理的通知》（南价费〔2014〕65号）文件的路外停车场停放服务收费标准和《广西壮族自治区政府定价的经营服务性收费目录清单》文件的机动车停放服务收费标准。 </w:t>
      </w:r>
    </w:p>
    <w:p>
      <w:pPr>
        <w:numPr>
          <w:ilvl w:val="0"/>
          <w:numId w:val="1"/>
        </w:numPr>
        <w:tabs>
          <w:tab w:val="left" w:pos="993"/>
        </w:tabs>
        <w:adjustRightInd w:val="0"/>
        <w:snapToGrid w:val="0"/>
        <w:spacing w:line="360" w:lineRule="auto"/>
        <w:ind w:firstLine="420" w:firstLineChars="200"/>
        <w:rPr>
          <w:rFonts w:hint="eastAsia" w:ascii="Times New Roman" w:hAnsi="Times New Roman" w:eastAsia="宋体" w:cs="Times New Roman"/>
          <w:bCs w:val="0"/>
          <w:color w:val="auto"/>
          <w:spacing w:val="0"/>
          <w:kern w:val="2"/>
          <w:sz w:val="21"/>
          <w:szCs w:val="21"/>
          <w:highlight w:val="none"/>
          <w:lang w:val="en-US" w:eastAsia="zh-CN" w:bidi="ar-SA"/>
        </w:rPr>
      </w:pPr>
      <w:r>
        <w:rPr>
          <w:rFonts w:hint="eastAsia" w:ascii="Times New Roman" w:hAnsi="Times New Roman" w:eastAsia="宋体" w:cs="Times New Roman"/>
          <w:bCs w:val="0"/>
          <w:color w:val="auto"/>
          <w:spacing w:val="0"/>
          <w:kern w:val="2"/>
          <w:sz w:val="21"/>
          <w:szCs w:val="21"/>
          <w:highlight w:val="none"/>
          <w:lang w:val="en-US" w:eastAsia="zh-CN" w:bidi="ar-SA"/>
        </w:rPr>
        <w:t xml:space="preserve">其它待定经营项 </w:t>
      </w:r>
    </w:p>
    <w:p>
      <w:pPr>
        <w:numPr>
          <w:ilvl w:val="0"/>
          <w:numId w:val="0"/>
        </w:numPr>
        <w:tabs>
          <w:tab w:val="left" w:pos="993"/>
        </w:tabs>
        <w:adjustRightInd w:val="0"/>
        <w:snapToGrid w:val="0"/>
        <w:spacing w:line="360" w:lineRule="auto"/>
        <w:ind w:firstLine="420" w:firstLineChars="200"/>
        <w:rPr>
          <w:rFonts w:hint="eastAsia" w:ascii="Times New Roman" w:hAnsi="Times New Roman" w:eastAsia="宋体" w:cs="Times New Roman"/>
          <w:bCs w:val="0"/>
          <w:color w:val="auto"/>
          <w:spacing w:val="0"/>
          <w:kern w:val="2"/>
          <w:sz w:val="21"/>
          <w:szCs w:val="21"/>
          <w:highlight w:val="none"/>
          <w:lang w:val="en-US" w:eastAsia="zh-CN" w:bidi="ar-SA"/>
        </w:rPr>
      </w:pPr>
      <w:r>
        <w:rPr>
          <w:rFonts w:hint="eastAsia" w:ascii="Times New Roman" w:hAnsi="Times New Roman" w:eastAsia="宋体" w:cs="Times New Roman"/>
          <w:bCs w:val="0"/>
          <w:color w:val="auto"/>
          <w:spacing w:val="0"/>
          <w:kern w:val="2"/>
          <w:sz w:val="21"/>
          <w:szCs w:val="21"/>
          <w:highlight w:val="none"/>
          <w:lang w:val="en-US" w:eastAsia="zh-CN" w:bidi="ar-SA"/>
        </w:rPr>
        <w:t>项目运营过程中，经双方商定增加由项目公司经营的项目。</w:t>
      </w:r>
    </w:p>
    <w:p>
      <w:pPr>
        <w:numPr>
          <w:ilvl w:val="0"/>
          <w:numId w:val="1"/>
        </w:numPr>
        <w:tabs>
          <w:tab w:val="left" w:pos="993"/>
        </w:tabs>
        <w:adjustRightInd w:val="0"/>
        <w:snapToGrid w:val="0"/>
        <w:spacing w:line="360" w:lineRule="auto"/>
        <w:ind w:left="0" w:leftChars="0" w:firstLine="420" w:firstLineChars="200"/>
        <w:rPr>
          <w:rFonts w:hint="eastAsia" w:ascii="Times New Roman" w:hAnsi="Times New Roman" w:eastAsia="宋体" w:cs="Times New Roman"/>
          <w:bCs w:val="0"/>
          <w:color w:val="auto"/>
          <w:spacing w:val="0"/>
          <w:kern w:val="2"/>
          <w:sz w:val="21"/>
          <w:szCs w:val="21"/>
          <w:highlight w:val="none"/>
          <w:lang w:val="en-US" w:eastAsia="zh-CN" w:bidi="ar-SA"/>
        </w:rPr>
      </w:pPr>
      <w:r>
        <w:rPr>
          <w:rFonts w:hint="eastAsia" w:ascii="Times New Roman" w:hAnsi="Times New Roman" w:eastAsia="宋体" w:cs="Times New Roman"/>
          <w:bCs w:val="0"/>
          <w:color w:val="auto"/>
          <w:spacing w:val="0"/>
          <w:kern w:val="2"/>
          <w:sz w:val="21"/>
          <w:szCs w:val="21"/>
          <w:highlight w:val="none"/>
          <w:lang w:val="en-US" w:eastAsia="zh-CN" w:bidi="ar-SA"/>
        </w:rPr>
        <w:t xml:space="preserve">运营补贴 </w:t>
      </w:r>
    </w:p>
    <w:p>
      <w:pPr>
        <w:numPr>
          <w:ilvl w:val="0"/>
          <w:numId w:val="0"/>
        </w:numPr>
        <w:tabs>
          <w:tab w:val="left" w:pos="993"/>
        </w:tabs>
        <w:adjustRightInd w:val="0"/>
        <w:snapToGrid w:val="0"/>
        <w:spacing w:line="360" w:lineRule="auto"/>
        <w:ind w:leftChars="200"/>
        <w:rPr>
          <w:rFonts w:hint="eastAsia" w:ascii="Times New Roman" w:hAnsi="Times New Roman" w:eastAsia="宋体" w:cs="Times New Roman"/>
          <w:bCs w:val="0"/>
          <w:color w:val="auto"/>
          <w:spacing w:val="0"/>
          <w:kern w:val="2"/>
          <w:sz w:val="21"/>
          <w:szCs w:val="21"/>
          <w:highlight w:val="none"/>
          <w:lang w:val="en-US" w:eastAsia="zh-CN" w:bidi="ar-SA"/>
        </w:rPr>
      </w:pPr>
      <w:r>
        <w:rPr>
          <w:color w:val="auto"/>
          <w:highlight w:val="none"/>
        </w:rPr>
        <w:drawing>
          <wp:anchor distT="0" distB="0" distL="114300" distR="114300" simplePos="0" relativeHeight="251736064" behindDoc="0" locked="0" layoutInCell="1" allowOverlap="1">
            <wp:simplePos x="0" y="0"/>
            <wp:positionH relativeFrom="column">
              <wp:posOffset>200660</wp:posOffset>
            </wp:positionH>
            <wp:positionV relativeFrom="paragraph">
              <wp:posOffset>451485</wp:posOffset>
            </wp:positionV>
            <wp:extent cx="5289550" cy="2995295"/>
            <wp:effectExtent l="0" t="0" r="13970" b="6985"/>
            <wp:wrapNone/>
            <wp:docPr id="3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9"/>
                    <pic:cNvPicPr>
                      <a:picLocks noChangeAspect="1"/>
                    </pic:cNvPicPr>
                  </pic:nvPicPr>
                  <pic:blipFill>
                    <a:blip r:embed="rId14"/>
                    <a:stretch>
                      <a:fillRect/>
                    </a:stretch>
                  </pic:blipFill>
                  <pic:spPr>
                    <a:xfrm>
                      <a:off x="0" y="0"/>
                      <a:ext cx="5289550" cy="2995295"/>
                    </a:xfrm>
                    <a:prstGeom prst="rect">
                      <a:avLst/>
                    </a:prstGeom>
                    <a:noFill/>
                    <a:ln w="9525">
                      <a:noFill/>
                    </a:ln>
                  </pic:spPr>
                </pic:pic>
              </a:graphicData>
            </a:graphic>
          </wp:anchor>
        </w:drawing>
      </w:r>
      <w:r>
        <w:rPr>
          <w:rFonts w:hint="eastAsia" w:ascii="Times New Roman" w:hAnsi="Times New Roman" w:eastAsia="宋体" w:cs="Times New Roman"/>
          <w:bCs w:val="0"/>
          <w:color w:val="auto"/>
          <w:spacing w:val="0"/>
          <w:kern w:val="2"/>
          <w:sz w:val="21"/>
          <w:szCs w:val="21"/>
          <w:highlight w:val="none"/>
          <w:lang w:val="en-US" w:eastAsia="zh-CN" w:bidi="ar-SA"/>
        </w:rPr>
        <w:t xml:space="preserve">政府方在项目运营期间的运营补贴方式为可行性缺口补助，可行性缺口补助的计算公式见下方公式 1，该公式代入数据后计算得出的结果为年可行性缺口补助的上限值。 </w:t>
      </w:r>
    </w:p>
    <w:p>
      <w:pPr>
        <w:pStyle w:val="2"/>
        <w:rPr>
          <w:color w:val="auto"/>
          <w:sz w:val="21"/>
          <w:szCs w:val="21"/>
          <w:highlight w:val="none"/>
        </w:rPr>
      </w:pPr>
    </w:p>
    <w:p>
      <w:pPr>
        <w:pStyle w:val="2"/>
        <w:rPr>
          <w:b/>
          <w:bCs w:val="0"/>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pStyle w:val="2"/>
        <w:ind w:firstLine="460" w:firstLineChars="200"/>
        <w:rPr>
          <w:color w:val="auto"/>
          <w:sz w:val="21"/>
          <w:szCs w:val="21"/>
          <w:highlight w:val="none"/>
        </w:rPr>
      </w:pPr>
      <w:r>
        <w:rPr>
          <w:rFonts w:hint="eastAsia"/>
          <w:color w:val="auto"/>
          <w:sz w:val="21"/>
          <w:szCs w:val="21"/>
          <w:highlight w:val="none"/>
          <w:lang w:val="en-US" w:eastAsia="zh-CN"/>
        </w:rPr>
        <w:t>初步带入数据计算得公式 2：</w:t>
      </w:r>
    </w:p>
    <w:p>
      <w:pPr>
        <w:pStyle w:val="2"/>
        <w:rPr>
          <w:color w:val="auto"/>
          <w:sz w:val="21"/>
          <w:szCs w:val="21"/>
          <w:highlight w:val="none"/>
        </w:rPr>
      </w:pPr>
      <w:r>
        <w:rPr>
          <w:color w:val="auto"/>
          <w:highlight w:val="none"/>
        </w:rPr>
        <w:drawing>
          <wp:anchor distT="0" distB="0" distL="114300" distR="114300" simplePos="0" relativeHeight="251749376" behindDoc="0" locked="0" layoutInCell="1" allowOverlap="1">
            <wp:simplePos x="0" y="0"/>
            <wp:positionH relativeFrom="column">
              <wp:posOffset>7620</wp:posOffset>
            </wp:positionH>
            <wp:positionV relativeFrom="paragraph">
              <wp:posOffset>62865</wp:posOffset>
            </wp:positionV>
            <wp:extent cx="5738495" cy="1539240"/>
            <wp:effectExtent l="0" t="0" r="6985" b="0"/>
            <wp:wrapNone/>
            <wp:docPr id="3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pic:cNvPicPr>
                      <a:picLocks noChangeAspect="1"/>
                    </pic:cNvPicPr>
                  </pic:nvPicPr>
                  <pic:blipFill>
                    <a:blip r:embed="rId15"/>
                    <a:stretch>
                      <a:fillRect/>
                    </a:stretch>
                  </pic:blipFill>
                  <pic:spPr>
                    <a:xfrm>
                      <a:off x="0" y="0"/>
                      <a:ext cx="5738495" cy="1539240"/>
                    </a:xfrm>
                    <a:prstGeom prst="rect">
                      <a:avLst/>
                    </a:prstGeom>
                    <a:noFill/>
                    <a:ln w="9525">
                      <a:noFill/>
                    </a:ln>
                  </pic:spPr>
                </pic:pic>
              </a:graphicData>
            </a:graphic>
          </wp:anchor>
        </w:drawing>
      </w: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pStyle w:val="2"/>
        <w:rPr>
          <w:color w:val="auto"/>
          <w:sz w:val="21"/>
          <w:szCs w:val="21"/>
          <w:highlight w:val="none"/>
        </w:rPr>
      </w:pPr>
    </w:p>
    <w:p>
      <w:pPr>
        <w:spacing w:line="400" w:lineRule="exact"/>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（5）超额收入分配</w:t>
      </w:r>
    </w:p>
    <w:p>
      <w:pPr>
        <w:spacing w:line="400" w:lineRule="exact"/>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项目运营期内，经营收入超出中标社会资本方报价部分属于超额收入。年收入超出当年固</w:t>
      </w:r>
    </w:p>
    <w:p>
      <w:pPr>
        <w:spacing w:line="400" w:lineRule="exact"/>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定价收入20%以内的超额部分归项目公司。年收入超出当年固定价收入 20%以上的超额收入，按比例30%∶70%由政府出资方与项目公司进行分配（分配后归属于政府方的收益，用来抵扣下一期政府支付的可行性缺口补助）， 产生的全部成本及税费由项目公司承担。</w:t>
      </w:r>
    </w:p>
    <w:p>
      <w:pPr>
        <w:spacing w:line="400" w:lineRule="exact"/>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注：上述“固定价”指意向社会资本在采购阶段对项目公司年运营成本和年经营收入的报价。</w:t>
      </w:r>
    </w:p>
    <w:p>
      <w:pPr>
        <w:spacing w:line="400" w:lineRule="exact"/>
        <w:ind w:firstLine="422" w:firstLineChars="200"/>
        <w:jc w:val="both"/>
        <w:rPr>
          <w:b/>
          <w:bCs/>
          <w:color w:val="auto"/>
          <w:sz w:val="21"/>
          <w:szCs w:val="21"/>
          <w:highlight w:val="none"/>
          <w:lang w:val="en-GB"/>
        </w:rPr>
      </w:pPr>
      <w:r>
        <w:rPr>
          <w:rFonts w:hint="eastAsia"/>
          <w:b/>
          <w:bCs/>
          <w:color w:val="auto"/>
          <w:sz w:val="21"/>
          <w:szCs w:val="21"/>
          <w:highlight w:val="none"/>
          <w:lang w:val="en-US" w:eastAsia="zh-CN"/>
        </w:rPr>
        <w:t>6.8</w:t>
      </w:r>
      <w:r>
        <w:rPr>
          <w:rFonts w:hint="eastAsia"/>
          <w:b/>
          <w:bCs/>
          <w:color w:val="auto"/>
          <w:sz w:val="21"/>
          <w:szCs w:val="21"/>
          <w:highlight w:val="none"/>
          <w:lang w:val="en-GB"/>
        </w:rPr>
        <w:t>入库情况</w:t>
      </w:r>
    </w:p>
    <w:p>
      <w:pPr>
        <w:spacing w:line="400" w:lineRule="exact"/>
        <w:ind w:firstLine="420" w:firstLineChars="200"/>
        <w:jc w:val="both"/>
        <w:rPr>
          <w:color w:val="auto"/>
          <w:sz w:val="21"/>
          <w:szCs w:val="21"/>
          <w:highlight w:val="none"/>
        </w:rPr>
      </w:pPr>
      <w:r>
        <w:rPr>
          <w:rFonts w:hint="eastAsia"/>
          <w:color w:val="auto"/>
          <w:sz w:val="21"/>
          <w:szCs w:val="21"/>
          <w:highlight w:val="none"/>
        </w:rPr>
        <w:t>本项目已进入全国</w:t>
      </w:r>
      <w:r>
        <w:rPr>
          <w:color w:val="auto"/>
          <w:sz w:val="21"/>
          <w:szCs w:val="21"/>
          <w:highlight w:val="none"/>
        </w:rPr>
        <w:t>PPP</w:t>
      </w:r>
      <w:r>
        <w:rPr>
          <w:rFonts w:hint="eastAsia"/>
          <w:color w:val="auto"/>
          <w:sz w:val="21"/>
          <w:szCs w:val="21"/>
          <w:highlight w:val="none"/>
        </w:rPr>
        <w:t>综合信息平台项目管理库。</w:t>
      </w:r>
    </w:p>
    <w:p>
      <w:pPr>
        <w:spacing w:line="400" w:lineRule="exact"/>
        <w:ind w:firstLine="422" w:firstLineChars="200"/>
        <w:jc w:val="both"/>
        <w:rPr>
          <w:rFonts w:hint="eastAsia"/>
          <w:b/>
          <w:bCs/>
          <w:color w:val="auto"/>
          <w:sz w:val="21"/>
          <w:szCs w:val="21"/>
          <w:highlight w:val="none"/>
          <w:lang w:val="en-US" w:eastAsia="zh-CN"/>
        </w:rPr>
      </w:pPr>
      <w:r>
        <w:rPr>
          <w:rFonts w:hint="eastAsia"/>
          <w:b/>
          <w:bCs/>
          <w:color w:val="auto"/>
          <w:sz w:val="21"/>
          <w:szCs w:val="21"/>
          <w:highlight w:val="none"/>
          <w:lang w:val="en-US" w:eastAsia="zh-CN"/>
        </w:rPr>
        <w:t>6.9合同履行期限</w:t>
      </w:r>
    </w:p>
    <w:p>
      <w:pPr>
        <w:spacing w:line="400" w:lineRule="exact"/>
        <w:ind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本项目具有投资建设资金较大、设计使用年限长、运营专业性强等特点，为有利于社会资本通过持续经营回收投资，实现经营效益，同时综合考虑政府和社会公众的利益，建议本项目合作期为15年。其中，建设期暂定为2年，计划从2021年初开始建设；运营期暂定为 13 年，计划从2023年至2035年，建设期和运营期具体时间以PPP项目合同中的约定为准。</w:t>
      </w:r>
    </w:p>
    <w:p>
      <w:pPr>
        <w:pStyle w:val="2"/>
        <w:ind w:firstLine="462" w:firstLineChars="200"/>
        <w:rPr>
          <w:rFonts w:hint="eastAsia"/>
          <w:color w:val="auto"/>
          <w:sz w:val="21"/>
          <w:szCs w:val="21"/>
          <w:highlight w:val="none"/>
          <w:lang w:val="en-US" w:eastAsia="zh-CN"/>
        </w:rPr>
      </w:pPr>
      <w:r>
        <w:rPr>
          <w:rFonts w:hint="eastAsia"/>
          <w:b/>
          <w:bCs w:val="0"/>
          <w:color w:val="auto"/>
          <w:sz w:val="21"/>
          <w:szCs w:val="21"/>
          <w:highlight w:val="none"/>
          <w:lang w:val="en-US" w:eastAsia="zh-CN"/>
        </w:rPr>
        <w:t>6.10</w:t>
      </w:r>
      <w:r>
        <w:rPr>
          <w:rFonts w:hint="eastAsia"/>
          <w:color w:val="auto"/>
          <w:sz w:val="21"/>
          <w:szCs w:val="21"/>
          <w:highlight w:val="none"/>
          <w:lang w:val="en-US" w:eastAsia="zh-CN"/>
        </w:rPr>
        <w:t>本项目接受联合体投标。</w:t>
      </w:r>
    </w:p>
    <w:p>
      <w:pPr>
        <w:pStyle w:val="4"/>
        <w:spacing w:before="0" w:after="0" w:line="400" w:lineRule="exact"/>
        <w:rPr>
          <w:rFonts w:hint="eastAsia" w:ascii="宋体" w:hAnsi="宋体" w:cs="宋体"/>
          <w:color w:val="auto"/>
          <w:sz w:val="21"/>
          <w:szCs w:val="21"/>
          <w:highlight w:val="none"/>
        </w:rPr>
      </w:pPr>
      <w:bookmarkStart w:id="13" w:name="_Toc3975"/>
      <w:bookmarkStart w:id="14" w:name="_Toc515744789"/>
      <w:bookmarkStart w:id="15" w:name="_Toc7024"/>
      <w:bookmarkStart w:id="16" w:name="_Toc375"/>
      <w:bookmarkStart w:id="17" w:name="_Toc2583679"/>
      <w:bookmarkStart w:id="18" w:name="_Toc35393607"/>
      <w:bookmarkStart w:id="19" w:name="_Toc28358990"/>
      <w:bookmarkStart w:id="20" w:name="_Toc2755"/>
      <w:bookmarkStart w:id="21" w:name="_Toc35393776"/>
      <w:bookmarkStart w:id="22" w:name="_Toc28359067"/>
      <w:bookmarkStart w:id="23" w:name="_Toc30425"/>
      <w:bookmarkStart w:id="24" w:name="_Toc482173654"/>
      <w:r>
        <w:rPr>
          <w:rFonts w:hint="eastAsia" w:ascii="宋体" w:hAnsi="宋体" w:cs="宋体"/>
          <w:color w:val="auto"/>
          <w:sz w:val="21"/>
          <w:szCs w:val="21"/>
          <w:highlight w:val="none"/>
        </w:rPr>
        <w:t>二、申请人的资格要求</w:t>
      </w:r>
      <w:bookmarkEnd w:id="13"/>
      <w:bookmarkEnd w:id="14"/>
      <w:bookmarkEnd w:id="15"/>
      <w:bookmarkEnd w:id="16"/>
      <w:bookmarkEnd w:id="17"/>
      <w:r>
        <w:rPr>
          <w:rFonts w:hint="eastAsia" w:ascii="宋体" w:hAnsi="宋体" w:cs="宋体"/>
          <w:color w:val="auto"/>
          <w:sz w:val="21"/>
          <w:szCs w:val="21"/>
          <w:highlight w:val="none"/>
        </w:rPr>
        <w:t>：</w:t>
      </w:r>
      <w:bookmarkEnd w:id="18"/>
      <w:bookmarkEnd w:id="19"/>
      <w:bookmarkEnd w:id="20"/>
      <w:bookmarkEnd w:id="21"/>
      <w:bookmarkEnd w:id="22"/>
    </w:p>
    <w:bookmarkEnd w:id="23"/>
    <w:bookmarkEnd w:id="24"/>
    <w:p>
      <w:pPr>
        <w:spacing w:line="400" w:lineRule="exact"/>
        <w:ind w:firstLine="422" w:firstLineChars="200"/>
        <w:jc w:val="both"/>
        <w:rPr>
          <w:rFonts w:ascii="宋体" w:hAnsi="宋体" w:cs="宋体"/>
          <w:color w:val="auto"/>
          <w:sz w:val="21"/>
          <w:szCs w:val="21"/>
          <w:highlight w:val="none"/>
        </w:rPr>
      </w:pPr>
      <w:r>
        <w:rPr>
          <w:rFonts w:hint="eastAsia" w:ascii="宋体" w:hAnsi="宋体" w:cs="宋体"/>
          <w:b/>
          <w:bCs/>
          <w:color w:val="auto"/>
          <w:sz w:val="21"/>
          <w:szCs w:val="21"/>
          <w:highlight w:val="none"/>
          <w:lang w:val="en-US" w:eastAsia="zh-CN"/>
        </w:rPr>
        <w:t>2.1</w:t>
      </w:r>
      <w:r>
        <w:rPr>
          <w:rFonts w:hint="eastAsia" w:ascii="宋体" w:hAnsi="宋体" w:cs="宋体"/>
          <w:b/>
          <w:bCs/>
          <w:color w:val="auto"/>
          <w:sz w:val="21"/>
          <w:szCs w:val="21"/>
          <w:highlight w:val="none"/>
          <w:lang w:eastAsia="zh-CN"/>
        </w:rPr>
        <w:t>基本要求：</w:t>
      </w:r>
      <w:r>
        <w:rPr>
          <w:rFonts w:hint="eastAsia" w:ascii="宋体" w:hAnsi="宋体" w:cs="宋体"/>
          <w:color w:val="auto"/>
          <w:sz w:val="21"/>
          <w:szCs w:val="21"/>
          <w:highlight w:val="none"/>
        </w:rPr>
        <w:t>满足《中华人民共和国政府采购法》第二十二条规定</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申请人如为联合体，则联合体牵头人、各成员需要同时满足</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w:t>
      </w:r>
    </w:p>
    <w:p>
      <w:pPr>
        <w:spacing w:line="40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2.1.1</w:t>
      </w:r>
      <w:r>
        <w:rPr>
          <w:rFonts w:hint="eastAsia" w:ascii="宋体" w:hAnsi="宋体" w:cs="宋体"/>
          <w:color w:val="auto"/>
          <w:sz w:val="21"/>
          <w:szCs w:val="21"/>
          <w:highlight w:val="none"/>
        </w:rPr>
        <w:t>具有独立承担民事责任的能力；</w:t>
      </w:r>
    </w:p>
    <w:p>
      <w:pPr>
        <w:spacing w:line="40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2.1.2</w:t>
      </w:r>
      <w:r>
        <w:rPr>
          <w:rFonts w:hint="eastAsia" w:ascii="宋体" w:hAnsi="宋体" w:cs="宋体"/>
          <w:color w:val="auto"/>
          <w:sz w:val="21"/>
          <w:szCs w:val="21"/>
          <w:highlight w:val="none"/>
        </w:rPr>
        <w:t>具有良好的商业信誉和健全的财务会计制度；</w:t>
      </w:r>
    </w:p>
    <w:p>
      <w:pPr>
        <w:spacing w:line="40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2.1.3</w:t>
      </w:r>
      <w:r>
        <w:rPr>
          <w:rFonts w:hint="eastAsia" w:ascii="宋体" w:hAnsi="宋体" w:cs="宋体"/>
          <w:color w:val="auto"/>
          <w:sz w:val="21"/>
          <w:szCs w:val="21"/>
          <w:highlight w:val="none"/>
        </w:rPr>
        <w:t>具有履行合同所必需的设备和专业技术能力；</w:t>
      </w:r>
    </w:p>
    <w:p>
      <w:pPr>
        <w:spacing w:line="40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2.1.4</w:t>
      </w:r>
      <w:r>
        <w:rPr>
          <w:rFonts w:hint="eastAsia" w:ascii="宋体" w:hAnsi="宋体" w:cs="宋体"/>
          <w:color w:val="auto"/>
          <w:sz w:val="21"/>
          <w:szCs w:val="21"/>
          <w:highlight w:val="none"/>
        </w:rPr>
        <w:t>有依法缴纳税收和社会保障资金的良好记录；</w:t>
      </w:r>
    </w:p>
    <w:p>
      <w:pPr>
        <w:spacing w:line="40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2.1.5</w:t>
      </w:r>
      <w:r>
        <w:rPr>
          <w:rFonts w:hint="eastAsia" w:ascii="宋体" w:hAnsi="宋体" w:cs="宋体"/>
          <w:color w:val="auto"/>
          <w:sz w:val="21"/>
          <w:szCs w:val="21"/>
          <w:highlight w:val="none"/>
        </w:rPr>
        <w:t>参加政府采购活动前三年内，在经营活动中没有重大违法记录；</w:t>
      </w:r>
    </w:p>
    <w:p>
      <w:pPr>
        <w:spacing w:line="400" w:lineRule="exact"/>
        <w:ind w:firstLine="420" w:firstLineChars="200"/>
        <w:jc w:val="both"/>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2.1.6</w:t>
      </w:r>
      <w:r>
        <w:rPr>
          <w:rFonts w:hint="eastAsia" w:ascii="宋体" w:hAnsi="宋体" w:cs="宋体"/>
          <w:color w:val="auto"/>
          <w:sz w:val="21"/>
          <w:szCs w:val="21"/>
          <w:highlight w:val="none"/>
        </w:rPr>
        <w:t>法律、行政法规规定的其他条件；</w:t>
      </w:r>
    </w:p>
    <w:p>
      <w:pPr>
        <w:spacing w:line="400" w:lineRule="exact"/>
        <w:ind w:firstLine="422" w:firstLineChars="200"/>
        <w:jc w:val="both"/>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2.2申请人资质及项目经理要求</w:t>
      </w:r>
    </w:p>
    <w:p>
      <w:pPr>
        <w:spacing w:line="400" w:lineRule="exact"/>
        <w:ind w:firstLine="420" w:firstLineChars="200"/>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2.2.1具备建筑工程施工总承包二级及以上资质，同时具有有效的安全生产许可证。（如申请人为联合体，则根据联合体协议书中承担施工任务的一方满足即可）。</w:t>
      </w:r>
    </w:p>
    <w:p>
      <w:pPr>
        <w:spacing w:line="400" w:lineRule="exact"/>
        <w:ind w:firstLine="420" w:firstLineChars="200"/>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2.2.2项目经理：拟派项目经理具有建筑工程专业二级及以上注册建造师执业资格，同时</w:t>
      </w:r>
      <w:r>
        <w:rPr>
          <w:rFonts w:hint="eastAsia" w:ascii="宋体" w:hAnsi="宋体" w:cs="宋体"/>
          <w:color w:val="auto"/>
          <w:sz w:val="21"/>
          <w:szCs w:val="21"/>
          <w:highlight w:val="none"/>
          <w:rtl w:val="0"/>
          <w:lang w:val="en-US" w:eastAsia="zh-CN"/>
        </w:rPr>
        <w:t>具备有效的安全生产考核合格证书 (B类)。本项目不接受有在建、已中标未开工或已列为其他项目中标候选人第一名的建造师作为项目经理（符合《 广西壮族自治区建筑市场诚信卡管理暂行办法》第十六条第一款除外）。</w:t>
      </w:r>
      <w:r>
        <w:rPr>
          <w:rFonts w:hint="eastAsia" w:ascii="宋体" w:hAnsi="宋体" w:cs="宋体"/>
          <w:color w:val="auto"/>
          <w:sz w:val="21"/>
          <w:szCs w:val="21"/>
          <w:highlight w:val="none"/>
          <w:lang w:val="en-US" w:eastAsia="zh-CN"/>
        </w:rPr>
        <w:t>（若为联合体投标，由施工方提供项目经理）。</w:t>
      </w:r>
    </w:p>
    <w:p>
      <w:pPr>
        <w:spacing w:line="400" w:lineRule="exact"/>
        <w:ind w:firstLine="420"/>
        <w:jc w:val="both"/>
        <w:rPr>
          <w:rFonts w:ascii="宋体" w:hAnsi="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2.3</w:t>
      </w:r>
      <w:r>
        <w:rPr>
          <w:rFonts w:hint="eastAsia" w:ascii="宋体" w:hAnsi="宋体" w:cs="宋体"/>
          <w:b/>
          <w:bCs/>
          <w:color w:val="auto"/>
          <w:sz w:val="21"/>
          <w:szCs w:val="21"/>
          <w:highlight w:val="none"/>
          <w:lang w:val="zh-CN"/>
        </w:rPr>
        <w:t>信誉要求</w:t>
      </w:r>
    </w:p>
    <w:p>
      <w:pPr>
        <w:spacing w:line="400" w:lineRule="exact"/>
        <w:ind w:firstLine="420"/>
        <w:jc w:val="both"/>
        <w:rPr>
          <w:rFonts w:ascii="宋体" w:hAns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）申请人应当具有良好的社会信誉和商业信用，在本项目投标期内没有处于被责令停业，投标资格被取消，财产被接管、破产状态。申请人如为联合体，则联合体牵头人、各成员均需要同时满足。</w:t>
      </w:r>
    </w:p>
    <w:p>
      <w:pPr>
        <w:spacing w:line="400" w:lineRule="exact"/>
        <w:ind w:firstLine="420"/>
        <w:jc w:val="both"/>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）申请人</w:t>
      </w:r>
      <w:r>
        <w:rPr>
          <w:rFonts w:hint="eastAsia" w:ascii="宋体" w:hAnsi="宋体" w:cs="宋体"/>
          <w:color w:val="auto"/>
          <w:sz w:val="21"/>
          <w:szCs w:val="21"/>
          <w:highlight w:val="none"/>
          <w:lang w:eastAsia="zh-CN"/>
        </w:rPr>
        <w:t>未在</w:t>
      </w:r>
      <w:r>
        <w:rPr>
          <w:rFonts w:hint="eastAsia" w:ascii="宋体" w:hAnsi="宋体" w:cs="宋体"/>
          <w:color w:val="auto"/>
          <w:sz w:val="21"/>
          <w:szCs w:val="21"/>
          <w:highlight w:val="none"/>
        </w:rPr>
        <w:t>“信用中国”网站(www.creditchina.gov.cn) 、中国政府采购网(www.ccgp.gov.cn)被列入失信被执行人、重大税收违法案件当事人名单、政府采购严重违法失信行为记录名单及其他不符合《中华人民共和国政府采购法》第二十二条规定条件的供应商。申请人如为联合体，则联合体牵头人、各成员均需要同时满足。</w:t>
      </w:r>
    </w:p>
    <w:p>
      <w:pPr>
        <w:spacing w:line="400" w:lineRule="exact"/>
        <w:ind w:firstLine="420"/>
        <w:jc w:val="both"/>
        <w:rPr>
          <w:rFonts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2.4</w:t>
      </w:r>
      <w:r>
        <w:rPr>
          <w:rFonts w:hint="eastAsia" w:ascii="宋体" w:hAnsi="宋体" w:cs="宋体"/>
          <w:b/>
          <w:bCs/>
          <w:color w:val="auto"/>
          <w:sz w:val="21"/>
          <w:szCs w:val="21"/>
          <w:highlight w:val="none"/>
          <w:lang w:val="zh-CN"/>
        </w:rPr>
        <w:t>财务要求</w:t>
      </w:r>
    </w:p>
    <w:p>
      <w:pPr>
        <w:spacing w:line="400" w:lineRule="exact"/>
        <w:ind w:firstLine="420"/>
        <w:jc w:val="both"/>
        <w:rPr>
          <w:rFonts w:ascii="宋体" w:hAns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）申请人须提供没有处于财产被接管、冻结、破产或其他不良状态，无重大不良资产或不良投资项目的承诺书。申请人如为联合体，则联合体牵头人、各成员需要提供。</w:t>
      </w:r>
    </w:p>
    <w:p>
      <w:pPr>
        <w:spacing w:line="400" w:lineRule="exact"/>
        <w:ind w:firstLine="420"/>
        <w:jc w:val="both"/>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）申请人须提供近三年（</w:t>
      </w:r>
      <w:r>
        <w:rPr>
          <w:rFonts w:ascii="宋体" w:hAnsi="宋体" w:cs="宋体"/>
          <w:color w:val="auto"/>
          <w:sz w:val="21"/>
          <w:szCs w:val="21"/>
          <w:highlight w:val="none"/>
        </w:rPr>
        <w:t>2017</w:t>
      </w:r>
      <w:r>
        <w:rPr>
          <w:rFonts w:hint="eastAsia" w:ascii="宋体" w:hAnsi="宋体" w:cs="宋体"/>
          <w:color w:val="auto"/>
          <w:sz w:val="21"/>
          <w:szCs w:val="21"/>
          <w:highlight w:val="none"/>
        </w:rPr>
        <w:t>、</w:t>
      </w:r>
      <w:r>
        <w:rPr>
          <w:rFonts w:ascii="宋体" w:hAnsi="宋体" w:cs="宋体"/>
          <w:color w:val="auto"/>
          <w:sz w:val="21"/>
          <w:szCs w:val="21"/>
          <w:highlight w:val="none"/>
        </w:rPr>
        <w:t>2018</w:t>
      </w:r>
      <w:r>
        <w:rPr>
          <w:rFonts w:hint="eastAsia" w:ascii="宋体" w:hAnsi="宋体" w:cs="宋体"/>
          <w:color w:val="auto"/>
          <w:sz w:val="21"/>
          <w:szCs w:val="21"/>
          <w:highlight w:val="none"/>
        </w:rPr>
        <w:t>、</w:t>
      </w:r>
      <w:r>
        <w:rPr>
          <w:rFonts w:ascii="宋体" w:hAnsi="宋体" w:cs="宋体"/>
          <w:color w:val="auto"/>
          <w:sz w:val="21"/>
          <w:szCs w:val="21"/>
          <w:highlight w:val="none"/>
        </w:rPr>
        <w:t>2019</w:t>
      </w:r>
      <w:r>
        <w:rPr>
          <w:rFonts w:hint="eastAsia" w:ascii="宋体" w:hAnsi="宋体" w:cs="宋体"/>
          <w:color w:val="auto"/>
          <w:sz w:val="21"/>
          <w:szCs w:val="21"/>
          <w:highlight w:val="none"/>
        </w:rPr>
        <w:t>年）经会计师事务所或审计机构审计的财务报表和审计报告，包括资产负债表、现金流量表、利润表和财务情况说明书的复印件。申请人如为联合体，则联合体牵头人、各成员均需要提供。【备注：如</w:t>
      </w:r>
      <w:r>
        <w:rPr>
          <w:rFonts w:ascii="宋体" w:hAnsi="宋体" w:cs="宋体"/>
          <w:color w:val="auto"/>
          <w:sz w:val="21"/>
          <w:szCs w:val="21"/>
          <w:highlight w:val="none"/>
        </w:rPr>
        <w:t>2019</w:t>
      </w:r>
      <w:r>
        <w:rPr>
          <w:rFonts w:hint="eastAsia" w:ascii="宋体" w:hAnsi="宋体" w:cs="宋体"/>
          <w:color w:val="auto"/>
          <w:sz w:val="21"/>
          <w:szCs w:val="21"/>
          <w:highlight w:val="none"/>
        </w:rPr>
        <w:t>年的财务报表正在审计的，需提供财务报表及</w:t>
      </w:r>
      <w:r>
        <w:rPr>
          <w:rFonts w:ascii="宋体" w:hAnsi="宋体" w:cs="宋体"/>
          <w:color w:val="auto"/>
          <w:sz w:val="21"/>
          <w:szCs w:val="21"/>
          <w:highlight w:val="none"/>
        </w:rPr>
        <w:t>2019</w:t>
      </w:r>
      <w:r>
        <w:rPr>
          <w:rFonts w:hint="eastAsia" w:ascii="宋体" w:hAnsi="宋体" w:cs="宋体"/>
          <w:color w:val="auto"/>
          <w:sz w:val="21"/>
          <w:szCs w:val="21"/>
          <w:highlight w:val="none"/>
        </w:rPr>
        <w:t>年度财务报表正在审计的证明】。</w:t>
      </w:r>
    </w:p>
    <w:p>
      <w:pPr>
        <w:spacing w:line="400" w:lineRule="exact"/>
        <w:ind w:firstLine="420"/>
        <w:jc w:val="both"/>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）申请人具有良好的银行资信、财务状况以及相应的投融资、偿债能力。申请人递交资格预审申请文件截止时间前</w:t>
      </w:r>
      <w:r>
        <w:rPr>
          <w:rFonts w:ascii="宋体" w:hAnsi="宋体" w:cs="宋体"/>
          <w:color w:val="auto"/>
          <w:sz w:val="21"/>
          <w:szCs w:val="21"/>
          <w:highlight w:val="none"/>
        </w:rPr>
        <w:t>6</w:t>
      </w:r>
      <w:r>
        <w:rPr>
          <w:rFonts w:hint="eastAsia" w:ascii="宋体" w:hAnsi="宋体" w:cs="宋体"/>
          <w:color w:val="auto"/>
          <w:sz w:val="21"/>
          <w:szCs w:val="21"/>
          <w:highlight w:val="none"/>
        </w:rPr>
        <w:t>个月内，申请人的企业现有现金（包括银行存款、理财产品、可即时出售股票或债券）不低于</w:t>
      </w:r>
      <w:r>
        <w:rPr>
          <w:rFonts w:hint="eastAsia" w:ascii="宋体" w:hAnsi="宋体" w:cs="宋体"/>
          <w:color w:val="auto"/>
          <w:sz w:val="21"/>
          <w:szCs w:val="21"/>
          <w:highlight w:val="none"/>
          <w:lang w:val="en-US" w:eastAsia="zh-CN"/>
        </w:rPr>
        <w:t>0.4</w:t>
      </w:r>
      <w:r>
        <w:rPr>
          <w:rFonts w:hint="eastAsia" w:ascii="宋体" w:hAnsi="宋体" w:cs="宋体"/>
          <w:color w:val="auto"/>
          <w:sz w:val="21"/>
          <w:szCs w:val="21"/>
          <w:highlight w:val="none"/>
        </w:rPr>
        <w:t>亿元（包括</w:t>
      </w:r>
      <w:r>
        <w:rPr>
          <w:rFonts w:hint="eastAsia" w:ascii="宋体" w:hAnsi="宋体" w:cs="宋体"/>
          <w:color w:val="auto"/>
          <w:sz w:val="21"/>
          <w:szCs w:val="21"/>
          <w:highlight w:val="none"/>
          <w:lang w:val="en-US" w:eastAsia="zh-CN"/>
        </w:rPr>
        <w:t>0.4</w:t>
      </w:r>
      <w:r>
        <w:rPr>
          <w:rFonts w:hint="eastAsia" w:ascii="宋体" w:hAnsi="宋体" w:cs="宋体"/>
          <w:color w:val="auto"/>
          <w:sz w:val="21"/>
          <w:szCs w:val="21"/>
          <w:highlight w:val="none"/>
        </w:rPr>
        <w:t>亿元），需提供银行开具的企业基本账户近</w:t>
      </w:r>
      <w:r>
        <w:rPr>
          <w:rFonts w:ascii="宋体" w:hAnsi="宋体" w:cs="宋体"/>
          <w:color w:val="auto"/>
          <w:sz w:val="21"/>
          <w:szCs w:val="21"/>
          <w:highlight w:val="none"/>
        </w:rPr>
        <w:t>6</w:t>
      </w:r>
      <w:r>
        <w:rPr>
          <w:rFonts w:hint="eastAsia" w:ascii="宋体" w:hAnsi="宋体" w:cs="宋体"/>
          <w:color w:val="auto"/>
          <w:sz w:val="21"/>
          <w:szCs w:val="21"/>
          <w:highlight w:val="none"/>
        </w:rPr>
        <w:t>个月现金类资产证明或近</w:t>
      </w:r>
      <w:r>
        <w:rPr>
          <w:rFonts w:ascii="宋体" w:hAnsi="宋体" w:cs="宋体"/>
          <w:color w:val="auto"/>
          <w:sz w:val="21"/>
          <w:szCs w:val="21"/>
          <w:highlight w:val="none"/>
        </w:rPr>
        <w:t>6</w:t>
      </w:r>
      <w:r>
        <w:rPr>
          <w:rFonts w:hint="eastAsia" w:ascii="宋体" w:hAnsi="宋体" w:cs="宋体"/>
          <w:color w:val="auto"/>
          <w:sz w:val="21"/>
          <w:szCs w:val="21"/>
          <w:highlight w:val="none"/>
        </w:rPr>
        <w:t>个月银行存款证明；同时，申请人的银行可用授信额度不低于</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亿元（包括</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亿元），需提供加盖银行清晰印鉴的授信证明。申请人如为联合体的，则联合体各成员需同时满足下述</w:t>
      </w:r>
      <w:r>
        <w:rPr>
          <w:rFonts w:ascii="宋体" w:hAnsi="宋体" w:cs="宋体"/>
          <w:color w:val="auto"/>
          <w:sz w:val="21"/>
          <w:szCs w:val="21"/>
          <w:highlight w:val="none"/>
        </w:rPr>
        <w:t>a-c</w:t>
      </w:r>
      <w:r>
        <w:rPr>
          <w:rFonts w:hint="eastAsia" w:ascii="宋体" w:hAnsi="宋体" w:cs="宋体"/>
          <w:color w:val="auto"/>
          <w:sz w:val="21"/>
          <w:szCs w:val="21"/>
          <w:highlight w:val="none"/>
        </w:rPr>
        <w:t>条件，具体为：</w:t>
      </w:r>
    </w:p>
    <w:p>
      <w:pPr>
        <w:spacing w:line="400" w:lineRule="exact"/>
        <w:ind w:firstLine="420"/>
        <w:jc w:val="both"/>
        <w:rPr>
          <w:rFonts w:ascii="宋体" w:hAnsi="宋体" w:cs="宋体"/>
          <w:color w:val="auto"/>
          <w:sz w:val="21"/>
          <w:szCs w:val="21"/>
          <w:highlight w:val="none"/>
        </w:rPr>
      </w:pPr>
      <w:r>
        <w:rPr>
          <w:rFonts w:ascii="宋体" w:hAnsi="宋体" w:cs="宋体"/>
          <w:color w:val="auto"/>
          <w:sz w:val="21"/>
          <w:szCs w:val="21"/>
          <w:highlight w:val="none"/>
        </w:rPr>
        <w:t>a</w:t>
      </w:r>
      <w:r>
        <w:rPr>
          <w:rFonts w:hint="eastAsia" w:ascii="宋体" w:hAnsi="宋体" w:cs="宋体"/>
          <w:color w:val="auto"/>
          <w:sz w:val="21"/>
          <w:szCs w:val="21"/>
          <w:highlight w:val="none"/>
        </w:rPr>
        <w:t>．联合体各成员的企业现有现金（包括银行存款、理财产品、可即时出售股票或债券）总和不低于</w:t>
      </w:r>
      <w:r>
        <w:rPr>
          <w:rFonts w:hint="eastAsia" w:ascii="宋体" w:hAnsi="宋体" w:cs="宋体"/>
          <w:color w:val="auto"/>
          <w:sz w:val="21"/>
          <w:szCs w:val="21"/>
          <w:highlight w:val="none"/>
          <w:lang w:val="en-US" w:eastAsia="zh-CN"/>
        </w:rPr>
        <w:t>0.4</w:t>
      </w:r>
      <w:r>
        <w:rPr>
          <w:rFonts w:hint="eastAsia" w:ascii="宋体" w:hAnsi="宋体" w:cs="宋体"/>
          <w:color w:val="auto"/>
          <w:sz w:val="21"/>
          <w:szCs w:val="21"/>
          <w:highlight w:val="none"/>
        </w:rPr>
        <w:t>亿元（包括</w:t>
      </w:r>
      <w:r>
        <w:rPr>
          <w:rFonts w:hint="eastAsia" w:ascii="宋体" w:hAnsi="宋体" w:cs="宋体"/>
          <w:color w:val="auto"/>
          <w:sz w:val="21"/>
          <w:szCs w:val="21"/>
          <w:highlight w:val="none"/>
          <w:lang w:val="en-US" w:eastAsia="zh-CN"/>
        </w:rPr>
        <w:t>0.4</w:t>
      </w:r>
      <w:r>
        <w:rPr>
          <w:rFonts w:hint="eastAsia" w:ascii="宋体" w:hAnsi="宋体" w:cs="宋体"/>
          <w:color w:val="auto"/>
          <w:sz w:val="21"/>
          <w:szCs w:val="21"/>
          <w:highlight w:val="none"/>
        </w:rPr>
        <w:t>亿元），且银行可用授信额度总和不低于</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亿元（包括</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亿元）。</w:t>
      </w:r>
    </w:p>
    <w:p>
      <w:pPr>
        <w:spacing w:line="400" w:lineRule="exact"/>
        <w:ind w:firstLine="420"/>
        <w:jc w:val="both"/>
        <w:rPr>
          <w:rFonts w:ascii="宋体" w:hAnsi="宋体" w:cs="宋体"/>
          <w:color w:val="auto"/>
          <w:sz w:val="21"/>
          <w:szCs w:val="21"/>
          <w:highlight w:val="none"/>
        </w:rPr>
      </w:pPr>
      <w:r>
        <w:rPr>
          <w:rFonts w:ascii="宋体" w:hAnsi="宋体" w:cs="宋体"/>
          <w:color w:val="auto"/>
          <w:sz w:val="21"/>
          <w:szCs w:val="21"/>
          <w:highlight w:val="none"/>
        </w:rPr>
        <w:t>b</w:t>
      </w:r>
      <w:r>
        <w:rPr>
          <w:rFonts w:hint="eastAsia" w:ascii="宋体" w:hAnsi="宋体" w:cs="宋体"/>
          <w:color w:val="auto"/>
          <w:sz w:val="21"/>
          <w:szCs w:val="21"/>
          <w:highlight w:val="none"/>
        </w:rPr>
        <w:t>．联合体各成员单位在递交资格预审申请文件截止时间前</w:t>
      </w:r>
      <w:r>
        <w:rPr>
          <w:rFonts w:ascii="宋体" w:hAnsi="宋体" w:cs="宋体"/>
          <w:color w:val="auto"/>
          <w:sz w:val="21"/>
          <w:szCs w:val="21"/>
          <w:highlight w:val="none"/>
        </w:rPr>
        <w:t>6</w:t>
      </w:r>
      <w:r>
        <w:rPr>
          <w:rFonts w:hint="eastAsia" w:ascii="宋体" w:hAnsi="宋体" w:cs="宋体"/>
          <w:color w:val="auto"/>
          <w:sz w:val="21"/>
          <w:szCs w:val="21"/>
          <w:highlight w:val="none"/>
        </w:rPr>
        <w:t>个月内的企业现有现金数额（包括银行存款、理财产品、可即时出售股票或债券）不低于该成员方在联合体协议约定的出资占股比例乘以</w:t>
      </w:r>
      <w:r>
        <w:rPr>
          <w:rFonts w:hint="eastAsia" w:ascii="宋体" w:hAnsi="宋体" w:cs="宋体"/>
          <w:color w:val="auto"/>
          <w:sz w:val="21"/>
          <w:szCs w:val="21"/>
          <w:highlight w:val="none"/>
          <w:lang w:val="en-US" w:eastAsia="zh-CN"/>
        </w:rPr>
        <w:t>0.4</w:t>
      </w:r>
      <w:r>
        <w:rPr>
          <w:rFonts w:hint="eastAsia" w:ascii="宋体" w:hAnsi="宋体" w:cs="宋体"/>
          <w:color w:val="auto"/>
          <w:sz w:val="21"/>
          <w:szCs w:val="21"/>
          <w:highlight w:val="none"/>
        </w:rPr>
        <w:t>亿元的计算值；同时联合体各成员单位的银行授信可用额度不低于该成员方在联合体协议约定的出资占股比例乘以</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亿元</w:t>
      </w:r>
      <w:r>
        <w:rPr>
          <w:rFonts w:hint="eastAsia" w:ascii="宋体" w:hAnsi="宋体" w:cs="宋体"/>
          <w:color w:val="auto"/>
          <w:sz w:val="21"/>
          <w:szCs w:val="21"/>
          <w:highlight w:val="none"/>
          <w:lang w:val="zh-CN"/>
        </w:rPr>
        <w:t>的计算值</w:t>
      </w:r>
      <w:r>
        <w:rPr>
          <w:rFonts w:hint="eastAsia" w:ascii="宋体" w:hAnsi="宋体" w:cs="宋体"/>
          <w:color w:val="auto"/>
          <w:sz w:val="21"/>
          <w:szCs w:val="21"/>
          <w:highlight w:val="none"/>
        </w:rPr>
        <w:t>。</w:t>
      </w:r>
    </w:p>
    <w:p>
      <w:pPr>
        <w:spacing w:line="400" w:lineRule="exact"/>
        <w:ind w:firstLine="420"/>
        <w:jc w:val="both"/>
        <w:rPr>
          <w:rFonts w:hint="eastAsia" w:ascii="宋体" w:hAnsi="宋体" w:cs="宋体"/>
          <w:b/>
          <w:bCs/>
          <w:color w:val="auto"/>
          <w:sz w:val="21"/>
          <w:szCs w:val="21"/>
          <w:highlight w:val="none"/>
          <w:lang w:val="en-US" w:eastAsia="zh-CN"/>
        </w:rPr>
      </w:pPr>
      <w:r>
        <w:rPr>
          <w:rFonts w:ascii="宋体" w:hAnsi="宋体" w:cs="宋体"/>
          <w:color w:val="auto"/>
          <w:sz w:val="21"/>
          <w:szCs w:val="21"/>
          <w:highlight w:val="none"/>
        </w:rPr>
        <w:t>c</w:t>
      </w:r>
      <w:r>
        <w:rPr>
          <w:rFonts w:hint="eastAsia" w:ascii="宋体" w:hAnsi="宋体" w:cs="宋体"/>
          <w:color w:val="auto"/>
          <w:sz w:val="21"/>
          <w:szCs w:val="21"/>
          <w:highlight w:val="none"/>
        </w:rPr>
        <w:t>．联合体各成员单位均需提供银行开具的企业基本账户近</w:t>
      </w:r>
      <w:r>
        <w:rPr>
          <w:rFonts w:ascii="宋体" w:hAnsi="宋体" w:cs="宋体"/>
          <w:color w:val="auto"/>
          <w:sz w:val="21"/>
          <w:szCs w:val="21"/>
          <w:highlight w:val="none"/>
        </w:rPr>
        <w:t>6</w:t>
      </w:r>
      <w:r>
        <w:rPr>
          <w:rFonts w:hint="eastAsia" w:ascii="宋体" w:hAnsi="宋体" w:cs="宋体"/>
          <w:color w:val="auto"/>
          <w:sz w:val="21"/>
          <w:szCs w:val="21"/>
          <w:highlight w:val="none"/>
        </w:rPr>
        <w:t>个月（截止递交资格预审申请文件前</w:t>
      </w:r>
      <w:r>
        <w:rPr>
          <w:rFonts w:ascii="宋体" w:hAnsi="宋体" w:cs="宋体"/>
          <w:color w:val="auto"/>
          <w:sz w:val="21"/>
          <w:szCs w:val="21"/>
          <w:highlight w:val="none"/>
        </w:rPr>
        <w:t>6</w:t>
      </w:r>
      <w:r>
        <w:rPr>
          <w:rFonts w:hint="eastAsia" w:ascii="宋体" w:hAnsi="宋体" w:cs="宋体"/>
          <w:color w:val="auto"/>
          <w:sz w:val="21"/>
          <w:szCs w:val="21"/>
          <w:highlight w:val="none"/>
        </w:rPr>
        <w:t>个月）现金类资产证明或近</w:t>
      </w:r>
      <w:r>
        <w:rPr>
          <w:rFonts w:ascii="宋体" w:hAnsi="宋体" w:cs="宋体"/>
          <w:color w:val="auto"/>
          <w:sz w:val="21"/>
          <w:szCs w:val="21"/>
          <w:highlight w:val="none"/>
        </w:rPr>
        <w:t>6</w:t>
      </w:r>
      <w:r>
        <w:rPr>
          <w:rFonts w:hint="eastAsia" w:ascii="宋体" w:hAnsi="宋体" w:cs="宋体"/>
          <w:color w:val="auto"/>
          <w:sz w:val="21"/>
          <w:szCs w:val="21"/>
          <w:highlight w:val="none"/>
        </w:rPr>
        <w:t>个月银行存款证明，以及加盖银行清晰印鉴的授信证明。</w:t>
      </w:r>
    </w:p>
    <w:p>
      <w:pPr>
        <w:pStyle w:val="2"/>
        <w:ind w:firstLine="422" w:firstLineChars="200"/>
        <w:rPr>
          <w:rFonts w:hint="eastAsia" w:ascii="宋体" w:hAnsi="宋体" w:eastAsia="宋体" w:cs="宋体"/>
          <w:b/>
          <w:bCs/>
          <w:color w:val="auto"/>
          <w:spacing w:val="0"/>
          <w:kern w:val="2"/>
          <w:sz w:val="21"/>
          <w:szCs w:val="21"/>
          <w:highlight w:val="none"/>
          <w:lang w:val="en-US" w:eastAsia="zh-CN" w:bidi="ar-SA"/>
        </w:rPr>
      </w:pPr>
      <w:r>
        <w:rPr>
          <w:rFonts w:hint="eastAsia" w:ascii="宋体" w:hAnsi="宋体" w:cs="宋体"/>
          <w:b/>
          <w:bCs/>
          <w:color w:val="auto"/>
          <w:spacing w:val="0"/>
          <w:kern w:val="2"/>
          <w:sz w:val="21"/>
          <w:szCs w:val="21"/>
          <w:highlight w:val="none"/>
          <w:lang w:val="en-US" w:eastAsia="zh-CN" w:bidi="ar-SA"/>
        </w:rPr>
        <w:t>2.5</w:t>
      </w:r>
      <w:r>
        <w:rPr>
          <w:rFonts w:hint="eastAsia" w:ascii="宋体" w:hAnsi="宋体" w:eastAsia="宋体" w:cs="宋体"/>
          <w:b/>
          <w:bCs/>
          <w:color w:val="auto"/>
          <w:spacing w:val="0"/>
          <w:kern w:val="2"/>
          <w:sz w:val="21"/>
          <w:szCs w:val="21"/>
          <w:highlight w:val="none"/>
          <w:lang w:val="zh-CN" w:eastAsia="zh-CN" w:bidi="ar-SA"/>
        </w:rPr>
        <w:t>联合体特殊要求</w:t>
      </w:r>
    </w:p>
    <w:p>
      <w:pPr>
        <w:spacing w:line="400" w:lineRule="exact"/>
        <w:ind w:firstLine="420"/>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1）本项目资格预审接受联合体申请，联合体成员不得超过3家，成员可包括财务投资人或其他符合项目条件的主体，原则上应体现投融资能力和运营优势；</w:t>
      </w:r>
    </w:p>
    <w:p>
      <w:pPr>
        <w:spacing w:line="400" w:lineRule="exact"/>
        <w:ind w:firstLine="420"/>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2）联合体各成员间必须签订联合体协议，明确牵头方、各成员组成、股权比例、职责分工及权利和义务等主要条款，且在联合体通过资格审查后不得改变；</w:t>
      </w:r>
    </w:p>
    <w:p>
      <w:pPr>
        <w:spacing w:line="400" w:lineRule="exact"/>
        <w:ind w:firstLine="420"/>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3）联合体各成员签订联合体协议后，不得再以自己名义单独或加入其他联合体同时参加本项目资格预审活动；</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outlineLvl w:val="9"/>
        <w:rPr>
          <w:rFonts w:hint="eastAsia"/>
          <w:color w:val="auto"/>
          <w:highlight w:val="none"/>
        </w:rPr>
      </w:pPr>
      <w:r>
        <w:rPr>
          <w:rFonts w:hint="eastAsia" w:ascii="宋体" w:hAnsi="宋体" w:cs="宋体"/>
          <w:color w:val="auto"/>
          <w:sz w:val="21"/>
          <w:szCs w:val="21"/>
          <w:highlight w:val="none"/>
          <w:lang w:val="en-US" w:eastAsia="zh-CN"/>
        </w:rPr>
        <w:t>4）联合体各成员单位均需持股出资项目公司，每家出资比例不应低于10%并承担融资责任，且要有其中一家单位出资比例高于20%，各成员单位占股比例通过联合体协议约定，一旦中标，联合体各成员需向采购人承诺承担连带责任。</w:t>
      </w:r>
    </w:p>
    <w:p>
      <w:pPr>
        <w:pStyle w:val="2"/>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cs="宋体"/>
          <w:b/>
          <w:bCs/>
          <w:color w:val="auto"/>
          <w:spacing w:val="0"/>
          <w:kern w:val="2"/>
          <w:sz w:val="21"/>
          <w:szCs w:val="21"/>
          <w:highlight w:val="none"/>
          <w:lang w:val="zh-CN" w:eastAsia="zh-CN" w:bidi="ar-SA"/>
        </w:rPr>
      </w:pPr>
      <w:r>
        <w:rPr>
          <w:rFonts w:hint="eastAsia" w:ascii="宋体" w:hAnsi="宋体" w:cs="宋体"/>
          <w:b/>
          <w:bCs/>
          <w:color w:val="auto"/>
          <w:spacing w:val="0"/>
          <w:kern w:val="2"/>
          <w:sz w:val="21"/>
          <w:szCs w:val="21"/>
          <w:highlight w:val="none"/>
          <w:lang w:val="en-US" w:eastAsia="zh-CN" w:bidi="ar-SA"/>
        </w:rPr>
        <w:t>2.6投标人的</w:t>
      </w:r>
      <w:r>
        <w:rPr>
          <w:rFonts w:hint="eastAsia" w:ascii="宋体" w:hAnsi="宋体" w:eastAsia="宋体" w:cs="宋体"/>
          <w:b/>
          <w:bCs/>
          <w:color w:val="auto"/>
          <w:spacing w:val="0"/>
          <w:kern w:val="2"/>
          <w:sz w:val="21"/>
          <w:szCs w:val="21"/>
          <w:highlight w:val="none"/>
          <w:lang w:val="zh-CN" w:eastAsia="zh-CN" w:bidi="ar-SA"/>
        </w:rPr>
        <w:t>其他</w:t>
      </w:r>
      <w:r>
        <w:rPr>
          <w:rFonts w:hint="eastAsia" w:ascii="宋体" w:hAnsi="宋体" w:cs="宋体"/>
          <w:b/>
          <w:bCs/>
          <w:color w:val="auto"/>
          <w:spacing w:val="0"/>
          <w:kern w:val="2"/>
          <w:sz w:val="21"/>
          <w:szCs w:val="21"/>
          <w:highlight w:val="none"/>
          <w:lang w:val="zh-CN" w:eastAsia="zh-CN" w:bidi="ar-SA"/>
        </w:rPr>
        <w:t>要求</w:t>
      </w:r>
    </w:p>
    <w:p>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val="0"/>
          <w:color w:val="auto"/>
          <w:spacing w:val="0"/>
          <w:kern w:val="2"/>
          <w:sz w:val="21"/>
          <w:szCs w:val="21"/>
          <w:highlight w:val="none"/>
          <w:lang w:val="zh-CN" w:eastAsia="zh-CN" w:bidi="ar-SA"/>
        </w:rPr>
      </w:pPr>
      <w:r>
        <w:rPr>
          <w:rFonts w:hint="eastAsia" w:ascii="宋体" w:hAnsi="宋体" w:eastAsia="宋体" w:cs="宋体"/>
          <w:bCs w:val="0"/>
          <w:color w:val="auto"/>
          <w:spacing w:val="0"/>
          <w:kern w:val="2"/>
          <w:sz w:val="21"/>
          <w:szCs w:val="21"/>
          <w:highlight w:val="none"/>
          <w:lang w:val="zh-CN" w:eastAsia="zh-CN" w:bidi="ar-SA"/>
        </w:rPr>
        <w:t>（</w:t>
      </w:r>
      <w:r>
        <w:rPr>
          <w:rFonts w:hint="eastAsia" w:ascii="宋体" w:hAnsi="宋体" w:eastAsia="宋体" w:cs="宋体"/>
          <w:bCs w:val="0"/>
          <w:color w:val="auto"/>
          <w:spacing w:val="0"/>
          <w:kern w:val="2"/>
          <w:sz w:val="21"/>
          <w:szCs w:val="21"/>
          <w:highlight w:val="none"/>
          <w:lang w:val="en-US" w:eastAsia="zh-CN" w:bidi="ar-SA"/>
        </w:rPr>
        <w:t>1</w:t>
      </w:r>
      <w:r>
        <w:rPr>
          <w:rFonts w:hint="eastAsia" w:ascii="宋体" w:hAnsi="宋体" w:eastAsia="宋体" w:cs="宋体"/>
          <w:bCs w:val="0"/>
          <w:color w:val="auto"/>
          <w:spacing w:val="0"/>
          <w:kern w:val="2"/>
          <w:sz w:val="21"/>
          <w:szCs w:val="21"/>
          <w:highlight w:val="none"/>
          <w:lang w:val="zh-CN" w:eastAsia="zh-CN" w:bidi="ar-SA"/>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400" w:lineRule="exact"/>
        <w:ind w:firstLine="420"/>
        <w:jc w:val="both"/>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rPr>
        <w:t>申请人</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申请人如为联合体，则联合体牵头人、各成员需要同时满足</w:t>
      </w:r>
      <w:r>
        <w:rPr>
          <w:rFonts w:hint="eastAsia" w:ascii="宋体" w:hAnsi="宋体" w:cs="宋体"/>
          <w:color w:val="auto"/>
          <w:sz w:val="21"/>
          <w:szCs w:val="21"/>
          <w:highlight w:val="none"/>
          <w:lang w:val="zh-CN"/>
        </w:rPr>
        <w:t>）</w:t>
      </w:r>
      <w:r>
        <w:rPr>
          <w:rFonts w:hint="eastAsia" w:ascii="宋体" w:hAnsi="宋体" w:cs="宋体"/>
          <w:b w:val="0"/>
          <w:bCs w:val="0"/>
          <w:color w:val="auto"/>
          <w:sz w:val="21"/>
          <w:szCs w:val="21"/>
          <w:highlight w:val="none"/>
        </w:rPr>
        <w:t>不得存在下列情形之一</w:t>
      </w:r>
      <w:r>
        <w:rPr>
          <w:rFonts w:hint="eastAsia" w:ascii="宋体" w:hAnsi="宋体" w:cs="宋体"/>
          <w:b w:val="0"/>
          <w:bCs w:val="0"/>
          <w:color w:val="auto"/>
          <w:sz w:val="21"/>
          <w:szCs w:val="21"/>
          <w:highlight w:val="none"/>
          <w:lang w:eastAsia="zh-CN"/>
        </w:rPr>
        <w:t>，否则投标无效</w:t>
      </w:r>
      <w:r>
        <w:rPr>
          <w:rFonts w:hint="eastAsia" w:ascii="宋体" w:hAnsi="宋体" w:cs="宋体"/>
          <w:b w:val="0"/>
          <w:bCs w:val="0"/>
          <w:color w:val="auto"/>
          <w:sz w:val="21"/>
          <w:szCs w:val="21"/>
          <w:highlight w:val="none"/>
        </w:rPr>
        <w:t>：</w:t>
      </w:r>
    </w:p>
    <w:p>
      <w:pPr>
        <w:spacing w:line="400" w:lineRule="exact"/>
        <w:ind w:firstLine="630" w:firstLineChars="300"/>
        <w:jc w:val="both"/>
        <w:rPr>
          <w:rFonts w:ascii="宋体" w:hAnsi="宋体" w:cs="宋体"/>
          <w:color w:val="auto"/>
          <w:sz w:val="21"/>
          <w:szCs w:val="21"/>
          <w:highlight w:val="none"/>
        </w:rPr>
      </w:pPr>
      <w:r>
        <w:rPr>
          <w:rFonts w:hint="default" w:ascii="Calibri" w:hAnsi="Calibri" w:cs="Calibri"/>
          <w:color w:val="auto"/>
          <w:sz w:val="21"/>
          <w:szCs w:val="21"/>
          <w:highlight w:val="none"/>
          <w:lang w:val="en-US" w:eastAsia="zh-CN"/>
        </w:rPr>
        <w:t>①</w:t>
      </w:r>
      <w:r>
        <w:rPr>
          <w:rFonts w:hint="eastAsia" w:ascii="宋体" w:hAnsi="宋体" w:cs="宋体"/>
          <w:color w:val="auto"/>
          <w:sz w:val="21"/>
          <w:szCs w:val="21"/>
          <w:highlight w:val="none"/>
        </w:rPr>
        <w:t>为</w:t>
      </w:r>
      <w:r>
        <w:rPr>
          <w:rFonts w:hint="eastAsia" w:ascii="宋体" w:hAnsi="宋体" w:cs="宋体"/>
          <w:color w:val="auto"/>
          <w:sz w:val="21"/>
          <w:szCs w:val="21"/>
          <w:highlight w:val="none"/>
          <w:lang w:val="zh-CN"/>
        </w:rPr>
        <w:t>本级政府所属的各类融资平台公司和本级政府所属的融资平台公司参股并能对其经营活动构成实质性影响的国有企业</w:t>
      </w:r>
      <w:r>
        <w:rPr>
          <w:rFonts w:hint="eastAsia" w:ascii="宋体" w:hAnsi="宋体" w:cs="宋体"/>
          <w:color w:val="auto"/>
          <w:sz w:val="21"/>
          <w:szCs w:val="21"/>
          <w:highlight w:val="none"/>
        </w:rPr>
        <w:t>（符合《国务院办公厅转发财政部、国家发展改革委、中国人民银行关于在公共服务领域推广政府和社会资本合作模式的指导意见的通知》（国办发〔2015〕42号）文件规定的除外）；</w:t>
      </w:r>
    </w:p>
    <w:p>
      <w:pPr>
        <w:spacing w:line="400" w:lineRule="exact"/>
        <w:ind w:firstLine="630" w:firstLineChars="300"/>
        <w:jc w:val="both"/>
        <w:rPr>
          <w:rFonts w:ascii="宋体" w:hAnsi="宋体" w:cs="宋体"/>
          <w:color w:val="auto"/>
          <w:sz w:val="21"/>
          <w:szCs w:val="21"/>
          <w:highlight w:val="none"/>
        </w:rPr>
      </w:pPr>
      <w:r>
        <w:rPr>
          <w:rFonts w:hint="default" w:ascii="Calibri" w:hAnsi="Calibri" w:cs="Calibri"/>
          <w:color w:val="auto"/>
          <w:sz w:val="21"/>
          <w:szCs w:val="21"/>
          <w:highlight w:val="none"/>
          <w:lang w:val="en-US" w:eastAsia="zh-CN"/>
        </w:rPr>
        <w:t>②</w:t>
      </w:r>
      <w:r>
        <w:rPr>
          <w:rFonts w:hint="eastAsia" w:ascii="宋体" w:hAnsi="宋体" w:cs="宋体"/>
          <w:color w:val="auto"/>
          <w:sz w:val="21"/>
          <w:szCs w:val="21"/>
          <w:highlight w:val="none"/>
        </w:rPr>
        <w:t>为本项目提供咨询服务的；</w:t>
      </w:r>
    </w:p>
    <w:p>
      <w:pPr>
        <w:spacing w:line="400" w:lineRule="exact"/>
        <w:ind w:firstLine="630" w:firstLineChars="300"/>
        <w:jc w:val="both"/>
        <w:rPr>
          <w:rFonts w:ascii="宋体" w:hAnsi="宋体" w:cs="宋体"/>
          <w:color w:val="auto"/>
          <w:sz w:val="21"/>
          <w:szCs w:val="21"/>
          <w:highlight w:val="none"/>
        </w:rPr>
      </w:pPr>
      <w:r>
        <w:rPr>
          <w:rFonts w:hint="default" w:ascii="Calibri" w:hAnsi="Calibri" w:cs="Calibri"/>
          <w:color w:val="auto"/>
          <w:sz w:val="21"/>
          <w:szCs w:val="21"/>
          <w:highlight w:val="none"/>
          <w:lang w:val="en-US" w:eastAsia="zh-CN"/>
        </w:rPr>
        <w:t>③</w:t>
      </w:r>
      <w:r>
        <w:rPr>
          <w:rFonts w:hint="eastAsia" w:ascii="宋体" w:hAnsi="宋体" w:cs="宋体"/>
          <w:color w:val="auto"/>
          <w:sz w:val="21"/>
          <w:szCs w:val="21"/>
          <w:highlight w:val="none"/>
        </w:rPr>
        <w:t>为本项目提供采购代理服务的；</w:t>
      </w:r>
    </w:p>
    <w:p>
      <w:pPr>
        <w:spacing w:line="400" w:lineRule="exact"/>
        <w:ind w:firstLine="630" w:firstLineChars="300"/>
        <w:jc w:val="both"/>
        <w:rPr>
          <w:rFonts w:hint="eastAsia" w:eastAsia="宋体"/>
          <w:color w:val="auto"/>
          <w:highlight w:val="none"/>
          <w:lang w:val="en-US" w:eastAsia="zh-CN"/>
        </w:rPr>
      </w:pPr>
      <w:r>
        <w:rPr>
          <w:rFonts w:hint="eastAsia" w:ascii="宋体" w:hAnsi="宋体" w:eastAsia="宋体" w:cs="宋体"/>
          <w:color w:val="auto"/>
          <w:sz w:val="21"/>
          <w:szCs w:val="21"/>
          <w:highlight w:val="none"/>
          <w:lang w:val="en-US" w:eastAsia="zh-CN"/>
        </w:rPr>
        <w:t>④</w:t>
      </w:r>
      <w:r>
        <w:rPr>
          <w:rFonts w:hint="eastAsia" w:ascii="宋体" w:hAnsi="宋体" w:cs="宋体"/>
          <w:color w:val="auto"/>
          <w:sz w:val="21"/>
          <w:szCs w:val="21"/>
          <w:highlight w:val="none"/>
        </w:rPr>
        <w:t>其他有关法律、行政法规及部门规章禁止的。</w:t>
      </w:r>
    </w:p>
    <w:p>
      <w:pPr>
        <w:pStyle w:val="2"/>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color w:val="auto"/>
          <w:spacing w:val="0"/>
          <w:kern w:val="2"/>
          <w:sz w:val="21"/>
          <w:szCs w:val="21"/>
          <w:highlight w:val="none"/>
          <w:lang w:val="en-US" w:eastAsia="zh-CN" w:bidi="ar-SA"/>
        </w:rPr>
      </w:pPr>
      <w:bookmarkStart w:id="25" w:name="_Toc54857622"/>
      <w:bookmarkStart w:id="26" w:name="_Toc460926456"/>
      <w:bookmarkStart w:id="27" w:name="_Toc461032407"/>
      <w:r>
        <w:rPr>
          <w:rFonts w:hint="eastAsia" w:ascii="宋体" w:hAnsi="宋体" w:cs="宋体"/>
          <w:b/>
          <w:bCs/>
          <w:color w:val="auto"/>
          <w:spacing w:val="0"/>
          <w:kern w:val="2"/>
          <w:sz w:val="21"/>
          <w:szCs w:val="21"/>
          <w:highlight w:val="none"/>
          <w:lang w:val="en-US" w:eastAsia="zh-CN" w:bidi="ar-SA"/>
        </w:rPr>
        <w:t>三</w:t>
      </w:r>
      <w:r>
        <w:rPr>
          <w:rFonts w:hint="eastAsia" w:ascii="宋体" w:hAnsi="宋体" w:eastAsia="宋体" w:cs="宋体"/>
          <w:b/>
          <w:bCs/>
          <w:color w:val="auto"/>
          <w:spacing w:val="0"/>
          <w:kern w:val="2"/>
          <w:sz w:val="21"/>
          <w:szCs w:val="21"/>
          <w:highlight w:val="none"/>
          <w:lang w:val="en-US" w:eastAsia="zh-CN" w:bidi="ar-SA"/>
        </w:rPr>
        <w:t>、资格预审文件的获取</w:t>
      </w:r>
      <w:bookmarkEnd w:id="25"/>
      <w:bookmarkEnd w:id="26"/>
      <w:bookmarkEnd w:id="27"/>
    </w:p>
    <w:p>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本项目不发放纸质文件，供应商可自行在南宁公共资源交易中心(www.nnggzy.org.cn)的信息公告处下载招标文件。</w:t>
      </w:r>
    </w:p>
    <w:p>
      <w:pPr>
        <w:pStyle w:val="4"/>
        <w:spacing w:before="0" w:after="0" w:line="400" w:lineRule="exact"/>
        <w:ind w:firstLine="422" w:firstLineChars="200"/>
        <w:rPr>
          <w:rFonts w:hint="eastAsia" w:ascii="宋体" w:hAnsi="宋体" w:cs="宋体"/>
          <w:color w:val="auto"/>
          <w:sz w:val="21"/>
          <w:szCs w:val="21"/>
          <w:highlight w:val="none"/>
        </w:rPr>
      </w:pPr>
      <w:bookmarkStart w:id="28" w:name="_Toc15557"/>
      <w:bookmarkStart w:id="29" w:name="_Toc35393609"/>
      <w:bookmarkStart w:id="30" w:name="_Toc35393778"/>
      <w:bookmarkStart w:id="31" w:name="_Toc482173657"/>
      <w:bookmarkStart w:id="32" w:name="_Toc31283"/>
      <w:r>
        <w:rPr>
          <w:rFonts w:hint="eastAsia" w:ascii="宋体" w:hAnsi="宋体" w:cs="宋体"/>
          <w:color w:val="auto"/>
          <w:sz w:val="21"/>
          <w:szCs w:val="21"/>
          <w:highlight w:val="none"/>
        </w:rPr>
        <w:t>四、资格预审申请文件的组成及格式</w:t>
      </w:r>
      <w:bookmarkEnd w:id="28"/>
      <w:bookmarkEnd w:id="29"/>
      <w:bookmarkEnd w:id="30"/>
    </w:p>
    <w:bookmarkEnd w:id="31"/>
    <w:bookmarkEnd w:id="32"/>
    <w:p>
      <w:pPr>
        <w:spacing w:line="400" w:lineRule="exact"/>
        <w:ind w:firstLine="42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资格预审申请文件需包含的内容及具体格式要求详见《资格预审文件》相关要求。</w:t>
      </w:r>
    </w:p>
    <w:p>
      <w:pPr>
        <w:pStyle w:val="4"/>
        <w:spacing w:before="0" w:after="0" w:line="400" w:lineRule="exact"/>
        <w:ind w:firstLine="422" w:firstLineChars="200"/>
        <w:rPr>
          <w:rFonts w:hint="eastAsia" w:ascii="宋体" w:hAnsi="宋体" w:cs="宋体"/>
          <w:color w:val="auto"/>
          <w:sz w:val="21"/>
          <w:szCs w:val="21"/>
          <w:highlight w:val="none"/>
        </w:rPr>
      </w:pPr>
      <w:bookmarkStart w:id="33" w:name="_Toc35393779"/>
      <w:bookmarkStart w:id="34" w:name="_Toc28359069"/>
      <w:bookmarkStart w:id="35" w:name="_Toc7710"/>
      <w:bookmarkStart w:id="36" w:name="_Toc35393610"/>
      <w:bookmarkStart w:id="37" w:name="_Toc28358992"/>
      <w:r>
        <w:rPr>
          <w:rFonts w:hint="eastAsia" w:ascii="宋体" w:hAnsi="宋体" w:cs="宋体"/>
          <w:color w:val="auto"/>
          <w:sz w:val="21"/>
          <w:szCs w:val="21"/>
          <w:highlight w:val="none"/>
        </w:rPr>
        <w:t>五、资格预审的审查标准及方法</w:t>
      </w:r>
      <w:bookmarkEnd w:id="33"/>
      <w:bookmarkEnd w:id="34"/>
      <w:bookmarkEnd w:id="35"/>
      <w:bookmarkEnd w:id="36"/>
      <w:bookmarkEnd w:id="37"/>
    </w:p>
    <w:p>
      <w:pPr>
        <w:spacing w:line="400" w:lineRule="exact"/>
        <w:ind w:firstLine="42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1.本次资格预审采用合格制。</w:t>
      </w:r>
    </w:p>
    <w:p>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2.审查标准:详见“资格审查办法”。</w:t>
      </w:r>
    </w:p>
    <w:p>
      <w:pPr>
        <w:pStyle w:val="2"/>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color w:val="auto"/>
          <w:spacing w:val="0"/>
          <w:kern w:val="2"/>
          <w:sz w:val="21"/>
          <w:szCs w:val="21"/>
          <w:highlight w:val="none"/>
          <w:lang w:val="en-US" w:eastAsia="zh-CN" w:bidi="ar-SA"/>
        </w:rPr>
      </w:pPr>
      <w:bookmarkStart w:id="38" w:name="_Toc58582974"/>
      <w:r>
        <w:rPr>
          <w:rFonts w:hint="eastAsia" w:ascii="宋体" w:hAnsi="宋体" w:eastAsia="宋体" w:cs="宋体"/>
          <w:b/>
          <w:bCs/>
          <w:color w:val="auto"/>
          <w:spacing w:val="0"/>
          <w:kern w:val="2"/>
          <w:sz w:val="21"/>
          <w:szCs w:val="21"/>
          <w:highlight w:val="none"/>
          <w:lang w:val="en-US" w:eastAsia="zh-CN" w:bidi="ar-SA"/>
        </w:rPr>
        <w:t>六、拟邀请参加投标的供应商数量</w:t>
      </w:r>
      <w:bookmarkEnd w:id="38"/>
    </w:p>
    <w:p>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6.1邀请全部通过资格预审的供应商参加投标。</w:t>
      </w:r>
    </w:p>
    <w:p>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6.2本项目为公开招标资格预审，项目有3 家以上（含3家）社会资本通过资格预审的，项目实施机构可以继续开展采购文件准备工作；项目通过资格预审的社会资本不足3家的，项目实施机构应当在调整资格预审公告内容后重新组织资格预审；项目经重新资格预审后合格社会资本仍不够3家的，可以依法变更采购方式。</w:t>
      </w:r>
    </w:p>
    <w:p>
      <w:pPr>
        <w:pStyle w:val="4"/>
        <w:spacing w:before="0" w:after="0" w:line="400" w:lineRule="exact"/>
        <w:ind w:firstLine="422" w:firstLineChars="200"/>
        <w:rPr>
          <w:rFonts w:hint="eastAsia" w:ascii="宋体" w:hAnsi="宋体" w:cs="宋体"/>
          <w:color w:val="auto"/>
          <w:sz w:val="21"/>
          <w:szCs w:val="21"/>
          <w:highlight w:val="none"/>
        </w:rPr>
      </w:pPr>
      <w:bookmarkStart w:id="39" w:name="_Toc3051"/>
      <w:r>
        <w:rPr>
          <w:rFonts w:hint="eastAsia" w:ascii="宋体" w:hAnsi="宋体" w:cs="宋体"/>
          <w:color w:val="auto"/>
          <w:sz w:val="21"/>
          <w:szCs w:val="21"/>
          <w:highlight w:val="none"/>
        </w:rPr>
        <w:t>七、申请文件提交</w:t>
      </w:r>
      <w:bookmarkEnd w:id="39"/>
    </w:p>
    <w:p>
      <w:pPr>
        <w:pStyle w:val="2"/>
        <w:ind w:firstLine="420" w:firstLineChars="200"/>
        <w:rPr>
          <w:rFonts w:hint="eastAsia"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rPr>
        <w:t>应在202</w:t>
      </w:r>
      <w:r>
        <w:rPr>
          <w:rFonts w:hint="eastAsia" w:ascii="宋体" w:hAnsi="宋体" w:cs="宋体"/>
          <w:bCs w:val="0"/>
          <w:color w:val="auto"/>
          <w:spacing w:val="0"/>
          <w:sz w:val="21"/>
          <w:szCs w:val="21"/>
          <w:highlight w:val="none"/>
          <w:lang w:val="en-US" w:eastAsia="zh-CN"/>
        </w:rPr>
        <w:t>1</w:t>
      </w:r>
      <w:r>
        <w:rPr>
          <w:rFonts w:hint="eastAsia" w:ascii="宋体" w:hAnsi="宋体" w:cs="宋体"/>
          <w:bCs w:val="0"/>
          <w:color w:val="auto"/>
          <w:spacing w:val="0"/>
          <w:sz w:val="21"/>
          <w:szCs w:val="21"/>
          <w:highlight w:val="none"/>
        </w:rPr>
        <w:t>年</w:t>
      </w:r>
      <w:r>
        <w:rPr>
          <w:rFonts w:hint="eastAsia" w:ascii="宋体" w:hAnsi="宋体" w:cs="宋体"/>
          <w:bCs w:val="0"/>
          <w:color w:val="auto"/>
          <w:spacing w:val="0"/>
          <w:sz w:val="21"/>
          <w:szCs w:val="21"/>
          <w:highlight w:val="none"/>
          <w:lang w:val="en-US" w:eastAsia="zh-CN"/>
        </w:rPr>
        <w:t>3</w:t>
      </w:r>
      <w:r>
        <w:rPr>
          <w:rFonts w:hint="eastAsia" w:ascii="宋体" w:hAnsi="宋体" w:cs="宋体"/>
          <w:bCs w:val="0"/>
          <w:color w:val="auto"/>
          <w:spacing w:val="0"/>
          <w:sz w:val="21"/>
          <w:szCs w:val="21"/>
          <w:highlight w:val="none"/>
        </w:rPr>
        <w:t>月</w:t>
      </w:r>
      <w:r>
        <w:rPr>
          <w:rFonts w:hint="eastAsia" w:ascii="宋体" w:hAnsi="宋体" w:cs="宋体"/>
          <w:bCs w:val="0"/>
          <w:color w:val="auto"/>
          <w:spacing w:val="0"/>
          <w:sz w:val="21"/>
          <w:szCs w:val="21"/>
          <w:highlight w:val="none"/>
          <w:lang w:val="en-US" w:eastAsia="zh-CN"/>
        </w:rPr>
        <w:t>9</w:t>
      </w:r>
      <w:r>
        <w:rPr>
          <w:rFonts w:hint="eastAsia" w:ascii="宋体" w:hAnsi="宋体" w:cs="宋体"/>
          <w:bCs w:val="0"/>
          <w:color w:val="auto"/>
          <w:spacing w:val="0"/>
          <w:sz w:val="21"/>
          <w:szCs w:val="21"/>
          <w:highlight w:val="none"/>
        </w:rPr>
        <w:t>日</w:t>
      </w:r>
      <w:r>
        <w:rPr>
          <w:rFonts w:hint="eastAsia" w:ascii="宋体" w:hAnsi="宋体" w:cs="宋体"/>
          <w:bCs w:val="0"/>
          <w:color w:val="auto"/>
          <w:spacing w:val="0"/>
          <w:sz w:val="21"/>
          <w:szCs w:val="21"/>
          <w:highlight w:val="none"/>
          <w:lang w:val="en-US" w:eastAsia="zh-CN"/>
        </w:rPr>
        <w:t>9</w:t>
      </w:r>
      <w:r>
        <w:rPr>
          <w:rFonts w:hint="eastAsia" w:ascii="宋体" w:hAnsi="宋体" w:cs="宋体"/>
          <w:bCs w:val="0"/>
          <w:color w:val="auto"/>
          <w:spacing w:val="0"/>
          <w:sz w:val="21"/>
          <w:szCs w:val="21"/>
          <w:highlight w:val="none"/>
        </w:rPr>
        <w:t>时</w:t>
      </w:r>
      <w:r>
        <w:rPr>
          <w:rFonts w:hint="eastAsia" w:ascii="宋体" w:hAnsi="宋体" w:cs="宋体"/>
          <w:bCs w:val="0"/>
          <w:color w:val="auto"/>
          <w:spacing w:val="0"/>
          <w:sz w:val="21"/>
          <w:szCs w:val="21"/>
          <w:highlight w:val="none"/>
          <w:lang w:val="en-US" w:eastAsia="zh-CN"/>
        </w:rPr>
        <w:t>30</w:t>
      </w:r>
      <w:r>
        <w:rPr>
          <w:rFonts w:hint="eastAsia" w:ascii="宋体" w:hAnsi="宋体" w:cs="宋体"/>
          <w:bCs w:val="0"/>
          <w:color w:val="auto"/>
          <w:spacing w:val="0"/>
          <w:sz w:val="21"/>
          <w:szCs w:val="21"/>
          <w:highlight w:val="none"/>
        </w:rPr>
        <w:t>分（北京时间）前，将申请文件提交至南宁市良庆区玉洞大道33号（市青少年活动中心旁）南宁市公共资源交易中心开标厅（具体详见9楼电子显示屏场地安排）。</w:t>
      </w:r>
    </w:p>
    <w:p>
      <w:pPr>
        <w:pStyle w:val="4"/>
        <w:spacing w:before="0" w:after="0" w:line="400" w:lineRule="exact"/>
        <w:ind w:firstLine="422" w:firstLineChars="200"/>
        <w:rPr>
          <w:rFonts w:hint="eastAsia" w:ascii="宋体" w:hAnsi="宋体" w:cs="宋体"/>
          <w:color w:val="auto"/>
          <w:sz w:val="21"/>
          <w:szCs w:val="21"/>
          <w:highlight w:val="none"/>
        </w:rPr>
      </w:pPr>
      <w:bookmarkStart w:id="40" w:name="_Toc25899"/>
      <w:r>
        <w:rPr>
          <w:rFonts w:hint="eastAsia" w:ascii="宋体" w:hAnsi="宋体" w:cs="宋体"/>
          <w:color w:val="auto"/>
          <w:sz w:val="21"/>
          <w:szCs w:val="21"/>
          <w:highlight w:val="none"/>
        </w:rPr>
        <w:t>八、资格预审日期</w:t>
      </w:r>
      <w:bookmarkEnd w:id="40"/>
    </w:p>
    <w:p>
      <w:pPr>
        <w:pStyle w:val="2"/>
        <w:ind w:firstLine="420" w:firstLineChars="200"/>
        <w:rPr>
          <w:rFonts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rPr>
        <w:t>资格预审日期为申请文件提交截止时间至202</w:t>
      </w:r>
      <w:r>
        <w:rPr>
          <w:rFonts w:hint="eastAsia" w:ascii="宋体" w:hAnsi="宋体" w:cs="宋体"/>
          <w:bCs w:val="0"/>
          <w:color w:val="auto"/>
          <w:spacing w:val="0"/>
          <w:sz w:val="21"/>
          <w:szCs w:val="21"/>
          <w:highlight w:val="none"/>
          <w:lang w:val="en-US" w:eastAsia="zh-CN"/>
        </w:rPr>
        <w:t>1</w:t>
      </w:r>
      <w:r>
        <w:rPr>
          <w:rFonts w:hint="eastAsia" w:ascii="宋体" w:hAnsi="宋体" w:cs="宋体"/>
          <w:bCs w:val="0"/>
          <w:color w:val="auto"/>
          <w:spacing w:val="0"/>
          <w:sz w:val="21"/>
          <w:szCs w:val="21"/>
          <w:highlight w:val="none"/>
        </w:rPr>
        <w:t>年</w:t>
      </w:r>
      <w:r>
        <w:rPr>
          <w:rFonts w:hint="eastAsia" w:ascii="宋体" w:hAnsi="宋体" w:cs="宋体"/>
          <w:bCs w:val="0"/>
          <w:color w:val="auto"/>
          <w:spacing w:val="0"/>
          <w:sz w:val="21"/>
          <w:szCs w:val="21"/>
          <w:highlight w:val="none"/>
          <w:lang w:val="en-US" w:eastAsia="zh-CN"/>
        </w:rPr>
        <w:t>3</w:t>
      </w:r>
      <w:r>
        <w:rPr>
          <w:rFonts w:hint="eastAsia" w:ascii="宋体" w:hAnsi="宋体" w:cs="宋体"/>
          <w:bCs w:val="0"/>
          <w:color w:val="auto"/>
          <w:spacing w:val="0"/>
          <w:sz w:val="21"/>
          <w:szCs w:val="21"/>
          <w:highlight w:val="none"/>
        </w:rPr>
        <w:t>月</w:t>
      </w:r>
      <w:r>
        <w:rPr>
          <w:rFonts w:hint="eastAsia" w:ascii="宋体" w:hAnsi="宋体" w:cs="宋体"/>
          <w:bCs w:val="0"/>
          <w:color w:val="auto"/>
          <w:spacing w:val="0"/>
          <w:sz w:val="21"/>
          <w:szCs w:val="21"/>
          <w:highlight w:val="none"/>
          <w:lang w:val="en-US" w:eastAsia="zh-CN"/>
        </w:rPr>
        <w:t>9</w:t>
      </w:r>
      <w:r>
        <w:rPr>
          <w:rFonts w:hint="eastAsia" w:ascii="宋体" w:hAnsi="宋体" w:cs="宋体"/>
          <w:bCs w:val="0"/>
          <w:color w:val="auto"/>
          <w:spacing w:val="0"/>
          <w:sz w:val="21"/>
          <w:szCs w:val="21"/>
          <w:highlight w:val="none"/>
        </w:rPr>
        <w:t>日</w:t>
      </w:r>
      <w:r>
        <w:rPr>
          <w:rFonts w:hint="eastAsia" w:ascii="宋体" w:hAnsi="宋体" w:cs="宋体"/>
          <w:bCs w:val="0"/>
          <w:color w:val="auto"/>
          <w:spacing w:val="0"/>
          <w:sz w:val="21"/>
          <w:szCs w:val="21"/>
          <w:highlight w:val="none"/>
          <w:lang w:val="en-US" w:eastAsia="zh-CN"/>
        </w:rPr>
        <w:t>前</w:t>
      </w:r>
      <w:r>
        <w:rPr>
          <w:rFonts w:hint="eastAsia" w:ascii="宋体" w:hAnsi="宋体" w:cs="宋体"/>
          <w:bCs w:val="0"/>
          <w:color w:val="auto"/>
          <w:spacing w:val="0"/>
          <w:sz w:val="21"/>
          <w:szCs w:val="21"/>
          <w:highlight w:val="none"/>
        </w:rPr>
        <w:t>。</w:t>
      </w:r>
    </w:p>
    <w:p>
      <w:pPr>
        <w:pStyle w:val="4"/>
        <w:spacing w:before="0" w:after="0" w:line="400" w:lineRule="exact"/>
        <w:ind w:firstLine="422" w:firstLineChars="200"/>
        <w:rPr>
          <w:rFonts w:hint="eastAsia" w:ascii="宋体" w:hAnsi="宋体" w:cs="宋体"/>
          <w:color w:val="auto"/>
          <w:sz w:val="21"/>
          <w:szCs w:val="21"/>
          <w:highlight w:val="none"/>
        </w:rPr>
      </w:pPr>
      <w:bookmarkStart w:id="41" w:name="_Toc10469"/>
      <w:r>
        <w:rPr>
          <w:rFonts w:hint="eastAsia" w:ascii="宋体" w:hAnsi="宋体" w:cs="宋体"/>
          <w:color w:val="auto"/>
          <w:sz w:val="21"/>
          <w:szCs w:val="21"/>
          <w:highlight w:val="none"/>
        </w:rPr>
        <w:t>九、公告期限</w:t>
      </w:r>
      <w:bookmarkEnd w:id="41"/>
    </w:p>
    <w:p>
      <w:pPr>
        <w:pStyle w:val="2"/>
        <w:ind w:firstLine="420" w:firstLineChars="200"/>
        <w:rPr>
          <w:rFonts w:hint="eastAsia"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lang w:eastAsia="zh-CN"/>
        </w:rPr>
        <w:t>资格预审文件及资格预审公告期限为</w:t>
      </w:r>
      <w:r>
        <w:rPr>
          <w:rFonts w:hint="eastAsia" w:ascii="宋体" w:hAnsi="宋体" w:cs="宋体"/>
          <w:bCs w:val="0"/>
          <w:color w:val="auto"/>
          <w:spacing w:val="0"/>
          <w:sz w:val="21"/>
          <w:szCs w:val="21"/>
          <w:highlight w:val="none"/>
        </w:rPr>
        <w:t>本公告发布之日起5个工作日。</w:t>
      </w:r>
    </w:p>
    <w:p>
      <w:pPr>
        <w:pStyle w:val="4"/>
        <w:spacing w:before="0" w:after="0" w:line="400" w:lineRule="exact"/>
        <w:ind w:firstLine="422" w:firstLineChars="200"/>
        <w:rPr>
          <w:rFonts w:hint="eastAsia" w:ascii="宋体" w:hAnsi="宋体" w:cs="宋体"/>
          <w:color w:val="auto"/>
          <w:sz w:val="21"/>
          <w:szCs w:val="21"/>
          <w:highlight w:val="none"/>
        </w:rPr>
      </w:pPr>
      <w:bookmarkStart w:id="42" w:name="_Toc35393784"/>
      <w:bookmarkStart w:id="43" w:name="_Toc35393615"/>
      <w:bookmarkStart w:id="44" w:name="_Toc2296"/>
      <w:r>
        <w:rPr>
          <w:rFonts w:hint="eastAsia" w:ascii="宋体" w:hAnsi="宋体" w:cs="宋体"/>
          <w:color w:val="auto"/>
          <w:sz w:val="21"/>
          <w:szCs w:val="21"/>
          <w:highlight w:val="none"/>
        </w:rPr>
        <w:t>十、其他补充事宜</w:t>
      </w:r>
      <w:bookmarkEnd w:id="42"/>
      <w:bookmarkEnd w:id="43"/>
      <w:bookmarkEnd w:id="44"/>
    </w:p>
    <w:p>
      <w:pPr>
        <w:spacing w:line="400" w:lineRule="exact"/>
        <w:ind w:firstLine="42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1.投标保证金：根据《南宁市财政局关于推进政府采购“放管服”工作和深化改革有关内容的通知》（南财采[2019]27号）规定，本项目不需要缴纳投标保证金。</w:t>
      </w:r>
    </w:p>
    <w:p>
      <w:pPr>
        <w:spacing w:line="400" w:lineRule="exact"/>
        <w:ind w:firstLine="42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2.资格预审申请文件的有关要求：</w:t>
      </w:r>
    </w:p>
    <w:p>
      <w:pPr>
        <w:spacing w:line="400" w:lineRule="exact"/>
        <w:ind w:firstLine="42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为做好新型冠状病毒肺炎疫情防控工作，根据南宁市财政局《关于做好疫情防控期间政府采购工作有关事项的通知》（南财采〔2020〕12号）要求，疫情防控期间，按照“不见面、少接触”的原则，申请人不参加现场开标活动。本项目的资格预审申请文件通过邮寄快递的方式递交，接收邮寄快递包裹的时间为工作日上午</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:00～12:00，下午1</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:00～1</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:00，申请人应对自己的资格预审申请文件的快递包封和密封性负责，如送达的快递包裹出现破损导致资格预审申请文件密封性包封破损的，后果由申请人自行承担。</w:t>
      </w:r>
    </w:p>
    <w:p>
      <w:pPr>
        <w:spacing w:line="400" w:lineRule="exact"/>
        <w:ind w:firstLine="42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（1）资格预审申请文件必须在投标截止时间前送达</w:t>
      </w:r>
      <w:r>
        <w:rPr>
          <w:rFonts w:hint="eastAsia" w:ascii="宋体" w:hAnsi="宋体" w:cs="宋体"/>
          <w:color w:val="auto"/>
          <w:sz w:val="21"/>
          <w:szCs w:val="21"/>
          <w:highlight w:val="none"/>
          <w:lang w:eastAsia="zh-CN"/>
        </w:rPr>
        <w:t>南宁市公共资源交易中心指定开标厅，为确保资格预审文件顺利送达南宁市公共资源交易中心，邮寄快递或投标人自送包裹送达采购代理机构时间至少为资格预审文件提交截止时间前2个小时</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项目实施机构</w:t>
      </w:r>
      <w:r>
        <w:rPr>
          <w:rFonts w:hint="eastAsia" w:ascii="宋体" w:hAnsi="宋体" w:cs="宋体"/>
          <w:color w:val="auto"/>
          <w:sz w:val="21"/>
          <w:szCs w:val="21"/>
          <w:highlight w:val="none"/>
        </w:rPr>
        <w:t>或采购代理机构工作人员签收包裹的时间即为申请人资格预审申请文件的送达时间，逾期送达的资格预审申请文件无效，后果由申请人自行承担。</w:t>
      </w:r>
    </w:p>
    <w:p>
      <w:pPr>
        <w:spacing w:line="400" w:lineRule="exact"/>
        <w:ind w:firstLine="42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（2）申请人应充分预留资格预审申请文件邮寄、送达所需要的时间。为确保疫情防控期间邮寄包裹能及时送达，应选择邮寄运送时间有保障的快递公司寄送资格预审申请文件。</w:t>
      </w:r>
    </w:p>
    <w:p>
      <w:pPr>
        <w:spacing w:line="400" w:lineRule="exact"/>
        <w:ind w:firstLine="420"/>
        <w:jc w:val="both"/>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（3）申请人在按照资格预审文件的要求装订、密封好资格预审申请文件后，同时附上加盖单位公章的营业执照或事业单位法人证书副本复印件等相关材料</w:t>
      </w:r>
      <w:r>
        <w:rPr>
          <w:rFonts w:hint="eastAsia" w:ascii="宋体" w:hAnsi="宋体" w:cs="宋体"/>
          <w:b/>
          <w:bCs/>
          <w:color w:val="auto"/>
          <w:sz w:val="21"/>
          <w:szCs w:val="21"/>
          <w:highlight w:val="none"/>
        </w:rPr>
        <w:t>（根据南宁市财政局有关文件规定，采购代理机构开标现场需登陆开标系统并输入申请人全称、社会统一信用代码、联系电话等信息完成签到手续，请于投标截止时间前提供上述信息，逾期后果自负）</w:t>
      </w:r>
      <w:r>
        <w:rPr>
          <w:rFonts w:hint="eastAsia" w:ascii="宋体" w:hAnsi="宋体" w:cs="宋体"/>
          <w:color w:val="auto"/>
          <w:sz w:val="21"/>
          <w:szCs w:val="21"/>
          <w:highlight w:val="none"/>
        </w:rPr>
        <w:t>，应使用不透明、防水的邮寄袋（或箱）再次包裹已密封好的资格预审申请文件，并在邮寄袋（或箱）上粘牢注明项目名称、项目编号、项目开标日期、有效的电子邮箱、联系人及电话等内容的纸质表格</w:t>
      </w:r>
      <w:r>
        <w:rPr>
          <w:rFonts w:hint="eastAsia" w:ascii="宋体" w:hAnsi="宋体" w:cs="宋体"/>
          <w:color w:val="auto"/>
          <w:sz w:val="21"/>
          <w:szCs w:val="21"/>
          <w:highlight w:val="none"/>
          <w:lang w:eastAsia="zh-CN"/>
        </w:rPr>
        <w:t>。</w:t>
      </w:r>
    </w:p>
    <w:p>
      <w:pPr>
        <w:spacing w:line="400" w:lineRule="exact"/>
        <w:ind w:firstLine="42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（4）采购代理机构在收到资格预审申请文件的邮寄包裹后，第一时间按照申请人在邮寄包裹上所预留的电子邮箱告知资格预审文件收件情况，请申请人务必确保所预留的电子邮箱的有效性，并注意查收邮件。</w:t>
      </w:r>
    </w:p>
    <w:p>
      <w:pPr>
        <w:spacing w:line="400" w:lineRule="exact"/>
        <w:ind w:firstLine="420"/>
        <w:jc w:val="both"/>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（5）资格预审申请文件邮寄</w:t>
      </w:r>
      <w:r>
        <w:rPr>
          <w:rFonts w:hint="eastAsia" w:ascii="宋体" w:hAnsi="宋体" w:cs="宋体"/>
          <w:b/>
          <w:bCs/>
          <w:color w:val="auto"/>
          <w:sz w:val="21"/>
          <w:szCs w:val="21"/>
          <w:highlight w:val="none"/>
          <w:lang w:eastAsia="zh-CN"/>
        </w:rPr>
        <w:t>或自送</w:t>
      </w:r>
      <w:r>
        <w:rPr>
          <w:rFonts w:hint="eastAsia" w:ascii="宋体" w:hAnsi="宋体" w:cs="宋体"/>
          <w:b/>
          <w:bCs/>
          <w:color w:val="auto"/>
          <w:sz w:val="21"/>
          <w:szCs w:val="21"/>
          <w:highlight w:val="none"/>
        </w:rPr>
        <w:t>地址：</w:t>
      </w:r>
      <w:r>
        <w:rPr>
          <w:rFonts w:hint="eastAsia" w:ascii="宋体" w:hAnsi="宋体" w:cs="宋体"/>
          <w:b/>
          <w:bCs/>
          <w:color w:val="auto"/>
          <w:sz w:val="21"/>
          <w:szCs w:val="21"/>
          <w:highlight w:val="none"/>
          <w:lang w:eastAsia="zh-CN"/>
        </w:rPr>
        <w:t>南宁市民族大道</w:t>
      </w:r>
      <w:r>
        <w:rPr>
          <w:rFonts w:hint="eastAsia" w:ascii="宋体" w:hAnsi="宋体" w:cs="宋体"/>
          <w:b/>
          <w:bCs/>
          <w:color w:val="auto"/>
          <w:sz w:val="21"/>
          <w:szCs w:val="21"/>
          <w:highlight w:val="none"/>
          <w:lang w:val="en-US" w:eastAsia="zh-CN"/>
        </w:rPr>
        <w:t>141号中鼎万象东方D区5楼设备部</w:t>
      </w:r>
      <w:r>
        <w:rPr>
          <w:rFonts w:hint="eastAsia" w:ascii="宋体" w:hAnsi="宋体" w:cs="宋体"/>
          <w:b/>
          <w:bCs/>
          <w:color w:val="auto"/>
          <w:sz w:val="21"/>
          <w:szCs w:val="21"/>
          <w:highlight w:val="none"/>
        </w:rPr>
        <w:t>，收件人：</w:t>
      </w:r>
      <w:r>
        <w:rPr>
          <w:rFonts w:hint="eastAsia" w:ascii="宋体" w:hAnsi="宋体" w:cs="宋体"/>
          <w:b/>
          <w:bCs/>
          <w:color w:val="auto"/>
          <w:sz w:val="21"/>
          <w:szCs w:val="21"/>
          <w:highlight w:val="none"/>
          <w:lang w:eastAsia="zh-CN"/>
        </w:rPr>
        <w:t>雷芳莉</w:t>
      </w:r>
      <w:r>
        <w:rPr>
          <w:rFonts w:hint="eastAsia" w:ascii="宋体" w:hAnsi="宋体" w:cs="宋体"/>
          <w:b/>
          <w:bCs/>
          <w:color w:val="auto"/>
          <w:sz w:val="21"/>
          <w:szCs w:val="21"/>
          <w:highlight w:val="none"/>
        </w:rPr>
        <w:t>，联系电话：0771-</w:t>
      </w:r>
      <w:r>
        <w:rPr>
          <w:rFonts w:hint="eastAsia" w:ascii="宋体" w:hAnsi="宋体" w:cs="宋体"/>
          <w:b/>
          <w:bCs/>
          <w:color w:val="auto"/>
          <w:sz w:val="21"/>
          <w:szCs w:val="21"/>
          <w:highlight w:val="none"/>
          <w:lang w:val="en-US" w:eastAsia="zh-CN"/>
        </w:rPr>
        <w:t>2023903</w:t>
      </w:r>
      <w:r>
        <w:rPr>
          <w:rFonts w:hint="eastAsia" w:ascii="宋体" w:hAnsi="宋体" w:cs="宋体"/>
          <w:b/>
          <w:bCs/>
          <w:color w:val="auto"/>
          <w:sz w:val="21"/>
          <w:szCs w:val="21"/>
          <w:highlight w:val="none"/>
        </w:rPr>
        <w:t>。</w:t>
      </w:r>
    </w:p>
    <w:p>
      <w:pPr>
        <w:spacing w:line="400" w:lineRule="exact"/>
        <w:ind w:firstLine="42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3.关于资格预审申请文件澄清的有关要求:</w:t>
      </w:r>
    </w:p>
    <w:p>
      <w:pPr>
        <w:spacing w:line="400" w:lineRule="exact"/>
        <w:ind w:firstLine="42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（1）为便于采购代理机构或评标委员会在项目评标期间与申请人取得联系，做好评标过程中申请人对资格预审申请文件的澄清、说明或者补正等工作，申请人务必做到：</w:t>
      </w:r>
      <w:r>
        <w:rPr>
          <w:rFonts w:hint="eastAsia" w:ascii="宋体" w:hAnsi="宋体" w:cs="宋体"/>
          <w:color w:val="auto"/>
          <w:sz w:val="21"/>
          <w:szCs w:val="21"/>
          <w:highlight w:val="none"/>
          <w:lang w:eastAsia="zh-CN"/>
        </w:rPr>
        <w:t>第四章</w:t>
      </w:r>
      <w:r>
        <w:rPr>
          <w:rFonts w:hint="eastAsia" w:ascii="宋体" w:hAnsi="宋体" w:cs="宋体"/>
          <w:color w:val="auto"/>
          <w:sz w:val="21"/>
          <w:szCs w:val="21"/>
          <w:highlight w:val="none"/>
        </w:rPr>
        <w:t>“资格预审申请文件格式”中“资格预审申请函”落款处的“电话”务必填写法定代表人或委托代理人的电话联系方式。</w:t>
      </w:r>
    </w:p>
    <w:p>
      <w:pPr>
        <w:spacing w:line="400" w:lineRule="exact"/>
        <w:ind w:firstLine="42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2）开标当天申请人务必保持电话畅通。如果评标过程中需要申请人对资格预审申请文件作出澄清、说明或者补正的，评标委员会会通知申请人在规定的时间内通过电子邮件、传真等方式提交。申请人所提交的澄清、说明或者补正等材料必须加盖申请人的公章确认。</w:t>
      </w:r>
    </w:p>
    <w:p>
      <w:pPr>
        <w:spacing w:line="400" w:lineRule="exact"/>
        <w:ind w:firstLine="42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3）如申请人未按上述要求提供联系方式，致使采购代理机构或评标委员会在项目评标期间无法与申请人取得联系的，或因自身原因未能保持电话畅通或未按评标委员会要求提交澄清、说明或者补正的，后果由申请人自行承担。</w:t>
      </w:r>
    </w:p>
    <w:p>
      <w:pPr>
        <w:spacing w:line="400" w:lineRule="exact"/>
        <w:ind w:firstLine="42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4.关于开标会的有关要求：</w:t>
      </w:r>
    </w:p>
    <w:p>
      <w:pPr>
        <w:spacing w:line="400" w:lineRule="exact"/>
        <w:ind w:firstLine="42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为做好疫情防控工作，避免开标会现场人员密集，本项目开标会过程中所有需要申请人签字确认的表格，取消签字流程，申请人不参加开标会。开标会现场，由采购代理机构工作人员主持，</w:t>
      </w:r>
      <w:r>
        <w:rPr>
          <w:rFonts w:hint="eastAsia" w:ascii="宋体" w:hAnsi="宋体" w:cs="宋体"/>
          <w:color w:val="auto"/>
          <w:sz w:val="21"/>
          <w:szCs w:val="21"/>
          <w:highlight w:val="none"/>
          <w:lang w:eastAsia="zh-CN"/>
        </w:rPr>
        <w:t>项目实施机构</w:t>
      </w:r>
      <w:r>
        <w:rPr>
          <w:rFonts w:hint="eastAsia" w:ascii="宋体" w:hAnsi="宋体" w:cs="宋体"/>
          <w:color w:val="auto"/>
          <w:sz w:val="21"/>
          <w:szCs w:val="21"/>
          <w:highlight w:val="none"/>
        </w:rPr>
        <w:t>代表、监督部门代表以及南宁市公共资源交易中心工作人员进行现场全流程见证完成开标会活动。</w:t>
      </w:r>
    </w:p>
    <w:p>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cs="宋体"/>
          <w:bCs w:val="0"/>
          <w:color w:val="auto"/>
          <w:spacing w:val="0"/>
          <w:kern w:val="2"/>
          <w:sz w:val="21"/>
          <w:szCs w:val="21"/>
          <w:highlight w:val="none"/>
          <w:lang w:val="en-US" w:eastAsia="zh-CN" w:bidi="ar-SA"/>
        </w:rPr>
      </w:pPr>
      <w:r>
        <w:rPr>
          <w:rFonts w:hint="eastAsia" w:ascii="宋体" w:hAnsi="宋体" w:cs="宋体"/>
          <w:bCs w:val="0"/>
          <w:color w:val="auto"/>
          <w:spacing w:val="0"/>
          <w:kern w:val="2"/>
          <w:sz w:val="21"/>
          <w:szCs w:val="21"/>
          <w:highlight w:val="none"/>
          <w:lang w:val="en-US" w:eastAsia="zh-CN" w:bidi="ar-SA"/>
        </w:rPr>
        <w:t>5.未注册的供应商可登录政采云平台进行注册（政采云平台-商家入驻-注册），如在操作过程中遇到问题或者需要技术支持，请致电政采云客服热线：400-881-7190。】</w:t>
      </w:r>
    </w:p>
    <w:p>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cs="宋体"/>
          <w:bCs w:val="0"/>
          <w:color w:val="auto"/>
          <w:spacing w:val="0"/>
          <w:kern w:val="2"/>
          <w:sz w:val="21"/>
          <w:szCs w:val="21"/>
          <w:highlight w:val="none"/>
          <w:lang w:val="en-US" w:eastAsia="zh-CN" w:bidi="ar-SA"/>
        </w:rPr>
      </w:pPr>
      <w:r>
        <w:rPr>
          <w:rFonts w:hint="eastAsia" w:ascii="宋体" w:hAnsi="宋体" w:cs="宋体"/>
          <w:bCs w:val="0"/>
          <w:color w:val="auto"/>
          <w:spacing w:val="0"/>
          <w:kern w:val="2"/>
          <w:sz w:val="21"/>
          <w:szCs w:val="21"/>
          <w:highlight w:val="none"/>
          <w:lang w:val="en-US" w:eastAsia="zh-CN" w:bidi="ar-SA"/>
        </w:rPr>
        <w:t>6.本次资格预审公告在以下媒体发布：中国政府采购网：http://www.ccgp.gov.cn/、广西壮族自治区政府采购网：http://</w:t>
      </w:r>
      <w:r>
        <w:rPr>
          <w:rFonts w:hint="eastAsia" w:ascii="宋体" w:hAnsi="宋体" w:cs="宋体"/>
          <w:bCs w:val="0"/>
          <w:color w:val="auto"/>
          <w:spacing w:val="0"/>
          <w:kern w:val="2"/>
          <w:sz w:val="21"/>
          <w:szCs w:val="21"/>
          <w:highlight w:val="none"/>
          <w:lang w:val="en-US" w:eastAsia="zh-CN" w:bidi="ar-SA"/>
        </w:rPr>
        <w:fldChar w:fldCharType="begin"/>
      </w:r>
      <w:r>
        <w:rPr>
          <w:rFonts w:hint="eastAsia" w:ascii="宋体" w:hAnsi="宋体" w:cs="宋体"/>
          <w:bCs w:val="0"/>
          <w:color w:val="auto"/>
          <w:spacing w:val="0"/>
          <w:kern w:val="2"/>
          <w:sz w:val="21"/>
          <w:szCs w:val="21"/>
          <w:highlight w:val="none"/>
          <w:lang w:val="en-US" w:eastAsia="zh-CN" w:bidi="ar-SA"/>
        </w:rPr>
        <w:instrText xml:space="preserve">HYPERLINK "file:///G:\\邕江综合整治项目A标段材料\\成果文件\\AppData\\Desktop\\30406F\\www.gxcz.gov.cn"</w:instrText>
      </w:r>
      <w:r>
        <w:rPr>
          <w:rFonts w:hint="eastAsia" w:ascii="宋体" w:hAnsi="宋体" w:cs="宋体"/>
          <w:bCs w:val="0"/>
          <w:color w:val="auto"/>
          <w:spacing w:val="0"/>
          <w:kern w:val="2"/>
          <w:sz w:val="21"/>
          <w:szCs w:val="21"/>
          <w:highlight w:val="none"/>
          <w:lang w:val="en-US" w:eastAsia="zh-CN" w:bidi="ar-SA"/>
        </w:rPr>
        <w:fldChar w:fldCharType="separate"/>
      </w:r>
      <w:r>
        <w:rPr>
          <w:rFonts w:hint="eastAsia" w:ascii="宋体" w:hAnsi="宋体" w:cs="宋体"/>
          <w:bCs w:val="0"/>
          <w:color w:val="auto"/>
          <w:spacing w:val="0"/>
          <w:kern w:val="2"/>
          <w:sz w:val="21"/>
          <w:szCs w:val="21"/>
          <w:highlight w:val="none"/>
          <w:lang w:val="en-US" w:eastAsia="zh-CN" w:bidi="ar-SA"/>
        </w:rPr>
        <w:t>zfcg.gxzf.gov.cn</w:t>
      </w:r>
      <w:r>
        <w:rPr>
          <w:rFonts w:hint="eastAsia" w:ascii="宋体" w:hAnsi="宋体" w:cs="宋体"/>
          <w:bCs w:val="0"/>
          <w:color w:val="auto"/>
          <w:spacing w:val="0"/>
          <w:kern w:val="2"/>
          <w:sz w:val="21"/>
          <w:szCs w:val="21"/>
          <w:highlight w:val="none"/>
          <w:lang w:val="en-US" w:eastAsia="zh-CN" w:bidi="ar-SA"/>
        </w:rPr>
        <w:fldChar w:fldCharType="end"/>
      </w:r>
      <w:r>
        <w:rPr>
          <w:rFonts w:hint="eastAsia" w:ascii="宋体" w:hAnsi="宋体" w:cs="宋体"/>
          <w:bCs w:val="0"/>
          <w:color w:val="auto"/>
          <w:spacing w:val="0"/>
          <w:kern w:val="2"/>
          <w:sz w:val="21"/>
          <w:szCs w:val="21"/>
          <w:highlight w:val="none"/>
          <w:lang w:val="en-US" w:eastAsia="zh-CN" w:bidi="ar-SA"/>
        </w:rPr>
        <w:t> 、南宁市公共资源交易中心网：</w:t>
      </w:r>
      <w:r>
        <w:rPr>
          <w:rFonts w:hint="eastAsia" w:ascii="宋体" w:hAnsi="宋体" w:cs="宋体"/>
          <w:bCs w:val="0"/>
          <w:color w:val="auto"/>
          <w:spacing w:val="0"/>
          <w:kern w:val="2"/>
          <w:sz w:val="21"/>
          <w:szCs w:val="21"/>
          <w:highlight w:val="none"/>
          <w:lang w:val="en-US" w:eastAsia="zh-CN" w:bidi="ar-SA"/>
        </w:rPr>
        <w:fldChar w:fldCharType="begin"/>
      </w:r>
      <w:r>
        <w:rPr>
          <w:rFonts w:hint="eastAsia" w:ascii="宋体" w:hAnsi="宋体" w:cs="宋体"/>
          <w:bCs w:val="0"/>
          <w:color w:val="auto"/>
          <w:spacing w:val="0"/>
          <w:kern w:val="2"/>
          <w:sz w:val="21"/>
          <w:szCs w:val="21"/>
          <w:highlight w:val="none"/>
          <w:lang w:val="en-US" w:eastAsia="zh-CN" w:bidi="ar-SA"/>
        </w:rPr>
        <w:instrText xml:space="preserve"> HYPERLINK "https://www.nnggzy.org.cn/gxnnzbw/" </w:instrText>
      </w:r>
      <w:r>
        <w:rPr>
          <w:rFonts w:hint="eastAsia" w:ascii="宋体" w:hAnsi="宋体" w:cs="宋体"/>
          <w:bCs w:val="0"/>
          <w:color w:val="auto"/>
          <w:spacing w:val="0"/>
          <w:kern w:val="2"/>
          <w:sz w:val="21"/>
          <w:szCs w:val="21"/>
          <w:highlight w:val="none"/>
          <w:lang w:val="en-US" w:eastAsia="zh-CN" w:bidi="ar-SA"/>
        </w:rPr>
        <w:fldChar w:fldCharType="separate"/>
      </w:r>
      <w:r>
        <w:rPr>
          <w:rFonts w:hint="eastAsia" w:ascii="宋体" w:hAnsi="宋体" w:cs="宋体"/>
          <w:bCs w:val="0"/>
          <w:color w:val="auto"/>
          <w:spacing w:val="0"/>
          <w:kern w:val="2"/>
          <w:sz w:val="21"/>
          <w:szCs w:val="21"/>
          <w:highlight w:val="none"/>
          <w:lang w:val="en-US" w:eastAsia="zh-CN" w:bidi="ar-SA"/>
        </w:rPr>
        <w:t>https://www.nnggzy.org.cn/gxnnzbw/</w:t>
      </w:r>
      <w:r>
        <w:rPr>
          <w:rFonts w:hint="eastAsia" w:ascii="宋体" w:hAnsi="宋体" w:cs="宋体"/>
          <w:bCs w:val="0"/>
          <w:color w:val="auto"/>
          <w:spacing w:val="0"/>
          <w:kern w:val="2"/>
          <w:sz w:val="21"/>
          <w:szCs w:val="21"/>
          <w:highlight w:val="none"/>
          <w:lang w:val="en-US" w:eastAsia="zh-CN" w:bidi="ar-SA"/>
        </w:rPr>
        <w:fldChar w:fldCharType="end"/>
      </w:r>
      <w:r>
        <w:rPr>
          <w:rFonts w:hint="eastAsia" w:ascii="宋体" w:hAnsi="宋体" w:cs="宋体"/>
          <w:bCs w:val="0"/>
          <w:color w:val="auto"/>
          <w:spacing w:val="0"/>
          <w:kern w:val="2"/>
          <w:sz w:val="21"/>
          <w:szCs w:val="21"/>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cs="宋体"/>
          <w:bCs w:val="0"/>
          <w:color w:val="auto"/>
          <w:spacing w:val="0"/>
          <w:kern w:val="2"/>
          <w:sz w:val="21"/>
          <w:szCs w:val="21"/>
          <w:highlight w:val="none"/>
          <w:lang w:val="en-US" w:eastAsia="zh-CN" w:bidi="ar-SA"/>
        </w:rPr>
      </w:pPr>
      <w:r>
        <w:rPr>
          <w:rFonts w:hint="eastAsia" w:ascii="宋体" w:hAnsi="宋体" w:cs="宋体"/>
          <w:bCs w:val="0"/>
          <w:color w:val="auto"/>
          <w:spacing w:val="0"/>
          <w:kern w:val="2"/>
          <w:sz w:val="21"/>
          <w:szCs w:val="21"/>
          <w:highlight w:val="none"/>
          <w:lang w:val="en-US" w:eastAsia="zh-CN" w:bidi="ar-SA"/>
        </w:rPr>
        <w:t>7.本项目需要落实的政府采购政策：《政府采购促进中小企业发展管理办法》财库〔2020〕46号(财库[2011]181号)、《关于政府采购支持监狱企业发展有关问题的通知》（财库[2014]68号）、《关于我区政府采购支持监狱企业发展有关问题的通知》（桂财采[2015]24号）、《三部门联合发布关于促进残疾人就业政府采购政策的通知》（财库[2017]141号）、强制采购、优先采购节能产品、环境标志产品、《招标采购促进广西工业产品产销对接实施细则》（桂政办发[2015]78号）等政府采购相关政策。</w:t>
      </w:r>
    </w:p>
    <w:p>
      <w:pPr>
        <w:pStyle w:val="4"/>
        <w:spacing w:before="0" w:after="0" w:line="400" w:lineRule="exact"/>
        <w:rPr>
          <w:rFonts w:hint="eastAsia" w:ascii="宋体" w:hAnsi="宋体" w:cs="宋体"/>
          <w:color w:val="auto"/>
          <w:sz w:val="21"/>
          <w:szCs w:val="21"/>
          <w:highlight w:val="none"/>
        </w:rPr>
      </w:pPr>
      <w:bookmarkStart w:id="45" w:name="_Toc35393616"/>
      <w:bookmarkStart w:id="46" w:name="_Toc28358997"/>
      <w:bookmarkStart w:id="47" w:name="_Toc28359074"/>
      <w:bookmarkStart w:id="48" w:name="_Toc23021"/>
      <w:bookmarkStart w:id="49" w:name="_Toc35393785"/>
      <w:bookmarkStart w:id="50" w:name="_GoBack"/>
      <w:r>
        <w:rPr>
          <w:rFonts w:hint="eastAsia" w:ascii="宋体" w:hAnsi="宋体" w:cs="宋体"/>
          <w:color w:val="auto"/>
          <w:sz w:val="21"/>
          <w:szCs w:val="21"/>
          <w:highlight w:val="none"/>
        </w:rPr>
        <w:t>十一、凡对本次资格预审提出询问，请按以下方式联系</w:t>
      </w:r>
      <w:bookmarkEnd w:id="45"/>
      <w:bookmarkEnd w:id="46"/>
      <w:bookmarkEnd w:id="47"/>
      <w:bookmarkEnd w:id="48"/>
      <w:bookmarkEnd w:id="49"/>
    </w:p>
    <w:bookmarkEnd w:id="50"/>
    <w:p>
      <w:pPr>
        <w:spacing w:line="4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1.采购人信息</w:t>
      </w:r>
    </w:p>
    <w:p>
      <w:pPr>
        <w:spacing w:line="4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名称：</w:t>
      </w:r>
      <w:r>
        <w:rPr>
          <w:rFonts w:hint="eastAsia" w:ascii="宋体" w:hAnsi="宋体" w:cs="宋体"/>
          <w:color w:val="auto"/>
          <w:sz w:val="21"/>
          <w:szCs w:val="21"/>
          <w:highlight w:val="none"/>
          <w:lang w:eastAsia="zh-CN"/>
        </w:rPr>
        <w:t>南宁市青秀区卫生健康局</w:t>
      </w:r>
    </w:p>
    <w:p>
      <w:pPr>
        <w:spacing w:line="4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lang w:eastAsia="zh-CN"/>
        </w:rPr>
        <w:t>南宁市青秀区悦宾路1号</w:t>
      </w:r>
    </w:p>
    <w:p>
      <w:pPr>
        <w:spacing w:line="4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联系方式：</w:t>
      </w:r>
      <w:r>
        <w:rPr>
          <w:rFonts w:hint="eastAsia" w:ascii="宋体" w:hAnsi="宋体" w:cs="宋体"/>
          <w:color w:val="auto"/>
          <w:sz w:val="21"/>
          <w:szCs w:val="21"/>
          <w:highlight w:val="none"/>
          <w:lang w:eastAsia="zh-CN"/>
        </w:rPr>
        <w:t>谭主任</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lang w:eastAsia="zh-CN"/>
        </w:rPr>
        <w:t>0771-5826593</w:t>
      </w:r>
      <w:r>
        <w:rPr>
          <w:rFonts w:hint="eastAsia" w:ascii="宋体" w:hAnsi="宋体" w:cs="宋体"/>
          <w:color w:val="auto"/>
          <w:sz w:val="21"/>
          <w:szCs w:val="21"/>
          <w:highlight w:val="none"/>
        </w:rPr>
        <w:t xml:space="preserve">　　　　　　　　　　　 　　　　　　　　　　　 </w:t>
      </w:r>
    </w:p>
    <w:p>
      <w:pPr>
        <w:spacing w:line="4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2.采购代理机构信息</w:t>
      </w:r>
    </w:p>
    <w:p>
      <w:pPr>
        <w:spacing w:line="4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名称：广西科文招标有限公司</w:t>
      </w:r>
    </w:p>
    <w:p>
      <w:pPr>
        <w:spacing w:line="4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地址：广西南宁市民族大道141号中鼎万象东方D区五层</w:t>
      </w:r>
    </w:p>
    <w:p>
      <w:pPr>
        <w:spacing w:line="4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联系方式：</w:t>
      </w:r>
      <w:r>
        <w:rPr>
          <w:rFonts w:hint="eastAsia" w:ascii="宋体" w:hAnsi="宋体" w:cs="宋体"/>
          <w:color w:val="auto"/>
          <w:sz w:val="21"/>
          <w:szCs w:val="21"/>
          <w:highlight w:val="none"/>
          <w:lang w:eastAsia="zh-CN"/>
        </w:rPr>
        <w:t>雷芳莉</w:t>
      </w:r>
      <w:r>
        <w:rPr>
          <w:rFonts w:hint="eastAsia" w:ascii="宋体" w:hAnsi="宋体" w:cs="宋体"/>
          <w:color w:val="auto"/>
          <w:sz w:val="21"/>
          <w:szCs w:val="21"/>
          <w:highlight w:val="none"/>
        </w:rPr>
        <w:t>，联系电话：0771-</w:t>
      </w:r>
      <w:r>
        <w:rPr>
          <w:rFonts w:hint="eastAsia" w:ascii="宋体" w:hAnsi="宋体" w:cs="宋体"/>
          <w:color w:val="auto"/>
          <w:sz w:val="21"/>
          <w:szCs w:val="21"/>
          <w:highlight w:val="none"/>
          <w:lang w:eastAsia="zh-CN"/>
        </w:rPr>
        <w:t>2023903</w:t>
      </w:r>
      <w:r>
        <w:rPr>
          <w:rFonts w:hint="eastAsia" w:ascii="宋体" w:hAnsi="宋体" w:cs="宋体"/>
          <w:color w:val="auto"/>
          <w:sz w:val="21"/>
          <w:szCs w:val="21"/>
          <w:highlight w:val="none"/>
        </w:rPr>
        <w:t>，传真：0771-2023997</w:t>
      </w:r>
    </w:p>
    <w:p>
      <w:pPr>
        <w:spacing w:line="4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3.项目联系方式</w:t>
      </w:r>
    </w:p>
    <w:p>
      <w:pPr>
        <w:spacing w:line="400" w:lineRule="exact"/>
        <w:ind w:firstLine="420" w:firstLineChars="200"/>
        <w:jc w:val="lef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项目联系人：</w:t>
      </w:r>
      <w:r>
        <w:rPr>
          <w:rFonts w:hint="eastAsia" w:ascii="宋体" w:hAnsi="宋体" w:cs="宋体"/>
          <w:color w:val="auto"/>
          <w:sz w:val="21"/>
          <w:szCs w:val="21"/>
          <w:highlight w:val="none"/>
          <w:lang w:eastAsia="zh-CN"/>
        </w:rPr>
        <w:t>雷芳莉</w:t>
      </w:r>
    </w:p>
    <w:p>
      <w:pPr>
        <w:spacing w:line="400" w:lineRule="exact"/>
        <w:ind w:firstLine="420" w:firstLineChars="200"/>
        <w:jc w:val="lef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电话：0771-</w:t>
      </w:r>
      <w:r>
        <w:rPr>
          <w:rFonts w:hint="eastAsia" w:ascii="宋体" w:hAnsi="宋体" w:cs="宋体"/>
          <w:color w:val="auto"/>
          <w:sz w:val="21"/>
          <w:szCs w:val="21"/>
          <w:highlight w:val="none"/>
          <w:lang w:eastAsia="zh-CN"/>
        </w:rPr>
        <w:t>2023903</w:t>
      </w:r>
    </w:p>
    <w:p>
      <w:pPr>
        <w:spacing w:line="400" w:lineRule="exact"/>
        <w:ind w:firstLine="420" w:firstLineChars="200"/>
        <w:jc w:val="righ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广西科文招标有限公司</w:t>
      </w:r>
    </w:p>
    <w:p>
      <w:pPr>
        <w:spacing w:line="400" w:lineRule="exact"/>
        <w:ind w:firstLine="420" w:firstLineChars="200"/>
        <w:jc w:val="right"/>
        <w:rPr>
          <w:rFonts w:ascii="仿宋" w:hAnsi="仿宋" w:eastAsia="仿宋"/>
          <w:color w:val="auto"/>
          <w:sz w:val="28"/>
          <w:szCs w:val="28"/>
          <w:highlight w:val="yellow"/>
          <w:u w:val="single"/>
        </w:rPr>
      </w:pPr>
      <w:r>
        <w:rPr>
          <w:rFonts w:hint="eastAsia" w:ascii="宋体" w:hAnsi="宋体" w:cs="宋体"/>
          <w:color w:val="auto"/>
          <w:sz w:val="21"/>
          <w:szCs w:val="21"/>
          <w:highlight w:val="none"/>
        </w:rPr>
        <w:t>202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日</w:t>
      </w:r>
    </w:p>
    <w:bookmarkEnd w:id="0"/>
    <w:bookmarkEnd w:id="1"/>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8F5DE6"/>
    <w:multiLevelType w:val="singleLevel"/>
    <w:tmpl w:val="CE8F5DE6"/>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955C4F"/>
    <w:rsid w:val="04955C4F"/>
    <w:rsid w:val="131F08F5"/>
    <w:rsid w:val="1391701B"/>
    <w:rsid w:val="2F381DF9"/>
    <w:rsid w:val="502758B4"/>
    <w:rsid w:val="5045162E"/>
    <w:rsid w:val="54064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rFonts w:ascii="Calibri" w:hAnsi="Calibri"/>
      <w:bCs/>
      <w:spacing w:val="10"/>
      <w:sz w:val="24"/>
    </w:rPr>
  </w:style>
  <w:style w:type="paragraph" w:customStyle="1" w:styleId="7">
    <w:name w:val="05正文"/>
    <w:basedOn w:val="1"/>
    <w:qFormat/>
    <w:uiPriority w:val="0"/>
    <w:pPr>
      <w:widowControl w:val="0"/>
      <w:spacing w:line="560" w:lineRule="exact"/>
      <w:ind w:firstLine="200" w:firstLineChars="200"/>
      <w:jc w:val="both"/>
    </w:pPr>
    <w:rPr>
      <w:rFonts w:ascii="宋体" w:hAnsi="宋体" w:cs="Times New Roman"/>
      <w:kern w:val="2"/>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2021-02-05T03:30:00Z</dcterms:created>
  <dc:creator>NTKO</dc:creator>
  <cp:lastModifiedBy>Max</cp:lastModifiedBy>
  <dcterms:modified xsi:type="dcterms:W3CDTF">2021-02-09T03:18:41Z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