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hint="eastAsia" w:ascii="宋体" w:hAnsi="宋体" w:cs="宋体"/>
          <w:color w:val="auto"/>
          <w:sz w:val="36"/>
          <w:szCs w:val="36"/>
          <w:lang w:eastAsia="zh-CN"/>
        </w:rPr>
      </w:pPr>
      <w:r>
        <w:rPr>
          <w:rFonts w:hint="eastAsia" w:ascii="宋体" w:hAnsi="宋体" w:cs="宋体"/>
          <w:color w:val="auto"/>
          <w:sz w:val="36"/>
          <w:szCs w:val="36"/>
          <w:lang w:eastAsia="zh-CN"/>
        </w:rPr>
        <w:t>广西科文招标有限公司青秀区医疗卫生提升PPP项目合作社会资本投资方采购（NNZC2021-G3-030002-KWZB</w:t>
      </w:r>
      <w:r>
        <w:rPr>
          <w:rFonts w:hint="eastAsia" w:ascii="宋体" w:hAnsi="宋体" w:cs="宋体"/>
          <w:color w:val="auto"/>
          <w:sz w:val="36"/>
          <w:szCs w:val="36"/>
          <w:lang w:val="en-US" w:eastAsia="zh-CN"/>
        </w:rPr>
        <w:t>-Y</w:t>
      </w:r>
      <w:r>
        <w:rPr>
          <w:rFonts w:hint="eastAsia" w:ascii="宋体" w:hAnsi="宋体" w:cs="宋体"/>
          <w:color w:val="auto"/>
          <w:sz w:val="36"/>
          <w:szCs w:val="36"/>
          <w:lang w:eastAsia="zh-CN"/>
        </w:rPr>
        <w:t>）</w:t>
      </w:r>
    </w:p>
    <w:p>
      <w:pPr>
        <w:pStyle w:val="3"/>
        <w:spacing w:before="0" w:after="0" w:line="360" w:lineRule="auto"/>
        <w:jc w:val="center"/>
        <w:rPr>
          <w:rFonts w:ascii="宋体" w:hAnsi="宋体" w:cs="宋体"/>
          <w:color w:val="auto"/>
          <w:sz w:val="36"/>
          <w:szCs w:val="36"/>
        </w:rPr>
      </w:pPr>
      <w:r>
        <w:rPr>
          <w:rFonts w:hint="eastAsia" w:ascii="宋体" w:hAnsi="宋体" w:cs="宋体"/>
          <w:color w:val="auto"/>
          <w:sz w:val="36"/>
          <w:szCs w:val="36"/>
        </w:rPr>
        <w:t>资格预审公告</w:t>
      </w:r>
    </w:p>
    <w:tbl>
      <w:tblPr>
        <w:tblStyle w:val="5"/>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noWrap w:val="0"/>
            <w:vAlign w:val="top"/>
          </w:tcPr>
          <w:p>
            <w:pPr>
              <w:pStyle w:val="7"/>
              <w:spacing w:line="400" w:lineRule="exact"/>
              <w:ind w:firstLine="0" w:firstLineChars="0"/>
              <w:rPr>
                <w:rFonts w:hint="eastAsia" w:cs="宋体"/>
                <w:color w:val="auto"/>
                <w:kern w:val="0"/>
                <w:sz w:val="21"/>
                <w:highlight w:val="none"/>
              </w:rPr>
            </w:pPr>
            <w:bookmarkStart w:id="0" w:name="_Toc482173658"/>
            <w:bookmarkStart w:id="1" w:name="_Toc24082"/>
            <w:r>
              <w:rPr>
                <w:rFonts w:hint="eastAsia" w:cs="宋体"/>
                <w:color w:val="auto"/>
                <w:kern w:val="0"/>
                <w:sz w:val="21"/>
                <w:highlight w:val="none"/>
              </w:rPr>
              <w:t>项目概况</w:t>
            </w:r>
          </w:p>
          <w:p>
            <w:pPr>
              <w:pStyle w:val="7"/>
              <w:wordWrap w:val="0"/>
              <w:spacing w:line="400" w:lineRule="exact"/>
              <w:ind w:firstLine="420"/>
              <w:rPr>
                <w:rFonts w:hint="eastAsia" w:cs="宋体"/>
                <w:color w:val="auto"/>
                <w:kern w:val="0"/>
                <w:sz w:val="21"/>
                <w:highlight w:val="none"/>
              </w:rPr>
            </w:pPr>
            <w:r>
              <w:rPr>
                <w:rFonts w:hint="eastAsia" w:cs="宋体"/>
                <w:color w:val="auto"/>
                <w:kern w:val="0"/>
                <w:sz w:val="21"/>
                <w:highlight w:val="none"/>
                <w:u w:val="single"/>
                <w:lang w:eastAsia="zh-CN"/>
              </w:rPr>
              <w:t>青秀区医疗卫生提升PPP项目合作社会资本投资方采购</w:t>
            </w:r>
            <w:r>
              <w:rPr>
                <w:rFonts w:hint="eastAsia" w:cs="宋体"/>
                <w:color w:val="auto"/>
                <w:kern w:val="0"/>
                <w:sz w:val="21"/>
                <w:highlight w:val="none"/>
                <w:u w:val="none"/>
              </w:rPr>
              <w:t>项目</w:t>
            </w:r>
            <w:r>
              <w:rPr>
                <w:rFonts w:hint="eastAsia" w:cs="宋体"/>
                <w:color w:val="auto"/>
                <w:kern w:val="0"/>
                <w:sz w:val="21"/>
                <w:highlight w:val="none"/>
              </w:rPr>
              <w:t>的潜在资格预审申请人应在南宁市公共资源交易平台（http://ggzy.nanning.gov.cn）</w:t>
            </w:r>
            <w:r>
              <w:rPr>
                <w:rFonts w:hint="eastAsia" w:cs="宋体"/>
                <w:color w:val="auto"/>
                <w:kern w:val="0"/>
                <w:sz w:val="21"/>
                <w:highlight w:val="none"/>
                <w:lang w:eastAsia="zh-CN"/>
              </w:rPr>
              <w:t>免费下载</w:t>
            </w:r>
            <w:r>
              <w:rPr>
                <w:rFonts w:hint="eastAsia" w:cs="宋体"/>
                <w:color w:val="auto"/>
                <w:kern w:val="0"/>
                <w:sz w:val="21"/>
                <w:highlight w:val="none"/>
              </w:rPr>
              <w:t>资格预审文件，并于202</w:t>
            </w:r>
            <w:r>
              <w:rPr>
                <w:rFonts w:hint="eastAsia" w:cs="宋体"/>
                <w:color w:val="auto"/>
                <w:kern w:val="0"/>
                <w:sz w:val="21"/>
                <w:highlight w:val="none"/>
                <w:lang w:val="en-US" w:eastAsia="zh-CN"/>
              </w:rPr>
              <w:t>1</w:t>
            </w:r>
            <w:r>
              <w:rPr>
                <w:rFonts w:hint="eastAsia" w:cs="宋体"/>
                <w:color w:val="auto"/>
                <w:kern w:val="0"/>
                <w:sz w:val="21"/>
                <w:highlight w:val="none"/>
              </w:rPr>
              <w:t>年</w:t>
            </w:r>
            <w:r>
              <w:rPr>
                <w:rFonts w:hint="eastAsia" w:cs="宋体"/>
                <w:color w:val="auto"/>
                <w:kern w:val="0"/>
                <w:sz w:val="21"/>
                <w:highlight w:val="none"/>
                <w:lang w:val="en-US" w:eastAsia="zh-CN"/>
              </w:rPr>
              <w:t>3</w:t>
            </w:r>
            <w:r>
              <w:rPr>
                <w:rFonts w:hint="eastAsia" w:cs="宋体"/>
                <w:color w:val="auto"/>
                <w:kern w:val="0"/>
                <w:sz w:val="21"/>
                <w:highlight w:val="none"/>
              </w:rPr>
              <w:t>月</w:t>
            </w:r>
            <w:r>
              <w:rPr>
                <w:rFonts w:hint="eastAsia" w:cs="宋体"/>
                <w:color w:val="auto"/>
                <w:kern w:val="0"/>
                <w:sz w:val="21"/>
                <w:highlight w:val="none"/>
                <w:lang w:val="en-US" w:eastAsia="zh-CN"/>
              </w:rPr>
              <w:t>9</w:t>
            </w:r>
            <w:r>
              <w:rPr>
                <w:rFonts w:hint="eastAsia" w:cs="宋体"/>
                <w:color w:val="auto"/>
                <w:kern w:val="0"/>
                <w:sz w:val="21"/>
                <w:highlight w:val="none"/>
              </w:rPr>
              <w:t>日</w:t>
            </w:r>
            <w:r>
              <w:rPr>
                <w:rFonts w:hint="eastAsia" w:cs="宋体"/>
                <w:color w:val="auto"/>
                <w:kern w:val="0"/>
                <w:sz w:val="21"/>
                <w:highlight w:val="none"/>
                <w:lang w:val="en-US" w:eastAsia="zh-CN"/>
              </w:rPr>
              <w:t>9</w:t>
            </w:r>
            <w:r>
              <w:rPr>
                <w:rFonts w:hint="eastAsia" w:cs="宋体"/>
                <w:color w:val="auto"/>
                <w:kern w:val="0"/>
                <w:sz w:val="21"/>
                <w:highlight w:val="none"/>
              </w:rPr>
              <w:t>时</w:t>
            </w:r>
            <w:r>
              <w:rPr>
                <w:rFonts w:hint="eastAsia" w:cs="宋体"/>
                <w:color w:val="auto"/>
                <w:kern w:val="0"/>
                <w:sz w:val="21"/>
                <w:highlight w:val="none"/>
                <w:lang w:val="en-US" w:eastAsia="zh-CN"/>
              </w:rPr>
              <w:t>30</w:t>
            </w:r>
            <w:r>
              <w:rPr>
                <w:rFonts w:hint="eastAsia" w:cs="宋体"/>
                <w:color w:val="auto"/>
                <w:kern w:val="0"/>
                <w:sz w:val="21"/>
                <w:highlight w:val="none"/>
              </w:rPr>
              <w:t>分（北京时间）前提交申请文件。</w:t>
            </w:r>
          </w:p>
        </w:tc>
      </w:tr>
    </w:tbl>
    <w:p>
      <w:pPr>
        <w:pStyle w:val="7"/>
        <w:spacing w:line="400" w:lineRule="exact"/>
        <w:ind w:firstLine="0" w:firstLineChars="0"/>
        <w:rPr>
          <w:rFonts w:hint="eastAsia" w:cs="宋体"/>
          <w:b/>
          <w:bCs/>
          <w:color w:val="auto"/>
          <w:kern w:val="0"/>
          <w:sz w:val="21"/>
          <w:highlight w:val="none"/>
        </w:rPr>
      </w:pPr>
      <w:bookmarkStart w:id="2" w:name="_Toc28359079"/>
      <w:bookmarkStart w:id="3" w:name="_Toc35393790"/>
      <w:bookmarkStart w:id="4" w:name="_Toc28359002"/>
      <w:bookmarkStart w:id="5" w:name="_Toc35393621"/>
      <w:bookmarkStart w:id="6" w:name="_Hlk24379207"/>
      <w:r>
        <w:rPr>
          <w:rFonts w:hint="eastAsia" w:cs="宋体"/>
          <w:b/>
          <w:bCs/>
          <w:color w:val="auto"/>
          <w:kern w:val="0"/>
          <w:sz w:val="21"/>
          <w:highlight w:val="none"/>
        </w:rPr>
        <w:t>一、项目基本情况</w:t>
      </w:r>
      <w:bookmarkEnd w:id="2"/>
      <w:bookmarkEnd w:id="3"/>
      <w:bookmarkEnd w:id="4"/>
      <w:bookmarkEnd w:id="5"/>
    </w:p>
    <w:p>
      <w:pPr>
        <w:pStyle w:val="7"/>
        <w:spacing w:line="400" w:lineRule="exact"/>
        <w:ind w:firstLine="420"/>
        <w:rPr>
          <w:rFonts w:hint="eastAsia" w:eastAsia="宋体" w:cs="宋体"/>
          <w:color w:val="auto"/>
          <w:kern w:val="0"/>
          <w:sz w:val="21"/>
          <w:highlight w:val="none"/>
          <w:lang w:eastAsia="zh-CN"/>
        </w:rPr>
      </w:pPr>
      <w:r>
        <w:rPr>
          <w:rFonts w:hint="eastAsia" w:cs="宋体"/>
          <w:b/>
          <w:bCs/>
          <w:color w:val="auto"/>
          <w:kern w:val="0"/>
          <w:sz w:val="21"/>
          <w:highlight w:val="none"/>
          <w:lang w:val="en-US" w:eastAsia="zh-CN"/>
        </w:rPr>
        <w:t>1.</w:t>
      </w:r>
      <w:r>
        <w:rPr>
          <w:rFonts w:hint="eastAsia" w:cs="宋体"/>
          <w:b/>
          <w:bCs/>
          <w:color w:val="auto"/>
          <w:kern w:val="0"/>
          <w:sz w:val="21"/>
          <w:highlight w:val="none"/>
        </w:rPr>
        <w:t>项目编号：</w:t>
      </w:r>
      <w:r>
        <w:rPr>
          <w:rFonts w:hint="eastAsia" w:cs="宋体"/>
          <w:color w:val="auto"/>
          <w:kern w:val="0"/>
          <w:sz w:val="21"/>
          <w:highlight w:val="none"/>
        </w:rPr>
        <w:t>NNZC2021-G3-030002-KWZB</w:t>
      </w:r>
      <w:r>
        <w:rPr>
          <w:rFonts w:hint="eastAsia" w:cs="宋体"/>
          <w:color w:val="auto"/>
          <w:kern w:val="0"/>
          <w:sz w:val="21"/>
          <w:highlight w:val="none"/>
          <w:lang w:val="en-US" w:eastAsia="zh-CN"/>
        </w:rPr>
        <w:t>-Y</w:t>
      </w:r>
      <w:r>
        <w:rPr>
          <w:rFonts w:hint="eastAsia" w:cs="宋体"/>
          <w:color w:val="auto"/>
          <w:kern w:val="0"/>
          <w:sz w:val="21"/>
          <w:highlight w:val="none"/>
          <w:lang w:eastAsia="zh-CN"/>
        </w:rPr>
        <w:t>，政府采购计划编号：</w:t>
      </w:r>
      <w:r>
        <w:rPr>
          <w:rFonts w:hint="eastAsia" w:cs="宋体"/>
          <w:color w:val="auto"/>
          <w:kern w:val="0"/>
          <w:sz w:val="21"/>
          <w:highlight w:val="none"/>
          <w:lang w:eastAsia="zh-CN"/>
        </w:rPr>
        <w:fldChar w:fldCharType="begin"/>
      </w:r>
      <w:r>
        <w:rPr>
          <w:rFonts w:hint="eastAsia" w:cs="宋体"/>
          <w:color w:val="auto"/>
          <w:kern w:val="0"/>
          <w:sz w:val="21"/>
          <w:highlight w:val="none"/>
          <w:lang w:eastAsia="zh-CN"/>
        </w:rPr>
        <w:instrText xml:space="preserve"> HYPERLINK "https://pay.zcygov.cn/purchaseplan_front/" \l "/plan/list/detail?id=1000000000004313722&amp;encrypt=d2a65c92658b1102d2078b21d28308c1" \t "https://www.zcygov.cn/proj-procurement/project-result-detail/blank" </w:instrText>
      </w:r>
      <w:r>
        <w:rPr>
          <w:rFonts w:hint="eastAsia" w:cs="宋体"/>
          <w:color w:val="auto"/>
          <w:kern w:val="0"/>
          <w:sz w:val="21"/>
          <w:highlight w:val="none"/>
          <w:lang w:eastAsia="zh-CN"/>
        </w:rPr>
        <w:fldChar w:fldCharType="separate"/>
      </w:r>
      <w:r>
        <w:rPr>
          <w:rFonts w:hint="eastAsia" w:cs="宋体"/>
          <w:color w:val="auto"/>
          <w:kern w:val="0"/>
          <w:sz w:val="21"/>
          <w:highlight w:val="none"/>
          <w:lang w:eastAsia="zh-CN"/>
        </w:rPr>
        <w:t>QXZC2020-G3-01545-001</w:t>
      </w:r>
      <w:r>
        <w:rPr>
          <w:rFonts w:hint="eastAsia" w:cs="宋体"/>
          <w:color w:val="auto"/>
          <w:kern w:val="0"/>
          <w:sz w:val="21"/>
          <w:highlight w:val="none"/>
          <w:lang w:eastAsia="zh-CN"/>
        </w:rPr>
        <w:fldChar w:fldCharType="end"/>
      </w:r>
    </w:p>
    <w:p>
      <w:pPr>
        <w:pStyle w:val="7"/>
        <w:spacing w:line="400" w:lineRule="exact"/>
        <w:ind w:firstLine="420"/>
        <w:rPr>
          <w:rFonts w:hint="eastAsia" w:cs="宋体"/>
          <w:color w:val="auto"/>
          <w:kern w:val="0"/>
          <w:sz w:val="21"/>
          <w:highlight w:val="none"/>
        </w:rPr>
      </w:pPr>
      <w:r>
        <w:rPr>
          <w:rFonts w:hint="eastAsia" w:cs="宋体"/>
          <w:b/>
          <w:bCs/>
          <w:color w:val="auto"/>
          <w:kern w:val="0"/>
          <w:sz w:val="21"/>
          <w:highlight w:val="none"/>
          <w:lang w:val="en-US" w:eastAsia="zh-CN"/>
        </w:rPr>
        <w:t>2.</w:t>
      </w:r>
      <w:r>
        <w:rPr>
          <w:rFonts w:hint="eastAsia" w:cs="宋体"/>
          <w:b/>
          <w:bCs/>
          <w:color w:val="auto"/>
          <w:kern w:val="0"/>
          <w:sz w:val="21"/>
          <w:highlight w:val="none"/>
        </w:rPr>
        <w:t>项目名称：</w:t>
      </w:r>
      <w:r>
        <w:rPr>
          <w:rFonts w:hint="eastAsia" w:cs="宋体"/>
          <w:color w:val="auto"/>
          <w:kern w:val="0"/>
          <w:sz w:val="21"/>
          <w:highlight w:val="none"/>
          <w:lang w:eastAsia="zh-CN"/>
        </w:rPr>
        <w:t>青秀区医疗卫生提升PPP项目合作社会资本投资方采购</w:t>
      </w:r>
    </w:p>
    <w:p>
      <w:pPr>
        <w:pStyle w:val="7"/>
        <w:spacing w:line="400" w:lineRule="exact"/>
        <w:ind w:firstLine="420"/>
        <w:rPr>
          <w:rFonts w:hint="eastAsia" w:cs="宋体"/>
          <w:color w:val="auto"/>
          <w:kern w:val="0"/>
          <w:sz w:val="21"/>
          <w:highlight w:val="none"/>
        </w:rPr>
      </w:pPr>
      <w:r>
        <w:rPr>
          <w:rFonts w:hint="eastAsia" w:cs="宋体"/>
          <w:b/>
          <w:bCs/>
          <w:color w:val="auto"/>
          <w:kern w:val="0"/>
          <w:sz w:val="21"/>
          <w:highlight w:val="none"/>
          <w:lang w:val="en-US" w:eastAsia="zh-CN"/>
        </w:rPr>
        <w:t>3.</w:t>
      </w:r>
      <w:r>
        <w:rPr>
          <w:rFonts w:hint="eastAsia" w:cs="宋体"/>
          <w:b/>
          <w:bCs/>
          <w:color w:val="auto"/>
          <w:kern w:val="0"/>
          <w:sz w:val="21"/>
          <w:highlight w:val="none"/>
        </w:rPr>
        <w:t>采购方式：</w:t>
      </w:r>
      <w:r>
        <w:rPr>
          <w:rFonts w:hint="eastAsia" w:cs="宋体"/>
          <w:color w:val="auto"/>
          <w:kern w:val="0"/>
          <w:sz w:val="21"/>
          <w:highlight w:val="none"/>
        </w:rPr>
        <w:sym w:font="Wingdings 2" w:char="0052"/>
      </w:r>
      <w:r>
        <w:rPr>
          <w:rFonts w:hint="eastAsia" w:cs="宋体"/>
          <w:color w:val="auto"/>
          <w:kern w:val="0"/>
          <w:sz w:val="21"/>
          <w:highlight w:val="none"/>
        </w:rPr>
        <w:t xml:space="preserve">公开招标  </w:t>
      </w:r>
      <w:r>
        <w:rPr>
          <w:rFonts w:hint="eastAsia" w:cs="宋体"/>
          <w:color w:val="auto"/>
          <w:kern w:val="0"/>
          <w:sz w:val="21"/>
          <w:highlight w:val="none"/>
          <w:lang w:eastAsia="zh-CN"/>
        </w:rPr>
        <w:t>□</w:t>
      </w:r>
      <w:r>
        <w:rPr>
          <w:rFonts w:hint="eastAsia" w:cs="宋体"/>
          <w:color w:val="auto"/>
          <w:kern w:val="0"/>
          <w:sz w:val="21"/>
          <w:highlight w:val="none"/>
        </w:rPr>
        <w:t>邀请招标</w:t>
      </w:r>
    </w:p>
    <w:p>
      <w:pPr>
        <w:pStyle w:val="7"/>
        <w:spacing w:line="400" w:lineRule="exact"/>
        <w:ind w:firstLine="420"/>
        <w:rPr>
          <w:rFonts w:hint="eastAsia" w:eastAsia="宋体" w:cs="宋体"/>
          <w:color w:val="auto"/>
          <w:kern w:val="0"/>
          <w:sz w:val="21"/>
          <w:highlight w:val="none"/>
          <w:lang w:eastAsia="zh-CN"/>
        </w:rPr>
      </w:pPr>
      <w:r>
        <w:rPr>
          <w:rFonts w:hint="eastAsia" w:cs="宋体"/>
          <w:b/>
          <w:bCs/>
          <w:color w:val="auto"/>
          <w:kern w:val="0"/>
          <w:sz w:val="21"/>
          <w:highlight w:val="none"/>
          <w:lang w:val="en-US" w:eastAsia="zh-CN"/>
        </w:rPr>
        <w:t>4.</w:t>
      </w:r>
      <w:r>
        <w:rPr>
          <w:rFonts w:hint="eastAsia" w:cs="宋体"/>
          <w:b/>
          <w:bCs/>
          <w:color w:val="auto"/>
          <w:kern w:val="0"/>
          <w:sz w:val="21"/>
          <w:highlight w:val="none"/>
        </w:rPr>
        <w:t>预算金额</w:t>
      </w:r>
      <w:r>
        <w:rPr>
          <w:rFonts w:hint="eastAsia" w:cs="宋体"/>
          <w:color w:val="auto"/>
          <w:kern w:val="0"/>
          <w:sz w:val="21"/>
          <w:highlight w:val="none"/>
        </w:rPr>
        <w:t>：</w:t>
      </w:r>
      <w:r>
        <w:rPr>
          <w:rFonts w:hint="eastAsia" w:cs="宋体"/>
          <w:color w:val="auto"/>
          <w:kern w:val="0"/>
          <w:sz w:val="21"/>
          <w:highlight w:val="none"/>
          <w:lang w:eastAsia="zh-CN"/>
        </w:rPr>
        <w:t>总投资约</w:t>
      </w:r>
      <w:r>
        <w:rPr>
          <w:rFonts w:hint="eastAsia" w:cs="宋体"/>
          <w:color w:val="auto"/>
          <w:kern w:val="0"/>
          <w:sz w:val="21"/>
          <w:highlight w:val="none"/>
        </w:rPr>
        <w:t>19358.12</w:t>
      </w:r>
      <w:r>
        <w:rPr>
          <w:rFonts w:hint="eastAsia" w:cs="宋体"/>
          <w:color w:val="auto"/>
          <w:kern w:val="0"/>
          <w:sz w:val="21"/>
          <w:highlight w:val="none"/>
          <w:lang w:eastAsia="zh-CN"/>
        </w:rPr>
        <w:t>万元</w:t>
      </w:r>
    </w:p>
    <w:p>
      <w:pPr>
        <w:pStyle w:val="7"/>
        <w:spacing w:line="400" w:lineRule="exact"/>
        <w:ind w:firstLine="420"/>
        <w:rPr>
          <w:rFonts w:hint="eastAsia" w:eastAsia="宋体" w:cs="宋体"/>
          <w:color w:val="auto"/>
          <w:kern w:val="0"/>
          <w:sz w:val="21"/>
          <w:highlight w:val="none"/>
          <w:lang w:val="en-US" w:eastAsia="zh-CN"/>
        </w:rPr>
      </w:pPr>
      <w:r>
        <w:rPr>
          <w:rFonts w:hint="eastAsia" w:cs="宋体"/>
          <w:b/>
          <w:bCs/>
          <w:color w:val="auto"/>
          <w:kern w:val="0"/>
          <w:sz w:val="21"/>
          <w:highlight w:val="none"/>
          <w:lang w:val="en-US" w:eastAsia="zh-CN"/>
        </w:rPr>
        <w:t>5.</w:t>
      </w:r>
      <w:r>
        <w:rPr>
          <w:rFonts w:hint="eastAsia" w:cs="宋体"/>
          <w:b/>
          <w:bCs/>
          <w:color w:val="auto"/>
          <w:kern w:val="0"/>
          <w:sz w:val="21"/>
          <w:highlight w:val="none"/>
        </w:rPr>
        <w:t>最高限价：</w:t>
      </w:r>
      <w:r>
        <w:rPr>
          <w:rFonts w:hint="eastAsia" w:cs="宋体"/>
          <w:color w:val="auto"/>
          <w:kern w:val="0"/>
          <w:sz w:val="21"/>
          <w:highlight w:val="none"/>
          <w:lang w:val="en-US" w:eastAsia="zh-CN"/>
        </w:rPr>
        <w:t>/</w:t>
      </w:r>
    </w:p>
    <w:bookmarkEnd w:id="6"/>
    <w:p>
      <w:pPr>
        <w:pStyle w:val="7"/>
        <w:spacing w:line="400" w:lineRule="exact"/>
        <w:ind w:firstLine="420"/>
        <w:rPr>
          <w:rFonts w:hint="eastAsia" w:cs="宋体"/>
          <w:b/>
          <w:bCs/>
          <w:color w:val="auto"/>
          <w:kern w:val="0"/>
          <w:sz w:val="21"/>
          <w:highlight w:val="none"/>
        </w:rPr>
      </w:pPr>
      <w:r>
        <w:rPr>
          <w:rFonts w:hint="eastAsia" w:cs="宋体"/>
          <w:b/>
          <w:bCs/>
          <w:color w:val="auto"/>
          <w:kern w:val="0"/>
          <w:sz w:val="21"/>
          <w:highlight w:val="none"/>
          <w:lang w:val="en-US" w:eastAsia="zh-CN"/>
        </w:rPr>
        <w:t>6.</w:t>
      </w:r>
      <w:r>
        <w:rPr>
          <w:rFonts w:hint="eastAsia" w:cs="宋体"/>
          <w:b/>
          <w:bCs/>
          <w:color w:val="auto"/>
          <w:kern w:val="0"/>
          <w:sz w:val="21"/>
          <w:highlight w:val="none"/>
        </w:rPr>
        <w:t>采购需求：</w:t>
      </w:r>
    </w:p>
    <w:p>
      <w:pPr>
        <w:pStyle w:val="4"/>
        <w:spacing w:before="0" w:after="0" w:line="400" w:lineRule="exact"/>
        <w:ind w:firstLine="422" w:firstLineChars="200"/>
        <w:rPr>
          <w:rFonts w:hint="eastAsia" w:ascii="宋体" w:hAnsi="宋体" w:eastAsia="宋体" w:cs="宋体"/>
          <w:color w:val="auto"/>
          <w:sz w:val="21"/>
          <w:szCs w:val="21"/>
          <w:highlight w:val="none"/>
          <w:lang w:eastAsia="zh-CN"/>
        </w:rPr>
      </w:pPr>
      <w:bookmarkStart w:id="7" w:name="_Toc31328"/>
      <w:bookmarkStart w:id="8" w:name="_Toc482173652"/>
      <w:bookmarkStart w:id="9" w:name="_Toc25543"/>
      <w:r>
        <w:rPr>
          <w:rFonts w:hint="eastAsia" w:ascii="宋体" w:hAnsi="宋体" w:cs="宋体"/>
          <w:color w:val="auto"/>
          <w:sz w:val="21"/>
          <w:szCs w:val="21"/>
          <w:highlight w:val="none"/>
          <w:lang w:val="en-US" w:eastAsia="zh-CN"/>
        </w:rPr>
        <w:t>6.1</w:t>
      </w:r>
      <w:r>
        <w:rPr>
          <w:rFonts w:hint="eastAsia" w:ascii="宋体" w:hAnsi="宋体" w:cs="宋体"/>
          <w:color w:val="auto"/>
          <w:sz w:val="21"/>
          <w:szCs w:val="21"/>
          <w:highlight w:val="none"/>
        </w:rPr>
        <w:t>采购</w:t>
      </w:r>
      <w:bookmarkEnd w:id="7"/>
      <w:bookmarkEnd w:id="8"/>
      <w:r>
        <w:rPr>
          <w:rFonts w:hint="eastAsia" w:ascii="宋体" w:hAnsi="宋体" w:cs="宋体"/>
          <w:color w:val="auto"/>
          <w:sz w:val="21"/>
          <w:szCs w:val="21"/>
          <w:highlight w:val="none"/>
          <w:lang w:eastAsia="zh-CN"/>
        </w:rPr>
        <w:t>内容</w:t>
      </w:r>
      <w:bookmarkEnd w:id="9"/>
    </w:p>
    <w:p>
      <w:pPr>
        <w:spacing w:line="400" w:lineRule="exact"/>
        <w:ind w:firstLine="420" w:firstLineChars="200"/>
        <w:jc w:val="both"/>
        <w:rPr>
          <w:color w:val="auto"/>
          <w:highlight w:val="none"/>
          <w:lang w:val="zh-CN"/>
        </w:rPr>
      </w:pPr>
      <w:r>
        <w:rPr>
          <w:rFonts w:hint="eastAsia" w:ascii="宋体" w:hAnsi="宋体" w:cs="宋体"/>
          <w:color w:val="auto"/>
          <w:sz w:val="21"/>
          <w:szCs w:val="21"/>
          <w:highlight w:val="none"/>
          <w:lang w:val="zh-CN"/>
        </w:rPr>
        <w:t>拟采购社会资本方，在合作期限内，由政府出资方代表</w:t>
      </w:r>
      <w:r>
        <w:rPr>
          <w:rFonts w:hint="eastAsia" w:ascii="宋体" w:hAnsi="宋体" w:cs="宋体"/>
          <w:color w:val="auto"/>
          <w:sz w:val="21"/>
          <w:szCs w:val="21"/>
          <w:highlight w:val="none"/>
          <w:lang w:val="zh-CN" w:eastAsia="zh-CN"/>
        </w:rPr>
        <w:t>广西南宁晟宁资产经营投资有限公司</w:t>
      </w:r>
      <w:r>
        <w:rPr>
          <w:rFonts w:hint="eastAsia" w:ascii="宋体" w:hAnsi="宋体" w:cs="宋体"/>
          <w:color w:val="auto"/>
          <w:sz w:val="21"/>
          <w:szCs w:val="21"/>
          <w:highlight w:val="none"/>
          <w:lang w:val="zh-CN"/>
        </w:rPr>
        <w:t>与中选的社会资本方按</w:t>
      </w:r>
      <w:r>
        <w:rPr>
          <w:rFonts w:hint="eastAsia" w:ascii="宋体" w:hAnsi="宋体" w:cs="宋体"/>
          <w:color w:val="auto"/>
          <w:sz w:val="21"/>
          <w:szCs w:val="21"/>
          <w:highlight w:val="none"/>
          <w:lang w:val="en-US" w:eastAsia="zh-CN"/>
        </w:rPr>
        <w:t>1</w:t>
      </w:r>
      <w:r>
        <w:rPr>
          <w:rFonts w:ascii="宋体" w:hAnsi="宋体" w:cs="宋体"/>
          <w:color w:val="auto"/>
          <w:sz w:val="21"/>
          <w:szCs w:val="21"/>
          <w:highlight w:val="none"/>
          <w:lang w:val="zh-CN"/>
        </w:rPr>
        <w:t>0%</w:t>
      </w:r>
      <w:r>
        <w:rPr>
          <w:rFonts w:hint="eastAsia" w:ascii="宋体" w:hAnsi="宋体" w:cs="宋体"/>
          <w:color w:val="auto"/>
          <w:sz w:val="21"/>
          <w:szCs w:val="21"/>
          <w:highlight w:val="none"/>
          <w:lang w:val="zh-CN"/>
        </w:rPr>
        <w:t>：</w:t>
      </w:r>
      <w:r>
        <w:rPr>
          <w:rFonts w:hint="eastAsia" w:ascii="宋体" w:hAnsi="宋体" w:cs="宋体"/>
          <w:color w:val="auto"/>
          <w:sz w:val="21"/>
          <w:szCs w:val="21"/>
          <w:highlight w:val="none"/>
          <w:lang w:val="en-US" w:eastAsia="zh-CN"/>
        </w:rPr>
        <w:t>9</w:t>
      </w:r>
      <w:r>
        <w:rPr>
          <w:rFonts w:ascii="宋体" w:hAnsi="宋体" w:cs="宋体"/>
          <w:color w:val="auto"/>
          <w:sz w:val="21"/>
          <w:szCs w:val="21"/>
          <w:highlight w:val="none"/>
          <w:lang w:val="zh-CN"/>
        </w:rPr>
        <w:t>0%</w:t>
      </w:r>
      <w:r>
        <w:rPr>
          <w:rFonts w:hint="eastAsia" w:ascii="宋体" w:hAnsi="宋体" w:cs="宋体"/>
          <w:color w:val="auto"/>
          <w:sz w:val="21"/>
          <w:szCs w:val="21"/>
          <w:highlight w:val="none"/>
          <w:lang w:val="zh-CN"/>
        </w:rPr>
        <w:t>出资共同在南宁市青秀区注册成立项目公司。南宁市青秀区医疗卫生提升项目为新建医疗基础设施项目，分为南宁市青秀区卫生健康服务综合大楼和南宁市青秀区长塘镇卫生院整体搬迁两个子项目，采用 PPP模式运作，项目公司负责授权范围内的项目投（融）资、建设、运营、管理及合作期满移交工作。项目公司在项目合作期内，建设符合国家、行业、地方标准和规范，且达到南宁市青秀区医疗卫生提升项目预定建设目标的工程及其附属设施，并提供符合国家、行业、地方标准和规范规程要求的建筑及设施管养服务，提供医院内食堂、停车场、建筑设施设备维护等物业的经营服务。合作期满后，项目公司在移交日向南宁市青秀区人民政府或其指定机构在完好、能正常运营、无债务、无设定抵押担保的条件下无偿移交项目设施的所有权和所有权益。</w:t>
      </w:r>
    </w:p>
    <w:p>
      <w:pPr>
        <w:pStyle w:val="4"/>
        <w:spacing w:before="0" w:after="0" w:line="400" w:lineRule="exact"/>
        <w:ind w:firstLine="422" w:firstLineChars="200"/>
        <w:rPr>
          <w:rFonts w:hint="eastAsia" w:ascii="宋体" w:hAnsi="宋体" w:eastAsia="宋体" w:cs="宋体"/>
          <w:color w:val="auto"/>
          <w:sz w:val="21"/>
          <w:szCs w:val="21"/>
          <w:highlight w:val="none"/>
          <w:lang w:eastAsia="zh-CN"/>
        </w:rPr>
      </w:pPr>
      <w:bookmarkStart w:id="10" w:name="_Toc482173653"/>
      <w:bookmarkStart w:id="11" w:name="_Toc19005"/>
      <w:bookmarkStart w:id="12" w:name="_Toc30366"/>
      <w:r>
        <w:rPr>
          <w:rFonts w:hint="eastAsia" w:ascii="宋体" w:hAnsi="宋体" w:cs="宋体"/>
          <w:color w:val="auto"/>
          <w:sz w:val="21"/>
          <w:szCs w:val="21"/>
          <w:highlight w:val="none"/>
          <w:lang w:val="en-US" w:eastAsia="zh-CN"/>
        </w:rPr>
        <w:t>6.2</w:t>
      </w:r>
      <w:r>
        <w:rPr>
          <w:rFonts w:hint="eastAsia" w:ascii="宋体" w:hAnsi="宋体" w:cs="宋体"/>
          <w:color w:val="auto"/>
          <w:sz w:val="21"/>
          <w:szCs w:val="21"/>
          <w:highlight w:val="none"/>
        </w:rPr>
        <w:t>项目概况及</w:t>
      </w:r>
      <w:bookmarkEnd w:id="10"/>
      <w:bookmarkEnd w:id="11"/>
      <w:r>
        <w:rPr>
          <w:rFonts w:hint="eastAsia" w:ascii="宋体" w:hAnsi="宋体" w:cs="宋体"/>
          <w:color w:val="auto"/>
          <w:sz w:val="21"/>
          <w:szCs w:val="21"/>
          <w:highlight w:val="none"/>
          <w:lang w:eastAsia="zh-CN"/>
        </w:rPr>
        <w:t>建设内容</w:t>
      </w:r>
      <w:bookmarkEnd w:id="12"/>
    </w:p>
    <w:p>
      <w:pPr>
        <w:spacing w:line="400" w:lineRule="exact"/>
        <w:ind w:firstLine="422" w:firstLineChars="200"/>
        <w:rPr>
          <w:rFonts w:ascii="宋体" w:hAnsi="宋体" w:cs="宋体"/>
          <w:color w:val="auto"/>
          <w:sz w:val="21"/>
          <w:szCs w:val="21"/>
          <w:highlight w:val="none"/>
        </w:rPr>
      </w:pPr>
      <w:r>
        <w:rPr>
          <w:rFonts w:hint="eastAsia" w:ascii="宋体" w:hAnsi="宋体" w:cs="宋体"/>
          <w:b/>
          <w:bCs/>
          <w:color w:val="auto"/>
          <w:sz w:val="21"/>
          <w:szCs w:val="21"/>
          <w:highlight w:val="none"/>
          <w:lang w:val="en-US" w:eastAsia="zh-CN"/>
        </w:rPr>
        <w:t>6.2.1项目区位</w:t>
      </w:r>
    </w:p>
    <w:p>
      <w:pPr>
        <w:spacing w:line="400" w:lineRule="exact"/>
        <w:ind w:firstLine="420" w:firstLineChars="200"/>
        <w:jc w:val="both"/>
        <w:rPr>
          <w:rFonts w:hint="eastAsia"/>
          <w:color w:val="auto"/>
          <w:sz w:val="21"/>
          <w:szCs w:val="21"/>
          <w:highlight w:val="none"/>
          <w:lang w:val="zh-CN"/>
        </w:rPr>
      </w:pPr>
      <w:r>
        <w:rPr>
          <w:rFonts w:hint="eastAsia"/>
          <w:color w:val="auto"/>
          <w:sz w:val="21"/>
          <w:szCs w:val="21"/>
          <w:highlight w:val="none"/>
          <w:lang w:val="zh-CN"/>
        </w:rPr>
        <w:t>南宁市青秀区卫生健康服务综合大楼拟建地点位于青秀区青环路与铜鼓岭东二巷交叉口西南侧。</w:t>
      </w:r>
    </w:p>
    <w:p>
      <w:pPr>
        <w:spacing w:line="400" w:lineRule="exact"/>
        <w:ind w:firstLine="420" w:firstLineChars="200"/>
        <w:jc w:val="both"/>
        <w:rPr>
          <w:rFonts w:hint="eastAsia"/>
          <w:color w:val="auto"/>
          <w:sz w:val="21"/>
          <w:szCs w:val="21"/>
          <w:highlight w:val="none"/>
          <w:lang w:val="zh-CN"/>
        </w:rPr>
      </w:pPr>
      <w:r>
        <w:rPr>
          <w:rFonts w:hint="eastAsia"/>
          <w:color w:val="auto"/>
          <w:sz w:val="21"/>
          <w:szCs w:val="21"/>
          <w:highlight w:val="none"/>
          <w:lang w:val="zh-CN"/>
        </w:rPr>
        <w:t>南宁市青秀区长塘镇卫生院位于南宁市青秀区长塘镇镇区，属于长塘镇中心地块，毗邻长塘镇养老院和长塘镇人口和计划生育服务所。</w:t>
      </w:r>
    </w:p>
    <w:p>
      <w:pPr>
        <w:spacing w:line="400" w:lineRule="exact"/>
        <w:ind w:firstLine="422" w:firstLineChars="20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6.2.2 项目主要产出说明</w:t>
      </w:r>
    </w:p>
    <w:p>
      <w:pPr>
        <w:spacing w:line="400" w:lineRule="exact"/>
        <w:ind w:firstLine="420" w:firstLineChars="200"/>
        <w:jc w:val="both"/>
        <w:rPr>
          <w:rFonts w:hint="eastAsia"/>
          <w:color w:val="auto"/>
          <w:sz w:val="21"/>
          <w:szCs w:val="21"/>
          <w:highlight w:val="none"/>
          <w:lang w:val="en-US" w:eastAsia="zh-CN"/>
        </w:rPr>
      </w:pPr>
      <w:r>
        <w:rPr>
          <w:color w:val="auto"/>
          <w:sz w:val="21"/>
          <w:szCs w:val="21"/>
          <w:highlight w:val="none"/>
        </w:rPr>
        <w:t xml:space="preserve"> </w:t>
      </w:r>
      <w:r>
        <w:rPr>
          <w:rFonts w:hint="eastAsia"/>
          <w:color w:val="auto"/>
          <w:sz w:val="21"/>
          <w:szCs w:val="21"/>
          <w:highlight w:val="none"/>
          <w:lang w:val="en-US" w:eastAsia="zh-CN"/>
        </w:rPr>
        <w:t>项目将建成符合国家、行业、地方标准和规范，且达到项目预定建设目标的建筑及其附属设施。卫生健康服务综合大楼和卫生院的功能符合其预定目标及使用要求，作为医疗服务机构与场所，为工作人员及服务人群提供安全舒适的工作及办事就医环境。</w:t>
      </w:r>
    </w:p>
    <w:p>
      <w:pPr>
        <w:spacing w:line="400" w:lineRule="exact"/>
        <w:ind w:firstLine="420" w:firstLineChars="200"/>
        <w:jc w:val="both"/>
        <w:rPr>
          <w:rFonts w:hint="eastAsia"/>
          <w:color w:val="auto"/>
          <w:sz w:val="21"/>
          <w:szCs w:val="21"/>
          <w:highlight w:val="none"/>
          <w:lang w:val="en-US" w:eastAsia="zh-CN"/>
        </w:rPr>
      </w:pPr>
      <w:r>
        <w:rPr>
          <w:rFonts w:hint="eastAsia"/>
          <w:color w:val="auto"/>
          <w:sz w:val="21"/>
          <w:szCs w:val="21"/>
          <w:highlight w:val="none"/>
          <w:lang w:val="en-US" w:eastAsia="zh-CN"/>
        </w:rPr>
        <w:t>项目公司承担项目建设和非医疗领域范围的项目维护运营管理工作。</w:t>
      </w:r>
    </w:p>
    <w:p>
      <w:pPr>
        <w:spacing w:line="400" w:lineRule="exact"/>
        <w:ind w:firstLine="422" w:firstLineChars="20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6.2.3建设内容和建设规模</w:t>
      </w:r>
    </w:p>
    <w:p>
      <w:pPr>
        <w:pStyle w:val="2"/>
        <w:ind w:firstLine="422" w:firstLineChars="200"/>
        <w:rPr>
          <w:rFonts w:hint="eastAsia" w:ascii="Times New Roman" w:hAnsi="Times New Roman" w:eastAsia="宋体" w:cs="Times New Roman"/>
          <w:b/>
          <w:bCs/>
          <w:color w:val="auto"/>
          <w:spacing w:val="0"/>
          <w:kern w:val="2"/>
          <w:sz w:val="21"/>
          <w:szCs w:val="21"/>
          <w:highlight w:val="none"/>
          <w:lang w:val="en-US" w:eastAsia="zh-CN" w:bidi="ar-SA"/>
        </w:rPr>
      </w:pPr>
      <w:r>
        <w:rPr>
          <w:rFonts w:hint="eastAsia" w:ascii="Times New Roman" w:hAnsi="Times New Roman" w:eastAsia="宋体" w:cs="Times New Roman"/>
          <w:b/>
          <w:bCs/>
          <w:color w:val="auto"/>
          <w:spacing w:val="0"/>
          <w:kern w:val="2"/>
          <w:sz w:val="21"/>
          <w:szCs w:val="21"/>
          <w:highlight w:val="none"/>
          <w:lang w:val="en-US" w:eastAsia="zh-CN" w:bidi="ar-SA"/>
        </w:rPr>
        <w:t xml:space="preserve">6.2.3.1南宁市青秀区卫生健康服务综合大楼 </w:t>
      </w:r>
    </w:p>
    <w:p>
      <w:pPr>
        <w:pStyle w:val="2"/>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根据可研数据，本项目新建1栋地下负2层、地上20层的卫生健康服务综合楼，以及1栋地上2层的附属用房，项目总用地面积5110.98平方米（合7.67亩），总建筑面积为24271.66平方米，其中：地上建筑面积17797.36平方米，地下建筑面积 6474.30 平方米。</w:t>
      </w:r>
    </w:p>
    <w:p>
      <w:pPr>
        <w:pStyle w:val="2"/>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青秀区卫生健康服务综合大楼在功能上主要由社区卫生健康服务中心、妇幼保健中心、 疾病预防控制中心及卫生应急指挥中心组成。设备用房主要为液氧站等相关设备用房。</w:t>
      </w:r>
    </w:p>
    <w:p>
      <w:pPr>
        <w:autoSpaceDE w:val="0"/>
        <w:autoSpaceDN w:val="0"/>
        <w:adjustRightInd w:val="0"/>
        <w:snapToGrid w:val="0"/>
        <w:spacing w:line="360" w:lineRule="auto"/>
        <w:ind w:firstLine="420" w:firstLineChars="200"/>
        <w:rPr>
          <w:rFonts w:hint="eastAsia" w:ascii="宋体" w:hAnsi="宋体" w:eastAsia="宋体" w:cs="宋体"/>
          <w:color w:val="auto"/>
          <w:kern w:val="0"/>
          <w:sz w:val="21"/>
          <w:szCs w:val="21"/>
          <w:highlight w:val="none"/>
          <w:lang w:val="zh-CN" w:eastAsia="zh-CN"/>
        </w:rPr>
      </w:pPr>
      <w:r>
        <w:rPr>
          <w:rFonts w:hint="eastAsia" w:ascii="宋体" w:hAnsi="宋体" w:eastAsia="宋体" w:cs="宋体"/>
          <w:color w:val="auto"/>
          <w:sz w:val="21"/>
          <w:szCs w:val="21"/>
          <w:highlight w:val="none"/>
        </w:rPr>
        <w:drawing>
          <wp:anchor distT="0" distB="0" distL="114300" distR="114300" simplePos="0" relativeHeight="251659264" behindDoc="0" locked="0" layoutInCell="1" allowOverlap="1">
            <wp:simplePos x="0" y="0"/>
            <wp:positionH relativeFrom="column">
              <wp:posOffset>361315</wp:posOffset>
            </wp:positionH>
            <wp:positionV relativeFrom="paragraph">
              <wp:posOffset>185420</wp:posOffset>
            </wp:positionV>
            <wp:extent cx="5324475" cy="4770755"/>
            <wp:effectExtent l="0" t="0" r="9525" b="14605"/>
            <wp:wrapNone/>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4"/>
                    <a:stretch>
                      <a:fillRect/>
                    </a:stretch>
                  </pic:blipFill>
                  <pic:spPr>
                    <a:xfrm>
                      <a:off x="0" y="0"/>
                      <a:ext cx="5324475" cy="4770755"/>
                    </a:xfrm>
                    <a:prstGeom prst="rect">
                      <a:avLst/>
                    </a:prstGeom>
                    <a:noFill/>
                    <a:ln w="9525">
                      <a:noFill/>
                    </a:ln>
                  </pic:spPr>
                </pic:pic>
              </a:graphicData>
            </a:graphic>
          </wp:anchor>
        </w:drawing>
      </w:r>
      <w:r>
        <w:rPr>
          <w:rFonts w:hint="eastAsia" w:ascii="宋体" w:hAnsi="宋体" w:eastAsia="宋体" w:cs="宋体"/>
          <w:color w:val="auto"/>
          <w:kern w:val="0"/>
          <w:sz w:val="21"/>
          <w:szCs w:val="21"/>
          <w:highlight w:val="none"/>
          <w:lang w:val="zh-CN" w:eastAsia="zh-CN"/>
        </w:rPr>
        <w:t xml:space="preserve">项目技术经济指标见表 </w:t>
      </w:r>
      <w:r>
        <w:rPr>
          <w:rFonts w:hint="eastAsia" w:ascii="宋体" w:hAnsi="宋体" w:eastAsia="宋体" w:cs="宋体"/>
          <w:color w:val="auto"/>
          <w:kern w:val="0"/>
          <w:sz w:val="21"/>
          <w:szCs w:val="21"/>
          <w:highlight w:val="none"/>
          <w:lang w:val="en-US" w:eastAsia="zh-CN"/>
        </w:rPr>
        <w:t>6.2.3.1-1</w:t>
      </w:r>
      <w:r>
        <w:rPr>
          <w:rFonts w:hint="eastAsia" w:ascii="宋体" w:hAnsi="宋体" w:eastAsia="宋体" w:cs="宋体"/>
          <w:color w:val="auto"/>
          <w:kern w:val="0"/>
          <w:sz w:val="21"/>
          <w:szCs w:val="21"/>
          <w:highlight w:val="none"/>
          <w:lang w:val="zh-CN" w:eastAsia="zh-CN"/>
        </w:rPr>
        <w:t>：</w:t>
      </w:r>
    </w:p>
    <w:p>
      <w:pPr>
        <w:pStyle w:val="2"/>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sz w:val="21"/>
          <w:szCs w:val="21"/>
          <w:highlight w:val="none"/>
          <w:lang w:val="en-US" w:eastAsia="zh-CN"/>
        </w:rPr>
      </w:pPr>
      <w:r>
        <w:rPr>
          <w:rFonts w:hint="eastAsia"/>
          <w:color w:val="auto"/>
          <w:sz w:val="21"/>
          <w:szCs w:val="21"/>
          <w:highlight w:val="none"/>
          <w:lang w:val="en-US" w:eastAsia="zh-CN"/>
        </w:rPr>
        <w:t>注：项目建设规模和内容以经批复的设计为准。</w:t>
      </w:r>
    </w:p>
    <w:p>
      <w:pPr>
        <w:autoSpaceDE w:val="0"/>
        <w:autoSpaceDN w:val="0"/>
        <w:adjustRightInd w:val="0"/>
        <w:snapToGrid w:val="0"/>
        <w:spacing w:line="360" w:lineRule="auto"/>
        <w:ind w:firstLine="422" w:firstLineChars="200"/>
        <w:rPr>
          <w:rFonts w:hint="eastAsia" w:ascii="宋体" w:hAnsi="宋体" w:eastAsia="宋体" w:cs="宋体"/>
          <w:b/>
          <w:color w:val="auto"/>
          <w:kern w:val="0"/>
          <w:sz w:val="21"/>
          <w:szCs w:val="21"/>
          <w:highlight w:val="none"/>
          <w:lang w:val="en-US" w:eastAsia="zh-CN"/>
        </w:rPr>
      </w:pPr>
      <w:r>
        <w:rPr>
          <w:rFonts w:hint="eastAsia" w:ascii="宋体" w:hAnsi="宋体" w:eastAsia="宋体" w:cs="宋体"/>
          <w:b/>
          <w:color w:val="auto"/>
          <w:kern w:val="0"/>
          <w:sz w:val="21"/>
          <w:szCs w:val="21"/>
          <w:highlight w:val="none"/>
          <w:lang w:val="en-US" w:eastAsia="zh-CN"/>
        </w:rPr>
        <w:t xml:space="preserve">6.2.3.2 南宁市青秀区长塘镇卫生院 </w:t>
      </w:r>
    </w:p>
    <w:p>
      <w:pPr>
        <w:autoSpaceDE w:val="0"/>
        <w:autoSpaceDN w:val="0"/>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Cs w:val="0"/>
          <w:color w:val="auto"/>
          <w:spacing w:val="0"/>
          <w:kern w:val="2"/>
          <w:sz w:val="21"/>
          <w:szCs w:val="21"/>
          <w:highlight w:val="none"/>
          <w:lang w:val="zh-CN" w:eastAsia="zh-CN" w:bidi="ar-SA"/>
        </w:rPr>
        <w:t>根据可研数据，本项目总用地面积约为5800平方米，建筑占地面积为1295平方米。总建筑面积7585平方米，其中计容面积为5845平方米，现有办公楼面积为575平方米，地下室面积为1740平方米，床位数约96张。</w:t>
      </w:r>
    </w:p>
    <w:p>
      <w:pPr>
        <w:autoSpaceDE w:val="0"/>
        <w:autoSpaceDN w:val="0"/>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Cs w:val="0"/>
          <w:color w:val="auto"/>
          <w:spacing w:val="0"/>
          <w:kern w:val="2"/>
          <w:sz w:val="21"/>
          <w:szCs w:val="21"/>
          <w:highlight w:val="none"/>
          <w:lang w:val="zh-CN" w:eastAsia="zh-CN" w:bidi="ar-SA"/>
        </w:rPr>
        <w:t>本项目包括房屋建筑、场地和附属设施。其中房屋建筑主要为卫生院主楼，含预防保健及合作医疗管理用房、医疗(门诊、放射、检验和住院)用房、行政后勤保障用房等。场地包括道路、绿地和停车场等。服务设施包括供水供电、污水处理、垃圾收集等。</w:t>
      </w:r>
    </w:p>
    <w:p>
      <w:pPr>
        <w:autoSpaceDE w:val="0"/>
        <w:autoSpaceDN w:val="0"/>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drawing>
          <wp:anchor distT="0" distB="0" distL="114300" distR="114300" simplePos="0" relativeHeight="251662336" behindDoc="0" locked="0" layoutInCell="1" allowOverlap="1">
            <wp:simplePos x="0" y="0"/>
            <wp:positionH relativeFrom="column">
              <wp:posOffset>86360</wp:posOffset>
            </wp:positionH>
            <wp:positionV relativeFrom="paragraph">
              <wp:posOffset>184785</wp:posOffset>
            </wp:positionV>
            <wp:extent cx="5742940" cy="1996440"/>
            <wp:effectExtent l="0" t="0" r="2540" b="0"/>
            <wp:wrapNone/>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5"/>
                    <a:stretch>
                      <a:fillRect/>
                    </a:stretch>
                  </pic:blipFill>
                  <pic:spPr>
                    <a:xfrm>
                      <a:off x="0" y="0"/>
                      <a:ext cx="5742940" cy="1996440"/>
                    </a:xfrm>
                    <a:prstGeom prst="rect">
                      <a:avLst/>
                    </a:prstGeom>
                    <a:noFill/>
                    <a:ln w="9525">
                      <a:noFill/>
                    </a:ln>
                  </pic:spPr>
                </pic:pic>
              </a:graphicData>
            </a:graphic>
          </wp:anchor>
        </w:drawing>
      </w:r>
      <w:r>
        <w:rPr>
          <w:rFonts w:hint="eastAsia" w:ascii="Times New Roman" w:hAnsi="Times New Roman" w:eastAsia="宋体" w:cs="Times New Roman"/>
          <w:bCs w:val="0"/>
          <w:color w:val="auto"/>
          <w:spacing w:val="0"/>
          <w:kern w:val="2"/>
          <w:sz w:val="21"/>
          <w:szCs w:val="21"/>
          <w:highlight w:val="none"/>
          <w:lang w:val="zh-CN" w:eastAsia="zh-CN" w:bidi="ar-SA"/>
        </w:rPr>
        <w:t xml:space="preserve">长塘镇卫生院主楼各楼层布局如下： </w:t>
      </w: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autoSpaceDE w:val="0"/>
        <w:autoSpaceDN w:val="0"/>
        <w:adjustRightInd w:val="0"/>
        <w:snapToGrid w:val="0"/>
        <w:spacing w:line="360" w:lineRule="auto"/>
        <w:ind w:firstLine="420" w:firstLineChars="200"/>
        <w:rPr>
          <w:rFonts w:hint="eastAsia" w:cs="宋体"/>
          <w:color w:val="auto"/>
          <w:kern w:val="0"/>
          <w:sz w:val="21"/>
          <w:szCs w:val="21"/>
          <w:highlight w:val="none"/>
          <w:lang w:val="zh-CN" w:eastAsia="zh-CN"/>
        </w:rPr>
      </w:pPr>
      <w:r>
        <w:rPr>
          <w:color w:val="auto"/>
          <w:sz w:val="21"/>
          <w:szCs w:val="21"/>
          <w:highlight w:val="none"/>
        </w:rPr>
        <w:drawing>
          <wp:anchor distT="0" distB="0" distL="114300" distR="114300" simplePos="0" relativeHeight="251666432" behindDoc="0" locked="0" layoutInCell="1" allowOverlap="1">
            <wp:simplePos x="0" y="0"/>
            <wp:positionH relativeFrom="column">
              <wp:posOffset>245745</wp:posOffset>
            </wp:positionH>
            <wp:positionV relativeFrom="paragraph">
              <wp:posOffset>204470</wp:posOffset>
            </wp:positionV>
            <wp:extent cx="5492115" cy="4027170"/>
            <wp:effectExtent l="0" t="0" r="9525" b="11430"/>
            <wp:wrapNone/>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6"/>
                    <a:stretch>
                      <a:fillRect/>
                    </a:stretch>
                  </pic:blipFill>
                  <pic:spPr>
                    <a:xfrm>
                      <a:off x="0" y="0"/>
                      <a:ext cx="5492115" cy="4027170"/>
                    </a:xfrm>
                    <a:prstGeom prst="rect">
                      <a:avLst/>
                    </a:prstGeom>
                    <a:noFill/>
                    <a:ln w="9525">
                      <a:noFill/>
                    </a:ln>
                  </pic:spPr>
                </pic:pic>
              </a:graphicData>
            </a:graphic>
          </wp:anchor>
        </w:drawing>
      </w:r>
      <w:r>
        <w:rPr>
          <w:rFonts w:hint="eastAsia" w:cs="宋体"/>
          <w:color w:val="auto"/>
          <w:kern w:val="0"/>
          <w:sz w:val="21"/>
          <w:szCs w:val="21"/>
          <w:highlight w:val="none"/>
          <w:lang w:val="zh-CN" w:eastAsia="zh-CN"/>
        </w:rPr>
        <w:t xml:space="preserve">项目技术经济指标见表 </w:t>
      </w:r>
      <w:r>
        <w:rPr>
          <w:rFonts w:hint="eastAsia" w:cs="宋体"/>
          <w:color w:val="auto"/>
          <w:kern w:val="0"/>
          <w:sz w:val="21"/>
          <w:szCs w:val="21"/>
          <w:highlight w:val="none"/>
          <w:lang w:val="en-US" w:eastAsia="zh-CN"/>
        </w:rPr>
        <w:t>6.2.3.2</w:t>
      </w:r>
      <w:r>
        <w:rPr>
          <w:rFonts w:hint="eastAsia" w:cs="宋体"/>
          <w:color w:val="auto"/>
          <w:kern w:val="0"/>
          <w:sz w:val="21"/>
          <w:szCs w:val="21"/>
          <w:highlight w:val="none"/>
          <w:lang w:val="zh-CN" w:eastAsia="zh-CN"/>
        </w:rPr>
        <w:t>-</w:t>
      </w:r>
      <w:r>
        <w:rPr>
          <w:rFonts w:hint="eastAsia" w:cs="宋体"/>
          <w:color w:val="auto"/>
          <w:kern w:val="0"/>
          <w:sz w:val="21"/>
          <w:szCs w:val="21"/>
          <w:highlight w:val="none"/>
          <w:lang w:val="en-US" w:eastAsia="zh-CN"/>
        </w:rPr>
        <w:t>1</w:t>
      </w:r>
      <w:r>
        <w:rPr>
          <w:rFonts w:hint="eastAsia" w:cs="宋体"/>
          <w:color w:val="auto"/>
          <w:kern w:val="0"/>
          <w:sz w:val="21"/>
          <w:szCs w:val="21"/>
          <w:highlight w:val="none"/>
          <w:lang w:val="zh-CN" w:eastAsia="zh-CN"/>
        </w:rPr>
        <w:t xml:space="preserve">： </w:t>
      </w:r>
    </w:p>
    <w:p>
      <w:pPr>
        <w:autoSpaceDE w:val="0"/>
        <w:autoSpaceDN w:val="0"/>
        <w:adjustRightInd w:val="0"/>
        <w:snapToGrid w:val="0"/>
        <w:spacing w:line="360" w:lineRule="auto"/>
        <w:ind w:firstLine="482" w:firstLineChars="200"/>
        <w:rPr>
          <w:rFonts w:cs="宋体"/>
          <w:b/>
          <w:color w:val="auto"/>
          <w:kern w:val="0"/>
          <w:sz w:val="24"/>
          <w:szCs w:val="28"/>
          <w:highlight w:val="none"/>
          <w:lang w:val="zh-CN"/>
        </w:rPr>
      </w:pPr>
    </w:p>
    <w:p>
      <w:pPr>
        <w:autoSpaceDE w:val="0"/>
        <w:autoSpaceDN w:val="0"/>
        <w:adjustRightInd w:val="0"/>
        <w:snapToGrid w:val="0"/>
        <w:spacing w:line="360" w:lineRule="auto"/>
        <w:ind w:firstLine="482" w:firstLineChars="200"/>
        <w:rPr>
          <w:rFonts w:cs="宋体"/>
          <w:b/>
          <w:color w:val="auto"/>
          <w:kern w:val="0"/>
          <w:sz w:val="24"/>
          <w:szCs w:val="28"/>
          <w:highlight w:val="none"/>
          <w:lang w:val="zh-CN"/>
        </w:rPr>
      </w:pPr>
    </w:p>
    <w:p>
      <w:pPr>
        <w:autoSpaceDE w:val="0"/>
        <w:autoSpaceDN w:val="0"/>
        <w:adjustRightInd w:val="0"/>
        <w:snapToGrid w:val="0"/>
        <w:spacing w:line="360" w:lineRule="auto"/>
        <w:ind w:firstLine="482" w:firstLineChars="200"/>
        <w:rPr>
          <w:rFonts w:cs="宋体"/>
          <w:b/>
          <w:color w:val="auto"/>
          <w:kern w:val="0"/>
          <w:sz w:val="24"/>
          <w:szCs w:val="28"/>
          <w:highlight w:val="none"/>
          <w:lang w:val="zh-CN"/>
        </w:rPr>
      </w:pPr>
    </w:p>
    <w:p>
      <w:pPr>
        <w:autoSpaceDE w:val="0"/>
        <w:autoSpaceDN w:val="0"/>
        <w:adjustRightInd w:val="0"/>
        <w:snapToGrid w:val="0"/>
        <w:spacing w:line="360" w:lineRule="auto"/>
        <w:ind w:firstLine="482" w:firstLineChars="200"/>
        <w:rPr>
          <w:rFonts w:cs="宋体"/>
          <w:b/>
          <w:color w:val="auto"/>
          <w:kern w:val="0"/>
          <w:sz w:val="24"/>
          <w:szCs w:val="28"/>
          <w:highlight w:val="none"/>
          <w:lang w:val="zh-CN"/>
        </w:rPr>
      </w:pPr>
    </w:p>
    <w:p>
      <w:pPr>
        <w:autoSpaceDE w:val="0"/>
        <w:autoSpaceDN w:val="0"/>
        <w:adjustRightInd w:val="0"/>
        <w:snapToGrid w:val="0"/>
        <w:spacing w:line="360" w:lineRule="auto"/>
        <w:ind w:firstLine="482" w:firstLineChars="200"/>
        <w:rPr>
          <w:rFonts w:cs="宋体"/>
          <w:b/>
          <w:color w:val="auto"/>
          <w:kern w:val="0"/>
          <w:sz w:val="24"/>
          <w:szCs w:val="28"/>
          <w:highlight w:val="none"/>
          <w:lang w:val="zh-CN"/>
        </w:rPr>
      </w:pPr>
    </w:p>
    <w:p>
      <w:pPr>
        <w:autoSpaceDE w:val="0"/>
        <w:autoSpaceDN w:val="0"/>
        <w:adjustRightInd w:val="0"/>
        <w:snapToGrid w:val="0"/>
        <w:spacing w:line="360" w:lineRule="auto"/>
        <w:ind w:firstLine="482" w:firstLineChars="200"/>
        <w:rPr>
          <w:rFonts w:cs="宋体"/>
          <w:b/>
          <w:color w:val="auto"/>
          <w:kern w:val="0"/>
          <w:sz w:val="24"/>
          <w:szCs w:val="28"/>
          <w:highlight w:val="none"/>
          <w:lang w:val="zh-CN"/>
        </w:rPr>
      </w:pPr>
    </w:p>
    <w:p>
      <w:pPr>
        <w:autoSpaceDE w:val="0"/>
        <w:autoSpaceDN w:val="0"/>
        <w:adjustRightInd w:val="0"/>
        <w:snapToGrid w:val="0"/>
        <w:spacing w:line="360" w:lineRule="auto"/>
        <w:ind w:firstLine="482" w:firstLineChars="200"/>
        <w:rPr>
          <w:rFonts w:cs="宋体"/>
          <w:b/>
          <w:color w:val="auto"/>
          <w:kern w:val="0"/>
          <w:sz w:val="24"/>
          <w:szCs w:val="28"/>
          <w:highlight w:val="none"/>
          <w:lang w:val="zh-CN"/>
        </w:rPr>
      </w:pPr>
    </w:p>
    <w:p>
      <w:pPr>
        <w:autoSpaceDE w:val="0"/>
        <w:autoSpaceDN w:val="0"/>
        <w:adjustRightInd w:val="0"/>
        <w:snapToGrid w:val="0"/>
        <w:spacing w:line="360" w:lineRule="auto"/>
        <w:ind w:firstLine="482" w:firstLineChars="200"/>
        <w:rPr>
          <w:rFonts w:cs="宋体"/>
          <w:b/>
          <w:color w:val="auto"/>
          <w:kern w:val="0"/>
          <w:sz w:val="24"/>
          <w:szCs w:val="28"/>
          <w:highlight w:val="none"/>
          <w:lang w:val="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r>
        <w:rPr>
          <w:color w:val="auto"/>
          <w:highlight w:val="none"/>
        </w:rPr>
        <w:drawing>
          <wp:anchor distT="0" distB="0" distL="114300" distR="114300" simplePos="0" relativeHeight="251671552" behindDoc="0" locked="0" layoutInCell="1" allowOverlap="1">
            <wp:simplePos x="0" y="0"/>
            <wp:positionH relativeFrom="column">
              <wp:posOffset>346075</wp:posOffset>
            </wp:positionH>
            <wp:positionV relativeFrom="paragraph">
              <wp:posOffset>88265</wp:posOffset>
            </wp:positionV>
            <wp:extent cx="5213350" cy="1927225"/>
            <wp:effectExtent l="0" t="0" r="13970" b="8255"/>
            <wp:wrapNone/>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7"/>
                    <a:stretch>
                      <a:fillRect/>
                    </a:stretch>
                  </pic:blipFill>
                  <pic:spPr>
                    <a:xfrm>
                      <a:off x="0" y="0"/>
                      <a:ext cx="5213350" cy="1927225"/>
                    </a:xfrm>
                    <a:prstGeom prst="rect">
                      <a:avLst/>
                    </a:prstGeom>
                    <a:noFill/>
                    <a:ln w="9525">
                      <a:noFill/>
                    </a:ln>
                  </pic:spPr>
                </pic:pic>
              </a:graphicData>
            </a:graphic>
          </wp:anchor>
        </w:drawing>
      </w: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spacing w:line="400" w:lineRule="exact"/>
        <w:ind w:firstLine="422" w:firstLineChars="20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6.3 项目运营和维护</w:t>
      </w:r>
    </w:p>
    <w:p>
      <w:pPr>
        <w:autoSpaceDE w:val="0"/>
        <w:autoSpaceDN w:val="0"/>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项目公司应按国家、省、市相关行业主管部门发布的有关规定对项目进行维护管理，本项目最终的实际维护管理范围以双方商定为准。项目运营和维护内容包括但不限于以下几个方面：</w:t>
      </w:r>
    </w:p>
    <w:p>
      <w:pPr>
        <w:autoSpaceDE w:val="0"/>
        <w:autoSpaceDN w:val="0"/>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（1）提供卫生健康服务综合大楼和长塘镇卫生院建筑及设施等的维护保养服务，不包括医疗设施设备；</w:t>
      </w:r>
    </w:p>
    <w:p>
      <w:pPr>
        <w:autoSpaceDE w:val="0"/>
        <w:autoSpaceDN w:val="0"/>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（2）提供项目范围内公共区域的安保、卫生保洁服务及绿化养护服务；</w:t>
      </w:r>
    </w:p>
    <w:p>
      <w:pPr>
        <w:autoSpaceDE w:val="0"/>
        <w:autoSpaceDN w:val="0"/>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（3）提供餐饮服务，经营项目停车场；</w:t>
      </w:r>
    </w:p>
    <w:p>
      <w:pPr>
        <w:autoSpaceDE w:val="0"/>
        <w:autoSpaceDN w:val="0"/>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（4）承担社会责任（环境保护、安全生产和文明施工、应急处理、投诉处理等）；</w:t>
      </w:r>
    </w:p>
    <w:p>
      <w:pPr>
        <w:autoSpaceDE w:val="0"/>
        <w:autoSpaceDN w:val="0"/>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（5）双方协商确认的其它工作内容。</w:t>
      </w:r>
    </w:p>
    <w:p>
      <w:pPr>
        <w:autoSpaceDE w:val="0"/>
        <w:autoSpaceDN w:val="0"/>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注：项目公司不承担以下工作内容：</w:t>
      </w:r>
    </w:p>
    <w:p>
      <w:pPr>
        <w:autoSpaceDE w:val="0"/>
        <w:autoSpaceDN w:val="0"/>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（1）由院方自主购置的医疗设备和器械的维护；</w:t>
      </w:r>
    </w:p>
    <w:p>
      <w:pPr>
        <w:autoSpaceDE w:val="0"/>
        <w:autoSpaceDN w:val="0"/>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2）由院方自主购置的医疗辅助服务，如医疗废弃物处理、医疗废水处理、由专业人员负责的清洁消毒工作、指定专业人员进出的特殊用房的维护工作等有严格专业限制且项目公司不具备相应资质和人员的工作内容。</w:t>
      </w:r>
    </w:p>
    <w:p>
      <w:pPr>
        <w:autoSpaceDE w:val="0"/>
        <w:autoSpaceDN w:val="0"/>
        <w:adjustRightInd w:val="0"/>
        <w:snapToGrid w:val="0"/>
        <w:spacing w:line="360" w:lineRule="auto"/>
        <w:ind w:firstLine="422" w:firstLineChars="200"/>
        <w:rPr>
          <w:rFonts w:hint="eastAsia" w:ascii="Times New Roman" w:hAnsi="Times New Roman" w:eastAsia="宋体" w:cs="Times New Roman"/>
          <w:b/>
          <w:bCs/>
          <w:color w:val="auto"/>
          <w:spacing w:val="0"/>
          <w:kern w:val="2"/>
          <w:sz w:val="21"/>
          <w:szCs w:val="21"/>
          <w:highlight w:val="none"/>
          <w:lang w:val="en-US" w:eastAsia="zh-CN" w:bidi="ar-SA"/>
        </w:rPr>
      </w:pPr>
      <w:r>
        <w:rPr>
          <w:rFonts w:hint="eastAsia" w:cs="Times New Roman"/>
          <w:b/>
          <w:bCs/>
          <w:color w:val="auto"/>
          <w:spacing w:val="0"/>
          <w:kern w:val="2"/>
          <w:sz w:val="21"/>
          <w:szCs w:val="21"/>
          <w:highlight w:val="none"/>
          <w:lang w:val="en-US" w:eastAsia="zh-CN" w:bidi="ar-SA"/>
        </w:rPr>
        <w:t>6.4</w:t>
      </w:r>
      <w:r>
        <w:rPr>
          <w:rFonts w:hint="eastAsia" w:ascii="Times New Roman" w:hAnsi="Times New Roman" w:eastAsia="宋体" w:cs="Times New Roman"/>
          <w:b/>
          <w:bCs/>
          <w:color w:val="auto"/>
          <w:spacing w:val="0"/>
          <w:kern w:val="2"/>
          <w:sz w:val="21"/>
          <w:szCs w:val="21"/>
          <w:highlight w:val="none"/>
          <w:lang w:val="en-US" w:eastAsia="zh-CN" w:bidi="ar-SA"/>
        </w:rPr>
        <w:t xml:space="preserve"> 项目建设总投资</w:t>
      </w:r>
    </w:p>
    <w:p>
      <w:pPr>
        <w:autoSpaceDE w:val="0"/>
        <w:autoSpaceDN w:val="0"/>
        <w:adjustRightInd w:val="0"/>
        <w:snapToGrid w:val="0"/>
        <w:spacing w:line="360" w:lineRule="auto"/>
        <w:ind w:firstLine="422" w:firstLineChars="200"/>
        <w:rPr>
          <w:rFonts w:hint="eastAsia" w:ascii="Times New Roman" w:hAnsi="Times New Roman" w:eastAsia="宋体" w:cs="Times New Roman"/>
          <w:b/>
          <w:bCs/>
          <w:color w:val="auto"/>
          <w:spacing w:val="0"/>
          <w:kern w:val="2"/>
          <w:sz w:val="21"/>
          <w:szCs w:val="21"/>
          <w:highlight w:val="none"/>
          <w:lang w:val="en-US" w:eastAsia="zh-CN" w:bidi="ar-SA"/>
        </w:rPr>
      </w:pPr>
      <w:r>
        <w:rPr>
          <w:rFonts w:hint="eastAsia" w:ascii="Times New Roman" w:hAnsi="Times New Roman" w:eastAsia="宋体" w:cs="Times New Roman"/>
          <w:b/>
          <w:bCs/>
          <w:color w:val="auto"/>
          <w:spacing w:val="0"/>
          <w:kern w:val="2"/>
          <w:sz w:val="21"/>
          <w:szCs w:val="21"/>
          <w:highlight w:val="none"/>
          <w:lang w:val="en-US" w:eastAsia="zh-CN" w:bidi="ar-SA"/>
        </w:rPr>
        <w:t xml:space="preserve">（1）建设项目总投资 </w:t>
      </w:r>
    </w:p>
    <w:p>
      <w:pPr>
        <w:autoSpaceDE w:val="0"/>
        <w:autoSpaceDN w:val="0"/>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根据项目可行性研究报告，本项目投资估算总额为19358.12万元， 投资估算表见表</w:t>
      </w:r>
      <w:r>
        <w:rPr>
          <w:rFonts w:hint="eastAsia" w:cs="Times New Roman"/>
          <w:bCs w:val="0"/>
          <w:color w:val="auto"/>
          <w:spacing w:val="0"/>
          <w:kern w:val="2"/>
          <w:sz w:val="21"/>
          <w:szCs w:val="21"/>
          <w:highlight w:val="none"/>
          <w:lang w:val="en-US" w:eastAsia="zh-CN" w:bidi="ar-SA"/>
        </w:rPr>
        <w:t>6.4</w:t>
      </w:r>
      <w:r>
        <w:rPr>
          <w:rFonts w:hint="eastAsia" w:ascii="Times New Roman" w:hAnsi="Times New Roman" w:eastAsia="宋体" w:cs="Times New Roman"/>
          <w:bCs w:val="0"/>
          <w:color w:val="auto"/>
          <w:spacing w:val="0"/>
          <w:kern w:val="2"/>
          <w:sz w:val="21"/>
          <w:szCs w:val="21"/>
          <w:highlight w:val="none"/>
          <w:lang w:val="en-US" w:eastAsia="zh-CN" w:bidi="ar-SA"/>
        </w:rPr>
        <w:t>-1、</w:t>
      </w:r>
      <w:r>
        <w:rPr>
          <w:rFonts w:hint="eastAsia" w:cs="Times New Roman"/>
          <w:bCs w:val="0"/>
          <w:color w:val="auto"/>
          <w:spacing w:val="0"/>
          <w:kern w:val="2"/>
          <w:sz w:val="21"/>
          <w:szCs w:val="21"/>
          <w:highlight w:val="none"/>
          <w:lang w:val="en-US" w:eastAsia="zh-CN" w:bidi="ar-SA"/>
        </w:rPr>
        <w:t>6.4</w:t>
      </w:r>
      <w:r>
        <w:rPr>
          <w:rFonts w:hint="eastAsia" w:ascii="Times New Roman" w:hAnsi="Times New Roman" w:eastAsia="宋体" w:cs="Times New Roman"/>
          <w:bCs w:val="0"/>
          <w:color w:val="auto"/>
          <w:spacing w:val="0"/>
          <w:kern w:val="2"/>
          <w:sz w:val="21"/>
          <w:szCs w:val="21"/>
          <w:highlight w:val="none"/>
          <w:lang w:val="en-US" w:eastAsia="zh-CN" w:bidi="ar-SA"/>
        </w:rPr>
        <w:t>-2、</w:t>
      </w:r>
      <w:r>
        <w:rPr>
          <w:rFonts w:hint="eastAsia" w:cs="Times New Roman"/>
          <w:bCs w:val="0"/>
          <w:color w:val="auto"/>
          <w:spacing w:val="0"/>
          <w:kern w:val="2"/>
          <w:sz w:val="21"/>
          <w:szCs w:val="21"/>
          <w:highlight w:val="none"/>
          <w:lang w:val="en-US" w:eastAsia="zh-CN" w:bidi="ar-SA"/>
        </w:rPr>
        <w:t>6.4</w:t>
      </w:r>
      <w:r>
        <w:rPr>
          <w:rFonts w:hint="eastAsia" w:ascii="Times New Roman" w:hAnsi="Times New Roman" w:eastAsia="宋体" w:cs="Times New Roman"/>
          <w:bCs w:val="0"/>
          <w:color w:val="auto"/>
          <w:spacing w:val="0"/>
          <w:kern w:val="2"/>
          <w:sz w:val="21"/>
          <w:szCs w:val="21"/>
          <w:highlight w:val="none"/>
          <w:lang w:val="en-US" w:eastAsia="zh-CN" w:bidi="ar-SA"/>
        </w:rPr>
        <w:t>-3。</w:t>
      </w:r>
    </w:p>
    <w:p>
      <w:pPr>
        <w:autoSpaceDE w:val="0"/>
        <w:autoSpaceDN w:val="0"/>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color w:val="auto"/>
          <w:highlight w:val="none"/>
        </w:rPr>
        <w:drawing>
          <wp:anchor distT="0" distB="0" distL="114300" distR="114300" simplePos="0" relativeHeight="251677696" behindDoc="0" locked="0" layoutInCell="1" allowOverlap="1">
            <wp:simplePos x="0" y="0"/>
            <wp:positionH relativeFrom="column">
              <wp:posOffset>244475</wp:posOffset>
            </wp:positionH>
            <wp:positionV relativeFrom="paragraph">
              <wp:posOffset>161925</wp:posOffset>
            </wp:positionV>
            <wp:extent cx="5433695" cy="1615440"/>
            <wp:effectExtent l="0" t="0" r="6985" b="0"/>
            <wp:wrapNone/>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8"/>
                    <a:stretch>
                      <a:fillRect/>
                    </a:stretch>
                  </pic:blipFill>
                  <pic:spPr>
                    <a:xfrm>
                      <a:off x="0" y="0"/>
                      <a:ext cx="5433695" cy="1615440"/>
                    </a:xfrm>
                    <a:prstGeom prst="rect">
                      <a:avLst/>
                    </a:prstGeom>
                    <a:noFill/>
                    <a:ln w="9525">
                      <a:noFill/>
                    </a:ln>
                  </pic:spPr>
                </pic:pic>
              </a:graphicData>
            </a:graphic>
          </wp:anchor>
        </w:drawing>
      </w:r>
      <w:r>
        <w:rPr>
          <w:rFonts w:hint="eastAsia" w:ascii="Times New Roman" w:hAnsi="Times New Roman" w:eastAsia="宋体" w:cs="Times New Roman"/>
          <w:bCs w:val="0"/>
          <w:color w:val="auto"/>
          <w:spacing w:val="0"/>
          <w:kern w:val="2"/>
          <w:sz w:val="21"/>
          <w:szCs w:val="21"/>
          <w:highlight w:val="none"/>
          <w:lang w:val="en-US" w:eastAsia="zh-CN" w:bidi="ar-SA"/>
        </w:rPr>
        <w:t>表</w:t>
      </w:r>
      <w:r>
        <w:rPr>
          <w:rFonts w:hint="eastAsia" w:cs="Times New Roman"/>
          <w:bCs w:val="0"/>
          <w:color w:val="auto"/>
          <w:spacing w:val="0"/>
          <w:kern w:val="2"/>
          <w:sz w:val="21"/>
          <w:szCs w:val="21"/>
          <w:highlight w:val="none"/>
          <w:lang w:val="en-US" w:eastAsia="zh-CN" w:bidi="ar-SA"/>
        </w:rPr>
        <w:t>6.4</w:t>
      </w:r>
      <w:r>
        <w:rPr>
          <w:rFonts w:hint="eastAsia" w:ascii="Times New Roman" w:hAnsi="Times New Roman" w:eastAsia="宋体" w:cs="Times New Roman"/>
          <w:bCs w:val="0"/>
          <w:color w:val="auto"/>
          <w:spacing w:val="0"/>
          <w:kern w:val="2"/>
          <w:sz w:val="21"/>
          <w:szCs w:val="21"/>
          <w:highlight w:val="none"/>
          <w:lang w:val="en-US" w:eastAsia="zh-CN" w:bidi="ar-SA"/>
        </w:rPr>
        <w:t>-1可研建设项目总投资估算表</w:t>
      </w: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spacing w:line="400" w:lineRule="exact"/>
        <w:ind w:firstLine="420" w:firstLineChars="200"/>
        <w:jc w:val="both"/>
        <w:rPr>
          <w:color w:val="auto"/>
          <w:sz w:val="21"/>
          <w:szCs w:val="21"/>
          <w:highlight w:val="none"/>
        </w:rPr>
      </w:pPr>
      <w:r>
        <w:rPr>
          <w:color w:val="auto"/>
          <w:highlight w:val="none"/>
        </w:rPr>
        <w:drawing>
          <wp:anchor distT="0" distB="0" distL="114300" distR="114300" simplePos="0" relativeHeight="251684864" behindDoc="0" locked="0" layoutInCell="1" allowOverlap="1">
            <wp:simplePos x="0" y="0"/>
            <wp:positionH relativeFrom="column">
              <wp:posOffset>184785</wp:posOffset>
            </wp:positionH>
            <wp:positionV relativeFrom="paragraph">
              <wp:posOffset>220345</wp:posOffset>
            </wp:positionV>
            <wp:extent cx="5494655" cy="1638300"/>
            <wp:effectExtent l="0" t="0" r="6985" b="7620"/>
            <wp:wrapNone/>
            <wp:docPr id="2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pic:cNvPicPr>
                      <a:picLocks noChangeAspect="1"/>
                    </pic:cNvPicPr>
                  </pic:nvPicPr>
                  <pic:blipFill>
                    <a:blip r:embed="rId9"/>
                    <a:stretch>
                      <a:fillRect/>
                    </a:stretch>
                  </pic:blipFill>
                  <pic:spPr>
                    <a:xfrm>
                      <a:off x="0" y="0"/>
                      <a:ext cx="5494655" cy="1638300"/>
                    </a:xfrm>
                    <a:prstGeom prst="rect">
                      <a:avLst/>
                    </a:prstGeom>
                    <a:noFill/>
                    <a:ln w="9525">
                      <a:noFill/>
                    </a:ln>
                  </pic:spPr>
                </pic:pic>
              </a:graphicData>
            </a:graphic>
          </wp:anchor>
        </w:drawing>
      </w:r>
      <w:r>
        <w:rPr>
          <w:rFonts w:hint="eastAsia"/>
          <w:color w:val="auto"/>
          <w:sz w:val="21"/>
          <w:szCs w:val="21"/>
          <w:highlight w:val="none"/>
          <w:lang w:val="zh-CN"/>
        </w:rPr>
        <w:t>表</w:t>
      </w:r>
      <w:r>
        <w:rPr>
          <w:rFonts w:hint="eastAsia"/>
          <w:color w:val="auto"/>
          <w:sz w:val="21"/>
          <w:szCs w:val="21"/>
          <w:highlight w:val="none"/>
          <w:lang w:val="en-US" w:eastAsia="zh-CN"/>
        </w:rPr>
        <w:t>6.4-2青秀区卫生健康服务综合大楼可研建设项目总投资估算表</w:t>
      </w:r>
    </w:p>
    <w:p>
      <w:pPr>
        <w:spacing w:line="400" w:lineRule="exact"/>
        <w:ind w:firstLine="420" w:firstLineChars="200"/>
        <w:jc w:val="both"/>
        <w:rPr>
          <w:color w:val="auto"/>
          <w:sz w:val="21"/>
          <w:szCs w:val="21"/>
          <w:highlight w:val="none"/>
        </w:rPr>
      </w:pPr>
    </w:p>
    <w:p>
      <w:pPr>
        <w:spacing w:line="400" w:lineRule="exact"/>
        <w:ind w:firstLine="420" w:firstLineChars="200"/>
        <w:jc w:val="both"/>
        <w:rPr>
          <w:color w:val="auto"/>
          <w:sz w:val="21"/>
          <w:szCs w:val="21"/>
          <w:highlight w:val="none"/>
        </w:rPr>
      </w:pPr>
    </w:p>
    <w:p>
      <w:pPr>
        <w:spacing w:line="400" w:lineRule="exact"/>
        <w:ind w:firstLine="420" w:firstLineChars="200"/>
        <w:jc w:val="both"/>
        <w:rPr>
          <w:color w:val="auto"/>
          <w:sz w:val="21"/>
          <w:szCs w:val="21"/>
          <w:highlight w:val="none"/>
        </w:rPr>
      </w:pPr>
    </w:p>
    <w:p>
      <w:pPr>
        <w:spacing w:line="400" w:lineRule="exact"/>
        <w:ind w:firstLine="420" w:firstLineChars="200"/>
        <w:jc w:val="both"/>
        <w:rPr>
          <w:color w:val="auto"/>
          <w:sz w:val="21"/>
          <w:szCs w:val="21"/>
          <w:highlight w:val="none"/>
        </w:rPr>
      </w:pPr>
    </w:p>
    <w:p>
      <w:pPr>
        <w:spacing w:line="400" w:lineRule="exact"/>
        <w:ind w:firstLine="420" w:firstLineChars="200"/>
        <w:jc w:val="both"/>
        <w:rPr>
          <w:color w:val="auto"/>
          <w:sz w:val="21"/>
          <w:szCs w:val="21"/>
          <w:highlight w:val="none"/>
        </w:rPr>
      </w:pPr>
    </w:p>
    <w:p>
      <w:pPr>
        <w:spacing w:line="400" w:lineRule="exact"/>
        <w:jc w:val="both"/>
        <w:rPr>
          <w:rFonts w:hint="eastAsia" w:eastAsia="宋体"/>
          <w:color w:val="auto"/>
          <w:sz w:val="21"/>
          <w:szCs w:val="21"/>
          <w:highlight w:val="none"/>
          <w:lang w:eastAsia="zh-CN"/>
        </w:rPr>
      </w:pPr>
    </w:p>
    <w:p>
      <w:pPr>
        <w:pStyle w:val="2"/>
        <w:rPr>
          <w:rFonts w:hint="eastAsia" w:eastAsia="宋体"/>
          <w:color w:val="auto"/>
          <w:sz w:val="21"/>
          <w:szCs w:val="21"/>
          <w:highlight w:val="none"/>
          <w:lang w:eastAsia="zh-CN"/>
        </w:rPr>
      </w:pPr>
    </w:p>
    <w:p>
      <w:pPr>
        <w:pStyle w:val="2"/>
        <w:rPr>
          <w:rFonts w:hint="eastAsia" w:eastAsia="宋体"/>
          <w:color w:val="auto"/>
          <w:sz w:val="21"/>
          <w:szCs w:val="21"/>
          <w:highlight w:val="none"/>
          <w:lang w:eastAsia="zh-CN"/>
        </w:rPr>
      </w:pPr>
    </w:p>
    <w:p>
      <w:pPr>
        <w:pStyle w:val="2"/>
        <w:rPr>
          <w:rFonts w:hint="eastAsia" w:eastAsia="宋体"/>
          <w:color w:val="auto"/>
          <w:sz w:val="21"/>
          <w:szCs w:val="21"/>
          <w:highlight w:val="none"/>
          <w:lang w:eastAsia="zh-CN"/>
        </w:rPr>
      </w:pPr>
    </w:p>
    <w:p>
      <w:pPr>
        <w:pStyle w:val="2"/>
        <w:rPr>
          <w:rFonts w:hint="eastAsia" w:eastAsia="宋体"/>
          <w:color w:val="auto"/>
          <w:sz w:val="21"/>
          <w:szCs w:val="21"/>
          <w:highlight w:val="none"/>
          <w:lang w:eastAsia="zh-CN"/>
        </w:rPr>
      </w:pPr>
    </w:p>
    <w:p>
      <w:pPr>
        <w:pStyle w:val="2"/>
        <w:rPr>
          <w:rFonts w:hint="eastAsia" w:eastAsia="宋体"/>
          <w:color w:val="auto"/>
          <w:sz w:val="21"/>
          <w:szCs w:val="21"/>
          <w:highlight w:val="none"/>
          <w:lang w:eastAsia="zh-CN"/>
        </w:rPr>
      </w:pPr>
    </w:p>
    <w:p>
      <w:pPr>
        <w:spacing w:line="400" w:lineRule="exact"/>
        <w:ind w:firstLine="420" w:firstLineChars="200"/>
        <w:jc w:val="both"/>
        <w:rPr>
          <w:color w:val="auto"/>
          <w:sz w:val="21"/>
          <w:szCs w:val="21"/>
          <w:highlight w:val="none"/>
        </w:rPr>
      </w:pPr>
      <w:r>
        <w:rPr>
          <w:rFonts w:hint="eastAsia"/>
          <w:color w:val="auto"/>
          <w:sz w:val="21"/>
          <w:szCs w:val="21"/>
          <w:highlight w:val="none"/>
          <w:lang w:val="zh-CN" w:eastAsia="zh-CN"/>
        </w:rPr>
        <w:t>表</w:t>
      </w:r>
      <w:r>
        <w:rPr>
          <w:rFonts w:hint="eastAsia"/>
          <w:color w:val="auto"/>
          <w:sz w:val="21"/>
          <w:szCs w:val="21"/>
          <w:highlight w:val="none"/>
          <w:lang w:val="en-US" w:eastAsia="zh-CN"/>
        </w:rPr>
        <w:t>6.4-3青秀区长塘镇卫生院整体搬迁项目总投资估算表</w:t>
      </w:r>
    </w:p>
    <w:p>
      <w:pPr>
        <w:spacing w:line="400" w:lineRule="exact"/>
        <w:ind w:firstLine="420" w:firstLineChars="200"/>
        <w:jc w:val="both"/>
        <w:rPr>
          <w:color w:val="auto"/>
          <w:sz w:val="21"/>
          <w:szCs w:val="21"/>
          <w:highlight w:val="none"/>
        </w:rPr>
      </w:pPr>
      <w:r>
        <w:rPr>
          <w:color w:val="auto"/>
          <w:highlight w:val="none"/>
        </w:rPr>
        <w:drawing>
          <wp:anchor distT="0" distB="0" distL="114300" distR="114300" simplePos="0" relativeHeight="251693056" behindDoc="0" locked="0" layoutInCell="1" allowOverlap="1">
            <wp:simplePos x="0" y="0"/>
            <wp:positionH relativeFrom="column">
              <wp:posOffset>66675</wp:posOffset>
            </wp:positionH>
            <wp:positionV relativeFrom="paragraph">
              <wp:posOffset>81280</wp:posOffset>
            </wp:positionV>
            <wp:extent cx="5540375" cy="1638300"/>
            <wp:effectExtent l="0" t="0" r="6985" b="7620"/>
            <wp:wrapNone/>
            <wp:docPr id="2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pic:cNvPicPr>
                      <a:picLocks noChangeAspect="1"/>
                    </pic:cNvPicPr>
                  </pic:nvPicPr>
                  <pic:blipFill>
                    <a:blip r:embed="rId10"/>
                    <a:stretch>
                      <a:fillRect/>
                    </a:stretch>
                  </pic:blipFill>
                  <pic:spPr>
                    <a:xfrm>
                      <a:off x="0" y="0"/>
                      <a:ext cx="5540375" cy="1638300"/>
                    </a:xfrm>
                    <a:prstGeom prst="rect">
                      <a:avLst/>
                    </a:prstGeom>
                    <a:noFill/>
                    <a:ln w="9525">
                      <a:noFill/>
                    </a:ln>
                  </pic:spPr>
                </pic:pic>
              </a:graphicData>
            </a:graphic>
          </wp:anchor>
        </w:drawing>
      </w: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spacing w:line="400" w:lineRule="exact"/>
        <w:ind w:firstLine="422" w:firstLineChars="200"/>
        <w:jc w:val="both"/>
        <w:rPr>
          <w:b/>
          <w:bCs/>
          <w:color w:val="auto"/>
          <w:sz w:val="21"/>
          <w:szCs w:val="21"/>
          <w:highlight w:val="none"/>
        </w:rPr>
      </w:pPr>
      <w:r>
        <w:rPr>
          <w:rFonts w:hint="eastAsia"/>
          <w:b/>
          <w:bCs/>
          <w:color w:val="auto"/>
          <w:sz w:val="21"/>
          <w:szCs w:val="21"/>
          <w:highlight w:val="none"/>
          <w:lang w:val="zh-CN"/>
        </w:rPr>
        <w:t>（2）政府方支付的前期费用</w:t>
      </w:r>
    </w:p>
    <w:p>
      <w:pPr>
        <w:spacing w:line="400" w:lineRule="exact"/>
        <w:ind w:firstLine="420" w:firstLineChars="200"/>
        <w:jc w:val="both"/>
        <w:rPr>
          <w:rFonts w:hint="eastAsia"/>
          <w:color w:val="auto"/>
          <w:sz w:val="21"/>
          <w:szCs w:val="21"/>
          <w:highlight w:val="none"/>
          <w:lang w:val="zh-CN" w:eastAsia="zh-CN"/>
        </w:rPr>
      </w:pPr>
      <w:r>
        <w:rPr>
          <w:rFonts w:hint="eastAsia"/>
          <w:color w:val="auto"/>
          <w:sz w:val="21"/>
          <w:szCs w:val="21"/>
          <w:highlight w:val="none"/>
          <w:lang w:val="zh-CN" w:eastAsia="zh-CN"/>
        </w:rPr>
        <w:t xml:space="preserve">政府方已为本项目支付前期工作费用 85.61 万元，该费用由政府方承担，不计入项目回报计算基数。 前期工作费用支付情况见表 </w:t>
      </w:r>
      <w:r>
        <w:rPr>
          <w:rFonts w:hint="eastAsia"/>
          <w:color w:val="auto"/>
          <w:sz w:val="21"/>
          <w:szCs w:val="21"/>
          <w:highlight w:val="none"/>
          <w:lang w:val="en-US" w:eastAsia="zh-CN"/>
        </w:rPr>
        <w:t>6.4</w:t>
      </w:r>
      <w:r>
        <w:rPr>
          <w:rFonts w:hint="eastAsia"/>
          <w:color w:val="auto"/>
          <w:sz w:val="21"/>
          <w:szCs w:val="21"/>
          <w:highlight w:val="none"/>
          <w:lang w:val="zh-CN" w:eastAsia="zh-CN"/>
        </w:rPr>
        <w:t xml:space="preserve">-4 和 </w:t>
      </w:r>
      <w:r>
        <w:rPr>
          <w:rFonts w:hint="eastAsia"/>
          <w:color w:val="auto"/>
          <w:sz w:val="21"/>
          <w:szCs w:val="21"/>
          <w:highlight w:val="none"/>
          <w:lang w:val="en-US" w:eastAsia="zh-CN"/>
        </w:rPr>
        <w:t>6.4</w:t>
      </w:r>
      <w:r>
        <w:rPr>
          <w:rFonts w:hint="eastAsia"/>
          <w:color w:val="auto"/>
          <w:sz w:val="21"/>
          <w:szCs w:val="21"/>
          <w:highlight w:val="none"/>
          <w:lang w:val="zh-CN" w:eastAsia="zh-CN"/>
        </w:rPr>
        <w:t>-5。</w:t>
      </w:r>
    </w:p>
    <w:p>
      <w:pPr>
        <w:spacing w:line="400" w:lineRule="exact"/>
        <w:ind w:firstLine="420" w:firstLineChars="200"/>
        <w:jc w:val="both"/>
        <w:rPr>
          <w:rFonts w:hint="eastAsia"/>
          <w:color w:val="auto"/>
          <w:sz w:val="21"/>
          <w:szCs w:val="21"/>
          <w:highlight w:val="none"/>
          <w:lang w:val="en-US" w:eastAsia="zh-CN"/>
        </w:rPr>
      </w:pPr>
      <w:r>
        <w:rPr>
          <w:rFonts w:hint="eastAsia"/>
          <w:color w:val="auto"/>
          <w:sz w:val="21"/>
          <w:szCs w:val="21"/>
          <w:highlight w:val="none"/>
          <w:lang w:val="zh-CN" w:eastAsia="zh-CN"/>
        </w:rPr>
        <w:t>表</w:t>
      </w:r>
      <w:r>
        <w:rPr>
          <w:rFonts w:hint="eastAsia"/>
          <w:color w:val="auto"/>
          <w:sz w:val="21"/>
          <w:szCs w:val="21"/>
          <w:highlight w:val="none"/>
          <w:lang w:val="en-US" w:eastAsia="zh-CN"/>
        </w:rPr>
        <w:t xml:space="preserve">6.4-4青秀区卫生健康服务综合大楼项目前期工作费用支付情况表 </w:t>
      </w:r>
    </w:p>
    <w:p>
      <w:pPr>
        <w:pStyle w:val="2"/>
        <w:rPr>
          <w:color w:val="auto"/>
          <w:sz w:val="21"/>
          <w:szCs w:val="21"/>
          <w:highlight w:val="none"/>
        </w:rPr>
      </w:pPr>
      <w:r>
        <w:rPr>
          <w:color w:val="auto"/>
          <w:highlight w:val="none"/>
        </w:rPr>
        <w:drawing>
          <wp:anchor distT="0" distB="0" distL="114300" distR="114300" simplePos="0" relativeHeight="251702272" behindDoc="0" locked="0" layoutInCell="1" allowOverlap="1">
            <wp:simplePos x="0" y="0"/>
            <wp:positionH relativeFrom="column">
              <wp:posOffset>-94615</wp:posOffset>
            </wp:positionH>
            <wp:positionV relativeFrom="paragraph">
              <wp:posOffset>18415</wp:posOffset>
            </wp:positionV>
            <wp:extent cx="5479415" cy="1440180"/>
            <wp:effectExtent l="0" t="0" r="6985" b="7620"/>
            <wp:wrapNone/>
            <wp:docPr id="2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pic:cNvPicPr>
                      <a:picLocks noChangeAspect="1"/>
                    </pic:cNvPicPr>
                  </pic:nvPicPr>
                  <pic:blipFill>
                    <a:blip r:embed="rId11"/>
                    <a:stretch>
                      <a:fillRect/>
                    </a:stretch>
                  </pic:blipFill>
                  <pic:spPr>
                    <a:xfrm>
                      <a:off x="0" y="0"/>
                      <a:ext cx="5479415" cy="1440180"/>
                    </a:xfrm>
                    <a:prstGeom prst="rect">
                      <a:avLst/>
                    </a:prstGeom>
                    <a:noFill/>
                    <a:ln w="9525">
                      <a:noFill/>
                    </a:ln>
                  </pic:spPr>
                </pic:pic>
              </a:graphicData>
            </a:graphic>
          </wp:anchor>
        </w:drawing>
      </w: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ind w:firstLine="460" w:firstLineChars="200"/>
        <w:rPr>
          <w:color w:val="auto"/>
          <w:sz w:val="21"/>
          <w:szCs w:val="21"/>
          <w:highlight w:val="none"/>
        </w:rPr>
      </w:pPr>
      <w:r>
        <w:rPr>
          <w:rFonts w:hint="eastAsia"/>
          <w:color w:val="auto"/>
          <w:sz w:val="21"/>
          <w:szCs w:val="21"/>
          <w:highlight w:val="none"/>
          <w:lang w:val="zh-CN"/>
        </w:rPr>
        <w:t>表</w:t>
      </w:r>
      <w:r>
        <w:rPr>
          <w:rFonts w:hint="eastAsia"/>
          <w:color w:val="auto"/>
          <w:sz w:val="21"/>
          <w:szCs w:val="21"/>
          <w:highlight w:val="none"/>
          <w:lang w:val="en-US" w:eastAsia="zh-CN"/>
        </w:rPr>
        <w:t>6.4-5青秀区长塘镇卫生院整体搬迁项目前期工作费用支付情况表</w:t>
      </w:r>
    </w:p>
    <w:p>
      <w:pPr>
        <w:pStyle w:val="2"/>
        <w:rPr>
          <w:color w:val="auto"/>
          <w:sz w:val="21"/>
          <w:szCs w:val="21"/>
          <w:highlight w:val="none"/>
        </w:rPr>
      </w:pPr>
      <w:r>
        <w:rPr>
          <w:color w:val="auto"/>
          <w:highlight w:val="none"/>
        </w:rPr>
        <w:drawing>
          <wp:anchor distT="0" distB="0" distL="114300" distR="114300" simplePos="0" relativeHeight="251712512" behindDoc="0" locked="0" layoutInCell="1" allowOverlap="1">
            <wp:simplePos x="0" y="0"/>
            <wp:positionH relativeFrom="column">
              <wp:posOffset>-1270</wp:posOffset>
            </wp:positionH>
            <wp:positionV relativeFrom="paragraph">
              <wp:posOffset>52070</wp:posOffset>
            </wp:positionV>
            <wp:extent cx="5487035" cy="1866900"/>
            <wp:effectExtent l="0" t="0" r="14605" b="7620"/>
            <wp:wrapNone/>
            <wp:docPr id="28"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pic:cNvPicPr>
                      <a:picLocks noChangeAspect="1"/>
                    </pic:cNvPicPr>
                  </pic:nvPicPr>
                  <pic:blipFill>
                    <a:blip r:embed="rId12"/>
                    <a:stretch>
                      <a:fillRect/>
                    </a:stretch>
                  </pic:blipFill>
                  <pic:spPr>
                    <a:xfrm>
                      <a:off x="0" y="0"/>
                      <a:ext cx="5487035" cy="1866900"/>
                    </a:xfrm>
                    <a:prstGeom prst="rect">
                      <a:avLst/>
                    </a:prstGeom>
                    <a:noFill/>
                    <a:ln w="9525">
                      <a:noFill/>
                    </a:ln>
                  </pic:spPr>
                </pic:pic>
              </a:graphicData>
            </a:graphic>
          </wp:anchor>
        </w:drawing>
      </w: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Cs w:val="0"/>
          <w:color w:val="auto"/>
          <w:spacing w:val="0"/>
          <w:kern w:val="2"/>
          <w:sz w:val="21"/>
          <w:szCs w:val="21"/>
          <w:highlight w:val="none"/>
          <w:lang w:val="zh-CN" w:eastAsia="zh-CN" w:bidi="ar-SA"/>
        </w:rPr>
        <w:t>为保</w:t>
      </w:r>
      <w:r>
        <w:rPr>
          <w:rFonts w:hint="eastAsia" w:ascii="Times New Roman" w:hAnsi="Times New Roman" w:cs="Times New Roman"/>
          <w:bCs w:val="0"/>
          <w:color w:val="auto"/>
          <w:spacing w:val="0"/>
          <w:kern w:val="2"/>
          <w:sz w:val="21"/>
          <w:szCs w:val="21"/>
          <w:highlight w:val="none"/>
          <w:lang w:val="zh-CN" w:eastAsia="zh-CN" w:bidi="ar-SA"/>
        </w:rPr>
        <w:t>证</w:t>
      </w:r>
      <w:r>
        <w:rPr>
          <w:rFonts w:hint="eastAsia" w:ascii="Times New Roman" w:hAnsi="Times New Roman" w:eastAsia="宋体" w:cs="Times New Roman"/>
          <w:bCs w:val="0"/>
          <w:color w:val="auto"/>
          <w:spacing w:val="0"/>
          <w:kern w:val="2"/>
          <w:sz w:val="21"/>
          <w:szCs w:val="21"/>
          <w:highlight w:val="none"/>
          <w:lang w:val="zh-CN" w:eastAsia="zh-CN" w:bidi="ar-SA"/>
        </w:rPr>
        <w:t xml:space="preserve">项目的顺利推进，政府方已依法选定勘察、设计方，因此产生的费用由实施机构自行承担，在计算社会资本回报计算基数时根据合同约定按据实发生的费用扣减。 </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Cs w:val="0"/>
          <w:color w:val="auto"/>
          <w:spacing w:val="0"/>
          <w:kern w:val="2"/>
          <w:sz w:val="21"/>
          <w:szCs w:val="21"/>
          <w:highlight w:val="none"/>
          <w:lang w:val="zh-CN" w:eastAsia="zh-CN" w:bidi="ar-SA"/>
        </w:rPr>
        <w:t>此外，政府方依法选定的其他第三方为项目提供前期服务并签署了协议的，项目公司签署PPP项目合同后，若政府方要求由项目公司支付，项目公司应与政府方及政府方已依法选定的第三方签署三方协议，政府方在该三方协议项下的付费义务交由项目公司承接，项目公司应根据该三方协议的约定向第三方支付相关费用（政府方已经实际向第三方付费的，应视为政府方替项目公司垫付），项目公司按照此等协议而实际支付的费用计入回报计算基数。</w:t>
      </w:r>
    </w:p>
    <w:p>
      <w:pPr>
        <w:pStyle w:val="2"/>
        <w:rPr>
          <w:color w:val="auto"/>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
          <w:bCs/>
          <w:color w:val="auto"/>
          <w:spacing w:val="0"/>
          <w:kern w:val="2"/>
          <w:sz w:val="21"/>
          <w:szCs w:val="21"/>
          <w:highlight w:val="none"/>
          <w:lang w:val="zh-CN" w:eastAsia="zh-CN" w:bidi="ar-SA"/>
        </w:rPr>
        <w:t>（3</w:t>
      </w:r>
      <w:r>
        <w:rPr>
          <w:rFonts w:hint="eastAsia" w:ascii="Times New Roman" w:hAnsi="Times New Roman" w:cs="Times New Roman"/>
          <w:b/>
          <w:bCs/>
          <w:color w:val="auto"/>
          <w:spacing w:val="0"/>
          <w:kern w:val="2"/>
          <w:sz w:val="21"/>
          <w:szCs w:val="21"/>
          <w:highlight w:val="none"/>
          <w:lang w:val="zh-CN" w:eastAsia="zh-CN" w:bidi="ar-SA"/>
        </w:rPr>
        <w:t>）</w:t>
      </w:r>
      <w:r>
        <w:rPr>
          <w:rFonts w:hint="eastAsia" w:ascii="Times New Roman" w:hAnsi="Times New Roman" w:eastAsia="宋体" w:cs="Times New Roman"/>
          <w:b/>
          <w:bCs/>
          <w:color w:val="auto"/>
          <w:spacing w:val="0"/>
          <w:kern w:val="2"/>
          <w:sz w:val="21"/>
          <w:szCs w:val="21"/>
          <w:highlight w:val="none"/>
          <w:lang w:val="zh-CN" w:eastAsia="zh-CN" w:bidi="ar-SA"/>
        </w:rPr>
        <w:t>PPP 项目投资构成</w:t>
      </w:r>
      <w:r>
        <w:rPr>
          <w:rFonts w:hint="eastAsia" w:ascii="Times New Roman" w:hAnsi="Times New Roman" w:eastAsia="宋体" w:cs="Times New Roman"/>
          <w:bCs w:val="0"/>
          <w:color w:val="auto"/>
          <w:spacing w:val="0"/>
          <w:kern w:val="2"/>
          <w:sz w:val="21"/>
          <w:szCs w:val="21"/>
          <w:highlight w:val="none"/>
          <w:lang w:val="zh-CN"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Cs w:val="0"/>
          <w:color w:val="auto"/>
          <w:spacing w:val="0"/>
          <w:kern w:val="2"/>
          <w:sz w:val="21"/>
          <w:szCs w:val="21"/>
          <w:highlight w:val="none"/>
          <w:lang w:val="zh-CN" w:eastAsia="zh-CN" w:bidi="ar-SA"/>
        </w:rPr>
        <w:t>项目由政府方与社会资本共同出资建设，社会资本负责筹集除政府投入外的其余项目投资。本PPP项目投资构成见表</w:t>
      </w:r>
      <w:r>
        <w:rPr>
          <w:rFonts w:hint="eastAsia" w:ascii="Times New Roman" w:hAnsi="Times New Roman" w:eastAsia="宋体" w:cs="Times New Roman"/>
          <w:bCs w:val="0"/>
          <w:color w:val="auto"/>
          <w:spacing w:val="0"/>
          <w:kern w:val="2"/>
          <w:sz w:val="21"/>
          <w:szCs w:val="21"/>
          <w:highlight w:val="none"/>
          <w:lang w:val="en-US" w:eastAsia="zh-CN" w:bidi="ar-SA"/>
        </w:rPr>
        <w:t>6.4</w:t>
      </w:r>
      <w:r>
        <w:rPr>
          <w:rFonts w:hint="eastAsia" w:ascii="Times New Roman" w:hAnsi="Times New Roman" w:eastAsia="宋体" w:cs="Times New Roman"/>
          <w:bCs w:val="0"/>
          <w:color w:val="auto"/>
          <w:spacing w:val="0"/>
          <w:kern w:val="2"/>
          <w:sz w:val="21"/>
          <w:szCs w:val="21"/>
          <w:highlight w:val="none"/>
          <w:lang w:val="zh-CN" w:eastAsia="zh-CN" w:bidi="ar-SA"/>
        </w:rPr>
        <w:t xml:space="preserve">-6。 </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Cs w:val="0"/>
          <w:color w:val="auto"/>
          <w:spacing w:val="0"/>
          <w:kern w:val="2"/>
          <w:sz w:val="21"/>
          <w:szCs w:val="21"/>
          <w:highlight w:val="none"/>
          <w:lang w:val="zh-CN" w:eastAsia="zh-CN" w:bidi="ar-SA"/>
        </w:rPr>
        <w:t>表</w:t>
      </w:r>
      <w:r>
        <w:rPr>
          <w:rFonts w:hint="eastAsia" w:ascii="Times New Roman" w:hAnsi="Times New Roman" w:eastAsia="宋体" w:cs="Times New Roman"/>
          <w:bCs w:val="0"/>
          <w:color w:val="auto"/>
          <w:spacing w:val="0"/>
          <w:kern w:val="2"/>
          <w:sz w:val="21"/>
          <w:szCs w:val="21"/>
          <w:highlight w:val="none"/>
          <w:lang w:val="en-US" w:eastAsia="zh-CN" w:bidi="ar-SA"/>
        </w:rPr>
        <w:t xml:space="preserve">6.4-6 </w:t>
      </w:r>
      <w:r>
        <w:rPr>
          <w:rFonts w:hint="eastAsia" w:ascii="Times New Roman" w:hAnsi="Times New Roman" w:eastAsia="宋体" w:cs="Times New Roman"/>
          <w:bCs w:val="0"/>
          <w:color w:val="auto"/>
          <w:spacing w:val="0"/>
          <w:kern w:val="2"/>
          <w:sz w:val="21"/>
          <w:szCs w:val="21"/>
          <w:highlight w:val="none"/>
          <w:lang w:val="zh-CN" w:eastAsia="zh-CN" w:bidi="ar-SA"/>
        </w:rPr>
        <w:t>PPP项目建设投资总额构成</w:t>
      </w:r>
    </w:p>
    <w:p>
      <w:pPr>
        <w:pStyle w:val="2"/>
        <w:rPr>
          <w:color w:val="auto"/>
          <w:sz w:val="21"/>
          <w:szCs w:val="21"/>
          <w:highlight w:val="none"/>
        </w:rPr>
      </w:pPr>
      <w:r>
        <w:rPr>
          <w:color w:val="auto"/>
          <w:highlight w:val="none"/>
        </w:rPr>
        <w:drawing>
          <wp:anchor distT="0" distB="0" distL="114300" distR="114300" simplePos="0" relativeHeight="251723776" behindDoc="0" locked="0" layoutInCell="1" allowOverlap="1">
            <wp:simplePos x="0" y="0"/>
            <wp:positionH relativeFrom="column">
              <wp:posOffset>317500</wp:posOffset>
            </wp:positionH>
            <wp:positionV relativeFrom="paragraph">
              <wp:posOffset>23495</wp:posOffset>
            </wp:positionV>
            <wp:extent cx="4885055" cy="3510280"/>
            <wp:effectExtent l="0" t="0" r="6985" b="10160"/>
            <wp:wrapNone/>
            <wp:docPr id="2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pic:cNvPicPr>
                      <a:picLocks noChangeAspect="1"/>
                    </pic:cNvPicPr>
                  </pic:nvPicPr>
                  <pic:blipFill>
                    <a:blip r:embed="rId13"/>
                    <a:stretch>
                      <a:fillRect/>
                    </a:stretch>
                  </pic:blipFill>
                  <pic:spPr>
                    <a:xfrm>
                      <a:off x="0" y="0"/>
                      <a:ext cx="4885055" cy="3510280"/>
                    </a:xfrm>
                    <a:prstGeom prst="rect">
                      <a:avLst/>
                    </a:prstGeom>
                    <a:noFill/>
                    <a:ln w="9525">
                      <a:noFill/>
                    </a:ln>
                  </pic:spPr>
                </pic:pic>
              </a:graphicData>
            </a:graphic>
          </wp:anchor>
        </w:drawing>
      </w: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tabs>
          <w:tab w:val="left" w:pos="993"/>
        </w:tabs>
        <w:adjustRightInd w:val="0"/>
        <w:snapToGrid w:val="0"/>
        <w:spacing w:line="360" w:lineRule="auto"/>
        <w:ind w:firstLine="422" w:firstLineChars="200"/>
        <w:rPr>
          <w:rFonts w:hint="eastAsia" w:ascii="Times New Roman" w:hAnsi="Times New Roman" w:eastAsia="宋体" w:cs="Times New Roman"/>
          <w:b/>
          <w:bCs/>
          <w:color w:val="auto"/>
          <w:spacing w:val="0"/>
          <w:kern w:val="2"/>
          <w:sz w:val="21"/>
          <w:szCs w:val="21"/>
          <w:highlight w:val="none"/>
          <w:lang w:val="zh-CN" w:eastAsia="zh-CN" w:bidi="ar-SA"/>
        </w:rPr>
      </w:pPr>
      <w:r>
        <w:rPr>
          <w:rFonts w:hint="eastAsia" w:ascii="Times New Roman" w:hAnsi="Times New Roman" w:eastAsia="宋体" w:cs="Times New Roman"/>
          <w:b/>
          <w:bCs/>
          <w:color w:val="auto"/>
          <w:spacing w:val="0"/>
          <w:kern w:val="2"/>
          <w:sz w:val="21"/>
          <w:szCs w:val="21"/>
          <w:highlight w:val="none"/>
          <w:lang w:val="zh-CN" w:eastAsia="zh-CN" w:bidi="ar-SA"/>
        </w:rPr>
        <w:t>（</w:t>
      </w:r>
      <w:r>
        <w:rPr>
          <w:rFonts w:hint="eastAsia" w:ascii="Times New Roman" w:hAnsi="Times New Roman" w:eastAsia="宋体" w:cs="Times New Roman"/>
          <w:b/>
          <w:bCs/>
          <w:color w:val="auto"/>
          <w:spacing w:val="0"/>
          <w:kern w:val="2"/>
          <w:sz w:val="21"/>
          <w:szCs w:val="21"/>
          <w:highlight w:val="none"/>
          <w:lang w:val="en-US" w:eastAsia="zh-CN" w:bidi="ar-SA"/>
        </w:rPr>
        <w:t>4</w:t>
      </w:r>
      <w:r>
        <w:rPr>
          <w:rFonts w:hint="eastAsia" w:ascii="Times New Roman" w:hAnsi="Times New Roman" w:eastAsia="宋体" w:cs="Times New Roman"/>
          <w:b/>
          <w:bCs/>
          <w:color w:val="auto"/>
          <w:spacing w:val="0"/>
          <w:kern w:val="2"/>
          <w:sz w:val="21"/>
          <w:szCs w:val="21"/>
          <w:highlight w:val="none"/>
          <w:lang w:val="zh-CN" w:eastAsia="zh-CN" w:bidi="ar-SA"/>
        </w:rPr>
        <w:t>）建设单位管理费</w:t>
      </w:r>
    </w:p>
    <w:p>
      <w:p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Cs w:val="0"/>
          <w:color w:val="auto"/>
          <w:spacing w:val="0"/>
          <w:kern w:val="2"/>
          <w:sz w:val="21"/>
          <w:szCs w:val="21"/>
          <w:highlight w:val="none"/>
          <w:lang w:val="zh-CN" w:eastAsia="zh-CN" w:bidi="ar-SA"/>
        </w:rPr>
        <w:t xml:space="preserve">政府方出资代表作为项目公司股东，参与项目的前期工作、建设、运营及管理。 </w:t>
      </w:r>
    </w:p>
    <w:p>
      <w:p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Cs w:val="0"/>
          <w:color w:val="auto"/>
          <w:spacing w:val="0"/>
          <w:kern w:val="2"/>
          <w:sz w:val="21"/>
          <w:szCs w:val="21"/>
          <w:highlight w:val="none"/>
          <w:lang w:val="zh-CN" w:eastAsia="zh-CN" w:bidi="ar-SA"/>
        </w:rPr>
        <w:t>参照《关于项目前期阶段和实施阶段建设单位管理费划分比例的通知》（南财非税〔 2014〕 275 号）文的要求，项目前期工作未完成而变更业主的，其前期阶段的建设单位管理费可以结合项目前期工作量、项目建设工期等实际情况进行划分。本项目的项目立项、环境影响评价、水土保持、可研等前期工作已由政府方完成，项目建设完成后， 项目公司提取部分建设单位管理费支付至政府方出资代表，具体提取比例按照南财非税〔2014〕275号的要求确定。</w:t>
      </w:r>
    </w:p>
    <w:p>
      <w:pPr>
        <w:tabs>
          <w:tab w:val="left" w:pos="993"/>
        </w:tabs>
        <w:adjustRightInd w:val="0"/>
        <w:snapToGrid w:val="0"/>
        <w:spacing w:line="360" w:lineRule="auto"/>
        <w:ind w:firstLine="422" w:firstLineChars="200"/>
        <w:rPr>
          <w:rFonts w:hint="eastAsia" w:ascii="Times New Roman" w:hAnsi="Times New Roman" w:eastAsia="宋体" w:cs="Times New Roman"/>
          <w:b/>
          <w:bCs/>
          <w:color w:val="auto"/>
          <w:spacing w:val="0"/>
          <w:kern w:val="2"/>
          <w:sz w:val="21"/>
          <w:szCs w:val="21"/>
          <w:highlight w:val="none"/>
          <w:lang w:val="zh-CN" w:eastAsia="zh-CN" w:bidi="ar-SA"/>
        </w:rPr>
      </w:pPr>
      <w:r>
        <w:rPr>
          <w:rFonts w:hint="eastAsia" w:ascii="Times New Roman" w:hAnsi="Times New Roman" w:eastAsia="宋体" w:cs="Times New Roman"/>
          <w:b/>
          <w:bCs/>
          <w:color w:val="auto"/>
          <w:spacing w:val="0"/>
          <w:kern w:val="2"/>
          <w:sz w:val="21"/>
          <w:szCs w:val="21"/>
          <w:highlight w:val="none"/>
          <w:lang w:val="zh-CN" w:eastAsia="zh-CN" w:bidi="ar-SA"/>
        </w:rPr>
        <w:t xml:space="preserve">（5）医疗设施设备器材购置费 </w:t>
      </w:r>
    </w:p>
    <w:p>
      <w:p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Cs w:val="0"/>
          <w:color w:val="auto"/>
          <w:spacing w:val="0"/>
          <w:kern w:val="2"/>
          <w:sz w:val="21"/>
          <w:szCs w:val="21"/>
          <w:highlight w:val="none"/>
          <w:lang w:val="zh-CN" w:eastAsia="zh-CN" w:bidi="ar-SA"/>
        </w:rPr>
        <w:t xml:space="preserve">根据项目可行性研究报告，项目总投资未包括医疗设施设备器材购置费用，若初步设计概算也未计算该项费用，因医疗设施设备器材使用专业性较强，为更好地满足项目医疗工作服务开展需求，医疗设施设备器材由实施机构或院方自主选购，并自行承担此项费用；若初步设计概算包含该项费用，则由项目公司承担此项费用，并根据 PPP 项目合同约定将此项费用计入社会资本回报计算基数。 </w:t>
      </w:r>
    </w:p>
    <w:p>
      <w:pPr>
        <w:tabs>
          <w:tab w:val="left" w:pos="993"/>
        </w:tabs>
        <w:adjustRightInd w:val="0"/>
        <w:snapToGrid w:val="0"/>
        <w:spacing w:line="360" w:lineRule="auto"/>
        <w:ind w:firstLine="422" w:firstLineChars="200"/>
        <w:rPr>
          <w:rFonts w:hint="eastAsia" w:ascii="Times New Roman" w:hAnsi="Times New Roman" w:eastAsia="宋体" w:cs="Times New Roman"/>
          <w:b/>
          <w:bCs/>
          <w:color w:val="auto"/>
          <w:spacing w:val="0"/>
          <w:kern w:val="2"/>
          <w:sz w:val="21"/>
          <w:szCs w:val="21"/>
          <w:highlight w:val="none"/>
          <w:lang w:val="zh-CN" w:eastAsia="zh-CN" w:bidi="ar-SA"/>
        </w:rPr>
      </w:pPr>
      <w:r>
        <w:rPr>
          <w:rFonts w:hint="eastAsia" w:ascii="Times New Roman" w:hAnsi="Times New Roman" w:eastAsia="宋体" w:cs="Times New Roman"/>
          <w:b/>
          <w:bCs/>
          <w:color w:val="auto"/>
          <w:spacing w:val="0"/>
          <w:kern w:val="2"/>
          <w:sz w:val="21"/>
          <w:szCs w:val="21"/>
          <w:highlight w:val="none"/>
          <w:lang w:val="zh-CN" w:eastAsia="zh-CN" w:bidi="ar-SA"/>
        </w:rPr>
        <w:t xml:space="preserve">（6）餐饮经营和停车场经营设施设备购置费 </w:t>
      </w:r>
    </w:p>
    <w:p>
      <w:p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Cs w:val="0"/>
          <w:color w:val="auto"/>
          <w:spacing w:val="0"/>
          <w:kern w:val="2"/>
          <w:sz w:val="21"/>
          <w:szCs w:val="21"/>
          <w:highlight w:val="none"/>
          <w:lang w:val="zh-CN" w:eastAsia="zh-CN" w:bidi="ar-SA"/>
        </w:rPr>
        <w:t>本项目由项目公司负责餐厅食堂和停车场的经营工作，开展经营活动所需要的设备器具由项目公司自行选购，并承担相应的费用，所选购的设备器具必须符合国家、广西自治区、南宁市或行业要求。</w:t>
      </w:r>
    </w:p>
    <w:p>
      <w:pPr>
        <w:tabs>
          <w:tab w:val="left" w:pos="993"/>
        </w:tabs>
        <w:adjustRightInd w:val="0"/>
        <w:snapToGrid w:val="0"/>
        <w:spacing w:line="360" w:lineRule="auto"/>
        <w:ind w:firstLine="422" w:firstLineChars="200"/>
        <w:rPr>
          <w:rFonts w:hint="eastAsia" w:ascii="Times New Roman" w:hAnsi="Times New Roman" w:eastAsia="宋体" w:cs="Times New Roman"/>
          <w:b/>
          <w:bCs/>
          <w:color w:val="auto"/>
          <w:spacing w:val="0"/>
          <w:kern w:val="2"/>
          <w:sz w:val="21"/>
          <w:szCs w:val="21"/>
          <w:highlight w:val="none"/>
          <w:lang w:val="zh-CN" w:eastAsia="zh-CN" w:bidi="ar-SA"/>
        </w:rPr>
      </w:pPr>
      <w:r>
        <w:rPr>
          <w:rFonts w:hint="eastAsia" w:cs="Times New Roman"/>
          <w:b/>
          <w:bCs/>
          <w:color w:val="auto"/>
          <w:spacing w:val="0"/>
          <w:kern w:val="2"/>
          <w:sz w:val="21"/>
          <w:szCs w:val="21"/>
          <w:highlight w:val="none"/>
          <w:lang w:val="en-US" w:eastAsia="zh-CN" w:bidi="ar-SA"/>
        </w:rPr>
        <w:t>6.5</w:t>
      </w:r>
      <w:r>
        <w:rPr>
          <w:rFonts w:hint="eastAsia" w:ascii="Times New Roman" w:hAnsi="Times New Roman" w:eastAsia="宋体" w:cs="Times New Roman"/>
          <w:b/>
          <w:bCs/>
          <w:color w:val="auto"/>
          <w:spacing w:val="0"/>
          <w:kern w:val="2"/>
          <w:sz w:val="21"/>
          <w:szCs w:val="21"/>
          <w:highlight w:val="none"/>
          <w:lang w:val="zh-CN" w:eastAsia="zh-CN" w:bidi="ar-SA"/>
        </w:rPr>
        <w:t xml:space="preserve">项目前期工作 </w:t>
      </w:r>
    </w:p>
    <w:p>
      <w:pPr>
        <w:tabs>
          <w:tab w:val="left" w:pos="993"/>
        </w:tabs>
        <w:adjustRightInd w:val="0"/>
        <w:snapToGrid w:val="0"/>
        <w:spacing w:line="360" w:lineRule="auto"/>
        <w:ind w:firstLine="422" w:firstLineChars="200"/>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cs="Times New Roman"/>
          <w:b/>
          <w:bCs/>
          <w:color w:val="auto"/>
          <w:spacing w:val="0"/>
          <w:kern w:val="2"/>
          <w:sz w:val="21"/>
          <w:szCs w:val="21"/>
          <w:highlight w:val="none"/>
          <w:lang w:val="en-US" w:eastAsia="zh-CN" w:bidi="ar-SA"/>
        </w:rPr>
        <w:t>6.5.1</w:t>
      </w:r>
      <w:r>
        <w:rPr>
          <w:rFonts w:hint="eastAsia" w:ascii="Times New Roman" w:hAnsi="Times New Roman" w:eastAsia="宋体" w:cs="Times New Roman"/>
          <w:b/>
          <w:bCs/>
          <w:color w:val="auto"/>
          <w:spacing w:val="0"/>
          <w:kern w:val="2"/>
          <w:sz w:val="21"/>
          <w:szCs w:val="21"/>
          <w:highlight w:val="none"/>
          <w:lang w:val="zh-CN" w:eastAsia="zh-CN" w:bidi="ar-SA"/>
        </w:rPr>
        <w:t>前期工作完成情况</w:t>
      </w:r>
      <w:r>
        <w:rPr>
          <w:rFonts w:hint="eastAsia" w:ascii="Times New Roman" w:hAnsi="Times New Roman" w:eastAsia="宋体" w:cs="Times New Roman"/>
          <w:bCs w:val="0"/>
          <w:color w:val="auto"/>
          <w:spacing w:val="0"/>
          <w:kern w:val="2"/>
          <w:sz w:val="21"/>
          <w:szCs w:val="21"/>
          <w:highlight w:val="none"/>
          <w:lang w:val="zh-CN" w:eastAsia="zh-CN" w:bidi="ar-SA"/>
        </w:rPr>
        <w:t xml:space="preserve"> </w:t>
      </w:r>
    </w:p>
    <w:p>
      <w:p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Cs w:val="0"/>
          <w:color w:val="auto"/>
          <w:spacing w:val="0"/>
          <w:kern w:val="2"/>
          <w:sz w:val="21"/>
          <w:szCs w:val="21"/>
          <w:highlight w:val="none"/>
          <w:lang w:val="zh-CN" w:eastAsia="zh-CN" w:bidi="ar-SA"/>
        </w:rPr>
        <w:t>政府方负责本项目立项、用地预审、可行性研究、勘察、初步设计与概算的编制及报批、征地拆迁、三通一平（通路、通水、通电、场地平整工作）等法律法规、基本建设程序所要求的各项前期工作。</w:t>
      </w:r>
      <w:r>
        <w:rPr>
          <w:rFonts w:hint="eastAsia" w:ascii="Times New Roman" w:hAnsi="Times New Roman" w:eastAsia="宋体" w:cs="Times New Roman"/>
          <w:bCs w:val="0"/>
          <w:color w:val="auto"/>
          <w:spacing w:val="0"/>
          <w:kern w:val="2"/>
          <w:sz w:val="21"/>
          <w:szCs w:val="21"/>
          <w:highlight w:val="none"/>
          <w:lang w:val="zh-CN" w:eastAsia="zh-CN" w:bidi="ar-SA"/>
        </w:rPr>
        <w:br w:type="textWrapping"/>
      </w:r>
      <w:r>
        <w:rPr>
          <w:rFonts w:hint="eastAsia" w:ascii="Times New Roman" w:hAnsi="Times New Roman" w:eastAsia="宋体" w:cs="Times New Roman"/>
          <w:bCs w:val="0"/>
          <w:color w:val="auto"/>
          <w:spacing w:val="0"/>
          <w:kern w:val="2"/>
          <w:sz w:val="21"/>
          <w:szCs w:val="21"/>
          <w:highlight w:val="none"/>
          <w:lang w:val="en-US" w:eastAsia="zh-CN" w:bidi="ar-SA"/>
        </w:rPr>
        <w:t xml:space="preserve">  </w:t>
      </w:r>
      <w:r>
        <w:rPr>
          <w:rFonts w:hint="eastAsia" w:ascii="Times New Roman" w:hAnsi="Times New Roman" w:eastAsia="宋体" w:cs="Times New Roman"/>
          <w:bCs w:val="0"/>
          <w:color w:val="auto"/>
          <w:spacing w:val="0"/>
          <w:kern w:val="2"/>
          <w:sz w:val="21"/>
          <w:szCs w:val="21"/>
          <w:highlight w:val="none"/>
          <w:lang w:val="zh-CN" w:eastAsia="zh-CN" w:bidi="ar-SA"/>
        </w:rPr>
        <w:t xml:space="preserve">目前项目已完成的前期工作有： 项目立项、可行性研究 </w:t>
      </w:r>
    </w:p>
    <w:p>
      <w:pPr>
        <w:tabs>
          <w:tab w:val="left" w:pos="993"/>
        </w:tabs>
        <w:adjustRightInd w:val="0"/>
        <w:snapToGrid w:val="0"/>
        <w:spacing w:line="360" w:lineRule="auto"/>
        <w:ind w:firstLine="422" w:firstLineChars="200"/>
        <w:rPr>
          <w:rFonts w:hint="eastAsia" w:ascii="Times New Roman" w:hAnsi="Times New Roman" w:eastAsia="宋体" w:cs="Times New Roman"/>
          <w:b/>
          <w:bCs/>
          <w:color w:val="auto"/>
          <w:spacing w:val="0"/>
          <w:kern w:val="2"/>
          <w:sz w:val="21"/>
          <w:szCs w:val="21"/>
          <w:highlight w:val="none"/>
          <w:lang w:val="zh-CN" w:eastAsia="zh-CN" w:bidi="ar-SA"/>
        </w:rPr>
      </w:pPr>
      <w:r>
        <w:rPr>
          <w:rFonts w:hint="eastAsia" w:cs="Times New Roman"/>
          <w:b/>
          <w:bCs/>
          <w:color w:val="auto"/>
          <w:spacing w:val="0"/>
          <w:kern w:val="2"/>
          <w:sz w:val="21"/>
          <w:szCs w:val="21"/>
          <w:highlight w:val="none"/>
          <w:lang w:val="en-US" w:eastAsia="zh-CN" w:bidi="ar-SA"/>
        </w:rPr>
        <w:t>6.5.2</w:t>
      </w:r>
      <w:r>
        <w:rPr>
          <w:rFonts w:hint="eastAsia" w:ascii="Times New Roman" w:hAnsi="Times New Roman" w:eastAsia="宋体" w:cs="Times New Roman"/>
          <w:b/>
          <w:bCs/>
          <w:color w:val="auto"/>
          <w:spacing w:val="0"/>
          <w:kern w:val="2"/>
          <w:sz w:val="21"/>
          <w:szCs w:val="21"/>
          <w:highlight w:val="none"/>
          <w:lang w:val="zh-CN" w:eastAsia="zh-CN" w:bidi="ar-SA"/>
        </w:rPr>
        <w:t xml:space="preserve">公共设施条件 </w:t>
      </w:r>
    </w:p>
    <w:p>
      <w:p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Cs w:val="0"/>
          <w:color w:val="auto"/>
          <w:spacing w:val="0"/>
          <w:kern w:val="2"/>
          <w:sz w:val="21"/>
          <w:szCs w:val="21"/>
          <w:highlight w:val="none"/>
          <w:lang w:val="zh-CN" w:eastAsia="zh-CN" w:bidi="ar-SA"/>
        </w:rPr>
        <w:t xml:space="preserve">青秀区卫生健康服务综合大楼项目规划用地红线区域内地势较好，无不良地质情况，无市政设施的地下管线穿越，规划建设用地区域内，相关给排水、电力电信等市政基础设施的配套建设均已完成，具备建设条件。长塘镇卫生院项目所在地无不良工程地质现象，项目基地通达性好，水、电、电信、网络等市政管线和管网可通至项目建设地点，水、电等供给条件均可满足项目建设需要，项目选址所在地的规划市政道路网较为完善，交通运输条件便利，市政配套条件基本完善。 </w:t>
      </w:r>
    </w:p>
    <w:p>
      <w:pPr>
        <w:tabs>
          <w:tab w:val="left" w:pos="993"/>
        </w:tabs>
        <w:adjustRightInd w:val="0"/>
        <w:snapToGrid w:val="0"/>
        <w:spacing w:line="360" w:lineRule="auto"/>
        <w:ind w:firstLine="422" w:firstLineChars="200"/>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cs="Times New Roman"/>
          <w:b/>
          <w:bCs/>
          <w:color w:val="auto"/>
          <w:spacing w:val="0"/>
          <w:kern w:val="2"/>
          <w:sz w:val="21"/>
          <w:szCs w:val="21"/>
          <w:highlight w:val="none"/>
          <w:lang w:val="en-US" w:eastAsia="zh-CN" w:bidi="ar-SA"/>
        </w:rPr>
        <w:t>6.5.3</w:t>
      </w:r>
      <w:r>
        <w:rPr>
          <w:rFonts w:hint="eastAsia" w:ascii="Times New Roman" w:hAnsi="Times New Roman" w:eastAsia="宋体" w:cs="Times New Roman"/>
          <w:b/>
          <w:bCs/>
          <w:color w:val="auto"/>
          <w:spacing w:val="0"/>
          <w:kern w:val="2"/>
          <w:sz w:val="21"/>
          <w:szCs w:val="21"/>
          <w:highlight w:val="none"/>
          <w:lang w:val="zh-CN" w:eastAsia="zh-CN" w:bidi="ar-SA"/>
        </w:rPr>
        <w:t>征地条件</w:t>
      </w:r>
      <w:r>
        <w:rPr>
          <w:rFonts w:hint="eastAsia" w:ascii="Times New Roman" w:hAnsi="Times New Roman" w:eastAsia="宋体" w:cs="Times New Roman"/>
          <w:bCs w:val="0"/>
          <w:color w:val="auto"/>
          <w:spacing w:val="0"/>
          <w:kern w:val="2"/>
          <w:sz w:val="21"/>
          <w:szCs w:val="21"/>
          <w:highlight w:val="none"/>
          <w:lang w:val="zh-CN" w:eastAsia="zh-CN" w:bidi="ar-SA"/>
        </w:rPr>
        <w:t xml:space="preserve"> </w:t>
      </w:r>
    </w:p>
    <w:p>
      <w:p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zh-CN" w:eastAsia="zh-CN" w:bidi="ar-SA"/>
        </w:rPr>
      </w:pPr>
      <w:r>
        <w:rPr>
          <w:rFonts w:hint="eastAsia" w:ascii="Times New Roman" w:hAnsi="Times New Roman" w:eastAsia="宋体" w:cs="Times New Roman"/>
          <w:bCs w:val="0"/>
          <w:color w:val="auto"/>
          <w:spacing w:val="0"/>
          <w:kern w:val="2"/>
          <w:sz w:val="21"/>
          <w:szCs w:val="21"/>
          <w:highlight w:val="none"/>
          <w:lang w:val="zh-CN" w:eastAsia="zh-CN" w:bidi="ar-SA"/>
        </w:rPr>
        <w:t>青秀区卫生健康服务综合大楼项目用地已完成征地，已获得选址许可。用地范围内没有涉及居民拆迁。</w:t>
      </w:r>
    </w:p>
    <w:p>
      <w:pPr>
        <w:autoSpaceDE w:val="0"/>
        <w:autoSpaceDN w:val="0"/>
        <w:adjustRightInd w:val="0"/>
        <w:snapToGrid w:val="0"/>
        <w:spacing w:line="360" w:lineRule="auto"/>
        <w:ind w:firstLine="422" w:firstLineChars="200"/>
        <w:rPr>
          <w:rFonts w:hint="eastAsia" w:ascii="Times New Roman" w:hAnsi="Times New Roman" w:eastAsia="宋体" w:cs="Times New Roman"/>
          <w:b/>
          <w:bCs/>
          <w:color w:val="auto"/>
          <w:spacing w:val="0"/>
          <w:kern w:val="2"/>
          <w:sz w:val="21"/>
          <w:szCs w:val="21"/>
          <w:highlight w:val="none"/>
          <w:lang w:val="en-US" w:eastAsia="zh-CN" w:bidi="ar-SA"/>
        </w:rPr>
      </w:pPr>
      <w:r>
        <w:rPr>
          <w:rFonts w:hint="eastAsia" w:cs="Times New Roman"/>
          <w:b/>
          <w:bCs/>
          <w:color w:val="auto"/>
          <w:spacing w:val="0"/>
          <w:kern w:val="2"/>
          <w:sz w:val="21"/>
          <w:szCs w:val="21"/>
          <w:highlight w:val="none"/>
          <w:lang w:val="en-US" w:eastAsia="zh-CN" w:bidi="ar-SA"/>
        </w:rPr>
        <w:t>6.6</w:t>
      </w:r>
      <w:r>
        <w:rPr>
          <w:rFonts w:hint="eastAsia" w:ascii="Times New Roman" w:hAnsi="Times New Roman" w:eastAsia="宋体" w:cs="Times New Roman"/>
          <w:b/>
          <w:bCs/>
          <w:color w:val="auto"/>
          <w:spacing w:val="0"/>
          <w:kern w:val="2"/>
          <w:sz w:val="21"/>
          <w:szCs w:val="21"/>
          <w:highlight w:val="none"/>
          <w:lang w:val="en-US" w:eastAsia="zh-CN" w:bidi="ar-SA"/>
        </w:rPr>
        <w:t>项目运作方式</w:t>
      </w:r>
    </w:p>
    <w:p>
      <w:p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项目采用BOT模式，根据项目的实际情况以及实施目标和特征，综合考虑本项目的收费机制、项目投资收益水平、风险分配基本框架、融资需求等因素，本项目拟采用建设—运营—移交（BOT，Build—建设，Operate—运营，Transfer—移交）的运作模式。</w:t>
      </w:r>
    </w:p>
    <w:p>
      <w:pPr>
        <w:tabs>
          <w:tab w:val="left" w:pos="993"/>
        </w:tabs>
        <w:adjustRightInd w:val="0"/>
        <w:snapToGrid w:val="0"/>
        <w:spacing w:line="360" w:lineRule="auto"/>
        <w:ind w:left="239" w:leftChars="114" w:firstLine="211" w:firstLineChars="1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
          <w:bCs/>
          <w:color w:val="auto"/>
          <w:spacing w:val="0"/>
          <w:kern w:val="2"/>
          <w:sz w:val="21"/>
          <w:szCs w:val="21"/>
          <w:highlight w:val="none"/>
          <w:lang w:val="en-US" w:eastAsia="zh-CN" w:bidi="ar-SA"/>
        </w:rPr>
        <w:t>具体运作方式为：</w:t>
      </w:r>
      <w:r>
        <w:rPr>
          <w:rFonts w:hint="eastAsia" w:ascii="Times New Roman" w:hAnsi="Times New Roman" w:eastAsia="宋体" w:cs="Times New Roman"/>
          <w:bCs w:val="0"/>
          <w:color w:val="auto"/>
          <w:spacing w:val="0"/>
          <w:kern w:val="2"/>
          <w:sz w:val="21"/>
          <w:szCs w:val="21"/>
          <w:highlight w:val="none"/>
          <w:lang w:val="en-US" w:eastAsia="zh-CN" w:bidi="ar-SA"/>
        </w:rPr>
        <w:br w:type="textWrapping"/>
      </w:r>
      <w:r>
        <w:rPr>
          <w:rFonts w:hint="eastAsia" w:ascii="Times New Roman" w:hAnsi="Times New Roman" w:eastAsia="宋体" w:cs="Times New Roman"/>
          <w:bCs w:val="0"/>
          <w:color w:val="auto"/>
          <w:spacing w:val="0"/>
          <w:kern w:val="2"/>
          <w:sz w:val="21"/>
          <w:szCs w:val="21"/>
          <w:highlight w:val="none"/>
          <w:lang w:val="en-US" w:eastAsia="zh-CN" w:bidi="ar-SA"/>
        </w:rPr>
        <w:t>（1）本项目实施机构南宁市青秀区卫生健康局通过公开采购方式选择合适的社会资本，待采购到社会资</w:t>
      </w:r>
    </w:p>
    <w:p>
      <w:pPr>
        <w:tabs>
          <w:tab w:val="left" w:pos="993"/>
        </w:tabs>
        <w:adjustRightInd w:val="0"/>
        <w:snapToGrid w:val="0"/>
        <w:spacing w:line="360" w:lineRule="auto"/>
        <w:ind w:left="210" w:hanging="210" w:hangingChars="1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本后，由社会资本与实施机构签订 PPP 项目合同；</w:t>
      </w:r>
      <w:r>
        <w:rPr>
          <w:rFonts w:hint="eastAsia" w:ascii="Times New Roman" w:hAnsi="Times New Roman" w:eastAsia="宋体" w:cs="Times New Roman"/>
          <w:bCs w:val="0"/>
          <w:color w:val="auto"/>
          <w:spacing w:val="0"/>
          <w:kern w:val="2"/>
          <w:sz w:val="21"/>
          <w:szCs w:val="21"/>
          <w:highlight w:val="none"/>
          <w:lang w:val="en-US" w:eastAsia="zh-CN" w:bidi="ar-SA"/>
        </w:rPr>
        <w:br w:type="textWrapping"/>
      </w:r>
      <w:r>
        <w:rPr>
          <w:rFonts w:hint="eastAsia" w:ascii="Times New Roman" w:hAnsi="Times New Roman" w:eastAsia="宋体" w:cs="Times New Roman"/>
          <w:bCs w:val="0"/>
          <w:color w:val="auto"/>
          <w:spacing w:val="0"/>
          <w:kern w:val="2"/>
          <w:sz w:val="21"/>
          <w:szCs w:val="21"/>
          <w:highlight w:val="none"/>
          <w:lang w:val="en-US" w:eastAsia="zh-CN" w:bidi="ar-SA"/>
        </w:rPr>
        <w:t>（2）中选社会资本与政府方出资代表出资成立项目公司， 由项目公司对前述 PPP 项目合同进行追认；</w:t>
      </w:r>
      <w:r>
        <w:rPr>
          <w:rFonts w:hint="eastAsia" w:ascii="Times New Roman" w:hAnsi="Times New Roman" w:eastAsia="宋体" w:cs="Times New Roman"/>
          <w:bCs w:val="0"/>
          <w:color w:val="auto"/>
          <w:spacing w:val="0"/>
          <w:kern w:val="2"/>
          <w:sz w:val="21"/>
          <w:szCs w:val="21"/>
          <w:highlight w:val="none"/>
          <w:lang w:val="en-US" w:eastAsia="zh-CN" w:bidi="ar-SA"/>
        </w:rPr>
        <w:br w:type="textWrapping"/>
      </w:r>
      <w:r>
        <w:rPr>
          <w:rFonts w:hint="eastAsia" w:ascii="Times New Roman" w:hAnsi="Times New Roman" w:eastAsia="宋体" w:cs="Times New Roman"/>
          <w:bCs w:val="0"/>
          <w:color w:val="auto"/>
          <w:spacing w:val="0"/>
          <w:kern w:val="2"/>
          <w:sz w:val="21"/>
          <w:szCs w:val="21"/>
          <w:highlight w:val="none"/>
          <w:lang w:val="en-US" w:eastAsia="zh-CN" w:bidi="ar-SA"/>
        </w:rPr>
        <w:t>（3）合作期内，由项目公司负责授权范围内的项目的投（融）资、建设、运营及期满移交工作，在项目</w:t>
      </w:r>
    </w:p>
    <w:p>
      <w:pPr>
        <w:tabs>
          <w:tab w:val="left" w:pos="993"/>
        </w:tabs>
        <w:adjustRightInd w:val="0"/>
        <w:snapToGrid w:val="0"/>
        <w:spacing w:line="360" w:lineRule="auto"/>
        <w:ind w:left="210" w:hanging="210" w:hangingChars="1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运营期内， 实施机构负责监督项目公司工作。</w:t>
      </w:r>
      <w:r>
        <w:rPr>
          <w:rFonts w:hint="eastAsia" w:ascii="Times New Roman" w:hAnsi="Times New Roman" w:eastAsia="宋体" w:cs="Times New Roman"/>
          <w:bCs w:val="0"/>
          <w:color w:val="auto"/>
          <w:spacing w:val="0"/>
          <w:kern w:val="2"/>
          <w:sz w:val="21"/>
          <w:szCs w:val="21"/>
          <w:highlight w:val="none"/>
          <w:lang w:val="zh-CN" w:eastAsia="zh-CN" w:bidi="ar-SA"/>
        </w:rPr>
        <w:t xml:space="preserve"> </w:t>
      </w:r>
    </w:p>
    <w:p>
      <w:pPr>
        <w:tabs>
          <w:tab w:val="left" w:pos="993"/>
        </w:tabs>
        <w:adjustRightInd w:val="0"/>
        <w:snapToGrid w:val="0"/>
        <w:spacing w:line="360" w:lineRule="auto"/>
        <w:ind w:firstLine="422" w:firstLineChars="200"/>
        <w:rPr>
          <w:rFonts w:hint="eastAsia" w:ascii="Times New Roman" w:hAnsi="Times New Roman" w:eastAsia="宋体" w:cs="Times New Roman"/>
          <w:b/>
          <w:bCs/>
          <w:color w:val="auto"/>
          <w:spacing w:val="0"/>
          <w:kern w:val="2"/>
          <w:sz w:val="21"/>
          <w:szCs w:val="21"/>
          <w:highlight w:val="none"/>
          <w:lang w:val="zh-CN" w:eastAsia="zh-CN" w:bidi="ar-SA"/>
        </w:rPr>
      </w:pPr>
      <w:r>
        <w:rPr>
          <w:rFonts w:hint="eastAsia" w:cs="Times New Roman"/>
          <w:b/>
          <w:bCs/>
          <w:color w:val="auto"/>
          <w:spacing w:val="0"/>
          <w:kern w:val="2"/>
          <w:sz w:val="21"/>
          <w:szCs w:val="21"/>
          <w:highlight w:val="none"/>
          <w:lang w:val="en-US" w:eastAsia="zh-CN" w:bidi="ar-SA"/>
        </w:rPr>
        <w:t>6.7</w:t>
      </w:r>
      <w:r>
        <w:rPr>
          <w:rFonts w:hint="eastAsia" w:ascii="Times New Roman" w:hAnsi="Times New Roman" w:eastAsia="宋体" w:cs="Times New Roman"/>
          <w:b/>
          <w:bCs/>
          <w:color w:val="auto"/>
          <w:spacing w:val="0"/>
          <w:kern w:val="2"/>
          <w:sz w:val="21"/>
          <w:szCs w:val="21"/>
          <w:highlight w:val="none"/>
          <w:lang w:val="zh-CN" w:eastAsia="zh-CN" w:bidi="ar-SA"/>
        </w:rPr>
        <w:t>项目回报机制</w:t>
      </w:r>
    </w:p>
    <w:p>
      <w:p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cs="Times New Roman"/>
          <w:bCs w:val="0"/>
          <w:color w:val="auto"/>
          <w:spacing w:val="0"/>
          <w:kern w:val="2"/>
          <w:sz w:val="21"/>
          <w:szCs w:val="21"/>
          <w:highlight w:val="none"/>
          <w:lang w:val="en-US" w:eastAsia="zh-CN" w:bidi="ar-SA"/>
        </w:rPr>
        <w:t>6.7.1</w:t>
      </w:r>
      <w:r>
        <w:rPr>
          <w:rFonts w:hint="eastAsia" w:ascii="Times New Roman" w:hAnsi="Times New Roman" w:eastAsia="宋体" w:cs="Times New Roman"/>
          <w:bCs w:val="0"/>
          <w:color w:val="auto"/>
          <w:spacing w:val="0"/>
          <w:kern w:val="2"/>
          <w:sz w:val="21"/>
          <w:szCs w:val="21"/>
          <w:highlight w:val="none"/>
          <w:lang w:val="en-US" w:eastAsia="zh-CN" w:bidi="ar-SA"/>
        </w:rPr>
        <w:t xml:space="preserve">本项目回报机制为“可行性缺口补助”。 </w:t>
      </w:r>
    </w:p>
    <w:p>
      <w:p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cs="Times New Roman"/>
          <w:bCs w:val="0"/>
          <w:color w:val="auto"/>
          <w:spacing w:val="0"/>
          <w:kern w:val="2"/>
          <w:sz w:val="21"/>
          <w:szCs w:val="21"/>
          <w:highlight w:val="none"/>
          <w:lang w:val="en-US" w:eastAsia="zh-CN" w:bidi="ar-SA"/>
        </w:rPr>
        <w:t>6.7.2</w:t>
      </w:r>
      <w:r>
        <w:rPr>
          <w:rFonts w:hint="eastAsia" w:ascii="Times New Roman" w:hAnsi="Times New Roman" w:eastAsia="宋体" w:cs="Times New Roman"/>
          <w:bCs w:val="0"/>
          <w:color w:val="auto"/>
          <w:spacing w:val="0"/>
          <w:kern w:val="2"/>
          <w:sz w:val="21"/>
          <w:szCs w:val="21"/>
          <w:highlight w:val="none"/>
          <w:lang w:val="en-US" w:eastAsia="zh-CN" w:bidi="ar-SA"/>
        </w:rPr>
        <w:t xml:space="preserve">本项目的主要回报来源： </w:t>
      </w:r>
    </w:p>
    <w:p>
      <w:pPr>
        <w:numPr>
          <w:ilvl w:val="0"/>
          <w:numId w:val="0"/>
        </w:num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 xml:space="preserve">本项目收入分为经营收入和可行性缺口补助，其中，经营收入项包括餐饮经营、停车场收费和其他待定经营项。 </w:t>
      </w:r>
    </w:p>
    <w:p>
      <w:pPr>
        <w:numPr>
          <w:ilvl w:val="0"/>
          <w:numId w:val="0"/>
        </w:num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 xml:space="preserve">（1）餐饮经营  </w:t>
      </w:r>
    </w:p>
    <w:p>
      <w:pPr>
        <w:numPr>
          <w:ilvl w:val="0"/>
          <w:numId w:val="0"/>
        </w:num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根据项目可研数据，卫生健康综合大楼和长塘镇卫生院配置食堂，卫生健康综合大楼日均住院量约19人，门（急）诊量约482人次，员工338人；卫生院日均住院量为30人次，日均门（急）诊量约200人次，员工59人。食堂客流主要为患者和员工，预计20%的住院患者在食堂有早中晚餐用餐需求，50%的员工在食堂有早中餐用餐需求。</w:t>
      </w:r>
    </w:p>
    <w:p>
      <w:pPr>
        <w:numPr>
          <w:ilvl w:val="0"/>
          <w:numId w:val="0"/>
        </w:numPr>
        <w:tabs>
          <w:tab w:val="left" w:pos="993"/>
        </w:tabs>
        <w:adjustRightInd w:val="0"/>
        <w:snapToGrid w:val="0"/>
        <w:spacing w:line="360" w:lineRule="auto"/>
        <w:ind w:left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 xml:space="preserve">（2）停车场收费   </w:t>
      </w:r>
    </w:p>
    <w:p>
      <w:pPr>
        <w:numPr>
          <w:ilvl w:val="0"/>
          <w:numId w:val="0"/>
        </w:num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 xml:space="preserve">根据项目可研数据，长塘镇卫生院日均门（急）诊及住院接待量为 230人次，机动车停车位62个，非机动车停车位60个；卫生健康综合服务大楼日均门诊及住院接待量为500人，机动车停车位178个，非机动车停车位267个。 </w:t>
      </w:r>
    </w:p>
    <w:p>
      <w:pPr>
        <w:numPr>
          <w:ilvl w:val="0"/>
          <w:numId w:val="0"/>
        </w:num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 xml:space="preserve">收费标准参考《关于优化调整南宁市机动车停放服务收费标准的通知》（南价费〔2014〕64号）、《关于加强南宁市非机动车停放保管服务收费管理的通知》（南价费〔2014〕65号）文件的路外停车场停放服务收费标准和《广西壮族自治区政府定价的经营服务性收费目录清单》文件的机动车停放服务收费标准。 </w:t>
      </w:r>
    </w:p>
    <w:p>
      <w:pPr>
        <w:numPr>
          <w:ilvl w:val="0"/>
          <w:numId w:val="1"/>
        </w:num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 xml:space="preserve">其它待定经营项 </w:t>
      </w:r>
    </w:p>
    <w:p>
      <w:pPr>
        <w:numPr>
          <w:ilvl w:val="0"/>
          <w:numId w:val="0"/>
        </w:numPr>
        <w:tabs>
          <w:tab w:val="left" w:pos="993"/>
        </w:tabs>
        <w:adjustRightInd w:val="0"/>
        <w:snapToGrid w:val="0"/>
        <w:spacing w:line="360" w:lineRule="auto"/>
        <w:ind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项目运营过程中，经双方商定增加由项目公司经营的项目。</w:t>
      </w:r>
    </w:p>
    <w:p>
      <w:pPr>
        <w:numPr>
          <w:ilvl w:val="0"/>
          <w:numId w:val="1"/>
        </w:numPr>
        <w:tabs>
          <w:tab w:val="left" w:pos="993"/>
        </w:tabs>
        <w:adjustRightInd w:val="0"/>
        <w:snapToGrid w:val="0"/>
        <w:spacing w:line="360" w:lineRule="auto"/>
        <w:ind w:left="0" w:leftChars="0" w:firstLine="420" w:firstLineChars="200"/>
        <w:rPr>
          <w:rFonts w:hint="eastAsia" w:ascii="Times New Roman" w:hAnsi="Times New Roman" w:eastAsia="宋体" w:cs="Times New Roman"/>
          <w:bCs w:val="0"/>
          <w:color w:val="auto"/>
          <w:spacing w:val="0"/>
          <w:kern w:val="2"/>
          <w:sz w:val="21"/>
          <w:szCs w:val="21"/>
          <w:highlight w:val="none"/>
          <w:lang w:val="en-US" w:eastAsia="zh-CN" w:bidi="ar-SA"/>
        </w:rPr>
      </w:pPr>
      <w:r>
        <w:rPr>
          <w:rFonts w:hint="eastAsia" w:ascii="Times New Roman" w:hAnsi="Times New Roman" w:eastAsia="宋体" w:cs="Times New Roman"/>
          <w:bCs w:val="0"/>
          <w:color w:val="auto"/>
          <w:spacing w:val="0"/>
          <w:kern w:val="2"/>
          <w:sz w:val="21"/>
          <w:szCs w:val="21"/>
          <w:highlight w:val="none"/>
          <w:lang w:val="en-US" w:eastAsia="zh-CN" w:bidi="ar-SA"/>
        </w:rPr>
        <w:t xml:space="preserve">运营补贴 </w:t>
      </w:r>
    </w:p>
    <w:p>
      <w:pPr>
        <w:numPr>
          <w:ilvl w:val="0"/>
          <w:numId w:val="0"/>
        </w:numPr>
        <w:tabs>
          <w:tab w:val="left" w:pos="993"/>
        </w:tabs>
        <w:adjustRightInd w:val="0"/>
        <w:snapToGrid w:val="0"/>
        <w:spacing w:line="360" w:lineRule="auto"/>
        <w:ind w:leftChars="200"/>
        <w:rPr>
          <w:rFonts w:hint="eastAsia" w:ascii="Times New Roman" w:hAnsi="Times New Roman" w:eastAsia="宋体" w:cs="Times New Roman"/>
          <w:bCs w:val="0"/>
          <w:color w:val="auto"/>
          <w:spacing w:val="0"/>
          <w:kern w:val="2"/>
          <w:sz w:val="21"/>
          <w:szCs w:val="21"/>
          <w:highlight w:val="none"/>
          <w:lang w:val="en-US" w:eastAsia="zh-CN" w:bidi="ar-SA"/>
        </w:rPr>
      </w:pPr>
      <w:r>
        <w:rPr>
          <w:color w:val="auto"/>
          <w:highlight w:val="none"/>
        </w:rPr>
        <w:drawing>
          <wp:anchor distT="0" distB="0" distL="114300" distR="114300" simplePos="0" relativeHeight="251736064" behindDoc="0" locked="0" layoutInCell="1" allowOverlap="1">
            <wp:simplePos x="0" y="0"/>
            <wp:positionH relativeFrom="column">
              <wp:posOffset>200660</wp:posOffset>
            </wp:positionH>
            <wp:positionV relativeFrom="paragraph">
              <wp:posOffset>451485</wp:posOffset>
            </wp:positionV>
            <wp:extent cx="5289550" cy="2995295"/>
            <wp:effectExtent l="0" t="0" r="13970" b="6985"/>
            <wp:wrapNone/>
            <wp:docPr id="3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pic:cNvPicPr>
                      <a:picLocks noChangeAspect="1"/>
                    </pic:cNvPicPr>
                  </pic:nvPicPr>
                  <pic:blipFill>
                    <a:blip r:embed="rId14"/>
                    <a:stretch>
                      <a:fillRect/>
                    </a:stretch>
                  </pic:blipFill>
                  <pic:spPr>
                    <a:xfrm>
                      <a:off x="0" y="0"/>
                      <a:ext cx="5289550" cy="2995295"/>
                    </a:xfrm>
                    <a:prstGeom prst="rect">
                      <a:avLst/>
                    </a:prstGeom>
                    <a:noFill/>
                    <a:ln w="9525">
                      <a:noFill/>
                    </a:ln>
                  </pic:spPr>
                </pic:pic>
              </a:graphicData>
            </a:graphic>
          </wp:anchor>
        </w:drawing>
      </w:r>
      <w:r>
        <w:rPr>
          <w:rFonts w:hint="eastAsia" w:ascii="Times New Roman" w:hAnsi="Times New Roman" w:eastAsia="宋体" w:cs="Times New Roman"/>
          <w:bCs w:val="0"/>
          <w:color w:val="auto"/>
          <w:spacing w:val="0"/>
          <w:kern w:val="2"/>
          <w:sz w:val="21"/>
          <w:szCs w:val="21"/>
          <w:highlight w:val="none"/>
          <w:lang w:val="en-US" w:eastAsia="zh-CN" w:bidi="ar-SA"/>
        </w:rPr>
        <w:t xml:space="preserve">政府方在项目运营期间的运营补贴方式为可行性缺口补助，可行性缺口补助的计算公式见下方公式 1，该公式代入数据后计算得出的结果为年可行性缺口补助的上限值。 </w:t>
      </w:r>
    </w:p>
    <w:p>
      <w:pPr>
        <w:pStyle w:val="2"/>
        <w:rPr>
          <w:color w:val="auto"/>
          <w:sz w:val="21"/>
          <w:szCs w:val="21"/>
          <w:highlight w:val="none"/>
        </w:rPr>
      </w:pPr>
    </w:p>
    <w:p>
      <w:pPr>
        <w:pStyle w:val="2"/>
        <w:rPr>
          <w:b/>
          <w:bCs w:val="0"/>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ind w:firstLine="460" w:firstLineChars="200"/>
        <w:rPr>
          <w:color w:val="auto"/>
          <w:sz w:val="21"/>
          <w:szCs w:val="21"/>
          <w:highlight w:val="none"/>
        </w:rPr>
      </w:pPr>
      <w:r>
        <w:rPr>
          <w:rFonts w:hint="eastAsia"/>
          <w:color w:val="auto"/>
          <w:sz w:val="21"/>
          <w:szCs w:val="21"/>
          <w:highlight w:val="none"/>
          <w:lang w:val="en-US" w:eastAsia="zh-CN"/>
        </w:rPr>
        <w:t>初步带入数据计算得公式 2：</w:t>
      </w:r>
    </w:p>
    <w:p>
      <w:pPr>
        <w:pStyle w:val="2"/>
        <w:rPr>
          <w:color w:val="auto"/>
          <w:sz w:val="21"/>
          <w:szCs w:val="21"/>
          <w:highlight w:val="none"/>
        </w:rPr>
      </w:pPr>
      <w:r>
        <w:rPr>
          <w:color w:val="auto"/>
          <w:highlight w:val="none"/>
        </w:rPr>
        <w:drawing>
          <wp:anchor distT="0" distB="0" distL="114300" distR="114300" simplePos="0" relativeHeight="251749376" behindDoc="0" locked="0" layoutInCell="1" allowOverlap="1">
            <wp:simplePos x="0" y="0"/>
            <wp:positionH relativeFrom="column">
              <wp:posOffset>7620</wp:posOffset>
            </wp:positionH>
            <wp:positionV relativeFrom="paragraph">
              <wp:posOffset>62865</wp:posOffset>
            </wp:positionV>
            <wp:extent cx="5738495" cy="1539240"/>
            <wp:effectExtent l="0" t="0" r="6985" b="0"/>
            <wp:wrapNone/>
            <wp:docPr id="3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pic:cNvPicPr>
                      <a:picLocks noChangeAspect="1"/>
                    </pic:cNvPicPr>
                  </pic:nvPicPr>
                  <pic:blipFill>
                    <a:blip r:embed="rId15"/>
                    <a:stretch>
                      <a:fillRect/>
                    </a:stretch>
                  </pic:blipFill>
                  <pic:spPr>
                    <a:xfrm>
                      <a:off x="0" y="0"/>
                      <a:ext cx="5738495" cy="1539240"/>
                    </a:xfrm>
                    <a:prstGeom prst="rect">
                      <a:avLst/>
                    </a:prstGeom>
                    <a:noFill/>
                    <a:ln w="9525">
                      <a:noFill/>
                    </a:ln>
                  </pic:spPr>
                </pic:pic>
              </a:graphicData>
            </a:graphic>
          </wp:anchor>
        </w:drawing>
      </w: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pStyle w:val="2"/>
        <w:rPr>
          <w:color w:val="auto"/>
          <w:sz w:val="21"/>
          <w:szCs w:val="21"/>
          <w:highlight w:val="none"/>
        </w:rPr>
      </w:pPr>
    </w:p>
    <w:p>
      <w:pPr>
        <w:spacing w:line="400" w:lineRule="exact"/>
        <w:ind w:firstLine="420" w:firstLineChars="200"/>
        <w:jc w:val="both"/>
        <w:rPr>
          <w:rFonts w:hint="eastAsia"/>
          <w:color w:val="auto"/>
          <w:sz w:val="21"/>
          <w:szCs w:val="21"/>
          <w:highlight w:val="none"/>
          <w:lang w:val="en-US" w:eastAsia="zh-CN"/>
        </w:rPr>
      </w:pPr>
      <w:r>
        <w:rPr>
          <w:rFonts w:hint="eastAsia"/>
          <w:color w:val="auto"/>
          <w:sz w:val="21"/>
          <w:szCs w:val="21"/>
          <w:highlight w:val="none"/>
          <w:lang w:val="en-US" w:eastAsia="zh-CN"/>
        </w:rPr>
        <w:t>（5）超额收入分配</w:t>
      </w:r>
    </w:p>
    <w:p>
      <w:pPr>
        <w:spacing w:line="400" w:lineRule="exact"/>
        <w:ind w:firstLine="420" w:firstLineChars="200"/>
        <w:jc w:val="both"/>
        <w:rPr>
          <w:rFonts w:hint="eastAsia"/>
          <w:color w:val="auto"/>
          <w:sz w:val="21"/>
          <w:szCs w:val="21"/>
          <w:highlight w:val="none"/>
          <w:lang w:val="en-US" w:eastAsia="zh-CN"/>
        </w:rPr>
      </w:pPr>
      <w:r>
        <w:rPr>
          <w:rFonts w:hint="eastAsia"/>
          <w:color w:val="auto"/>
          <w:sz w:val="21"/>
          <w:szCs w:val="21"/>
          <w:highlight w:val="none"/>
          <w:lang w:val="en-US" w:eastAsia="zh-CN"/>
        </w:rPr>
        <w:t>项目运营期内，经营收入超出中标社会资本方报价部分属于超额收入。年收入超出当年固</w:t>
      </w:r>
    </w:p>
    <w:p>
      <w:pPr>
        <w:spacing w:line="400" w:lineRule="exact"/>
        <w:ind w:firstLine="420" w:firstLineChars="200"/>
        <w:jc w:val="both"/>
        <w:rPr>
          <w:rFonts w:hint="eastAsia"/>
          <w:color w:val="auto"/>
          <w:sz w:val="21"/>
          <w:szCs w:val="21"/>
          <w:highlight w:val="none"/>
          <w:lang w:val="en-US" w:eastAsia="zh-CN"/>
        </w:rPr>
      </w:pPr>
      <w:r>
        <w:rPr>
          <w:rFonts w:hint="eastAsia"/>
          <w:color w:val="auto"/>
          <w:sz w:val="21"/>
          <w:szCs w:val="21"/>
          <w:highlight w:val="none"/>
          <w:lang w:val="en-US" w:eastAsia="zh-CN"/>
        </w:rPr>
        <w:t>定价收入20%以内的超额部分归项目公司。年收入超出当年固定价收入 20%以上的超额收入，按比例30%∶70%由政府出资方与项目公司进行分配（分配后归属于政府方的收益，用来抵扣下一期政府支付的可行性缺口补助）， 产生的全部成本及税费由项目公司承担。</w:t>
      </w:r>
    </w:p>
    <w:p>
      <w:pPr>
        <w:spacing w:line="400" w:lineRule="exact"/>
        <w:ind w:firstLine="420" w:firstLineChars="200"/>
        <w:jc w:val="both"/>
        <w:rPr>
          <w:rFonts w:hint="eastAsia"/>
          <w:color w:val="auto"/>
          <w:sz w:val="21"/>
          <w:szCs w:val="21"/>
          <w:highlight w:val="none"/>
          <w:lang w:val="en-US" w:eastAsia="zh-CN"/>
        </w:rPr>
      </w:pPr>
      <w:r>
        <w:rPr>
          <w:rFonts w:hint="eastAsia"/>
          <w:color w:val="auto"/>
          <w:sz w:val="21"/>
          <w:szCs w:val="21"/>
          <w:highlight w:val="none"/>
          <w:lang w:val="en-US" w:eastAsia="zh-CN"/>
        </w:rPr>
        <w:t>注：上述“固定价”指意向社会资本在采购阶段对项目公司年运营成本和年经营收入的报价。</w:t>
      </w:r>
    </w:p>
    <w:p>
      <w:pPr>
        <w:spacing w:line="400" w:lineRule="exact"/>
        <w:ind w:firstLine="422" w:firstLineChars="200"/>
        <w:jc w:val="both"/>
        <w:rPr>
          <w:b/>
          <w:bCs/>
          <w:color w:val="auto"/>
          <w:sz w:val="21"/>
          <w:szCs w:val="21"/>
          <w:highlight w:val="none"/>
          <w:lang w:val="en-GB"/>
        </w:rPr>
      </w:pPr>
      <w:r>
        <w:rPr>
          <w:rFonts w:hint="eastAsia"/>
          <w:b/>
          <w:bCs/>
          <w:color w:val="auto"/>
          <w:sz w:val="21"/>
          <w:szCs w:val="21"/>
          <w:highlight w:val="none"/>
          <w:lang w:val="en-US" w:eastAsia="zh-CN"/>
        </w:rPr>
        <w:t>6.8</w:t>
      </w:r>
      <w:r>
        <w:rPr>
          <w:rFonts w:hint="eastAsia"/>
          <w:b/>
          <w:bCs/>
          <w:color w:val="auto"/>
          <w:sz w:val="21"/>
          <w:szCs w:val="21"/>
          <w:highlight w:val="none"/>
          <w:lang w:val="en-GB"/>
        </w:rPr>
        <w:t>入库情况</w:t>
      </w:r>
    </w:p>
    <w:p>
      <w:pPr>
        <w:spacing w:line="400" w:lineRule="exact"/>
        <w:ind w:firstLine="420" w:firstLineChars="200"/>
        <w:jc w:val="both"/>
        <w:rPr>
          <w:color w:val="auto"/>
          <w:sz w:val="21"/>
          <w:szCs w:val="21"/>
          <w:highlight w:val="none"/>
        </w:rPr>
      </w:pPr>
      <w:r>
        <w:rPr>
          <w:rFonts w:hint="eastAsia"/>
          <w:color w:val="auto"/>
          <w:sz w:val="21"/>
          <w:szCs w:val="21"/>
          <w:highlight w:val="none"/>
        </w:rPr>
        <w:t>本项目已进入全国</w:t>
      </w:r>
      <w:r>
        <w:rPr>
          <w:color w:val="auto"/>
          <w:sz w:val="21"/>
          <w:szCs w:val="21"/>
          <w:highlight w:val="none"/>
        </w:rPr>
        <w:t>PPP</w:t>
      </w:r>
      <w:r>
        <w:rPr>
          <w:rFonts w:hint="eastAsia"/>
          <w:color w:val="auto"/>
          <w:sz w:val="21"/>
          <w:szCs w:val="21"/>
          <w:highlight w:val="none"/>
        </w:rPr>
        <w:t>综合信息平台项目管理库。</w:t>
      </w:r>
    </w:p>
    <w:p>
      <w:pPr>
        <w:spacing w:line="400" w:lineRule="exact"/>
        <w:ind w:firstLine="422" w:firstLineChars="200"/>
        <w:jc w:val="both"/>
        <w:rPr>
          <w:rFonts w:hint="eastAsia"/>
          <w:b/>
          <w:bCs/>
          <w:color w:val="auto"/>
          <w:sz w:val="21"/>
          <w:szCs w:val="21"/>
          <w:highlight w:val="none"/>
          <w:lang w:val="en-US" w:eastAsia="zh-CN"/>
        </w:rPr>
      </w:pPr>
      <w:r>
        <w:rPr>
          <w:rFonts w:hint="eastAsia"/>
          <w:b/>
          <w:bCs/>
          <w:color w:val="auto"/>
          <w:sz w:val="21"/>
          <w:szCs w:val="21"/>
          <w:highlight w:val="none"/>
          <w:lang w:val="en-US" w:eastAsia="zh-CN"/>
        </w:rPr>
        <w:t>6.9合同履行期限</w:t>
      </w:r>
    </w:p>
    <w:p>
      <w:pPr>
        <w:spacing w:line="400" w:lineRule="exact"/>
        <w:ind w:firstLine="420" w:firstLineChars="200"/>
        <w:jc w:val="both"/>
        <w:rPr>
          <w:rFonts w:hint="eastAsia"/>
          <w:color w:val="auto"/>
          <w:sz w:val="21"/>
          <w:szCs w:val="21"/>
          <w:highlight w:val="none"/>
          <w:lang w:val="en-US" w:eastAsia="zh-CN"/>
        </w:rPr>
      </w:pPr>
      <w:r>
        <w:rPr>
          <w:rFonts w:hint="eastAsia"/>
          <w:color w:val="auto"/>
          <w:sz w:val="21"/>
          <w:szCs w:val="21"/>
          <w:highlight w:val="none"/>
          <w:lang w:val="en-US" w:eastAsia="zh-CN"/>
        </w:rPr>
        <w:t>本项目具有投资建设资金较大、设计使用年限长、运营专业性强等特点，为有利于社会资本通过持续经营回收投资，实现经营效益，同时综合考虑政府和社会公众的利益，建议本项目合作期为15年。其中，建设期暂定为2年，计划从2021年初开始建设；运营期暂定为 13 年，计划从2023年至2035年，建设期和运营期具体时间以PPP项目合同中的约定为准。</w:t>
      </w:r>
    </w:p>
    <w:p>
      <w:pPr>
        <w:pStyle w:val="2"/>
        <w:ind w:firstLine="462" w:firstLineChars="200"/>
        <w:rPr>
          <w:rFonts w:hint="eastAsia"/>
          <w:color w:val="auto"/>
          <w:sz w:val="21"/>
          <w:szCs w:val="21"/>
          <w:highlight w:val="none"/>
          <w:lang w:val="en-US" w:eastAsia="zh-CN"/>
        </w:rPr>
      </w:pPr>
      <w:r>
        <w:rPr>
          <w:rFonts w:hint="eastAsia"/>
          <w:b/>
          <w:bCs w:val="0"/>
          <w:color w:val="auto"/>
          <w:sz w:val="21"/>
          <w:szCs w:val="21"/>
          <w:highlight w:val="none"/>
          <w:lang w:val="en-US" w:eastAsia="zh-CN"/>
        </w:rPr>
        <w:t>6.10</w:t>
      </w:r>
      <w:r>
        <w:rPr>
          <w:rFonts w:hint="eastAsia"/>
          <w:color w:val="auto"/>
          <w:sz w:val="21"/>
          <w:szCs w:val="21"/>
          <w:highlight w:val="none"/>
          <w:lang w:val="en-US" w:eastAsia="zh-CN"/>
        </w:rPr>
        <w:t>本项目接受联合体投标。</w:t>
      </w:r>
    </w:p>
    <w:p>
      <w:pPr>
        <w:pStyle w:val="4"/>
        <w:spacing w:before="0" w:after="0" w:line="400" w:lineRule="exact"/>
        <w:rPr>
          <w:rFonts w:hint="eastAsia" w:ascii="宋体" w:hAnsi="宋体" w:cs="宋体"/>
          <w:color w:val="auto"/>
          <w:sz w:val="21"/>
          <w:szCs w:val="21"/>
          <w:highlight w:val="none"/>
        </w:rPr>
      </w:pPr>
      <w:bookmarkStart w:id="13" w:name="_Toc3975"/>
      <w:bookmarkStart w:id="14" w:name="_Toc515744789"/>
      <w:bookmarkStart w:id="15" w:name="_Toc7024"/>
      <w:bookmarkStart w:id="16" w:name="_Toc375"/>
      <w:bookmarkStart w:id="17" w:name="_Toc2583679"/>
      <w:bookmarkStart w:id="18" w:name="_Toc35393607"/>
      <w:bookmarkStart w:id="19" w:name="_Toc28358990"/>
      <w:bookmarkStart w:id="20" w:name="_Toc2755"/>
      <w:bookmarkStart w:id="21" w:name="_Toc35393776"/>
      <w:bookmarkStart w:id="22" w:name="_Toc28359067"/>
      <w:bookmarkStart w:id="23" w:name="_Toc30425"/>
      <w:bookmarkStart w:id="24" w:name="_Toc482173654"/>
      <w:r>
        <w:rPr>
          <w:rFonts w:hint="eastAsia" w:ascii="宋体" w:hAnsi="宋体" w:cs="宋体"/>
          <w:color w:val="auto"/>
          <w:sz w:val="21"/>
          <w:szCs w:val="21"/>
          <w:highlight w:val="none"/>
        </w:rPr>
        <w:t>二、申请人的资格要求</w:t>
      </w:r>
      <w:bookmarkEnd w:id="13"/>
      <w:bookmarkEnd w:id="14"/>
      <w:bookmarkEnd w:id="15"/>
      <w:bookmarkEnd w:id="16"/>
      <w:bookmarkEnd w:id="17"/>
      <w:r>
        <w:rPr>
          <w:rFonts w:hint="eastAsia" w:ascii="宋体" w:hAnsi="宋体" w:cs="宋体"/>
          <w:color w:val="auto"/>
          <w:sz w:val="21"/>
          <w:szCs w:val="21"/>
          <w:highlight w:val="none"/>
        </w:rPr>
        <w:t>：</w:t>
      </w:r>
      <w:bookmarkEnd w:id="18"/>
      <w:bookmarkEnd w:id="19"/>
      <w:bookmarkEnd w:id="20"/>
      <w:bookmarkEnd w:id="21"/>
      <w:bookmarkEnd w:id="22"/>
    </w:p>
    <w:bookmarkEnd w:id="23"/>
    <w:bookmarkEnd w:id="24"/>
    <w:p>
      <w:pPr>
        <w:spacing w:line="400" w:lineRule="exact"/>
        <w:ind w:firstLine="422" w:firstLineChars="200"/>
        <w:jc w:val="both"/>
        <w:rPr>
          <w:rFonts w:ascii="宋体" w:hAnsi="宋体" w:cs="宋体"/>
          <w:color w:val="auto"/>
          <w:sz w:val="21"/>
          <w:szCs w:val="21"/>
          <w:highlight w:val="none"/>
        </w:rPr>
      </w:pPr>
      <w:r>
        <w:rPr>
          <w:rFonts w:hint="eastAsia" w:ascii="宋体" w:hAnsi="宋体" w:cs="宋体"/>
          <w:b/>
          <w:bCs/>
          <w:color w:val="auto"/>
          <w:sz w:val="21"/>
          <w:szCs w:val="21"/>
          <w:highlight w:val="none"/>
          <w:lang w:val="en-US" w:eastAsia="zh-CN"/>
        </w:rPr>
        <w:t>2.1</w:t>
      </w:r>
      <w:r>
        <w:rPr>
          <w:rFonts w:hint="eastAsia" w:ascii="宋体" w:hAnsi="宋体" w:cs="宋体"/>
          <w:b/>
          <w:bCs/>
          <w:color w:val="auto"/>
          <w:sz w:val="21"/>
          <w:szCs w:val="21"/>
          <w:highlight w:val="none"/>
          <w:lang w:eastAsia="zh-CN"/>
        </w:rPr>
        <w:t>基本要求：</w:t>
      </w:r>
      <w:r>
        <w:rPr>
          <w:rFonts w:hint="eastAsia" w:ascii="宋体" w:hAnsi="宋体" w:cs="宋体"/>
          <w:color w:val="auto"/>
          <w:sz w:val="21"/>
          <w:szCs w:val="21"/>
          <w:highlight w:val="none"/>
        </w:rPr>
        <w:t>满足《中华人民共和国政府采购法》第二十二条规定</w:t>
      </w:r>
      <w:r>
        <w:rPr>
          <w:rFonts w:hint="eastAsia" w:ascii="宋体" w:hAnsi="宋体" w:cs="宋体"/>
          <w:color w:val="auto"/>
          <w:sz w:val="21"/>
          <w:szCs w:val="21"/>
          <w:highlight w:val="none"/>
          <w:lang w:val="zh-CN"/>
        </w:rPr>
        <w:t>（</w:t>
      </w:r>
      <w:r>
        <w:rPr>
          <w:rFonts w:hint="eastAsia" w:ascii="宋体" w:hAnsi="宋体" w:cs="宋体"/>
          <w:color w:val="auto"/>
          <w:sz w:val="21"/>
          <w:szCs w:val="21"/>
          <w:highlight w:val="none"/>
        </w:rPr>
        <w:t>申请人如为联合体，则联合体牵头人、各成员需要同时满足</w:t>
      </w:r>
      <w:r>
        <w:rPr>
          <w:rFonts w:hint="eastAsia" w:ascii="宋体" w:hAnsi="宋体" w:cs="宋体"/>
          <w:color w:val="auto"/>
          <w:sz w:val="21"/>
          <w:szCs w:val="21"/>
          <w:highlight w:val="none"/>
          <w:lang w:val="zh-CN"/>
        </w:rPr>
        <w:t>）</w:t>
      </w:r>
      <w:r>
        <w:rPr>
          <w:rFonts w:hint="eastAsia" w:ascii="宋体" w:hAnsi="宋体" w:cs="宋体"/>
          <w:color w:val="auto"/>
          <w:sz w:val="21"/>
          <w:szCs w:val="21"/>
          <w:highlight w:val="none"/>
        </w:rPr>
        <w:t>：</w:t>
      </w:r>
    </w:p>
    <w:p>
      <w:pPr>
        <w:spacing w:line="400" w:lineRule="exact"/>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2.1.1</w:t>
      </w:r>
      <w:r>
        <w:rPr>
          <w:rFonts w:hint="eastAsia" w:ascii="宋体" w:hAnsi="宋体" w:cs="宋体"/>
          <w:color w:val="auto"/>
          <w:sz w:val="21"/>
          <w:szCs w:val="21"/>
          <w:highlight w:val="none"/>
        </w:rPr>
        <w:t>具有独立承担民事责任的能力；</w:t>
      </w:r>
    </w:p>
    <w:p>
      <w:pPr>
        <w:spacing w:line="400" w:lineRule="exact"/>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2.1.2</w:t>
      </w:r>
      <w:r>
        <w:rPr>
          <w:rFonts w:hint="eastAsia" w:ascii="宋体" w:hAnsi="宋体" w:cs="宋体"/>
          <w:color w:val="auto"/>
          <w:sz w:val="21"/>
          <w:szCs w:val="21"/>
          <w:highlight w:val="none"/>
        </w:rPr>
        <w:t>具有良好的商业信誉和健全的财务会计制度；</w:t>
      </w:r>
    </w:p>
    <w:p>
      <w:pPr>
        <w:spacing w:line="400" w:lineRule="exact"/>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2.1.3</w:t>
      </w:r>
      <w:r>
        <w:rPr>
          <w:rFonts w:hint="eastAsia" w:ascii="宋体" w:hAnsi="宋体" w:cs="宋体"/>
          <w:color w:val="auto"/>
          <w:sz w:val="21"/>
          <w:szCs w:val="21"/>
          <w:highlight w:val="none"/>
        </w:rPr>
        <w:t>具有履行合同所必需的设备和专业技术能力；</w:t>
      </w:r>
    </w:p>
    <w:p>
      <w:pPr>
        <w:spacing w:line="400" w:lineRule="exact"/>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2.1.4</w:t>
      </w:r>
      <w:r>
        <w:rPr>
          <w:rFonts w:hint="eastAsia" w:ascii="宋体" w:hAnsi="宋体" w:cs="宋体"/>
          <w:color w:val="auto"/>
          <w:sz w:val="21"/>
          <w:szCs w:val="21"/>
          <w:highlight w:val="none"/>
        </w:rPr>
        <w:t>有依法缴纳税收和社会保障资金的良好记录；</w:t>
      </w:r>
    </w:p>
    <w:p>
      <w:pPr>
        <w:spacing w:line="400" w:lineRule="exact"/>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2.1.5</w:t>
      </w:r>
      <w:r>
        <w:rPr>
          <w:rFonts w:hint="eastAsia" w:ascii="宋体" w:hAnsi="宋体" w:cs="宋体"/>
          <w:color w:val="auto"/>
          <w:sz w:val="21"/>
          <w:szCs w:val="21"/>
          <w:highlight w:val="none"/>
        </w:rPr>
        <w:t>参加政府采购活动前三年内，在经营活动中没有重大违法记录；</w:t>
      </w:r>
    </w:p>
    <w:p>
      <w:pPr>
        <w:spacing w:line="400" w:lineRule="exact"/>
        <w:ind w:firstLine="420" w:firstLineChars="200"/>
        <w:jc w:val="both"/>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2.1.6</w:t>
      </w:r>
      <w:r>
        <w:rPr>
          <w:rFonts w:hint="eastAsia" w:ascii="宋体" w:hAnsi="宋体" w:cs="宋体"/>
          <w:color w:val="auto"/>
          <w:sz w:val="21"/>
          <w:szCs w:val="21"/>
          <w:highlight w:val="none"/>
        </w:rPr>
        <w:t>法律、行政法规规定的其他条件；</w:t>
      </w:r>
    </w:p>
    <w:p>
      <w:pPr>
        <w:spacing w:line="400" w:lineRule="exact"/>
        <w:ind w:firstLine="422" w:firstLineChars="200"/>
        <w:jc w:val="both"/>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2.2申请人资质及项目经理要求</w:t>
      </w:r>
    </w:p>
    <w:p>
      <w:pPr>
        <w:spacing w:line="400" w:lineRule="exact"/>
        <w:ind w:firstLine="420" w:firstLineChars="200"/>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2.2.1具备建筑工程施工总承包二级及以上资质，同时具有有效的安全生产许可证。（如申请人为联合体，则根据联合体协议书中承担施工任务的一方满足即可）。</w:t>
      </w:r>
    </w:p>
    <w:p>
      <w:pPr>
        <w:spacing w:line="400" w:lineRule="exact"/>
        <w:ind w:firstLine="420" w:firstLineChars="200"/>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2.2.2项目经理：拟派项目经理具有建筑工程专业二级及以上注册建造师执业资格，同时</w:t>
      </w:r>
      <w:r>
        <w:rPr>
          <w:rFonts w:hint="eastAsia" w:ascii="宋体" w:hAnsi="宋体" w:cs="宋体"/>
          <w:color w:val="auto"/>
          <w:sz w:val="21"/>
          <w:szCs w:val="21"/>
          <w:highlight w:val="none"/>
          <w:rtl w:val="0"/>
          <w:lang w:val="en-US" w:eastAsia="zh-CN"/>
        </w:rPr>
        <w:t>具备有效的安全生产考核合格证书 (B类)。本项目不接受有在建、已中标未开工或已列为其他项目中标候选人第一名的建造师作为项目经理（符合《 广西壮族自治区建筑市场诚信卡管理暂行办法》第十六条第一款除外）。</w:t>
      </w:r>
      <w:r>
        <w:rPr>
          <w:rFonts w:hint="eastAsia" w:ascii="宋体" w:hAnsi="宋体" w:cs="宋体"/>
          <w:color w:val="auto"/>
          <w:sz w:val="21"/>
          <w:szCs w:val="21"/>
          <w:highlight w:val="none"/>
          <w:lang w:val="en-US" w:eastAsia="zh-CN"/>
        </w:rPr>
        <w:t>（若为联合体投标，由施工方提供项目经理）。</w:t>
      </w:r>
    </w:p>
    <w:p>
      <w:pPr>
        <w:spacing w:line="400" w:lineRule="exact"/>
        <w:ind w:firstLine="420"/>
        <w:jc w:val="both"/>
        <w:rPr>
          <w:rFonts w:ascii="宋体" w:hAnsi="宋体" w:cs="宋体"/>
          <w:b/>
          <w:bCs/>
          <w:color w:val="auto"/>
          <w:sz w:val="21"/>
          <w:szCs w:val="21"/>
          <w:highlight w:val="none"/>
          <w:lang w:val="zh-CN"/>
        </w:rPr>
      </w:pPr>
      <w:r>
        <w:rPr>
          <w:rFonts w:hint="eastAsia" w:ascii="宋体" w:hAnsi="宋体" w:cs="宋体"/>
          <w:b/>
          <w:bCs/>
          <w:color w:val="auto"/>
          <w:sz w:val="21"/>
          <w:szCs w:val="21"/>
          <w:highlight w:val="none"/>
          <w:lang w:val="en-US" w:eastAsia="zh-CN"/>
        </w:rPr>
        <w:t>2.3</w:t>
      </w:r>
      <w:r>
        <w:rPr>
          <w:rFonts w:hint="eastAsia" w:ascii="宋体" w:hAnsi="宋体" w:cs="宋体"/>
          <w:b/>
          <w:bCs/>
          <w:color w:val="auto"/>
          <w:sz w:val="21"/>
          <w:szCs w:val="21"/>
          <w:highlight w:val="none"/>
          <w:lang w:val="zh-CN"/>
        </w:rPr>
        <w:t>信誉要求</w:t>
      </w:r>
    </w:p>
    <w:p>
      <w:pPr>
        <w:spacing w:line="400" w:lineRule="exact"/>
        <w:ind w:firstLine="420"/>
        <w:jc w:val="both"/>
        <w:rPr>
          <w:rFonts w:ascii="宋体" w:hAns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）申请人应当具有良好的社会信誉和商业信用，在本项目投标期内没有处于被责令停业，投标资格被取消，财产被接管、破产状态。申请人如为联合体，则联合体牵头人、各成员均需要同时满足。</w:t>
      </w:r>
    </w:p>
    <w:p>
      <w:pPr>
        <w:spacing w:line="400" w:lineRule="exact"/>
        <w:ind w:firstLine="420"/>
        <w:jc w:val="both"/>
        <w:rPr>
          <w:rFonts w:ascii="宋体" w:hAns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）申请人</w:t>
      </w:r>
      <w:r>
        <w:rPr>
          <w:rFonts w:hint="eastAsia" w:ascii="宋体" w:hAnsi="宋体" w:cs="宋体"/>
          <w:color w:val="auto"/>
          <w:sz w:val="21"/>
          <w:szCs w:val="21"/>
          <w:highlight w:val="none"/>
          <w:lang w:eastAsia="zh-CN"/>
        </w:rPr>
        <w:t>未在</w:t>
      </w:r>
      <w:r>
        <w:rPr>
          <w:rFonts w:hint="eastAsia" w:ascii="宋体" w:hAnsi="宋体" w:cs="宋体"/>
          <w:color w:val="auto"/>
          <w:sz w:val="21"/>
          <w:szCs w:val="21"/>
          <w:highlight w:val="none"/>
        </w:rPr>
        <w:t>“信用中国”网站(www.creditchina.gov.cn) 、中国政府采购网(www.ccgp.gov.cn)被列入失信被执行人、重大税收违法案件当事人名单、政府采购严重违法失信行为记录名单及其他不符合《中华人民共和国政府采购法》第二十二条规定条件的供应商。申请人如为联合体，则联合体牵头人、各成员均需要同时满足。</w:t>
      </w:r>
    </w:p>
    <w:p>
      <w:pPr>
        <w:spacing w:line="400" w:lineRule="exact"/>
        <w:ind w:firstLine="420"/>
        <w:jc w:val="both"/>
        <w:rPr>
          <w:rFonts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2.4</w:t>
      </w:r>
      <w:r>
        <w:rPr>
          <w:rFonts w:hint="eastAsia" w:ascii="宋体" w:hAnsi="宋体" w:cs="宋体"/>
          <w:b/>
          <w:bCs/>
          <w:color w:val="auto"/>
          <w:sz w:val="21"/>
          <w:szCs w:val="21"/>
          <w:highlight w:val="none"/>
          <w:lang w:val="zh-CN"/>
        </w:rPr>
        <w:t>财务要求</w:t>
      </w:r>
    </w:p>
    <w:p>
      <w:pPr>
        <w:spacing w:line="400" w:lineRule="exact"/>
        <w:ind w:firstLine="420"/>
        <w:jc w:val="both"/>
        <w:rPr>
          <w:rFonts w:ascii="宋体" w:hAns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）申请人须提供没有处于财产被接管、冻结、破产或其他不良状态，无重大不良资产或不良投资项目的承诺书。申请人如为联合体，则联合体牵头人、各成员需要提供。</w:t>
      </w:r>
    </w:p>
    <w:p>
      <w:pPr>
        <w:spacing w:line="400" w:lineRule="exact"/>
        <w:ind w:firstLine="420"/>
        <w:jc w:val="both"/>
        <w:rPr>
          <w:rFonts w:ascii="宋体" w:hAns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）申请人须提供近三年（</w:t>
      </w:r>
      <w:r>
        <w:rPr>
          <w:rFonts w:ascii="宋体" w:hAnsi="宋体" w:cs="宋体"/>
          <w:color w:val="auto"/>
          <w:sz w:val="21"/>
          <w:szCs w:val="21"/>
          <w:highlight w:val="none"/>
        </w:rPr>
        <w:t>2017</w:t>
      </w:r>
      <w:r>
        <w:rPr>
          <w:rFonts w:hint="eastAsia" w:ascii="宋体" w:hAnsi="宋体" w:cs="宋体"/>
          <w:color w:val="auto"/>
          <w:sz w:val="21"/>
          <w:szCs w:val="21"/>
          <w:highlight w:val="none"/>
        </w:rPr>
        <w:t>、</w:t>
      </w:r>
      <w:r>
        <w:rPr>
          <w:rFonts w:ascii="宋体" w:hAnsi="宋体" w:cs="宋体"/>
          <w:color w:val="auto"/>
          <w:sz w:val="21"/>
          <w:szCs w:val="21"/>
          <w:highlight w:val="none"/>
        </w:rPr>
        <w:t>2018</w:t>
      </w:r>
      <w:r>
        <w:rPr>
          <w:rFonts w:hint="eastAsia" w:ascii="宋体" w:hAnsi="宋体" w:cs="宋体"/>
          <w:color w:val="auto"/>
          <w:sz w:val="21"/>
          <w:szCs w:val="21"/>
          <w:highlight w:val="none"/>
        </w:rPr>
        <w:t>、</w:t>
      </w:r>
      <w:r>
        <w:rPr>
          <w:rFonts w:ascii="宋体" w:hAnsi="宋体" w:cs="宋体"/>
          <w:color w:val="auto"/>
          <w:sz w:val="21"/>
          <w:szCs w:val="21"/>
          <w:highlight w:val="none"/>
        </w:rPr>
        <w:t>2019</w:t>
      </w:r>
      <w:r>
        <w:rPr>
          <w:rFonts w:hint="eastAsia" w:ascii="宋体" w:hAnsi="宋体" w:cs="宋体"/>
          <w:color w:val="auto"/>
          <w:sz w:val="21"/>
          <w:szCs w:val="21"/>
          <w:highlight w:val="none"/>
        </w:rPr>
        <w:t>年）经会计师事务所或审计机构审计的财务报表和审计报告，包括资产负债表、现金流量表、利润表和财务情况说明书的复印件。申请人如为联合体，则联合体牵头人、各成员均需要提供。【备注：如</w:t>
      </w:r>
      <w:r>
        <w:rPr>
          <w:rFonts w:ascii="宋体" w:hAnsi="宋体" w:cs="宋体"/>
          <w:color w:val="auto"/>
          <w:sz w:val="21"/>
          <w:szCs w:val="21"/>
          <w:highlight w:val="none"/>
        </w:rPr>
        <w:t>2019</w:t>
      </w:r>
      <w:r>
        <w:rPr>
          <w:rFonts w:hint="eastAsia" w:ascii="宋体" w:hAnsi="宋体" w:cs="宋体"/>
          <w:color w:val="auto"/>
          <w:sz w:val="21"/>
          <w:szCs w:val="21"/>
          <w:highlight w:val="none"/>
        </w:rPr>
        <w:t>年的财务报表正在审计的，需提供财务报表及</w:t>
      </w:r>
      <w:r>
        <w:rPr>
          <w:rFonts w:ascii="宋体" w:hAnsi="宋体" w:cs="宋体"/>
          <w:color w:val="auto"/>
          <w:sz w:val="21"/>
          <w:szCs w:val="21"/>
          <w:highlight w:val="none"/>
        </w:rPr>
        <w:t>2019</w:t>
      </w:r>
      <w:r>
        <w:rPr>
          <w:rFonts w:hint="eastAsia" w:ascii="宋体" w:hAnsi="宋体" w:cs="宋体"/>
          <w:color w:val="auto"/>
          <w:sz w:val="21"/>
          <w:szCs w:val="21"/>
          <w:highlight w:val="none"/>
        </w:rPr>
        <w:t>年度财务报表正在审计的证明】。</w:t>
      </w:r>
    </w:p>
    <w:p>
      <w:pPr>
        <w:spacing w:line="400" w:lineRule="exact"/>
        <w:ind w:firstLine="420"/>
        <w:jc w:val="both"/>
        <w:rPr>
          <w:rFonts w:ascii="宋体" w:hAns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）申请人具有良好的银行资信、财务状况以及相应的投融资、偿债能力。申请人递交资格预审申请文件截止时间前</w:t>
      </w:r>
      <w:r>
        <w:rPr>
          <w:rFonts w:ascii="宋体" w:hAnsi="宋体" w:cs="宋体"/>
          <w:color w:val="auto"/>
          <w:sz w:val="21"/>
          <w:szCs w:val="21"/>
          <w:highlight w:val="none"/>
        </w:rPr>
        <w:t>6</w:t>
      </w:r>
      <w:r>
        <w:rPr>
          <w:rFonts w:hint="eastAsia" w:ascii="宋体" w:hAnsi="宋体" w:cs="宋体"/>
          <w:color w:val="auto"/>
          <w:sz w:val="21"/>
          <w:szCs w:val="21"/>
          <w:highlight w:val="none"/>
        </w:rPr>
        <w:t>个月内，申请人的企业现有现金（包括银行存款、理财产品、可即时出售股票或债券）不低于</w:t>
      </w:r>
      <w:r>
        <w:rPr>
          <w:rFonts w:hint="eastAsia" w:ascii="宋体" w:hAnsi="宋体" w:cs="宋体"/>
          <w:color w:val="auto"/>
          <w:sz w:val="21"/>
          <w:szCs w:val="21"/>
          <w:highlight w:val="none"/>
          <w:lang w:val="en-US" w:eastAsia="zh-CN"/>
        </w:rPr>
        <w:t>0.4</w:t>
      </w:r>
      <w:r>
        <w:rPr>
          <w:rFonts w:hint="eastAsia" w:ascii="宋体" w:hAnsi="宋体" w:cs="宋体"/>
          <w:color w:val="auto"/>
          <w:sz w:val="21"/>
          <w:szCs w:val="21"/>
          <w:highlight w:val="none"/>
        </w:rPr>
        <w:t>亿元（包括</w:t>
      </w:r>
      <w:r>
        <w:rPr>
          <w:rFonts w:hint="eastAsia" w:ascii="宋体" w:hAnsi="宋体" w:cs="宋体"/>
          <w:color w:val="auto"/>
          <w:sz w:val="21"/>
          <w:szCs w:val="21"/>
          <w:highlight w:val="none"/>
          <w:lang w:val="en-US" w:eastAsia="zh-CN"/>
        </w:rPr>
        <w:t>0.4</w:t>
      </w:r>
      <w:r>
        <w:rPr>
          <w:rFonts w:hint="eastAsia" w:ascii="宋体" w:hAnsi="宋体" w:cs="宋体"/>
          <w:color w:val="auto"/>
          <w:sz w:val="21"/>
          <w:szCs w:val="21"/>
          <w:highlight w:val="none"/>
        </w:rPr>
        <w:t>亿元），需提供银行开具的企业基本账户近</w:t>
      </w:r>
      <w:r>
        <w:rPr>
          <w:rFonts w:ascii="宋体" w:hAnsi="宋体" w:cs="宋体"/>
          <w:color w:val="auto"/>
          <w:sz w:val="21"/>
          <w:szCs w:val="21"/>
          <w:highlight w:val="none"/>
        </w:rPr>
        <w:t>6</w:t>
      </w:r>
      <w:r>
        <w:rPr>
          <w:rFonts w:hint="eastAsia" w:ascii="宋体" w:hAnsi="宋体" w:cs="宋体"/>
          <w:color w:val="auto"/>
          <w:sz w:val="21"/>
          <w:szCs w:val="21"/>
          <w:highlight w:val="none"/>
        </w:rPr>
        <w:t>个月现金类资产证明或近</w:t>
      </w:r>
      <w:r>
        <w:rPr>
          <w:rFonts w:ascii="宋体" w:hAnsi="宋体" w:cs="宋体"/>
          <w:color w:val="auto"/>
          <w:sz w:val="21"/>
          <w:szCs w:val="21"/>
          <w:highlight w:val="none"/>
        </w:rPr>
        <w:t>6</w:t>
      </w:r>
      <w:r>
        <w:rPr>
          <w:rFonts w:hint="eastAsia" w:ascii="宋体" w:hAnsi="宋体" w:cs="宋体"/>
          <w:color w:val="auto"/>
          <w:sz w:val="21"/>
          <w:szCs w:val="21"/>
          <w:highlight w:val="none"/>
        </w:rPr>
        <w:t>个月银行存款证明；同时，申请人的银行可用授信额度不低于</w:t>
      </w:r>
      <w:r>
        <w:rPr>
          <w:rFonts w:hint="eastAsia" w:ascii="宋体" w:hAnsi="宋体" w:cs="宋体"/>
          <w:color w:val="auto"/>
          <w:sz w:val="21"/>
          <w:szCs w:val="21"/>
          <w:highlight w:val="none"/>
          <w:lang w:val="en-US" w:eastAsia="zh-CN"/>
        </w:rPr>
        <w:t>1.5</w:t>
      </w:r>
      <w:r>
        <w:rPr>
          <w:rFonts w:hint="eastAsia" w:ascii="宋体" w:hAnsi="宋体" w:cs="宋体"/>
          <w:color w:val="auto"/>
          <w:sz w:val="21"/>
          <w:szCs w:val="21"/>
          <w:highlight w:val="none"/>
        </w:rPr>
        <w:t>亿元（包括</w:t>
      </w:r>
      <w:r>
        <w:rPr>
          <w:rFonts w:hint="eastAsia" w:ascii="宋体" w:hAnsi="宋体" w:cs="宋体"/>
          <w:color w:val="auto"/>
          <w:sz w:val="21"/>
          <w:szCs w:val="21"/>
          <w:highlight w:val="none"/>
          <w:lang w:val="en-US" w:eastAsia="zh-CN"/>
        </w:rPr>
        <w:t>1.5</w:t>
      </w:r>
      <w:r>
        <w:rPr>
          <w:rFonts w:hint="eastAsia" w:ascii="宋体" w:hAnsi="宋体" w:cs="宋体"/>
          <w:color w:val="auto"/>
          <w:sz w:val="21"/>
          <w:szCs w:val="21"/>
          <w:highlight w:val="none"/>
        </w:rPr>
        <w:t>亿元），需提供加盖银行清晰印鉴的授信证明。申请人如为联合体的，则联合体各成员需同时满足下述</w:t>
      </w:r>
      <w:r>
        <w:rPr>
          <w:rFonts w:ascii="宋体" w:hAnsi="宋体" w:cs="宋体"/>
          <w:color w:val="auto"/>
          <w:sz w:val="21"/>
          <w:szCs w:val="21"/>
          <w:highlight w:val="none"/>
        </w:rPr>
        <w:t>a-c</w:t>
      </w:r>
      <w:r>
        <w:rPr>
          <w:rFonts w:hint="eastAsia" w:ascii="宋体" w:hAnsi="宋体" w:cs="宋体"/>
          <w:color w:val="auto"/>
          <w:sz w:val="21"/>
          <w:szCs w:val="21"/>
          <w:highlight w:val="none"/>
        </w:rPr>
        <w:t>条件，具体为：</w:t>
      </w:r>
    </w:p>
    <w:p>
      <w:pPr>
        <w:spacing w:line="400" w:lineRule="exact"/>
        <w:ind w:firstLine="420"/>
        <w:jc w:val="both"/>
        <w:rPr>
          <w:rFonts w:ascii="宋体" w:hAnsi="宋体" w:cs="宋体"/>
          <w:color w:val="auto"/>
          <w:sz w:val="21"/>
          <w:szCs w:val="21"/>
          <w:highlight w:val="none"/>
        </w:rPr>
      </w:pPr>
      <w:r>
        <w:rPr>
          <w:rFonts w:ascii="宋体" w:hAnsi="宋体" w:cs="宋体"/>
          <w:color w:val="auto"/>
          <w:sz w:val="21"/>
          <w:szCs w:val="21"/>
          <w:highlight w:val="none"/>
        </w:rPr>
        <w:t>a</w:t>
      </w:r>
      <w:r>
        <w:rPr>
          <w:rFonts w:hint="eastAsia" w:ascii="宋体" w:hAnsi="宋体" w:cs="宋体"/>
          <w:color w:val="auto"/>
          <w:sz w:val="21"/>
          <w:szCs w:val="21"/>
          <w:highlight w:val="none"/>
        </w:rPr>
        <w:t>．联合体各成员的企业现有现金（包括银行存款、理财产品、可即时出售股票或债券）总和不低于</w:t>
      </w:r>
      <w:r>
        <w:rPr>
          <w:rFonts w:hint="eastAsia" w:ascii="宋体" w:hAnsi="宋体" w:cs="宋体"/>
          <w:color w:val="auto"/>
          <w:sz w:val="21"/>
          <w:szCs w:val="21"/>
          <w:highlight w:val="none"/>
          <w:lang w:val="en-US" w:eastAsia="zh-CN"/>
        </w:rPr>
        <w:t>0.4</w:t>
      </w:r>
      <w:r>
        <w:rPr>
          <w:rFonts w:hint="eastAsia" w:ascii="宋体" w:hAnsi="宋体" w:cs="宋体"/>
          <w:color w:val="auto"/>
          <w:sz w:val="21"/>
          <w:szCs w:val="21"/>
          <w:highlight w:val="none"/>
        </w:rPr>
        <w:t>亿元（包括</w:t>
      </w:r>
      <w:r>
        <w:rPr>
          <w:rFonts w:hint="eastAsia" w:ascii="宋体" w:hAnsi="宋体" w:cs="宋体"/>
          <w:color w:val="auto"/>
          <w:sz w:val="21"/>
          <w:szCs w:val="21"/>
          <w:highlight w:val="none"/>
          <w:lang w:val="en-US" w:eastAsia="zh-CN"/>
        </w:rPr>
        <w:t>0.4</w:t>
      </w:r>
      <w:r>
        <w:rPr>
          <w:rFonts w:hint="eastAsia" w:ascii="宋体" w:hAnsi="宋体" w:cs="宋体"/>
          <w:color w:val="auto"/>
          <w:sz w:val="21"/>
          <w:szCs w:val="21"/>
          <w:highlight w:val="none"/>
        </w:rPr>
        <w:t>亿元），且银行可用授信额度总和不低于</w:t>
      </w:r>
      <w:r>
        <w:rPr>
          <w:rFonts w:hint="eastAsia" w:ascii="宋体" w:hAnsi="宋体" w:cs="宋体"/>
          <w:color w:val="auto"/>
          <w:sz w:val="21"/>
          <w:szCs w:val="21"/>
          <w:highlight w:val="none"/>
          <w:lang w:val="en-US" w:eastAsia="zh-CN"/>
        </w:rPr>
        <w:t>1.5</w:t>
      </w:r>
      <w:r>
        <w:rPr>
          <w:rFonts w:hint="eastAsia" w:ascii="宋体" w:hAnsi="宋体" w:cs="宋体"/>
          <w:color w:val="auto"/>
          <w:sz w:val="21"/>
          <w:szCs w:val="21"/>
          <w:highlight w:val="none"/>
        </w:rPr>
        <w:t>亿元（包括</w:t>
      </w:r>
      <w:r>
        <w:rPr>
          <w:rFonts w:hint="eastAsia" w:ascii="宋体" w:hAnsi="宋体" w:cs="宋体"/>
          <w:color w:val="auto"/>
          <w:sz w:val="21"/>
          <w:szCs w:val="21"/>
          <w:highlight w:val="none"/>
          <w:lang w:val="en-US" w:eastAsia="zh-CN"/>
        </w:rPr>
        <w:t>1.5</w:t>
      </w:r>
      <w:r>
        <w:rPr>
          <w:rFonts w:hint="eastAsia" w:ascii="宋体" w:hAnsi="宋体" w:cs="宋体"/>
          <w:color w:val="auto"/>
          <w:sz w:val="21"/>
          <w:szCs w:val="21"/>
          <w:highlight w:val="none"/>
        </w:rPr>
        <w:t>亿元）。</w:t>
      </w:r>
    </w:p>
    <w:p>
      <w:pPr>
        <w:spacing w:line="400" w:lineRule="exact"/>
        <w:ind w:firstLine="420"/>
        <w:jc w:val="both"/>
        <w:rPr>
          <w:rFonts w:ascii="宋体" w:hAnsi="宋体" w:cs="宋体"/>
          <w:color w:val="auto"/>
          <w:sz w:val="21"/>
          <w:szCs w:val="21"/>
          <w:highlight w:val="none"/>
        </w:rPr>
      </w:pPr>
      <w:r>
        <w:rPr>
          <w:rFonts w:ascii="宋体" w:hAnsi="宋体" w:cs="宋体"/>
          <w:color w:val="auto"/>
          <w:sz w:val="21"/>
          <w:szCs w:val="21"/>
          <w:highlight w:val="none"/>
        </w:rPr>
        <w:t>b</w:t>
      </w:r>
      <w:r>
        <w:rPr>
          <w:rFonts w:hint="eastAsia" w:ascii="宋体" w:hAnsi="宋体" w:cs="宋体"/>
          <w:color w:val="auto"/>
          <w:sz w:val="21"/>
          <w:szCs w:val="21"/>
          <w:highlight w:val="none"/>
        </w:rPr>
        <w:t>．联合体各成员单位在递交资格预审申请文件截止时间前</w:t>
      </w:r>
      <w:r>
        <w:rPr>
          <w:rFonts w:ascii="宋体" w:hAnsi="宋体" w:cs="宋体"/>
          <w:color w:val="auto"/>
          <w:sz w:val="21"/>
          <w:szCs w:val="21"/>
          <w:highlight w:val="none"/>
        </w:rPr>
        <w:t>6</w:t>
      </w:r>
      <w:r>
        <w:rPr>
          <w:rFonts w:hint="eastAsia" w:ascii="宋体" w:hAnsi="宋体" w:cs="宋体"/>
          <w:color w:val="auto"/>
          <w:sz w:val="21"/>
          <w:szCs w:val="21"/>
          <w:highlight w:val="none"/>
        </w:rPr>
        <w:t>个月内的企业现有现金数额（包括银行存款、理财产品、可即时出售股票或债券）不低于该成员方在联合体协议约定的出资占股比例乘以</w:t>
      </w:r>
      <w:r>
        <w:rPr>
          <w:rFonts w:hint="eastAsia" w:ascii="宋体" w:hAnsi="宋体" w:cs="宋体"/>
          <w:color w:val="auto"/>
          <w:sz w:val="21"/>
          <w:szCs w:val="21"/>
          <w:highlight w:val="none"/>
          <w:lang w:val="en-US" w:eastAsia="zh-CN"/>
        </w:rPr>
        <w:t>0.4</w:t>
      </w:r>
      <w:r>
        <w:rPr>
          <w:rFonts w:hint="eastAsia" w:ascii="宋体" w:hAnsi="宋体" w:cs="宋体"/>
          <w:color w:val="auto"/>
          <w:sz w:val="21"/>
          <w:szCs w:val="21"/>
          <w:highlight w:val="none"/>
        </w:rPr>
        <w:t>亿元的计算值；同时联合体各成员单位的银行授信可用额度不低于该成员方在联合体协议约定的出资占股比例乘以</w:t>
      </w:r>
      <w:r>
        <w:rPr>
          <w:rFonts w:hint="eastAsia" w:ascii="宋体" w:hAnsi="宋体" w:cs="宋体"/>
          <w:color w:val="auto"/>
          <w:sz w:val="21"/>
          <w:szCs w:val="21"/>
          <w:highlight w:val="none"/>
          <w:lang w:val="en-US" w:eastAsia="zh-CN"/>
        </w:rPr>
        <w:t>1.5</w:t>
      </w:r>
      <w:r>
        <w:rPr>
          <w:rFonts w:hint="eastAsia" w:ascii="宋体" w:hAnsi="宋体" w:cs="宋体"/>
          <w:color w:val="auto"/>
          <w:sz w:val="21"/>
          <w:szCs w:val="21"/>
          <w:highlight w:val="none"/>
        </w:rPr>
        <w:t>亿元</w:t>
      </w:r>
      <w:r>
        <w:rPr>
          <w:rFonts w:hint="eastAsia" w:ascii="宋体" w:hAnsi="宋体" w:cs="宋体"/>
          <w:color w:val="auto"/>
          <w:sz w:val="21"/>
          <w:szCs w:val="21"/>
          <w:highlight w:val="none"/>
          <w:lang w:val="zh-CN"/>
        </w:rPr>
        <w:t>的计算值</w:t>
      </w:r>
      <w:r>
        <w:rPr>
          <w:rFonts w:hint="eastAsia" w:ascii="宋体" w:hAnsi="宋体" w:cs="宋体"/>
          <w:color w:val="auto"/>
          <w:sz w:val="21"/>
          <w:szCs w:val="21"/>
          <w:highlight w:val="none"/>
        </w:rPr>
        <w:t>。</w:t>
      </w:r>
    </w:p>
    <w:p>
      <w:pPr>
        <w:spacing w:line="400" w:lineRule="exact"/>
        <w:ind w:firstLine="420"/>
        <w:jc w:val="both"/>
        <w:rPr>
          <w:rFonts w:hint="eastAsia" w:ascii="宋体" w:hAnsi="宋体" w:cs="宋体"/>
          <w:b/>
          <w:bCs/>
          <w:color w:val="auto"/>
          <w:sz w:val="21"/>
          <w:szCs w:val="21"/>
          <w:highlight w:val="none"/>
          <w:lang w:val="en-US" w:eastAsia="zh-CN"/>
        </w:rPr>
      </w:pPr>
      <w:r>
        <w:rPr>
          <w:rFonts w:ascii="宋体" w:hAnsi="宋体" w:cs="宋体"/>
          <w:color w:val="auto"/>
          <w:sz w:val="21"/>
          <w:szCs w:val="21"/>
          <w:highlight w:val="none"/>
        </w:rPr>
        <w:t>c</w:t>
      </w:r>
      <w:r>
        <w:rPr>
          <w:rFonts w:hint="eastAsia" w:ascii="宋体" w:hAnsi="宋体" w:cs="宋体"/>
          <w:color w:val="auto"/>
          <w:sz w:val="21"/>
          <w:szCs w:val="21"/>
          <w:highlight w:val="none"/>
        </w:rPr>
        <w:t>．联合体各成员单位均需提供银行开具的企业基本账户近</w:t>
      </w:r>
      <w:r>
        <w:rPr>
          <w:rFonts w:ascii="宋体" w:hAnsi="宋体" w:cs="宋体"/>
          <w:color w:val="auto"/>
          <w:sz w:val="21"/>
          <w:szCs w:val="21"/>
          <w:highlight w:val="none"/>
        </w:rPr>
        <w:t>6</w:t>
      </w:r>
      <w:r>
        <w:rPr>
          <w:rFonts w:hint="eastAsia" w:ascii="宋体" w:hAnsi="宋体" w:cs="宋体"/>
          <w:color w:val="auto"/>
          <w:sz w:val="21"/>
          <w:szCs w:val="21"/>
          <w:highlight w:val="none"/>
        </w:rPr>
        <w:t>个月（截止递交资格预审申请文件前</w:t>
      </w:r>
      <w:r>
        <w:rPr>
          <w:rFonts w:ascii="宋体" w:hAnsi="宋体" w:cs="宋体"/>
          <w:color w:val="auto"/>
          <w:sz w:val="21"/>
          <w:szCs w:val="21"/>
          <w:highlight w:val="none"/>
        </w:rPr>
        <w:t>6</w:t>
      </w:r>
      <w:r>
        <w:rPr>
          <w:rFonts w:hint="eastAsia" w:ascii="宋体" w:hAnsi="宋体" w:cs="宋体"/>
          <w:color w:val="auto"/>
          <w:sz w:val="21"/>
          <w:szCs w:val="21"/>
          <w:highlight w:val="none"/>
        </w:rPr>
        <w:t>个月）现金类资产证明或近</w:t>
      </w:r>
      <w:r>
        <w:rPr>
          <w:rFonts w:ascii="宋体" w:hAnsi="宋体" w:cs="宋体"/>
          <w:color w:val="auto"/>
          <w:sz w:val="21"/>
          <w:szCs w:val="21"/>
          <w:highlight w:val="none"/>
        </w:rPr>
        <w:t>6</w:t>
      </w:r>
      <w:r>
        <w:rPr>
          <w:rFonts w:hint="eastAsia" w:ascii="宋体" w:hAnsi="宋体" w:cs="宋体"/>
          <w:color w:val="auto"/>
          <w:sz w:val="21"/>
          <w:szCs w:val="21"/>
          <w:highlight w:val="none"/>
        </w:rPr>
        <w:t>个月银行存款证明，以及加盖银行清晰印鉴的授信证明。</w:t>
      </w:r>
    </w:p>
    <w:p>
      <w:pPr>
        <w:pStyle w:val="2"/>
        <w:ind w:firstLine="422" w:firstLineChars="200"/>
        <w:rPr>
          <w:rFonts w:hint="eastAsia" w:ascii="宋体" w:hAnsi="宋体" w:eastAsia="宋体" w:cs="宋体"/>
          <w:b/>
          <w:bCs/>
          <w:color w:val="auto"/>
          <w:spacing w:val="0"/>
          <w:kern w:val="2"/>
          <w:sz w:val="21"/>
          <w:szCs w:val="21"/>
          <w:highlight w:val="none"/>
          <w:lang w:val="en-US" w:eastAsia="zh-CN" w:bidi="ar-SA"/>
        </w:rPr>
      </w:pPr>
      <w:r>
        <w:rPr>
          <w:rFonts w:hint="eastAsia" w:ascii="宋体" w:hAnsi="宋体" w:cs="宋体"/>
          <w:b/>
          <w:bCs/>
          <w:color w:val="auto"/>
          <w:spacing w:val="0"/>
          <w:kern w:val="2"/>
          <w:sz w:val="21"/>
          <w:szCs w:val="21"/>
          <w:highlight w:val="none"/>
          <w:lang w:val="en-US" w:eastAsia="zh-CN" w:bidi="ar-SA"/>
        </w:rPr>
        <w:t>2.5</w:t>
      </w:r>
      <w:r>
        <w:rPr>
          <w:rFonts w:hint="eastAsia" w:ascii="宋体" w:hAnsi="宋体" w:eastAsia="宋体" w:cs="宋体"/>
          <w:b/>
          <w:bCs/>
          <w:color w:val="auto"/>
          <w:spacing w:val="0"/>
          <w:kern w:val="2"/>
          <w:sz w:val="21"/>
          <w:szCs w:val="21"/>
          <w:highlight w:val="none"/>
          <w:lang w:val="zh-CN" w:eastAsia="zh-CN" w:bidi="ar-SA"/>
        </w:rPr>
        <w:t>联合体特殊要求</w:t>
      </w:r>
    </w:p>
    <w:p>
      <w:pPr>
        <w:spacing w:line="400" w:lineRule="exact"/>
        <w:ind w:firstLine="420"/>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1）本项目资格预审接受联合体申请，联合体成员不得超过3家，成员可包括财务投资人或其他符合项目条件的主体，原则上应体现投融资能力和运营优势；</w:t>
      </w:r>
    </w:p>
    <w:p>
      <w:pPr>
        <w:spacing w:line="400" w:lineRule="exact"/>
        <w:ind w:firstLine="420"/>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2）联合体各成员间必须签订联合体协议，明确牵头方、各成员组成、股权比例、职责分工及权利和义务等主要条款，且在联合体通过资格审查后不得改变；</w:t>
      </w:r>
    </w:p>
    <w:p>
      <w:pPr>
        <w:spacing w:line="400" w:lineRule="exact"/>
        <w:ind w:firstLine="420"/>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3）联合体各成员签订联合体协议后，不得再以自己名义单独或加入其他联合体同时参加本项目资格预审活动；</w:t>
      </w:r>
    </w:p>
    <w:p>
      <w:pPr>
        <w:keepNext w:val="0"/>
        <w:keepLines w:val="0"/>
        <w:pageBreakBefore w:val="0"/>
        <w:widowControl w:val="0"/>
        <w:kinsoku/>
        <w:wordWrap/>
        <w:overflowPunct/>
        <w:topLinePunct w:val="0"/>
        <w:autoSpaceDE/>
        <w:autoSpaceDN/>
        <w:bidi w:val="0"/>
        <w:adjustRightInd/>
        <w:snapToGrid/>
        <w:spacing w:line="400" w:lineRule="exact"/>
        <w:ind w:firstLine="420"/>
        <w:jc w:val="both"/>
        <w:textAlignment w:val="auto"/>
        <w:outlineLvl w:val="9"/>
        <w:rPr>
          <w:rFonts w:hint="eastAsia"/>
          <w:color w:val="auto"/>
          <w:highlight w:val="none"/>
        </w:rPr>
      </w:pPr>
      <w:r>
        <w:rPr>
          <w:rFonts w:hint="eastAsia" w:ascii="宋体" w:hAnsi="宋体" w:cs="宋体"/>
          <w:color w:val="auto"/>
          <w:sz w:val="21"/>
          <w:szCs w:val="21"/>
          <w:highlight w:val="none"/>
          <w:lang w:val="en-US" w:eastAsia="zh-CN"/>
        </w:rPr>
        <w:t>4）联合体各成员单位均需持股出资项目公司，每家出资比例不应低于10%并承担融资责任，且要有其中一家单位出资比例高于20%，各成员单位占股比例通过联合体协议约定，一旦中标，联合体各成员需向采购人承诺承担连带责任。</w:t>
      </w:r>
    </w:p>
    <w:p>
      <w:pPr>
        <w:pStyle w:val="2"/>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cs="宋体"/>
          <w:b/>
          <w:bCs/>
          <w:color w:val="auto"/>
          <w:spacing w:val="0"/>
          <w:kern w:val="2"/>
          <w:sz w:val="21"/>
          <w:szCs w:val="21"/>
          <w:highlight w:val="none"/>
          <w:lang w:val="zh-CN" w:eastAsia="zh-CN" w:bidi="ar-SA"/>
        </w:rPr>
      </w:pPr>
      <w:r>
        <w:rPr>
          <w:rFonts w:hint="eastAsia" w:ascii="宋体" w:hAnsi="宋体" w:cs="宋体"/>
          <w:b/>
          <w:bCs/>
          <w:color w:val="auto"/>
          <w:spacing w:val="0"/>
          <w:kern w:val="2"/>
          <w:sz w:val="21"/>
          <w:szCs w:val="21"/>
          <w:highlight w:val="none"/>
          <w:lang w:val="en-US" w:eastAsia="zh-CN" w:bidi="ar-SA"/>
        </w:rPr>
        <w:t>2.6投标人的</w:t>
      </w:r>
      <w:r>
        <w:rPr>
          <w:rFonts w:hint="eastAsia" w:ascii="宋体" w:hAnsi="宋体" w:eastAsia="宋体" w:cs="宋体"/>
          <w:b/>
          <w:bCs/>
          <w:color w:val="auto"/>
          <w:spacing w:val="0"/>
          <w:kern w:val="2"/>
          <w:sz w:val="21"/>
          <w:szCs w:val="21"/>
          <w:highlight w:val="none"/>
          <w:lang w:val="zh-CN" w:eastAsia="zh-CN" w:bidi="ar-SA"/>
        </w:rPr>
        <w:t>其他</w:t>
      </w:r>
      <w:r>
        <w:rPr>
          <w:rFonts w:hint="eastAsia" w:ascii="宋体" w:hAnsi="宋体" w:cs="宋体"/>
          <w:b/>
          <w:bCs/>
          <w:color w:val="auto"/>
          <w:spacing w:val="0"/>
          <w:kern w:val="2"/>
          <w:sz w:val="21"/>
          <w:szCs w:val="21"/>
          <w:highlight w:val="none"/>
          <w:lang w:val="zh-CN" w:eastAsia="zh-CN" w:bidi="ar-SA"/>
        </w:rPr>
        <w:t>要求</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Cs w:val="0"/>
          <w:color w:val="auto"/>
          <w:spacing w:val="0"/>
          <w:kern w:val="2"/>
          <w:sz w:val="21"/>
          <w:szCs w:val="21"/>
          <w:highlight w:val="none"/>
          <w:lang w:val="zh-CN" w:eastAsia="zh-CN" w:bidi="ar-SA"/>
        </w:rPr>
      </w:pPr>
      <w:r>
        <w:rPr>
          <w:rFonts w:hint="eastAsia" w:ascii="宋体" w:hAnsi="宋体" w:eastAsia="宋体" w:cs="宋体"/>
          <w:bCs w:val="0"/>
          <w:color w:val="auto"/>
          <w:spacing w:val="0"/>
          <w:kern w:val="2"/>
          <w:sz w:val="21"/>
          <w:szCs w:val="21"/>
          <w:highlight w:val="none"/>
          <w:lang w:val="zh-CN" w:eastAsia="zh-CN" w:bidi="ar-SA"/>
        </w:rPr>
        <w:t>（</w:t>
      </w:r>
      <w:r>
        <w:rPr>
          <w:rFonts w:hint="eastAsia" w:ascii="宋体" w:hAnsi="宋体" w:eastAsia="宋体" w:cs="宋体"/>
          <w:bCs w:val="0"/>
          <w:color w:val="auto"/>
          <w:spacing w:val="0"/>
          <w:kern w:val="2"/>
          <w:sz w:val="21"/>
          <w:szCs w:val="21"/>
          <w:highlight w:val="none"/>
          <w:lang w:val="en-US" w:eastAsia="zh-CN" w:bidi="ar-SA"/>
        </w:rPr>
        <w:t>1</w:t>
      </w:r>
      <w:r>
        <w:rPr>
          <w:rFonts w:hint="eastAsia" w:ascii="宋体" w:hAnsi="宋体" w:eastAsia="宋体" w:cs="宋体"/>
          <w:bCs w:val="0"/>
          <w:color w:val="auto"/>
          <w:spacing w:val="0"/>
          <w:kern w:val="2"/>
          <w:sz w:val="21"/>
          <w:szCs w:val="21"/>
          <w:highlight w:val="none"/>
          <w:lang w:val="zh-CN" w:eastAsia="zh-CN" w:bidi="ar-SA"/>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00" w:lineRule="exact"/>
        <w:ind w:firstLine="420"/>
        <w:jc w:val="both"/>
        <w:rPr>
          <w:rFonts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rPr>
        <w:t>申请人</w:t>
      </w:r>
      <w:r>
        <w:rPr>
          <w:rFonts w:hint="eastAsia" w:ascii="宋体" w:hAnsi="宋体" w:cs="宋体"/>
          <w:color w:val="auto"/>
          <w:sz w:val="21"/>
          <w:szCs w:val="21"/>
          <w:highlight w:val="none"/>
          <w:lang w:val="zh-CN"/>
        </w:rPr>
        <w:t>（</w:t>
      </w:r>
      <w:r>
        <w:rPr>
          <w:rFonts w:hint="eastAsia" w:ascii="宋体" w:hAnsi="宋体" w:cs="宋体"/>
          <w:color w:val="auto"/>
          <w:sz w:val="21"/>
          <w:szCs w:val="21"/>
          <w:highlight w:val="none"/>
        </w:rPr>
        <w:t>申请人如为联合体，则联合体牵头人、各成员需要同时满足</w:t>
      </w:r>
      <w:r>
        <w:rPr>
          <w:rFonts w:hint="eastAsia" w:ascii="宋体" w:hAnsi="宋体" w:cs="宋体"/>
          <w:color w:val="auto"/>
          <w:sz w:val="21"/>
          <w:szCs w:val="21"/>
          <w:highlight w:val="none"/>
          <w:lang w:val="zh-CN"/>
        </w:rPr>
        <w:t>）</w:t>
      </w:r>
      <w:r>
        <w:rPr>
          <w:rFonts w:hint="eastAsia" w:ascii="宋体" w:hAnsi="宋体" w:cs="宋体"/>
          <w:b w:val="0"/>
          <w:bCs w:val="0"/>
          <w:color w:val="auto"/>
          <w:sz w:val="21"/>
          <w:szCs w:val="21"/>
          <w:highlight w:val="none"/>
        </w:rPr>
        <w:t>不得存在下列情形之一</w:t>
      </w:r>
      <w:r>
        <w:rPr>
          <w:rFonts w:hint="eastAsia" w:ascii="宋体" w:hAnsi="宋体" w:cs="宋体"/>
          <w:b w:val="0"/>
          <w:bCs w:val="0"/>
          <w:color w:val="auto"/>
          <w:sz w:val="21"/>
          <w:szCs w:val="21"/>
          <w:highlight w:val="none"/>
          <w:lang w:eastAsia="zh-CN"/>
        </w:rPr>
        <w:t>，否则投标无效</w:t>
      </w:r>
      <w:r>
        <w:rPr>
          <w:rFonts w:hint="eastAsia" w:ascii="宋体" w:hAnsi="宋体" w:cs="宋体"/>
          <w:b w:val="0"/>
          <w:bCs w:val="0"/>
          <w:color w:val="auto"/>
          <w:sz w:val="21"/>
          <w:szCs w:val="21"/>
          <w:highlight w:val="none"/>
        </w:rPr>
        <w:t>：</w:t>
      </w:r>
    </w:p>
    <w:p>
      <w:pPr>
        <w:spacing w:line="400" w:lineRule="exact"/>
        <w:ind w:firstLine="630" w:firstLineChars="300"/>
        <w:jc w:val="both"/>
        <w:rPr>
          <w:rFonts w:ascii="宋体" w:hAnsi="宋体" w:cs="宋体"/>
          <w:color w:val="auto"/>
          <w:sz w:val="21"/>
          <w:szCs w:val="21"/>
          <w:highlight w:val="none"/>
        </w:rPr>
      </w:pPr>
      <w:r>
        <w:rPr>
          <w:rFonts w:hint="default" w:ascii="Calibri" w:hAnsi="Calibri" w:cs="Calibri"/>
          <w:color w:val="auto"/>
          <w:sz w:val="21"/>
          <w:szCs w:val="21"/>
          <w:highlight w:val="none"/>
          <w:lang w:val="en-US" w:eastAsia="zh-CN"/>
        </w:rPr>
        <w:t>①</w:t>
      </w:r>
      <w:r>
        <w:rPr>
          <w:rFonts w:hint="eastAsia" w:ascii="宋体" w:hAnsi="宋体" w:cs="宋体"/>
          <w:color w:val="auto"/>
          <w:sz w:val="21"/>
          <w:szCs w:val="21"/>
          <w:highlight w:val="none"/>
        </w:rPr>
        <w:t>为</w:t>
      </w:r>
      <w:r>
        <w:rPr>
          <w:rFonts w:hint="eastAsia" w:ascii="宋体" w:hAnsi="宋体" w:cs="宋体"/>
          <w:color w:val="auto"/>
          <w:sz w:val="21"/>
          <w:szCs w:val="21"/>
          <w:highlight w:val="none"/>
          <w:lang w:val="zh-CN"/>
        </w:rPr>
        <w:t>本级政府所属的各类融资平台公司和本级政府所属的融资平台公司参股并能对其经营活动构成实质性影响的国有企业</w:t>
      </w:r>
      <w:r>
        <w:rPr>
          <w:rFonts w:hint="eastAsia" w:ascii="宋体" w:hAnsi="宋体" w:cs="宋体"/>
          <w:color w:val="auto"/>
          <w:sz w:val="21"/>
          <w:szCs w:val="21"/>
          <w:highlight w:val="none"/>
        </w:rPr>
        <w:t>（符合《国务院办公厅转发财政部、国家发展改革委、中国人民银行关于在公共服务领域推广政府和社会资本合作模式的指导意见的通知》（国办发〔2015〕42号）文件规定的除外）；</w:t>
      </w:r>
    </w:p>
    <w:p>
      <w:pPr>
        <w:spacing w:line="400" w:lineRule="exact"/>
        <w:ind w:firstLine="630" w:firstLineChars="300"/>
        <w:jc w:val="both"/>
        <w:rPr>
          <w:rFonts w:ascii="宋体" w:hAnsi="宋体" w:cs="宋体"/>
          <w:color w:val="auto"/>
          <w:sz w:val="21"/>
          <w:szCs w:val="21"/>
          <w:highlight w:val="none"/>
        </w:rPr>
      </w:pPr>
      <w:r>
        <w:rPr>
          <w:rFonts w:hint="default" w:ascii="Calibri" w:hAnsi="Calibri" w:cs="Calibri"/>
          <w:color w:val="auto"/>
          <w:sz w:val="21"/>
          <w:szCs w:val="21"/>
          <w:highlight w:val="none"/>
          <w:lang w:val="en-US" w:eastAsia="zh-CN"/>
        </w:rPr>
        <w:t>②</w:t>
      </w:r>
      <w:r>
        <w:rPr>
          <w:rFonts w:hint="eastAsia" w:ascii="宋体" w:hAnsi="宋体" w:cs="宋体"/>
          <w:color w:val="auto"/>
          <w:sz w:val="21"/>
          <w:szCs w:val="21"/>
          <w:highlight w:val="none"/>
        </w:rPr>
        <w:t>为本项目提供咨询服务的；</w:t>
      </w:r>
    </w:p>
    <w:p>
      <w:pPr>
        <w:spacing w:line="400" w:lineRule="exact"/>
        <w:ind w:firstLine="630" w:firstLineChars="300"/>
        <w:jc w:val="both"/>
        <w:rPr>
          <w:rFonts w:ascii="宋体" w:hAnsi="宋体" w:cs="宋体"/>
          <w:color w:val="auto"/>
          <w:sz w:val="21"/>
          <w:szCs w:val="21"/>
          <w:highlight w:val="none"/>
        </w:rPr>
      </w:pPr>
      <w:r>
        <w:rPr>
          <w:rFonts w:hint="default" w:ascii="Calibri" w:hAnsi="Calibri" w:cs="Calibri"/>
          <w:color w:val="auto"/>
          <w:sz w:val="21"/>
          <w:szCs w:val="21"/>
          <w:highlight w:val="none"/>
          <w:lang w:val="en-US" w:eastAsia="zh-CN"/>
        </w:rPr>
        <w:t>③</w:t>
      </w:r>
      <w:r>
        <w:rPr>
          <w:rFonts w:hint="eastAsia" w:ascii="宋体" w:hAnsi="宋体" w:cs="宋体"/>
          <w:color w:val="auto"/>
          <w:sz w:val="21"/>
          <w:szCs w:val="21"/>
          <w:highlight w:val="none"/>
        </w:rPr>
        <w:t>为本项目提供采购代理服务的；</w:t>
      </w:r>
    </w:p>
    <w:p>
      <w:pPr>
        <w:spacing w:line="400" w:lineRule="exact"/>
        <w:ind w:firstLine="630" w:firstLineChars="300"/>
        <w:jc w:val="both"/>
        <w:rPr>
          <w:rFonts w:hint="eastAsia" w:eastAsia="宋体"/>
          <w:color w:val="auto"/>
          <w:highlight w:val="none"/>
          <w:lang w:val="en-US" w:eastAsia="zh-CN"/>
        </w:rPr>
      </w:pPr>
      <w:r>
        <w:rPr>
          <w:rFonts w:hint="eastAsia" w:ascii="宋体" w:hAnsi="宋体" w:eastAsia="宋体" w:cs="宋体"/>
          <w:color w:val="auto"/>
          <w:sz w:val="21"/>
          <w:szCs w:val="21"/>
          <w:highlight w:val="none"/>
          <w:lang w:val="en-US" w:eastAsia="zh-CN"/>
        </w:rPr>
        <w:t>④</w:t>
      </w:r>
      <w:r>
        <w:rPr>
          <w:rFonts w:hint="eastAsia" w:ascii="宋体" w:hAnsi="宋体" w:cs="宋体"/>
          <w:color w:val="auto"/>
          <w:sz w:val="21"/>
          <w:szCs w:val="21"/>
          <w:highlight w:val="none"/>
        </w:rPr>
        <w:t>其他有关法律、行政法规及部门规章禁止的。</w:t>
      </w:r>
    </w:p>
    <w:p>
      <w:pPr>
        <w:pStyle w:val="2"/>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color w:val="auto"/>
          <w:spacing w:val="0"/>
          <w:kern w:val="2"/>
          <w:sz w:val="21"/>
          <w:szCs w:val="21"/>
          <w:highlight w:val="none"/>
          <w:lang w:val="en-US" w:eastAsia="zh-CN" w:bidi="ar-SA"/>
        </w:rPr>
      </w:pPr>
      <w:bookmarkStart w:id="25" w:name="_Toc54857622"/>
      <w:bookmarkStart w:id="26" w:name="_Toc460926456"/>
      <w:bookmarkStart w:id="27" w:name="_Toc461032407"/>
      <w:r>
        <w:rPr>
          <w:rFonts w:hint="eastAsia" w:ascii="宋体" w:hAnsi="宋体" w:cs="宋体"/>
          <w:b/>
          <w:bCs/>
          <w:color w:val="auto"/>
          <w:spacing w:val="0"/>
          <w:kern w:val="2"/>
          <w:sz w:val="21"/>
          <w:szCs w:val="21"/>
          <w:highlight w:val="none"/>
          <w:lang w:val="en-US" w:eastAsia="zh-CN" w:bidi="ar-SA"/>
        </w:rPr>
        <w:t>三</w:t>
      </w:r>
      <w:r>
        <w:rPr>
          <w:rFonts w:hint="eastAsia" w:ascii="宋体" w:hAnsi="宋体" w:eastAsia="宋体" w:cs="宋体"/>
          <w:b/>
          <w:bCs/>
          <w:color w:val="auto"/>
          <w:spacing w:val="0"/>
          <w:kern w:val="2"/>
          <w:sz w:val="21"/>
          <w:szCs w:val="21"/>
          <w:highlight w:val="none"/>
          <w:lang w:val="en-US" w:eastAsia="zh-CN" w:bidi="ar-SA"/>
        </w:rPr>
        <w:t>、资格预审文件的获取</w:t>
      </w:r>
      <w:bookmarkEnd w:id="25"/>
      <w:bookmarkEnd w:id="26"/>
      <w:bookmarkEnd w:id="27"/>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Cs w:val="0"/>
          <w:color w:val="auto"/>
          <w:spacing w:val="0"/>
          <w:kern w:val="2"/>
          <w:sz w:val="21"/>
          <w:szCs w:val="21"/>
          <w:highlight w:val="none"/>
          <w:lang w:val="en-US" w:eastAsia="zh-CN" w:bidi="ar-SA"/>
        </w:rPr>
      </w:pPr>
      <w:r>
        <w:rPr>
          <w:rFonts w:hint="eastAsia" w:ascii="宋体" w:hAnsi="宋体" w:eastAsia="宋体" w:cs="宋体"/>
          <w:bCs w:val="0"/>
          <w:color w:val="auto"/>
          <w:spacing w:val="0"/>
          <w:kern w:val="2"/>
          <w:sz w:val="21"/>
          <w:szCs w:val="21"/>
          <w:highlight w:val="none"/>
          <w:lang w:val="en-US" w:eastAsia="zh-CN" w:bidi="ar-SA"/>
        </w:rPr>
        <w:t>本项目不发放纸质文件，供应商可自行在南宁公共资源交易中心(www.nnggzy.org.cn)的信息公告处下载招标文件。</w:t>
      </w:r>
    </w:p>
    <w:p>
      <w:pPr>
        <w:pStyle w:val="4"/>
        <w:spacing w:before="0" w:after="0" w:line="400" w:lineRule="exact"/>
        <w:ind w:firstLine="422" w:firstLineChars="200"/>
        <w:rPr>
          <w:rFonts w:hint="eastAsia" w:ascii="宋体" w:hAnsi="宋体" w:cs="宋体"/>
          <w:color w:val="auto"/>
          <w:sz w:val="21"/>
          <w:szCs w:val="21"/>
          <w:highlight w:val="none"/>
        </w:rPr>
      </w:pPr>
      <w:bookmarkStart w:id="28" w:name="_Toc15557"/>
      <w:bookmarkStart w:id="29" w:name="_Toc35393609"/>
      <w:bookmarkStart w:id="30" w:name="_Toc35393778"/>
      <w:bookmarkStart w:id="31" w:name="_Toc482173657"/>
      <w:bookmarkStart w:id="32" w:name="_Toc31283"/>
      <w:r>
        <w:rPr>
          <w:rFonts w:hint="eastAsia" w:ascii="宋体" w:hAnsi="宋体" w:cs="宋体"/>
          <w:color w:val="auto"/>
          <w:sz w:val="21"/>
          <w:szCs w:val="21"/>
          <w:highlight w:val="none"/>
        </w:rPr>
        <w:t>四、资格预审申请文件的组成及格式</w:t>
      </w:r>
      <w:bookmarkEnd w:id="28"/>
      <w:bookmarkEnd w:id="29"/>
      <w:bookmarkEnd w:id="30"/>
    </w:p>
    <w:bookmarkEnd w:id="31"/>
    <w:bookmarkEnd w:id="32"/>
    <w:p>
      <w:pPr>
        <w:spacing w:line="400" w:lineRule="exact"/>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资格预审申请文件需包含的内容及具体格式要求详见《资格预审文件》相关要求。</w:t>
      </w:r>
    </w:p>
    <w:p>
      <w:pPr>
        <w:pStyle w:val="4"/>
        <w:spacing w:before="0" w:after="0" w:line="400" w:lineRule="exact"/>
        <w:ind w:firstLine="422" w:firstLineChars="200"/>
        <w:rPr>
          <w:rFonts w:hint="eastAsia" w:ascii="宋体" w:hAnsi="宋体" w:cs="宋体"/>
          <w:color w:val="auto"/>
          <w:sz w:val="21"/>
          <w:szCs w:val="21"/>
          <w:highlight w:val="none"/>
        </w:rPr>
      </w:pPr>
      <w:bookmarkStart w:id="33" w:name="_Toc35393779"/>
      <w:bookmarkStart w:id="34" w:name="_Toc28359069"/>
      <w:bookmarkStart w:id="35" w:name="_Toc7710"/>
      <w:bookmarkStart w:id="36" w:name="_Toc35393610"/>
      <w:bookmarkStart w:id="37" w:name="_Toc28358992"/>
      <w:r>
        <w:rPr>
          <w:rFonts w:hint="eastAsia" w:ascii="宋体" w:hAnsi="宋体" w:cs="宋体"/>
          <w:color w:val="auto"/>
          <w:sz w:val="21"/>
          <w:szCs w:val="21"/>
          <w:highlight w:val="none"/>
        </w:rPr>
        <w:t>五、资格预审的审查标准及方法</w:t>
      </w:r>
      <w:bookmarkEnd w:id="33"/>
      <w:bookmarkEnd w:id="34"/>
      <w:bookmarkEnd w:id="35"/>
      <w:bookmarkEnd w:id="36"/>
      <w:bookmarkEnd w:id="37"/>
    </w:p>
    <w:p>
      <w:pPr>
        <w:spacing w:line="400" w:lineRule="exact"/>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1.本次资格预审采用合格制。</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Cs w:val="0"/>
          <w:color w:val="auto"/>
          <w:spacing w:val="0"/>
          <w:kern w:val="2"/>
          <w:sz w:val="21"/>
          <w:szCs w:val="21"/>
          <w:highlight w:val="none"/>
          <w:lang w:val="en-US" w:eastAsia="zh-CN" w:bidi="ar-SA"/>
        </w:rPr>
      </w:pPr>
      <w:r>
        <w:rPr>
          <w:rFonts w:hint="eastAsia" w:ascii="宋体" w:hAnsi="宋体" w:eastAsia="宋体" w:cs="宋体"/>
          <w:bCs w:val="0"/>
          <w:color w:val="auto"/>
          <w:spacing w:val="0"/>
          <w:kern w:val="2"/>
          <w:sz w:val="21"/>
          <w:szCs w:val="21"/>
          <w:highlight w:val="none"/>
          <w:lang w:val="en-US" w:eastAsia="zh-CN" w:bidi="ar-SA"/>
        </w:rPr>
        <w:t>2.审查标准:详见“资格审查办法”。</w:t>
      </w:r>
    </w:p>
    <w:p>
      <w:pPr>
        <w:pStyle w:val="2"/>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color w:val="auto"/>
          <w:spacing w:val="0"/>
          <w:kern w:val="2"/>
          <w:sz w:val="21"/>
          <w:szCs w:val="21"/>
          <w:highlight w:val="none"/>
          <w:lang w:val="en-US" w:eastAsia="zh-CN" w:bidi="ar-SA"/>
        </w:rPr>
      </w:pPr>
      <w:bookmarkStart w:id="38" w:name="_Toc58582974"/>
      <w:r>
        <w:rPr>
          <w:rFonts w:hint="eastAsia" w:ascii="宋体" w:hAnsi="宋体" w:eastAsia="宋体" w:cs="宋体"/>
          <w:b/>
          <w:bCs/>
          <w:color w:val="auto"/>
          <w:spacing w:val="0"/>
          <w:kern w:val="2"/>
          <w:sz w:val="21"/>
          <w:szCs w:val="21"/>
          <w:highlight w:val="none"/>
          <w:lang w:val="en-US" w:eastAsia="zh-CN" w:bidi="ar-SA"/>
        </w:rPr>
        <w:t>六、拟邀请参加投标的供应商数量</w:t>
      </w:r>
      <w:bookmarkEnd w:id="38"/>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Cs w:val="0"/>
          <w:color w:val="auto"/>
          <w:spacing w:val="0"/>
          <w:kern w:val="2"/>
          <w:sz w:val="21"/>
          <w:szCs w:val="21"/>
          <w:highlight w:val="none"/>
          <w:lang w:val="en-US" w:eastAsia="zh-CN" w:bidi="ar-SA"/>
        </w:rPr>
      </w:pPr>
      <w:r>
        <w:rPr>
          <w:rFonts w:hint="eastAsia" w:ascii="宋体" w:hAnsi="宋体" w:eastAsia="宋体" w:cs="宋体"/>
          <w:bCs w:val="0"/>
          <w:color w:val="auto"/>
          <w:spacing w:val="0"/>
          <w:kern w:val="2"/>
          <w:sz w:val="21"/>
          <w:szCs w:val="21"/>
          <w:highlight w:val="none"/>
          <w:lang w:val="en-US" w:eastAsia="zh-CN" w:bidi="ar-SA"/>
        </w:rPr>
        <w:t>6.1邀请全部通过资格预审的供应商参加投标。</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Cs w:val="0"/>
          <w:color w:val="auto"/>
          <w:spacing w:val="0"/>
          <w:kern w:val="2"/>
          <w:sz w:val="21"/>
          <w:szCs w:val="21"/>
          <w:highlight w:val="none"/>
          <w:lang w:val="en-US" w:eastAsia="zh-CN" w:bidi="ar-SA"/>
        </w:rPr>
      </w:pPr>
      <w:r>
        <w:rPr>
          <w:rFonts w:hint="eastAsia" w:ascii="宋体" w:hAnsi="宋体" w:eastAsia="宋体" w:cs="宋体"/>
          <w:bCs w:val="0"/>
          <w:color w:val="auto"/>
          <w:spacing w:val="0"/>
          <w:kern w:val="2"/>
          <w:sz w:val="21"/>
          <w:szCs w:val="21"/>
          <w:highlight w:val="none"/>
          <w:lang w:val="en-US" w:eastAsia="zh-CN" w:bidi="ar-SA"/>
        </w:rPr>
        <w:t>6.2本项目为公开招标资格预审，项目有3 家以上（含3家）社会资本通过资格预审的，项目实施机构可以继续开展采购文件准备工作；项目通过资格预审的社会资本不足3家的，项目实施机构应当在调整资格预审公告内容后重新组织资格预审；项目经重新资格预审后合格社会资本仍不够3家的，可以依法变更采购方式。</w:t>
      </w:r>
    </w:p>
    <w:p>
      <w:pPr>
        <w:pStyle w:val="4"/>
        <w:spacing w:before="0" w:after="0" w:line="400" w:lineRule="exact"/>
        <w:ind w:firstLine="422" w:firstLineChars="200"/>
        <w:rPr>
          <w:rFonts w:hint="eastAsia" w:ascii="宋体" w:hAnsi="宋体" w:cs="宋体"/>
          <w:color w:val="auto"/>
          <w:sz w:val="21"/>
          <w:szCs w:val="21"/>
          <w:highlight w:val="none"/>
        </w:rPr>
      </w:pPr>
      <w:bookmarkStart w:id="39" w:name="_Toc3051"/>
      <w:r>
        <w:rPr>
          <w:rFonts w:hint="eastAsia" w:ascii="宋体" w:hAnsi="宋体" w:cs="宋体"/>
          <w:color w:val="auto"/>
          <w:sz w:val="21"/>
          <w:szCs w:val="21"/>
          <w:highlight w:val="none"/>
        </w:rPr>
        <w:t>七、申请文件提交</w:t>
      </w:r>
      <w:bookmarkEnd w:id="39"/>
    </w:p>
    <w:p>
      <w:pPr>
        <w:pStyle w:val="2"/>
        <w:ind w:firstLine="420" w:firstLineChars="200"/>
        <w:rPr>
          <w:rFonts w:hint="eastAsia" w:ascii="宋体" w:hAnsi="宋体" w:cs="宋体"/>
          <w:bCs w:val="0"/>
          <w:color w:val="auto"/>
          <w:spacing w:val="0"/>
          <w:sz w:val="21"/>
          <w:szCs w:val="21"/>
          <w:highlight w:val="none"/>
        </w:rPr>
      </w:pPr>
      <w:r>
        <w:rPr>
          <w:rFonts w:hint="eastAsia" w:ascii="宋体" w:hAnsi="宋体" w:cs="宋体"/>
          <w:bCs w:val="0"/>
          <w:color w:val="auto"/>
          <w:spacing w:val="0"/>
          <w:sz w:val="21"/>
          <w:szCs w:val="21"/>
          <w:highlight w:val="none"/>
        </w:rPr>
        <w:t>应在202</w:t>
      </w:r>
      <w:r>
        <w:rPr>
          <w:rFonts w:hint="eastAsia" w:ascii="宋体" w:hAnsi="宋体" w:cs="宋体"/>
          <w:bCs w:val="0"/>
          <w:color w:val="auto"/>
          <w:spacing w:val="0"/>
          <w:sz w:val="21"/>
          <w:szCs w:val="21"/>
          <w:highlight w:val="none"/>
          <w:lang w:val="en-US" w:eastAsia="zh-CN"/>
        </w:rPr>
        <w:t>1</w:t>
      </w:r>
      <w:r>
        <w:rPr>
          <w:rFonts w:hint="eastAsia" w:ascii="宋体" w:hAnsi="宋体" w:cs="宋体"/>
          <w:bCs w:val="0"/>
          <w:color w:val="auto"/>
          <w:spacing w:val="0"/>
          <w:sz w:val="21"/>
          <w:szCs w:val="21"/>
          <w:highlight w:val="none"/>
        </w:rPr>
        <w:t>年</w:t>
      </w:r>
      <w:r>
        <w:rPr>
          <w:rFonts w:hint="eastAsia" w:ascii="宋体" w:hAnsi="宋体" w:cs="宋体"/>
          <w:bCs w:val="0"/>
          <w:color w:val="auto"/>
          <w:spacing w:val="0"/>
          <w:sz w:val="21"/>
          <w:szCs w:val="21"/>
          <w:highlight w:val="none"/>
          <w:lang w:val="en-US" w:eastAsia="zh-CN"/>
        </w:rPr>
        <w:t>3</w:t>
      </w:r>
      <w:r>
        <w:rPr>
          <w:rFonts w:hint="eastAsia" w:ascii="宋体" w:hAnsi="宋体" w:cs="宋体"/>
          <w:bCs w:val="0"/>
          <w:color w:val="auto"/>
          <w:spacing w:val="0"/>
          <w:sz w:val="21"/>
          <w:szCs w:val="21"/>
          <w:highlight w:val="none"/>
        </w:rPr>
        <w:t>月</w:t>
      </w:r>
      <w:r>
        <w:rPr>
          <w:rFonts w:hint="eastAsia" w:ascii="宋体" w:hAnsi="宋体" w:cs="宋体"/>
          <w:bCs w:val="0"/>
          <w:color w:val="auto"/>
          <w:spacing w:val="0"/>
          <w:sz w:val="21"/>
          <w:szCs w:val="21"/>
          <w:highlight w:val="none"/>
          <w:lang w:val="en-US" w:eastAsia="zh-CN"/>
        </w:rPr>
        <w:t>9</w:t>
      </w:r>
      <w:r>
        <w:rPr>
          <w:rFonts w:hint="eastAsia" w:ascii="宋体" w:hAnsi="宋体" w:cs="宋体"/>
          <w:bCs w:val="0"/>
          <w:color w:val="auto"/>
          <w:spacing w:val="0"/>
          <w:sz w:val="21"/>
          <w:szCs w:val="21"/>
          <w:highlight w:val="none"/>
        </w:rPr>
        <w:t>日</w:t>
      </w:r>
      <w:r>
        <w:rPr>
          <w:rFonts w:hint="eastAsia" w:ascii="宋体" w:hAnsi="宋体" w:cs="宋体"/>
          <w:bCs w:val="0"/>
          <w:color w:val="auto"/>
          <w:spacing w:val="0"/>
          <w:sz w:val="21"/>
          <w:szCs w:val="21"/>
          <w:highlight w:val="none"/>
          <w:lang w:val="en-US" w:eastAsia="zh-CN"/>
        </w:rPr>
        <w:t>9</w:t>
      </w:r>
      <w:r>
        <w:rPr>
          <w:rFonts w:hint="eastAsia" w:ascii="宋体" w:hAnsi="宋体" w:cs="宋体"/>
          <w:bCs w:val="0"/>
          <w:color w:val="auto"/>
          <w:spacing w:val="0"/>
          <w:sz w:val="21"/>
          <w:szCs w:val="21"/>
          <w:highlight w:val="none"/>
        </w:rPr>
        <w:t>时</w:t>
      </w:r>
      <w:r>
        <w:rPr>
          <w:rFonts w:hint="eastAsia" w:ascii="宋体" w:hAnsi="宋体" w:cs="宋体"/>
          <w:bCs w:val="0"/>
          <w:color w:val="auto"/>
          <w:spacing w:val="0"/>
          <w:sz w:val="21"/>
          <w:szCs w:val="21"/>
          <w:highlight w:val="none"/>
          <w:lang w:val="en-US" w:eastAsia="zh-CN"/>
        </w:rPr>
        <w:t>30</w:t>
      </w:r>
      <w:r>
        <w:rPr>
          <w:rFonts w:hint="eastAsia" w:ascii="宋体" w:hAnsi="宋体" w:cs="宋体"/>
          <w:bCs w:val="0"/>
          <w:color w:val="auto"/>
          <w:spacing w:val="0"/>
          <w:sz w:val="21"/>
          <w:szCs w:val="21"/>
          <w:highlight w:val="none"/>
        </w:rPr>
        <w:t>分（北京时间）前，将申请文件提交至南宁市良庆区玉洞大道33号（市青少年活动中心旁）南宁市公共资源交易中心开标厅（具体详见9楼电子显示屏场地安排）。</w:t>
      </w:r>
    </w:p>
    <w:p>
      <w:pPr>
        <w:pStyle w:val="4"/>
        <w:spacing w:before="0" w:after="0" w:line="400" w:lineRule="exact"/>
        <w:ind w:firstLine="422" w:firstLineChars="200"/>
        <w:rPr>
          <w:rFonts w:hint="eastAsia" w:ascii="宋体" w:hAnsi="宋体" w:cs="宋体"/>
          <w:color w:val="auto"/>
          <w:sz w:val="21"/>
          <w:szCs w:val="21"/>
          <w:highlight w:val="none"/>
        </w:rPr>
      </w:pPr>
      <w:bookmarkStart w:id="40" w:name="_Toc25899"/>
      <w:r>
        <w:rPr>
          <w:rFonts w:hint="eastAsia" w:ascii="宋体" w:hAnsi="宋体" w:cs="宋体"/>
          <w:color w:val="auto"/>
          <w:sz w:val="21"/>
          <w:szCs w:val="21"/>
          <w:highlight w:val="none"/>
        </w:rPr>
        <w:t>八、资格预审日期</w:t>
      </w:r>
      <w:bookmarkEnd w:id="40"/>
    </w:p>
    <w:p>
      <w:pPr>
        <w:pStyle w:val="2"/>
        <w:ind w:firstLine="420" w:firstLineChars="200"/>
        <w:rPr>
          <w:rFonts w:ascii="宋体" w:hAnsi="宋体" w:cs="宋体"/>
          <w:bCs w:val="0"/>
          <w:color w:val="auto"/>
          <w:spacing w:val="0"/>
          <w:sz w:val="21"/>
          <w:szCs w:val="21"/>
          <w:highlight w:val="none"/>
        </w:rPr>
      </w:pPr>
      <w:r>
        <w:rPr>
          <w:rFonts w:hint="eastAsia" w:ascii="宋体" w:hAnsi="宋体" w:cs="宋体"/>
          <w:bCs w:val="0"/>
          <w:color w:val="auto"/>
          <w:spacing w:val="0"/>
          <w:sz w:val="21"/>
          <w:szCs w:val="21"/>
          <w:highlight w:val="none"/>
        </w:rPr>
        <w:t>资格预审日期为申请文件提交截止时间至202</w:t>
      </w:r>
      <w:r>
        <w:rPr>
          <w:rFonts w:hint="eastAsia" w:ascii="宋体" w:hAnsi="宋体" w:cs="宋体"/>
          <w:bCs w:val="0"/>
          <w:color w:val="auto"/>
          <w:spacing w:val="0"/>
          <w:sz w:val="21"/>
          <w:szCs w:val="21"/>
          <w:highlight w:val="none"/>
          <w:lang w:val="en-US" w:eastAsia="zh-CN"/>
        </w:rPr>
        <w:t>1</w:t>
      </w:r>
      <w:r>
        <w:rPr>
          <w:rFonts w:hint="eastAsia" w:ascii="宋体" w:hAnsi="宋体" w:cs="宋体"/>
          <w:bCs w:val="0"/>
          <w:color w:val="auto"/>
          <w:spacing w:val="0"/>
          <w:sz w:val="21"/>
          <w:szCs w:val="21"/>
          <w:highlight w:val="none"/>
        </w:rPr>
        <w:t>年</w:t>
      </w:r>
      <w:r>
        <w:rPr>
          <w:rFonts w:hint="eastAsia" w:ascii="宋体" w:hAnsi="宋体" w:cs="宋体"/>
          <w:bCs w:val="0"/>
          <w:color w:val="auto"/>
          <w:spacing w:val="0"/>
          <w:sz w:val="21"/>
          <w:szCs w:val="21"/>
          <w:highlight w:val="none"/>
          <w:lang w:val="en-US" w:eastAsia="zh-CN"/>
        </w:rPr>
        <w:t>3</w:t>
      </w:r>
      <w:r>
        <w:rPr>
          <w:rFonts w:hint="eastAsia" w:ascii="宋体" w:hAnsi="宋体" w:cs="宋体"/>
          <w:bCs w:val="0"/>
          <w:color w:val="auto"/>
          <w:spacing w:val="0"/>
          <w:sz w:val="21"/>
          <w:szCs w:val="21"/>
          <w:highlight w:val="none"/>
        </w:rPr>
        <w:t>月</w:t>
      </w:r>
      <w:r>
        <w:rPr>
          <w:rFonts w:hint="eastAsia" w:ascii="宋体" w:hAnsi="宋体" w:cs="宋体"/>
          <w:bCs w:val="0"/>
          <w:color w:val="auto"/>
          <w:spacing w:val="0"/>
          <w:sz w:val="21"/>
          <w:szCs w:val="21"/>
          <w:highlight w:val="none"/>
          <w:lang w:val="en-US" w:eastAsia="zh-CN"/>
        </w:rPr>
        <w:t>9</w:t>
      </w:r>
      <w:r>
        <w:rPr>
          <w:rFonts w:hint="eastAsia" w:ascii="宋体" w:hAnsi="宋体" w:cs="宋体"/>
          <w:bCs w:val="0"/>
          <w:color w:val="auto"/>
          <w:spacing w:val="0"/>
          <w:sz w:val="21"/>
          <w:szCs w:val="21"/>
          <w:highlight w:val="none"/>
        </w:rPr>
        <w:t>日</w:t>
      </w:r>
      <w:r>
        <w:rPr>
          <w:rFonts w:hint="eastAsia" w:ascii="宋体" w:hAnsi="宋体" w:cs="宋体"/>
          <w:bCs w:val="0"/>
          <w:color w:val="auto"/>
          <w:spacing w:val="0"/>
          <w:sz w:val="21"/>
          <w:szCs w:val="21"/>
          <w:highlight w:val="none"/>
          <w:lang w:val="en-US" w:eastAsia="zh-CN"/>
        </w:rPr>
        <w:t>前</w:t>
      </w:r>
      <w:r>
        <w:rPr>
          <w:rFonts w:hint="eastAsia" w:ascii="宋体" w:hAnsi="宋体" w:cs="宋体"/>
          <w:bCs w:val="0"/>
          <w:color w:val="auto"/>
          <w:spacing w:val="0"/>
          <w:sz w:val="21"/>
          <w:szCs w:val="21"/>
          <w:highlight w:val="none"/>
        </w:rPr>
        <w:t>。</w:t>
      </w:r>
    </w:p>
    <w:p>
      <w:pPr>
        <w:pStyle w:val="4"/>
        <w:spacing w:before="0" w:after="0" w:line="400" w:lineRule="exact"/>
        <w:ind w:firstLine="422" w:firstLineChars="200"/>
        <w:rPr>
          <w:rFonts w:hint="eastAsia" w:ascii="宋体" w:hAnsi="宋体" w:cs="宋体"/>
          <w:color w:val="auto"/>
          <w:sz w:val="21"/>
          <w:szCs w:val="21"/>
          <w:highlight w:val="none"/>
        </w:rPr>
      </w:pPr>
      <w:bookmarkStart w:id="41" w:name="_Toc10469"/>
      <w:r>
        <w:rPr>
          <w:rFonts w:hint="eastAsia" w:ascii="宋体" w:hAnsi="宋体" w:cs="宋体"/>
          <w:color w:val="auto"/>
          <w:sz w:val="21"/>
          <w:szCs w:val="21"/>
          <w:highlight w:val="none"/>
        </w:rPr>
        <w:t>九、公告期限</w:t>
      </w:r>
      <w:bookmarkEnd w:id="41"/>
    </w:p>
    <w:p>
      <w:pPr>
        <w:pStyle w:val="2"/>
        <w:ind w:firstLine="420" w:firstLineChars="200"/>
        <w:rPr>
          <w:rFonts w:hint="eastAsia" w:ascii="宋体" w:hAnsi="宋体" w:cs="宋体"/>
          <w:bCs w:val="0"/>
          <w:color w:val="auto"/>
          <w:spacing w:val="0"/>
          <w:sz w:val="21"/>
          <w:szCs w:val="21"/>
          <w:highlight w:val="none"/>
        </w:rPr>
      </w:pPr>
      <w:r>
        <w:rPr>
          <w:rFonts w:hint="eastAsia" w:ascii="宋体" w:hAnsi="宋体" w:cs="宋体"/>
          <w:bCs w:val="0"/>
          <w:color w:val="auto"/>
          <w:spacing w:val="0"/>
          <w:sz w:val="21"/>
          <w:szCs w:val="21"/>
          <w:highlight w:val="none"/>
          <w:lang w:eastAsia="zh-CN"/>
        </w:rPr>
        <w:t>资格预审文件及资格预审公告期限为</w:t>
      </w:r>
      <w:r>
        <w:rPr>
          <w:rFonts w:hint="eastAsia" w:ascii="宋体" w:hAnsi="宋体" w:cs="宋体"/>
          <w:bCs w:val="0"/>
          <w:color w:val="auto"/>
          <w:spacing w:val="0"/>
          <w:sz w:val="21"/>
          <w:szCs w:val="21"/>
          <w:highlight w:val="none"/>
        </w:rPr>
        <w:t>本公告发布之日起5个工作日。</w:t>
      </w:r>
    </w:p>
    <w:p>
      <w:pPr>
        <w:pStyle w:val="4"/>
        <w:spacing w:before="0" w:after="0" w:line="400" w:lineRule="exact"/>
        <w:ind w:firstLine="422" w:firstLineChars="200"/>
        <w:rPr>
          <w:rFonts w:hint="eastAsia" w:ascii="宋体" w:hAnsi="宋体" w:cs="宋体"/>
          <w:color w:val="auto"/>
          <w:sz w:val="21"/>
          <w:szCs w:val="21"/>
          <w:highlight w:val="none"/>
        </w:rPr>
      </w:pPr>
      <w:bookmarkStart w:id="42" w:name="_Toc35393784"/>
      <w:bookmarkStart w:id="43" w:name="_Toc35393615"/>
      <w:bookmarkStart w:id="44" w:name="_Toc2296"/>
      <w:r>
        <w:rPr>
          <w:rFonts w:hint="eastAsia" w:ascii="宋体" w:hAnsi="宋体" w:cs="宋体"/>
          <w:color w:val="auto"/>
          <w:sz w:val="21"/>
          <w:szCs w:val="21"/>
          <w:highlight w:val="none"/>
        </w:rPr>
        <w:t>十、其他补充事宜</w:t>
      </w:r>
      <w:bookmarkEnd w:id="42"/>
      <w:bookmarkEnd w:id="43"/>
      <w:bookmarkEnd w:id="44"/>
    </w:p>
    <w:p>
      <w:pPr>
        <w:spacing w:line="400" w:lineRule="exact"/>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1.投标保证金：根据《南宁市财政局关于推进政府采购“放管服”工作和深化改革有关内容的通知》（南财采[2019]27号）规定，本项目不需要缴纳投标保证金。</w:t>
      </w:r>
    </w:p>
    <w:p>
      <w:pPr>
        <w:spacing w:line="400" w:lineRule="exact"/>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2.资格预审申请文件的有关要求：</w:t>
      </w:r>
    </w:p>
    <w:p>
      <w:pPr>
        <w:spacing w:line="400" w:lineRule="exact"/>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为做好新型冠状病毒肺炎疫情防控工作，根据南宁市财政局《关于做好疫情防控期间政府采购工作有关事项的通知》（南财采〔2020〕12号）要求，疫情防控期间，按照“不见面、少接触”的原则，申请人不参加现场开标活动。本项目的资格预审申请文件通过邮寄快递的方式递交，接收邮寄快递包裹的时间为工作日上午</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:00～12:00，下午1</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:00～1</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:00，申请人应对自己的资格预审申请文件的快递包封和密封性负责，如送达的快递包裹出现破损导致资格预审申请文件密封性包封破损的，后果由申请人自行承担。</w:t>
      </w:r>
    </w:p>
    <w:p>
      <w:pPr>
        <w:spacing w:line="400" w:lineRule="exact"/>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（1）资格预审申请文件必须在投标截止时间前送达</w:t>
      </w:r>
      <w:r>
        <w:rPr>
          <w:rFonts w:hint="eastAsia" w:ascii="宋体" w:hAnsi="宋体" w:cs="宋体"/>
          <w:color w:val="auto"/>
          <w:sz w:val="21"/>
          <w:szCs w:val="21"/>
          <w:highlight w:val="none"/>
          <w:lang w:eastAsia="zh-CN"/>
        </w:rPr>
        <w:t>南宁市公共资源交易中心指定开标厅，为确保资格预审文件顺利送达南宁市公共资源交易中心，邮寄快递或投标人自送包裹送达采购代理机构时间至少为资格预审文件提交截止时间前2个小时</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项目实施机构</w:t>
      </w:r>
      <w:r>
        <w:rPr>
          <w:rFonts w:hint="eastAsia" w:ascii="宋体" w:hAnsi="宋体" w:cs="宋体"/>
          <w:color w:val="auto"/>
          <w:sz w:val="21"/>
          <w:szCs w:val="21"/>
          <w:highlight w:val="none"/>
        </w:rPr>
        <w:t>或采购代理机构工作人员签收包裹的时间即为申请人资格预审申请文件的送达时间，逾期送达的资格预审申请文件无效，后果由申请人自行承担。</w:t>
      </w:r>
    </w:p>
    <w:p>
      <w:pPr>
        <w:spacing w:line="400" w:lineRule="exact"/>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（2）申请人应充分预留资格预审申请文件邮寄、送达所需要的时间。为确保疫情防控期间邮寄包裹能及时送达，应选择邮寄运送时间有保障的快递公司寄送资格预审申请文件。</w:t>
      </w:r>
    </w:p>
    <w:p>
      <w:pPr>
        <w:spacing w:line="400" w:lineRule="exact"/>
        <w:ind w:firstLine="420"/>
        <w:jc w:val="both"/>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（3）申请人在按照资格预审文件的要求装订、密封好资格预审申请文件后，同时附上加盖单位公章的营业执照或事业单位法人证书副本复印件等相关材料</w:t>
      </w:r>
      <w:r>
        <w:rPr>
          <w:rFonts w:hint="eastAsia" w:ascii="宋体" w:hAnsi="宋体" w:cs="宋体"/>
          <w:b/>
          <w:bCs/>
          <w:color w:val="auto"/>
          <w:sz w:val="21"/>
          <w:szCs w:val="21"/>
          <w:highlight w:val="none"/>
        </w:rPr>
        <w:t>（根据南宁市财政局有关文件规定，采购代理机构开标现场需登陆开标系统并输入申请人全称、社会统一信用代码、联系电话等信息完成签到手续，请于投标截止时间前提供上述信息，逾期后果自负）</w:t>
      </w:r>
      <w:r>
        <w:rPr>
          <w:rFonts w:hint="eastAsia" w:ascii="宋体" w:hAnsi="宋体" w:cs="宋体"/>
          <w:color w:val="auto"/>
          <w:sz w:val="21"/>
          <w:szCs w:val="21"/>
          <w:highlight w:val="none"/>
        </w:rPr>
        <w:t>，应使用不透明、防水的邮寄袋（或箱）再次包裹已密封好的资格预审申请文件，并在邮寄袋（或箱）上粘牢注明项目名称、项目编号、项目开标日期、有效的电子邮箱、联系人及电话等内容的纸质表格</w:t>
      </w:r>
      <w:r>
        <w:rPr>
          <w:rFonts w:hint="eastAsia" w:ascii="宋体" w:hAnsi="宋体" w:cs="宋体"/>
          <w:color w:val="auto"/>
          <w:sz w:val="21"/>
          <w:szCs w:val="21"/>
          <w:highlight w:val="none"/>
          <w:lang w:eastAsia="zh-CN"/>
        </w:rPr>
        <w:t>。</w:t>
      </w:r>
    </w:p>
    <w:p>
      <w:pPr>
        <w:spacing w:line="400" w:lineRule="exact"/>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（4）采购代理机构在收到资格预审申请文件的邮寄包裹后，第一时间按照申请人在邮寄包裹上所预留的电子邮箱告知资格预审文件收件情况，请申请人务必确保所预留的电子邮箱的有效性，并注意查收邮件。</w:t>
      </w:r>
    </w:p>
    <w:p>
      <w:pPr>
        <w:spacing w:line="400" w:lineRule="exact"/>
        <w:ind w:firstLine="420"/>
        <w:jc w:val="both"/>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（5）资格预审申请文件邮寄</w:t>
      </w:r>
      <w:r>
        <w:rPr>
          <w:rFonts w:hint="eastAsia" w:ascii="宋体" w:hAnsi="宋体" w:cs="宋体"/>
          <w:b/>
          <w:bCs/>
          <w:color w:val="auto"/>
          <w:sz w:val="21"/>
          <w:szCs w:val="21"/>
          <w:highlight w:val="none"/>
          <w:lang w:eastAsia="zh-CN"/>
        </w:rPr>
        <w:t>或自送</w:t>
      </w:r>
      <w:r>
        <w:rPr>
          <w:rFonts w:hint="eastAsia" w:ascii="宋体" w:hAnsi="宋体" w:cs="宋体"/>
          <w:b/>
          <w:bCs/>
          <w:color w:val="auto"/>
          <w:sz w:val="21"/>
          <w:szCs w:val="21"/>
          <w:highlight w:val="none"/>
        </w:rPr>
        <w:t>地址：</w:t>
      </w:r>
      <w:r>
        <w:rPr>
          <w:rFonts w:hint="eastAsia" w:ascii="宋体" w:hAnsi="宋体" w:cs="宋体"/>
          <w:b/>
          <w:bCs/>
          <w:color w:val="auto"/>
          <w:sz w:val="21"/>
          <w:szCs w:val="21"/>
          <w:highlight w:val="none"/>
          <w:lang w:eastAsia="zh-CN"/>
        </w:rPr>
        <w:t>南宁市民族大道</w:t>
      </w:r>
      <w:r>
        <w:rPr>
          <w:rFonts w:hint="eastAsia" w:ascii="宋体" w:hAnsi="宋体" w:cs="宋体"/>
          <w:b/>
          <w:bCs/>
          <w:color w:val="auto"/>
          <w:sz w:val="21"/>
          <w:szCs w:val="21"/>
          <w:highlight w:val="none"/>
          <w:lang w:val="en-US" w:eastAsia="zh-CN"/>
        </w:rPr>
        <w:t>141号中鼎万象东方D区5楼设备部</w:t>
      </w:r>
      <w:r>
        <w:rPr>
          <w:rFonts w:hint="eastAsia" w:ascii="宋体" w:hAnsi="宋体" w:cs="宋体"/>
          <w:b/>
          <w:bCs/>
          <w:color w:val="auto"/>
          <w:sz w:val="21"/>
          <w:szCs w:val="21"/>
          <w:highlight w:val="none"/>
        </w:rPr>
        <w:t>，收件人：</w:t>
      </w:r>
      <w:r>
        <w:rPr>
          <w:rFonts w:hint="eastAsia" w:ascii="宋体" w:hAnsi="宋体" w:cs="宋体"/>
          <w:b/>
          <w:bCs/>
          <w:color w:val="auto"/>
          <w:sz w:val="21"/>
          <w:szCs w:val="21"/>
          <w:highlight w:val="none"/>
          <w:lang w:eastAsia="zh-CN"/>
        </w:rPr>
        <w:t>雷芳莉</w:t>
      </w:r>
      <w:r>
        <w:rPr>
          <w:rFonts w:hint="eastAsia" w:ascii="宋体" w:hAnsi="宋体" w:cs="宋体"/>
          <w:b/>
          <w:bCs/>
          <w:color w:val="auto"/>
          <w:sz w:val="21"/>
          <w:szCs w:val="21"/>
          <w:highlight w:val="none"/>
        </w:rPr>
        <w:t>，联系电话：0771-</w:t>
      </w:r>
      <w:r>
        <w:rPr>
          <w:rFonts w:hint="eastAsia" w:ascii="宋体" w:hAnsi="宋体" w:cs="宋体"/>
          <w:b/>
          <w:bCs/>
          <w:color w:val="auto"/>
          <w:sz w:val="21"/>
          <w:szCs w:val="21"/>
          <w:highlight w:val="none"/>
          <w:lang w:val="en-US" w:eastAsia="zh-CN"/>
        </w:rPr>
        <w:t>2023903</w:t>
      </w:r>
      <w:r>
        <w:rPr>
          <w:rFonts w:hint="eastAsia" w:ascii="宋体" w:hAnsi="宋体" w:cs="宋体"/>
          <w:b/>
          <w:bCs/>
          <w:color w:val="auto"/>
          <w:sz w:val="21"/>
          <w:szCs w:val="21"/>
          <w:highlight w:val="none"/>
        </w:rPr>
        <w:t>。</w:t>
      </w:r>
    </w:p>
    <w:p>
      <w:pPr>
        <w:spacing w:line="400" w:lineRule="exact"/>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3.关于资格预审申请文件澄清的有关要求:</w:t>
      </w:r>
    </w:p>
    <w:p>
      <w:pPr>
        <w:spacing w:line="400" w:lineRule="exact"/>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（1）为便于采购代理机构或评标委员会在项目评标期间与申请人取得联系，做好评标过程中申请人对资格预审申请文件的澄清、说明或者补正等工作，申请人务必做到：</w:t>
      </w:r>
      <w:r>
        <w:rPr>
          <w:rFonts w:hint="eastAsia" w:ascii="宋体" w:hAnsi="宋体" w:cs="宋体"/>
          <w:color w:val="auto"/>
          <w:sz w:val="21"/>
          <w:szCs w:val="21"/>
          <w:highlight w:val="none"/>
          <w:lang w:eastAsia="zh-CN"/>
        </w:rPr>
        <w:t>第四章</w:t>
      </w:r>
      <w:r>
        <w:rPr>
          <w:rFonts w:hint="eastAsia" w:ascii="宋体" w:hAnsi="宋体" w:cs="宋体"/>
          <w:color w:val="auto"/>
          <w:sz w:val="21"/>
          <w:szCs w:val="21"/>
          <w:highlight w:val="none"/>
        </w:rPr>
        <w:t>“资格预审申请文件格式”中“资格预审申请函”落款处的“电话”务必填写法定代表人或委托代理人的电话联系方式。</w:t>
      </w:r>
    </w:p>
    <w:p>
      <w:pPr>
        <w:spacing w:line="400" w:lineRule="exact"/>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2）开标当天申请人务必保持电话畅通。如果评标过程中需要申请人对资格预审申请文件作出澄清、说明或者补正的，评标委员会会通知申请人在规定的时间内通过电子邮件、传真等方式提交。申请人所提交的澄清、说明或者补正等材料必须加盖申请人的公章确认。</w:t>
      </w:r>
    </w:p>
    <w:p>
      <w:pPr>
        <w:spacing w:line="400" w:lineRule="exact"/>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3）如申请人未按上述要求提供联系方式，致使采购代理机构或评标委员会在项目评标期间无法与申请人取得联系的，或因自身原因未能保持电话畅通或未按评标委员会要求提交澄清、说明或者补正的，后果由申请人自行承担。</w:t>
      </w:r>
    </w:p>
    <w:p>
      <w:pPr>
        <w:spacing w:line="400" w:lineRule="exact"/>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4.关于开标会的有关要求：</w:t>
      </w:r>
    </w:p>
    <w:p>
      <w:pPr>
        <w:spacing w:line="400" w:lineRule="exact"/>
        <w:ind w:firstLine="42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为做好疫情防控工作，避免开标会现场人员密集，本项目开标会过程中所有需要申请人签字确认的表格，取消签字流程，申请人不参加开标会。开标会现场，由采购代理机构工作人员主持，</w:t>
      </w:r>
      <w:r>
        <w:rPr>
          <w:rFonts w:hint="eastAsia" w:ascii="宋体" w:hAnsi="宋体" w:cs="宋体"/>
          <w:color w:val="auto"/>
          <w:sz w:val="21"/>
          <w:szCs w:val="21"/>
          <w:highlight w:val="none"/>
          <w:lang w:eastAsia="zh-CN"/>
        </w:rPr>
        <w:t>项目实施机构</w:t>
      </w:r>
      <w:r>
        <w:rPr>
          <w:rFonts w:hint="eastAsia" w:ascii="宋体" w:hAnsi="宋体" w:cs="宋体"/>
          <w:color w:val="auto"/>
          <w:sz w:val="21"/>
          <w:szCs w:val="21"/>
          <w:highlight w:val="none"/>
        </w:rPr>
        <w:t>代表、监督部门代表以及南宁市公共资源交易中心工作人员进行现场全流程见证完成开标会活动。</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cs="宋体"/>
          <w:bCs w:val="0"/>
          <w:color w:val="auto"/>
          <w:spacing w:val="0"/>
          <w:kern w:val="2"/>
          <w:sz w:val="21"/>
          <w:szCs w:val="21"/>
          <w:highlight w:val="none"/>
          <w:lang w:val="en-US" w:eastAsia="zh-CN" w:bidi="ar-SA"/>
        </w:rPr>
      </w:pPr>
      <w:r>
        <w:rPr>
          <w:rFonts w:hint="eastAsia" w:ascii="宋体" w:hAnsi="宋体" w:cs="宋体"/>
          <w:bCs w:val="0"/>
          <w:color w:val="auto"/>
          <w:spacing w:val="0"/>
          <w:kern w:val="2"/>
          <w:sz w:val="21"/>
          <w:szCs w:val="21"/>
          <w:highlight w:val="none"/>
          <w:lang w:val="en-US" w:eastAsia="zh-CN" w:bidi="ar-SA"/>
        </w:rPr>
        <w:t>5.未注册的供应商可登录政采云平台进行注册（政采云平台-商家入驻-注册），如在操作过程中遇到问题或者需要技术支持，请致电政采云客服热线：400-881-7190。】</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cs="宋体"/>
          <w:bCs w:val="0"/>
          <w:color w:val="auto"/>
          <w:spacing w:val="0"/>
          <w:kern w:val="2"/>
          <w:sz w:val="21"/>
          <w:szCs w:val="21"/>
          <w:highlight w:val="none"/>
          <w:lang w:val="en-US" w:eastAsia="zh-CN" w:bidi="ar-SA"/>
        </w:rPr>
      </w:pPr>
      <w:r>
        <w:rPr>
          <w:rFonts w:hint="eastAsia" w:ascii="宋体" w:hAnsi="宋体" w:cs="宋体"/>
          <w:bCs w:val="0"/>
          <w:color w:val="auto"/>
          <w:spacing w:val="0"/>
          <w:kern w:val="2"/>
          <w:sz w:val="21"/>
          <w:szCs w:val="21"/>
          <w:highlight w:val="none"/>
          <w:lang w:val="en-US" w:eastAsia="zh-CN" w:bidi="ar-SA"/>
        </w:rPr>
        <w:t>6.本次资格预审公告在以下媒体发布：中国政府采购网：http://www.ccgp.gov.cn/、广西壮族自治区政府采购网：http://</w:t>
      </w:r>
      <w:r>
        <w:rPr>
          <w:rFonts w:hint="eastAsia" w:ascii="宋体" w:hAnsi="宋体" w:cs="宋体"/>
          <w:bCs w:val="0"/>
          <w:color w:val="auto"/>
          <w:spacing w:val="0"/>
          <w:kern w:val="2"/>
          <w:sz w:val="21"/>
          <w:szCs w:val="21"/>
          <w:highlight w:val="none"/>
          <w:lang w:val="en-US" w:eastAsia="zh-CN" w:bidi="ar-SA"/>
        </w:rPr>
        <w:fldChar w:fldCharType="begin"/>
      </w:r>
      <w:r>
        <w:rPr>
          <w:rFonts w:hint="eastAsia" w:ascii="宋体" w:hAnsi="宋体" w:cs="宋体"/>
          <w:bCs w:val="0"/>
          <w:color w:val="auto"/>
          <w:spacing w:val="0"/>
          <w:kern w:val="2"/>
          <w:sz w:val="21"/>
          <w:szCs w:val="21"/>
          <w:highlight w:val="none"/>
          <w:lang w:val="en-US" w:eastAsia="zh-CN" w:bidi="ar-SA"/>
        </w:rPr>
        <w:instrText xml:space="preserve">HYPERLINK "file:///G:\\邕江综合整治项目A标段材料\\成果文件\\AppData\\Desktop\\30406F\\www.gxcz.gov.cn"</w:instrText>
      </w:r>
      <w:r>
        <w:rPr>
          <w:rFonts w:hint="eastAsia" w:ascii="宋体" w:hAnsi="宋体" w:cs="宋体"/>
          <w:bCs w:val="0"/>
          <w:color w:val="auto"/>
          <w:spacing w:val="0"/>
          <w:kern w:val="2"/>
          <w:sz w:val="21"/>
          <w:szCs w:val="21"/>
          <w:highlight w:val="none"/>
          <w:lang w:val="en-US" w:eastAsia="zh-CN" w:bidi="ar-SA"/>
        </w:rPr>
        <w:fldChar w:fldCharType="separate"/>
      </w:r>
      <w:r>
        <w:rPr>
          <w:rFonts w:hint="eastAsia" w:ascii="宋体" w:hAnsi="宋体" w:cs="宋体"/>
          <w:bCs w:val="0"/>
          <w:color w:val="auto"/>
          <w:spacing w:val="0"/>
          <w:kern w:val="2"/>
          <w:sz w:val="21"/>
          <w:szCs w:val="21"/>
          <w:highlight w:val="none"/>
          <w:lang w:val="en-US" w:eastAsia="zh-CN" w:bidi="ar-SA"/>
        </w:rPr>
        <w:t>zfcg.gxzf.gov.cn</w:t>
      </w:r>
      <w:r>
        <w:rPr>
          <w:rFonts w:hint="eastAsia" w:ascii="宋体" w:hAnsi="宋体" w:cs="宋体"/>
          <w:bCs w:val="0"/>
          <w:color w:val="auto"/>
          <w:spacing w:val="0"/>
          <w:kern w:val="2"/>
          <w:sz w:val="21"/>
          <w:szCs w:val="21"/>
          <w:highlight w:val="none"/>
          <w:lang w:val="en-US" w:eastAsia="zh-CN" w:bidi="ar-SA"/>
        </w:rPr>
        <w:fldChar w:fldCharType="end"/>
      </w:r>
      <w:r>
        <w:rPr>
          <w:rFonts w:hint="eastAsia" w:ascii="宋体" w:hAnsi="宋体" w:cs="宋体"/>
          <w:bCs w:val="0"/>
          <w:color w:val="auto"/>
          <w:spacing w:val="0"/>
          <w:kern w:val="2"/>
          <w:sz w:val="21"/>
          <w:szCs w:val="21"/>
          <w:highlight w:val="none"/>
          <w:lang w:val="en-US" w:eastAsia="zh-CN" w:bidi="ar-SA"/>
        </w:rPr>
        <w:t> 、南宁市公共资源交易中心网：</w:t>
      </w:r>
      <w:r>
        <w:rPr>
          <w:rFonts w:hint="eastAsia" w:ascii="宋体" w:hAnsi="宋体" w:cs="宋体"/>
          <w:bCs w:val="0"/>
          <w:color w:val="auto"/>
          <w:spacing w:val="0"/>
          <w:kern w:val="2"/>
          <w:sz w:val="21"/>
          <w:szCs w:val="21"/>
          <w:highlight w:val="none"/>
          <w:lang w:val="en-US" w:eastAsia="zh-CN" w:bidi="ar-SA"/>
        </w:rPr>
        <w:fldChar w:fldCharType="begin"/>
      </w:r>
      <w:r>
        <w:rPr>
          <w:rFonts w:hint="eastAsia" w:ascii="宋体" w:hAnsi="宋体" w:cs="宋体"/>
          <w:bCs w:val="0"/>
          <w:color w:val="auto"/>
          <w:spacing w:val="0"/>
          <w:kern w:val="2"/>
          <w:sz w:val="21"/>
          <w:szCs w:val="21"/>
          <w:highlight w:val="none"/>
          <w:lang w:val="en-US" w:eastAsia="zh-CN" w:bidi="ar-SA"/>
        </w:rPr>
        <w:instrText xml:space="preserve"> HYPERLINK "https://www.nnggzy.org.cn/gxnnzbw/" </w:instrText>
      </w:r>
      <w:r>
        <w:rPr>
          <w:rFonts w:hint="eastAsia" w:ascii="宋体" w:hAnsi="宋体" w:cs="宋体"/>
          <w:bCs w:val="0"/>
          <w:color w:val="auto"/>
          <w:spacing w:val="0"/>
          <w:kern w:val="2"/>
          <w:sz w:val="21"/>
          <w:szCs w:val="21"/>
          <w:highlight w:val="none"/>
          <w:lang w:val="en-US" w:eastAsia="zh-CN" w:bidi="ar-SA"/>
        </w:rPr>
        <w:fldChar w:fldCharType="separate"/>
      </w:r>
      <w:r>
        <w:rPr>
          <w:rFonts w:hint="eastAsia" w:ascii="宋体" w:hAnsi="宋体" w:cs="宋体"/>
          <w:bCs w:val="0"/>
          <w:color w:val="auto"/>
          <w:spacing w:val="0"/>
          <w:kern w:val="2"/>
          <w:sz w:val="21"/>
          <w:szCs w:val="21"/>
          <w:highlight w:val="none"/>
          <w:lang w:val="en-US" w:eastAsia="zh-CN" w:bidi="ar-SA"/>
        </w:rPr>
        <w:t>https://www.nnggzy.org.cn/gxnnzbw/</w:t>
      </w:r>
      <w:r>
        <w:rPr>
          <w:rFonts w:hint="eastAsia" w:ascii="宋体" w:hAnsi="宋体" w:cs="宋体"/>
          <w:bCs w:val="0"/>
          <w:color w:val="auto"/>
          <w:spacing w:val="0"/>
          <w:kern w:val="2"/>
          <w:sz w:val="21"/>
          <w:szCs w:val="21"/>
          <w:highlight w:val="none"/>
          <w:lang w:val="en-US" w:eastAsia="zh-CN" w:bidi="ar-SA"/>
        </w:rPr>
        <w:fldChar w:fldCharType="end"/>
      </w:r>
      <w:r>
        <w:rPr>
          <w:rFonts w:hint="eastAsia" w:ascii="宋体" w:hAnsi="宋体" w:cs="宋体"/>
          <w:bCs w:val="0"/>
          <w:color w:val="auto"/>
          <w:spacing w:val="0"/>
          <w:kern w:val="2"/>
          <w:sz w:val="21"/>
          <w:szCs w:val="21"/>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cs="宋体"/>
          <w:bCs w:val="0"/>
          <w:color w:val="auto"/>
          <w:spacing w:val="0"/>
          <w:kern w:val="2"/>
          <w:sz w:val="21"/>
          <w:szCs w:val="21"/>
          <w:highlight w:val="none"/>
          <w:lang w:val="en-US" w:eastAsia="zh-CN" w:bidi="ar-SA"/>
        </w:rPr>
      </w:pPr>
      <w:r>
        <w:rPr>
          <w:rFonts w:hint="eastAsia" w:ascii="宋体" w:hAnsi="宋体" w:cs="宋体"/>
          <w:bCs w:val="0"/>
          <w:color w:val="auto"/>
          <w:spacing w:val="0"/>
          <w:kern w:val="2"/>
          <w:sz w:val="21"/>
          <w:szCs w:val="21"/>
          <w:highlight w:val="none"/>
          <w:lang w:val="en-US" w:eastAsia="zh-CN" w:bidi="ar-SA"/>
        </w:rPr>
        <w:t>7.本项目需要落实的政府采购政策：《政府采购促进中小企业发展管理办法》财库〔2020〕46号(财库[2011]181号)、《关于政府采购支持监狱企业发展有关问题的通知》（财库[2014]68号）、《关于我区政府采购支持监狱企业发展有关问题的通知》（桂财采[2015]24号）、《三部门联合发布关于促进残疾人就业政府采购政策的通知》（财库[2017]141号）、强制采购、优先采购节能产品、环境标志产品、《招标采购促进广西工业产品产销对接实施细则》（桂政办发[2015]78号）等政府采购相关政策。</w:t>
      </w:r>
    </w:p>
    <w:p>
      <w:pPr>
        <w:pStyle w:val="4"/>
        <w:spacing w:before="0" w:after="0" w:line="400" w:lineRule="exact"/>
        <w:rPr>
          <w:rFonts w:hint="eastAsia" w:ascii="宋体" w:hAnsi="宋体" w:cs="宋体"/>
          <w:color w:val="auto"/>
          <w:sz w:val="21"/>
          <w:szCs w:val="21"/>
          <w:highlight w:val="none"/>
        </w:rPr>
      </w:pPr>
      <w:bookmarkStart w:id="45" w:name="_Toc35393616"/>
      <w:bookmarkStart w:id="46" w:name="_Toc28358997"/>
      <w:bookmarkStart w:id="47" w:name="_Toc28359074"/>
      <w:bookmarkStart w:id="48" w:name="_Toc23021"/>
      <w:bookmarkStart w:id="49" w:name="_Toc35393785"/>
      <w:bookmarkStart w:id="50" w:name="_GoBack"/>
      <w:r>
        <w:rPr>
          <w:rFonts w:hint="eastAsia" w:ascii="宋体" w:hAnsi="宋体" w:cs="宋体"/>
          <w:color w:val="auto"/>
          <w:sz w:val="21"/>
          <w:szCs w:val="21"/>
          <w:highlight w:val="none"/>
        </w:rPr>
        <w:t>十一、凡对本次资格预审提出询问，请按以下方式联系</w:t>
      </w:r>
      <w:bookmarkEnd w:id="45"/>
      <w:bookmarkEnd w:id="46"/>
      <w:bookmarkEnd w:id="47"/>
      <w:bookmarkEnd w:id="48"/>
      <w:bookmarkEnd w:id="49"/>
    </w:p>
    <w:bookmarkEnd w:id="50"/>
    <w:p>
      <w:pPr>
        <w:spacing w:line="4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1.采购人信息</w:t>
      </w:r>
    </w:p>
    <w:p>
      <w:pPr>
        <w:spacing w:line="4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名称：</w:t>
      </w:r>
      <w:r>
        <w:rPr>
          <w:rFonts w:hint="eastAsia" w:ascii="宋体" w:hAnsi="宋体" w:cs="宋体"/>
          <w:color w:val="auto"/>
          <w:sz w:val="21"/>
          <w:szCs w:val="21"/>
          <w:highlight w:val="none"/>
          <w:lang w:eastAsia="zh-CN"/>
        </w:rPr>
        <w:t>南宁市青秀区卫生健康局</w:t>
      </w:r>
    </w:p>
    <w:p>
      <w:pPr>
        <w:spacing w:line="4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r>
        <w:rPr>
          <w:rFonts w:hint="eastAsia" w:ascii="宋体" w:hAnsi="宋体" w:cs="宋体"/>
          <w:color w:val="auto"/>
          <w:sz w:val="21"/>
          <w:szCs w:val="21"/>
          <w:highlight w:val="none"/>
          <w:lang w:eastAsia="zh-CN"/>
        </w:rPr>
        <w:t>南宁市青秀区悦宾路1号</w:t>
      </w:r>
    </w:p>
    <w:p>
      <w:pPr>
        <w:spacing w:line="4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联系方式：</w:t>
      </w:r>
      <w:r>
        <w:rPr>
          <w:rFonts w:hint="eastAsia" w:ascii="宋体" w:hAnsi="宋体" w:cs="宋体"/>
          <w:color w:val="auto"/>
          <w:sz w:val="21"/>
          <w:szCs w:val="21"/>
          <w:highlight w:val="none"/>
          <w:lang w:eastAsia="zh-CN"/>
        </w:rPr>
        <w:t>谭主任</w:t>
      </w:r>
      <w:r>
        <w:rPr>
          <w:rFonts w:hint="eastAsia" w:ascii="宋体" w:hAnsi="宋体" w:cs="宋体"/>
          <w:color w:val="auto"/>
          <w:sz w:val="21"/>
          <w:szCs w:val="21"/>
          <w:highlight w:val="none"/>
        </w:rPr>
        <w:t>，联系电话：</w:t>
      </w:r>
      <w:r>
        <w:rPr>
          <w:rFonts w:hint="eastAsia" w:ascii="宋体" w:hAnsi="宋体" w:cs="宋体"/>
          <w:color w:val="auto"/>
          <w:sz w:val="21"/>
          <w:szCs w:val="21"/>
          <w:highlight w:val="none"/>
          <w:lang w:eastAsia="zh-CN"/>
        </w:rPr>
        <w:t>0771-5826593</w:t>
      </w:r>
      <w:r>
        <w:rPr>
          <w:rFonts w:hint="eastAsia" w:ascii="宋体" w:hAnsi="宋体" w:cs="宋体"/>
          <w:color w:val="auto"/>
          <w:sz w:val="21"/>
          <w:szCs w:val="21"/>
          <w:highlight w:val="none"/>
        </w:rPr>
        <w:t xml:space="preserve">　　　　　　　　　　　 　　　　　　　　　　　 </w:t>
      </w:r>
    </w:p>
    <w:p>
      <w:pPr>
        <w:spacing w:line="4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2.采购代理机构信息</w:t>
      </w:r>
    </w:p>
    <w:p>
      <w:pPr>
        <w:spacing w:line="4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名称：广西科文招标有限公司</w:t>
      </w:r>
    </w:p>
    <w:p>
      <w:pPr>
        <w:spacing w:line="4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地址：广西南宁市民族大道141号中鼎万象东方D区五层</w:t>
      </w:r>
    </w:p>
    <w:p>
      <w:pPr>
        <w:spacing w:line="4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联系方式：</w:t>
      </w:r>
      <w:r>
        <w:rPr>
          <w:rFonts w:hint="eastAsia" w:ascii="宋体" w:hAnsi="宋体" w:cs="宋体"/>
          <w:color w:val="auto"/>
          <w:sz w:val="21"/>
          <w:szCs w:val="21"/>
          <w:highlight w:val="none"/>
          <w:lang w:eastAsia="zh-CN"/>
        </w:rPr>
        <w:t>雷芳莉</w:t>
      </w:r>
      <w:r>
        <w:rPr>
          <w:rFonts w:hint="eastAsia" w:ascii="宋体" w:hAnsi="宋体" w:cs="宋体"/>
          <w:color w:val="auto"/>
          <w:sz w:val="21"/>
          <w:szCs w:val="21"/>
          <w:highlight w:val="none"/>
        </w:rPr>
        <w:t>，联系电话：0771-</w:t>
      </w:r>
      <w:r>
        <w:rPr>
          <w:rFonts w:hint="eastAsia" w:ascii="宋体" w:hAnsi="宋体" w:cs="宋体"/>
          <w:color w:val="auto"/>
          <w:sz w:val="21"/>
          <w:szCs w:val="21"/>
          <w:highlight w:val="none"/>
          <w:lang w:eastAsia="zh-CN"/>
        </w:rPr>
        <w:t>2023903</w:t>
      </w:r>
      <w:r>
        <w:rPr>
          <w:rFonts w:hint="eastAsia" w:ascii="宋体" w:hAnsi="宋体" w:cs="宋体"/>
          <w:color w:val="auto"/>
          <w:sz w:val="21"/>
          <w:szCs w:val="21"/>
          <w:highlight w:val="none"/>
        </w:rPr>
        <w:t>，传真：0771-2023997</w:t>
      </w:r>
    </w:p>
    <w:p>
      <w:pPr>
        <w:spacing w:line="4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3.项目联系方式</w:t>
      </w:r>
    </w:p>
    <w:p>
      <w:pPr>
        <w:spacing w:line="400" w:lineRule="exact"/>
        <w:ind w:firstLine="420" w:firstLineChars="200"/>
        <w:jc w:val="left"/>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rPr>
        <w:t>项目联系人：</w:t>
      </w:r>
      <w:r>
        <w:rPr>
          <w:rFonts w:hint="eastAsia" w:ascii="宋体" w:hAnsi="宋体" w:cs="宋体"/>
          <w:color w:val="auto"/>
          <w:sz w:val="21"/>
          <w:szCs w:val="21"/>
          <w:highlight w:val="none"/>
          <w:lang w:eastAsia="zh-CN"/>
        </w:rPr>
        <w:t>雷芳莉</w:t>
      </w:r>
    </w:p>
    <w:p>
      <w:pPr>
        <w:spacing w:line="400" w:lineRule="exact"/>
        <w:ind w:firstLine="420" w:firstLineChars="200"/>
        <w:jc w:val="left"/>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rPr>
        <w:t>电话：0771-</w:t>
      </w:r>
      <w:r>
        <w:rPr>
          <w:rFonts w:hint="eastAsia" w:ascii="宋体" w:hAnsi="宋体" w:cs="宋体"/>
          <w:color w:val="auto"/>
          <w:sz w:val="21"/>
          <w:szCs w:val="21"/>
          <w:highlight w:val="none"/>
          <w:lang w:eastAsia="zh-CN"/>
        </w:rPr>
        <w:t>2023903</w:t>
      </w:r>
    </w:p>
    <w:p>
      <w:pPr>
        <w:spacing w:line="400" w:lineRule="exact"/>
        <w:ind w:firstLine="420" w:firstLineChars="200"/>
        <w:jc w:val="righ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广西科文招标有限公司</w:t>
      </w:r>
    </w:p>
    <w:p>
      <w:pPr>
        <w:spacing w:line="400" w:lineRule="exact"/>
        <w:ind w:firstLine="420" w:firstLineChars="200"/>
        <w:jc w:val="right"/>
        <w:rPr>
          <w:rFonts w:ascii="仿宋" w:hAnsi="仿宋" w:eastAsia="仿宋"/>
          <w:color w:val="auto"/>
          <w:sz w:val="28"/>
          <w:szCs w:val="28"/>
          <w:highlight w:val="yellow"/>
          <w:u w:val="single"/>
        </w:rPr>
      </w:pPr>
      <w:r>
        <w:rPr>
          <w:rFonts w:hint="eastAsia" w:ascii="宋体" w:hAnsi="宋体" w:cs="宋体"/>
          <w:color w:val="auto"/>
          <w:sz w:val="21"/>
          <w:szCs w:val="21"/>
          <w:highlight w:val="none"/>
        </w:rPr>
        <w:t>202</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日</w:t>
      </w:r>
    </w:p>
    <w:bookmarkEnd w:id="0"/>
    <w:bookmarkEnd w:id="1"/>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8F5DE6"/>
    <w:multiLevelType w:val="singleLevel"/>
    <w:tmpl w:val="CE8F5DE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55C4F"/>
    <w:rsid w:val="04955C4F"/>
    <w:rsid w:val="131F08F5"/>
    <w:rsid w:val="1391701B"/>
    <w:rsid w:val="2F381DF9"/>
    <w:rsid w:val="502758B4"/>
    <w:rsid w:val="5045162E"/>
    <w:rsid w:val="54064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pPr>
    <w:rPr>
      <w:rFonts w:ascii="Calibri" w:hAnsi="Calibri"/>
      <w:bCs/>
      <w:spacing w:val="10"/>
      <w:sz w:val="24"/>
    </w:rPr>
  </w:style>
  <w:style w:type="paragraph" w:customStyle="1" w:styleId="7">
    <w:name w:val="05正文"/>
    <w:basedOn w:val="1"/>
    <w:qFormat/>
    <w:uiPriority w:val="0"/>
    <w:pPr>
      <w:widowControl w:val="0"/>
      <w:spacing w:line="560" w:lineRule="exact"/>
      <w:ind w:firstLine="200" w:firstLineChars="200"/>
      <w:jc w:val="both"/>
    </w:pPr>
    <w:rPr>
      <w:rFonts w:ascii="宋体" w:hAnsi="宋体" w:cs="Times New Roman"/>
      <w:kern w:val="2"/>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2021-02-05T03:30:00Z</dcterms:created>
  <dc:creator>NTKO</dc:creator>
  <cp:lastModifiedBy>Max</cp:lastModifiedBy>
  <dcterms:modified xsi:type="dcterms:W3CDTF">2021-02-09T03:18:41Z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