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56" w:type="dxa"/>
        <w:tblInd w:w="113" w:type="dxa"/>
        <w:tblLayout w:type="fixed"/>
        <w:tblCellMar>
          <w:top w:w="0" w:type="dxa"/>
          <w:left w:w="108" w:type="dxa"/>
          <w:bottom w:w="0" w:type="dxa"/>
          <w:right w:w="108" w:type="dxa"/>
        </w:tblCellMar>
      </w:tblPr>
      <w:tblGrid>
        <w:gridCol w:w="643"/>
        <w:gridCol w:w="1560"/>
        <w:gridCol w:w="5762"/>
        <w:gridCol w:w="747"/>
        <w:gridCol w:w="644"/>
      </w:tblGrid>
      <w:tr>
        <w:tblPrEx>
          <w:tblCellMar>
            <w:top w:w="0" w:type="dxa"/>
            <w:left w:w="108" w:type="dxa"/>
            <w:bottom w:w="0" w:type="dxa"/>
            <w:right w:w="108" w:type="dxa"/>
          </w:tblCellMar>
        </w:tblPrEx>
        <w:trPr>
          <w:trHeight w:val="285" w:hRule="atLeast"/>
        </w:trPr>
        <w:tc>
          <w:tcPr>
            <w:tcW w:w="643" w:type="dxa"/>
            <w:tcBorders>
              <w:top w:val="single" w:color="auto" w:sz="4" w:space="0"/>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60"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b/>
                <w:bCs/>
                <w:color w:val="auto"/>
                <w:szCs w:val="21"/>
                <w:highlight w:val="none"/>
              </w:rPr>
              <w:t>产品名称</w:t>
            </w:r>
          </w:p>
        </w:tc>
        <w:tc>
          <w:tcPr>
            <w:tcW w:w="5762"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技术参数、配置及其他要求</w:t>
            </w:r>
          </w:p>
        </w:tc>
        <w:tc>
          <w:tcPr>
            <w:tcW w:w="747"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数量 </w:t>
            </w:r>
          </w:p>
        </w:tc>
        <w:tc>
          <w:tcPr>
            <w:tcW w:w="644" w:type="dxa"/>
            <w:tcBorders>
              <w:top w:val="single" w:color="auto" w:sz="4" w:space="0"/>
              <w:left w:val="nil"/>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一、融媒体指挥中心系统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（1）LED显示屏系统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5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P1.8小间距LED显示屏(前维护)</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像素结构 SMD1515 三合一LED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像素间距（mm） 1.839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模组分辨率（W×H） 160x80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驱动IC PWM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接口定义 HUB75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模组尺寸（mm）</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 xml:space="preserve"> 320（W)×160（H)×14（D)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模组重量（kg）</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 xml:space="preserve"> 0.47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模组最大功耗（W） ≤14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模组供电要求 支持双模式：DC4.2~5V，双输出电压DC3.8V/2.8V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单点亮度校正 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单点色度校正 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白平衡亮度（nits） 600-700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色温（K） 2000—9300可调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视角（水平/垂直°） 160/140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发光点中心距偏差 &lt;3%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亮度/色度均匀性 ≥97%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   8000:1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最大功耗（W/m2） 273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平均功耗（W/m2） 109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供电要求   AC90~132V/ AC186~264V，频率47-63（Hz）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安全特性 GB4943/EN60950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换帧频率（Hz） 50&amp;60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驱动方式    恒流驱动，1/40扫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灰度级别 16384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刷新率（Hz） ≥3840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颜色处理位数 14bit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视频播放能力 2K高清，4K超高清画面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寿命典型值（hrs） 100,000H</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工作温/湿度范围（℃/RH） -20– 40  / 10%-65%RH（无结露）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存储温/湿度范围（℃/RH） -20– 40  / 10%-60%RH（无结露）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适用标准 CCC</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r>
      <w:tr>
        <w:tblPrEx>
          <w:tblCellMar>
            <w:top w:w="0" w:type="dxa"/>
            <w:left w:w="108" w:type="dxa"/>
            <w:bottom w:w="0" w:type="dxa"/>
            <w:right w:w="108" w:type="dxa"/>
          </w:tblCellMar>
        </w:tblPrEx>
        <w:trPr>
          <w:trHeight w:val="82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箱体(包含钢结构)</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含钢结构、5cm定制包边、含模组、电源、接收卡、压铸铝箱等。采用专用钢结构支架，拼接效果好，安装简单，美观轻巧。贴墙安装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智能配电箱</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智能控制20KW,可分步延时上电、远程设置、具有短路、过流、过压、过载、避雷、过温等保护特性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视频拼接器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信号实时处理功能，对各个输入通道采用纯硬件处理技术，采用独享带宽方式为每个输入通道分配带宽，切换过程对其他信号无影响，实现了对输入通道的实时处理功能；图像信号无损实时传输，图像信号无压缩、无失真实时传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2、信号与桌面独立处理，全硬件架构，系统采用嵌入式处理方式，不受操作系统影响，信号与桌面分别独立处理；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3、最大单机背板信号处理带宽1500Gbps，单路信号带宽不少于4.5Gbps；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4、输入输出延迟低于2帧，支持60Hz图像处理不丢帧；支持整面多行拼接屏的画面同步功能，针对快速变化的画面不会出现撕裂、错位等现象；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5、机箱支持输入输出混插，机箱上卡槽为双向数据通道槽位，每个卡槽既可支持输入板卡，也可支持输出板卡；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6、支持图像无缝实时切换功能，无缝切换小于21ms，图像开窗响应速度小于17ms,场景调取响应速度小于62ms；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7、设备为模块化架构设计，输入输出板卡、电源、风扇模块均支持热插拔，业务智能恢复功能，输入输出卡更换后无需配置，可自动恢复至原来正常的工作状态；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 RRTA 分辨率实时全兼容，应能通过控制软件实现不少于4组不同分辨率显示；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9、大底图显示功能，可显示超大分辨率点对点背景图片；</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大屏控制电脑</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I7-10700F /16G /1T+256G /GT730-2G 主机+23.0IPS屏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超六类通讯网线</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HDMI/DVI高清线材</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r>
      <w:tr>
        <w:tblPrEx>
          <w:tblCellMar>
            <w:top w:w="0" w:type="dxa"/>
            <w:left w:w="108" w:type="dxa"/>
            <w:bottom w:w="0" w:type="dxa"/>
            <w:right w:w="108" w:type="dxa"/>
          </w:tblCellMar>
        </w:tblPrEx>
        <w:trPr>
          <w:trHeight w:val="28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（2）扩声系统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0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专业音箱</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产品描述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1.采用1只10寸低音单元和1只1.4"高音单元；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2.箱体采用15mm夹板制作，铁质网罩，内贴防尘网棉；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3.多个螺丝吊装孔位，一个口径35 mm的柱杆插座，多种安装方式；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4.多色彩选择上下盖板，四色可选（蓝，红，金，银），标配银色。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1.阻抗：8Ω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2.频响：55Hz-20KHz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3.额定功率：300W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4.峰值功率：1200W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5.灵敏度：98dB/W/M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6.最大声压级（额定/峰值）：123dB/129dB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7.覆盖角度：(H)90°(V)70°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8.高音：1.4"压缩高音单元×1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9.低音：10"低音×1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10.尺寸(H×W×D)：</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520×300×370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20.8Kg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音箱支架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整体伸缩长度：760mm~1260mm（每节增减50mm）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角度调节：170度~370度（每孔位调节10度）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支架净重：</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4.16Kg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10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专业功放</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1.工业造型钢面板，专业设计坚固面耐用，面板防尘网可折洗结构设计，可拆卸清洗的散热通风口。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2.开机软启动，防止开机时向电网吸收大电流，干扰其它用电设备。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3.智能控制强制散热设计，风机噪音小，散热效率高等特点。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4.两声道功放有三档输入灵敏度选择，轻松接纳宽幅度范围信号源输入。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5.完善可靠的安全保护措施和工作状态指示（短路、过载、直流和过热保护、变压器过热保护），让用户放心使用。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6.智能削峰限幅器，控制功率模块及扬声器系统在安全范围内工作。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7.标准XLR+TRS1/4” 复合输入接口，简洁的接口更加方便不同用户需求。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8.高品质变压器和低阻大容量电解滤波，保证大动态工作应付自如。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9.适应不同场合所需，可选立体声或桥接工作模式。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10.输入座接地脚接地和悬浮控制。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1.输出功率（20Hz-20KHz/THD≤1％）：立体声/并联8Ω×2：350W×2；立体声/并联4Ω×2：530W×2；桥接8Ω：1060W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2.连接座：XLR 、TRS接口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3.电压增益 (@1KHz)：34.4dB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4.输入灵敏度：0.775V/1V/1.44V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5.输入阻抗：10K Ω 非平衡、20KΩ 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6.频率响应(@1W功率下）：20Hz-20KHz/+0/-2dB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7.THD+N(@1/8功率下）：≤0.05％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 (A计权)：≥90dB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9.阻尼系数 (@ 1KHz)：≥200@ 8 ohms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10.分离度 (@1KHz)：≥80dB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11.保护方式：过流保护、直流保护、短路保护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12.指示灯：电源 、保护、失真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13.冷却方式：风扇冷却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14.供电：~ 220V； 50Hz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15.最大功耗：1600W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16.尺寸(L xWxH)：</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483x394x88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12.6Kg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音频处理器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产品描述：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一款高性能、多种音频处理技术高集成的8路输入8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功能特点: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 输入每通道：8路平衡式话筒/线路，采用裸线接口端子，平衡接法。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输出每通道：8路平衡式线路输出，采用裸线接口端子，平衡接法。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提供24bit/48KHz卓越的高品质声音。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全功能矩阵混音，提供用户灵活、简单的信号路由操作，路由路径和电平大小可在一个按钮上完成。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面板具备USB接口，支持多媒体存储，可进行播放或存储录播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配置双向RS-232接口，可用于控制外部设备。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配置RS-485接口，可实现自动摄像跟踪功能。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配置8通道可编程GPIO控制接口（可自定义输入输出）。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支持断电自动保护记忆功能。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 支持通道拷贝、粘贴、联控功能。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Enternet多用途数据传输及控制端口，可以支持实时管理单台及多台设备。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支持通过浏览器访问设备，下载自带管理控制软件；软件界面直观、图形化，可工作在XP/Windows7、8、10等系统环境下。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支持iOS、iPad、Android的手机/平板APP进行操作控制。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输入通道：前级放大、信号发生器、扩展器、压缩器、5段参量均衡、AM自动混音功能、AFC自适应反馈消除、AEC回声消除、ANC噪声消除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输出通道：31段参量均衡器、延时器、分频器、高低通滤波器、限幅器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采样率：48K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幻象供电：DC 48V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频率响应：20Hz-20KHz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总谐波失真+噪声：＜0.002% @1KHz ,4dBu</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数/模动态范围(A-计权)：120dB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模/数动态范围(A-计权)：120dB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输入阻抗(平衡式)：20KΩ；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 最大输出阻抗（平衡式)：100Ω；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通道隔离度：1kHz，100dB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输入共模抑制：60Hz，80dB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最大输出电平：+24dBu，平衡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 最大输入电平：+24dBu，平衡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 工作温度：0℃-40℃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 工作电源：AC110V-220V,50Hz/60Hz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 电源功耗：&lt;40W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 尺寸(宽x深x高)：</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482×258×45(mm)</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抑制器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1.96KHz采样频率，32-bit DSP处理器，24-bitA/D及D/A转换。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2.数字信号输入输出通道提供coaxial，AES及光纤接口。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3.采用144 x 32的LCD显示屏显示参数功能，提供6段LED显示输出电平。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4.每通道24个LED灯显示啸叫抑制状态数量。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5.每通道提供压缩、限幅、噪声门、功能设置。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6.可切换工作模式为直通或反馈抑制。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7.可任意编辑固定和动态反馈点数量，可一键清除啸叫点。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8.单机可存储30组用户程序。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1.输入通道及插座：2路XLR母座模拟输入/2组立体声同轴/光纤/ A E S输入(每组数字口传输两路音频信号)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2.输出通道及插座：2路XLR公座模拟输出/2组立体声同轴/光纤/ A E S输入(每组数字口传输两路音频信号)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3.输入阻抗：平衡：20KΩ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4.输出阻抗：平衡：100Ω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5.共模拟制比：&gt;70dB(1KHz)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6.输入范围：≤+25dBu</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7.频率响应：20Hz-20KHz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8.信噪比：&gt;110dB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9.失真度：&lt;0.01% OUTPUT=0dBu/1KHz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10.通道分离度：&gt;110dB(1KHz)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11.啸叫寻找与抑制方式：全自动式陷波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12.信号输入频率响应：20Hz-20KHz±0.5dB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13.滤波器：每通道独立可以调整最多24个，默认值12个固定点，默认值12个动态点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14.最小带宽：1/27th Octave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15.最大带宽：1/14th Octave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16.频率分辨率：0.5Hz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17.啸叫寻找时间：0.1—0.5S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18.FFT长度：2048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19.传声增益：6—10dB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20.系统增益：0dB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21.压缩：启动电平：-40dB~+20dB压缩比率：1:1.0~1:20.0   ；响应时间：10~200ms恢复时间：50ms~5000ms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22.压限：启动电平：-40dB~+20dB响应时间：10~200ms;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23.：恢复时间：50ms~5000ms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24.噪声门：-120dB~-40dB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25.显示：采用分辨率为144 x 32的LCD显示屏，提供6段LED显示输出电平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26.处理器：96KHz采样频率，32-bit DSP处理器，24-bit A/D及D/A转换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27.电源：AC 110V-220V，50Hz/60Hz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28.功耗：&lt;15W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29.产品尺寸（LxDxH）：</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482X148X44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30.净重：</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2.3kg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1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调音台</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产品介绍：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数字调音台，采用32-bit浮点 DSP处理器，24bit/48Khz数模/模数转换，带有31段GEQ处理器；压缩器；噪声门；延时；极性；DSP效果；AUX；SUB；和LED电平指示；载入/保存/复制调音台设置；远程控制；USB界面等，带有20个线性电平输入和16个麦克风前级放大器和重播引擎。适用于各类演出场所、各类会议场所、学校、智能大厦、工矿企业及个人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1.内置高效的DSP音频处理器，具有超强处理能力，内置7个CPU芯片，在运算处理方面得到很大的提高。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2.内置双数字效果器，可由用户进行任意编辑效果模式、音效、深浅度等功能。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3.提供16路MIC和LINE联合输入接口，配备有16路麦克风前级放大器，可接驳所有类型的麦克风，话筒输入接口带48V幻象电源。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4.提供4路线性输入接口，可连接立体设备。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5.提供8路断点插入，可连接额外的处理器（压缩器、EQ、去唇齿声器、滤波器）。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6.提供2组立体主输出、4路编组输出、4路辅助输出、1组立体监听输出、2个耳机监听输出。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7.具有1个7英寸超大液晶高清触摸彩屏，视觉化操作界面与功能设置，支持1024*600分辨率。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8.输入通道支持4段参数均衡，输出通道支持31段图示均衡。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9.具有1个100mm行程的高精密电动推子，每个输入通道均可设置推子前或推子后。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10.内置2个USB接口，支持立体声录音/播放/系统更新。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11.具有1路网络接口，支持固件更新或可用于连接ipad进行远程控制APP。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12.支持场景记忆功能，可保存、调用24组场景。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13.支持DCA分组功能，可以把几个输入信号编成1组来控制音量大小，支持6组DCA。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14.支持复制功能，可快速调试完成设置通道；锁定、解锁、密码修改功能，有效防止误操作。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*可选配DANTE网络音频接口或USB多音轨音频接口。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1.MIC和LINE联合输入：16路（16路均为卡侬/单插混合接口）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2.线性输入：4路立体声单插接口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3.智能输出：2组立体主输出、4路编组输出、4路辅助输出、1组立体监听输出、2个耳机监听输出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4.INSERT：8路断点插入接额外的处理器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5.USB接口：2个USB接口，支持立体声录音/播放/系统更新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6.显示屏：7英寸高清IPS触摸屏，1024×600分辨率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7.AD/DA：最高支持24bit/48KHz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8.DSP处理器：32-bit浮点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9.幻象供电：+48VDC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10.频率回应直接输出：20Hz~20KHz at 0dBu±1.5dB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11.失真度：&lt;0.01% at 0dBu±1KHz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12.信噪比：104dB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13.最大输入电平：+22dB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14.线性输入增益：-15dBu~+35dB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15.效果器：12种效果器，Hall、Room、Plate、Delay、Stdelay、Tremolo、Flanger、Chorus、DelayRev、StdelayRev、FlangerRev、ChorusRev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16.噪声门：阀值范围：-84dBu-0dB；启动时间：0.5ms-200ms；释放时间：5ms-2000ms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17.压缩器：阀值范围：-30dBu-+20dB；启动时间：10ms-150ms；释放时间：10ms-1000ms；比率：1：1to24：1；增益：0dBu-+24dB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18.均衡器：21Hz-19.2KHz +/-24dB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19.ADC，DAC动态范围：114dB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20.网络：网络口外接路由器，可用于连接ipad远程管控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21.工作电压：AC 90-240V  50/60Hz电源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22.环境温度：运行温度0-40℃，存储温度-20-60℃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23.尺寸（L×W×H）：</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460×370×150mm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7.78Kg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10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无线话筒（手持*2）</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采用UHF超高频段双真分集接收，并采用PLL锁相环多信道频率合成技术。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提供各200个可调频率，共500个信道选择，真正分集式接收,有效避免断频现象和延长接收距离。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具有SCAN 自动扫频功能，使用前按SET功能键自动找一个环境最干净的频点处停下来，此频率作为接收机的使用频率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V/A显示屏在任何角度观察字体清晰同时显示信道号与工作频率。带8级射频电平显示，8级音频电平显示，频道菜单显示，静音显示。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平衡和非平衡两种选择输出端口，适应不同的设备连接需求。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超强的抗干扰能力，能有效抑制由外部带来的噪音干扰及同频干扰。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红外对频功能，能方便、快捷的使发射机与接收机频率同步。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中频丰富，声音且有磁性感和混厚感，属人声话筒音持的精华。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轻触式按钮控制简捷，让用户使用更方便。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10.配套有1台接收主机和2个无线手持话筒。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1.频率指标：640-690MHz 740-790MHz 807-830MHz 共三段 共500个频率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2.调制方式：宽带FM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3.频道数目：500个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4.频道间隔：250KHz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5.频率稳定度：±0.005%以内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6.动态范围：100dB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7.最大频偏：±45KHz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8.频率响应：80Hz-18KHz（±3dB）（整个系统的频率取决于话筒单元）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9.综合信噪比：105dB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10.综合失真：≤0.5%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11.工作距离：约100m（工作距离取决于很多因素，包括RF信号的吸收、反射和干扰等）直线无障碍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12.工作温度：-10℃~+60℃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接收机指标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1．接收机方式：二次变频超外差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2．中频频率：110MHz，10.7MHz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3．无线接口：BNC/50Ω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4．灵敏度：12dB μV（80dBS/N)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5．灵敏度调节范围：12-32dB μV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6．离散抑制：≥75dB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7．最大输出电平：+10dBV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8．供电方式：DC12V-1A输入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1.95 Kg ，不含天线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宽422mm×深180mm×高44.5mm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发射机指标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1.音头：动圈式麦克风（双手持话筒）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2.天线：手持麦克风内置螺旋天线，佩挂发射机采用1/4波长鞭状天线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3.输出功率：高功率30mW；低功率3mW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4.离散抑制：-60dB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5.供电：2节5号1.5V碱性电池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6.电池寿命：30mW时大约10个小时，3mW时大约15个小时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7.功能特点：采用真分集接收方式、有效避免断频现象和延长接收距离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8.音质特点：中频丰富唱歌轻松，声音具有磁性感和混厚感属人声话筒音持的精华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0.34Kg（手持），不含电池重量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10.尺寸：</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长268mm×直径35mm（手持）</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电源时序器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功能特点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1.8通道电源时序打开/关闭。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2.远程控制（上电+24V直流信号）8通道电源时序打开/关闭—当电源开关锁处于off位置时有效；支持配置CH1和CH2通道为受控或不受控状态。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3.当远程控制有效时同时控制后板ALARM（报警）端口导通—起到级联控制ALARM（报警）功能。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4.单个通道最大负载功率2200W，所有通道负载总功率达6000W。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5.输入连接器：大功率线码式电源连接器。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6.输出连接器：多用途电源插座。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1.8米音频连接线：卡侬头（母）-卡侬头（公）</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5米音频连接线：莲花（RCA）-6.35话筒插头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5米音频连接线：6.35话筒插头-卡侬头（公）</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音频连接线</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5米音频连接线：3.5（耳机插头）-6.35话筒插头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信息系统集成安装及服务费</w:t>
            </w:r>
          </w:p>
        </w:tc>
        <w:tc>
          <w:tcPr>
            <w:tcW w:w="57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含设备安装、调试、差旅费、机柜、线材配件、预留桌插、运费、税费等。</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二、融媒体中心安全防御系统</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防火墙系统</w:t>
            </w:r>
          </w:p>
        </w:tc>
        <w:tc>
          <w:tcPr>
            <w:tcW w:w="5762" w:type="dxa"/>
            <w:tcBorders>
              <w:top w:val="nil"/>
              <w:left w:val="nil"/>
              <w:bottom w:val="single" w:color="auto" w:sz="4" w:space="0"/>
              <w:right w:val="single" w:color="auto" w:sz="4" w:space="0"/>
            </w:tcBorders>
            <w:shd w:val="clear" w:color="auto" w:fill="auto"/>
            <w:noWrap w:val="0"/>
            <w:vAlign w:val="center"/>
          </w:tcPr>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★标准1U设备，配置≥6个10/100/1000 Base-T自适应电口，1个Console口，交流电源；含3年硬件质保和3年应用识别库、URL分类库、病毒特征库、入侵防御特征库升级；</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★防火墙吞吐量≥2Gbps，并发连接数≥100万，每秒新建连接数≥3万/秒，含应用控制、URL过滤、病毒防护、入侵防御等功能模块；</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产品支持路由、透明、交换以及混合模式接入，满足复杂应用环境的接入需求；</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支持静态路由、动态路由、策略路由，动态路由包括RIP v1/v2/ng、OSPF、BGP等；</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支持防御IP地址欺骗，可将IP与安全域关联，即指定IP或网段从特定安全域流量流入，否则视为IP地址欺骗；</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支持在IPv6环境下配置安全策略、SSL解密策略等规则，实现漏洞防护、间谍软件防护、URL过滤、反病毒、内容过滤、文件过滤、邮件过滤、行为管控及带宽管理；</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支持MPLS流量透传；支持针对MPLS流量的安全审查，包括漏洞防护、反病毒、间谍软件防护、内容过滤、URL过滤、基于终端状态访问控制等安全防护功能；</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★支持上传、下载、双向的文件内容过滤；内容过滤至少支持html、doc、docx、xls、xlsx、ppt、pptx、chm、7z等多种常见文件类型（</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支持冗余策略分析功能，系统可自动检测别列出与某一策略存在冗余关系的其他策略；</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支持全面的NAT转换能力，支持对源目的地址、端口的转换；包括一对一，一对多，多对一，多对多地址转换方式；</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★支持虚拟防火墙功能，支持在虚系统内进行病毒防护、漏洞利用防护、间谍软件防护、URL过滤、文件过滤、内容过滤、邮件过滤、行为管控等安全功能，并可支持对本虚系统内产生的日志进行独立审计（</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★支持与云端联动，实现病毒云查杀、URL云识别、应用云识别、云沙箱等功能，以通过安全云系统提升识别库数量级，补充本地识别库，并加快防火墙对威胁的识别速度（</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支持面板下的异常、威胁、重点关注监控、接口信息、系统信息、内容日志、威胁日志、URl过滤日志、邮件过滤日志、并发连接数；</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支持实现HTTP、FTP、POP3、SMTP、IMAP、SMB六种应用协议的双向内容过滤，支持预定义敏感信息库及自定义敏感信息库两种方式进行敏感信息定义，支持阻断及日志两种处理动作；</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洞防护特征库要求包含高危漏洞攻击特征，至少包括“永恒之蓝”、“震网三代”、“暗云3”、“Struts”、“Struts2”、“Xshell后门代码”以及对应的攻击的名称、CVEID、CNNVDID、严重性、影响的平台、类型、描述等详细信息（</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支持自定义漏洞签名；可标识自定义漏洞的CVE编号或CNNVD编号；支持自定义基于TCP、UDP、HTTP协议的漏洞，并根据各协议的报文结构，指定一个或多个字段的特征值；支持自定义漏洞的源端口范围及目的端口范围；</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★支持与防病毒系统或终端安全管理系统进行联动，增强防火墙对应用特征及木马特征的识别，实现基于终端健康状态的访问控制（</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支持双系统备份，且在系统切换中可实现配置的自动迁移；</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支持基于受害主机的一键式阻断链接、记录日志等处置动作，处置周期至少包括1天、7天、30天、90天、永久等；</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★支持统计网络中确认失陷的主机及有风险但不能完全确认为失陷的主机数量及风险等级状态，并支持查看失陷时间、威胁类别、情报来源、威胁简介、失陷主机IP、用户名、资产等信息，并支持一键跳转处置（</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基于源目地址、源目端口、协议、域名、URL多维度的一键式快速运维处置；</w:t>
            </w:r>
          </w:p>
          <w:p>
            <w:pPr>
              <w:pStyle w:val="8"/>
              <w:numPr>
                <w:ilvl w:val="0"/>
                <w:numId w:val="1"/>
              </w:numPr>
              <w:ind w:firstLineChars="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日志支持模糊搜索和按精确策略条件搜索，协助定位异常行为，并通过带条件跳转实现指定行为在分析中心中的关联活动展示，确认异常行为是否具有威胁；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支持基于网络活动，威胁活动、阻止活动等多维关联统计及分析，发现异常行为。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4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三、融媒体配套设备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9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无线控制器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下一代千兆无线控制器， 自带6个千兆电口，默认管理16个AP，集中转发最大支持144个AP，本地转发最大支持900个AP，支持在线用户数8K，支持身份认证、行为管理、行为审计、应用层流控、VPN、AP统一管理、有线无线一体化、集群管理、可视化网管、微信认证、营销推广、用户画像、客流分析，内置128G固态硬盘</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无线NAP</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室内智能11ac wave2无线接入点，支持MU-MIMO，内置智能天线，支持2.4G和5G同时工作，整机最大接入速率1167Mbps；千兆口上联、微信认证、APP缓存、数据探针、智能负载均衡、网关、VPN、QoS、胖瘦一体化；支持POE和本地供电</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POE交换机，24个千兆POE电口，4个 1G/2.5G SFP光口；交换容量≥336Gbps/3.36Tbps，包转发率≥108Mpps/126Mpps，支持全端口线速转发；支持IEEE 802.3af/at供电标准，单端口最大输出PoE功率30W，整机最大输出PoE功率370W；支持NAC统一管理、统一查看状态、VLAN等配置管理；支持终端识别、终端准入、安全防护及安全画像可视；支持胖瘦一体化</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管理AP数Lic</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NAP接入授权，每增加一个管理的AP数量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7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处理器：ARM64 4核心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带机量：≥600台PC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转发性能：9Mpps-25Mpps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固定WAN接口：2*GE电，2*GE光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固定LAN接口：2*GE光，3GE电（可切换为WAN口）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四、直导播设备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直播设备</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5G  4000万超感光徕卡影像双超级快充 8GB+256GB</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直播话筒</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手机直播电容胸麦采访收音麦便携直播有线话筒</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稳定器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手机稳定器 三轴防抖自拍杆</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直播手持4K摄录一体机，4K 50p/60p* 录制功能、25倍变焦镜头和先进的人脸检测AF功能、1/3英寸3CMOS、电子可调ND灰度滤镜</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照相机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约6100万有效像素、传感器尺寸：35.7×23.8mm(35mm全画幅）、对焦点：567个相位检测自动对焦点/425个对比度检测对焦点、液晶屏尺寸：3.0"TFT，约144万像素，可翻折触摸式液晶屏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、视野率：约100%、外形尺寸： 约128.9mm x 96.4mm x 77.5mm、</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对讲机</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全网通对讲机（活动现场使用）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无人机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带屏遥控器*1/全能套*1/换新计划*1/64G/170M 4K存储卡*2/UTC培训*2人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133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云台配器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连接件 手持云台Osmo连接X5适配器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100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增稳器</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Z轴增稳器 X5增稳器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微单相机 充电电池</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微单相机 充电电池</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75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FE 70-200mm镜头</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FE 70-200mm F4 G OSS 全画幅远摄变焦微单相机G镜头 E卡口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8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定焦镜头FE 20mm F1.8</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定焦镜头FE 20mm F1.8</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(碳纤维） 独脚架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独脚架铝合金碳纤维单反相机专业摄像摄影DV支架带液压云台套装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摄像机三脚架</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摄像机三脚架单反广播级高速相机摄影三角架含动态液压云台 二代</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单反相机摄像机铝合金三脚架液压云台套装支架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三脚架 单反相机摄像机铝合金三脚架液压云台套装支架</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12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无线麦克风单反相机领夹话筒小蜜蜂采访胸麦直播迷你收音麦无线小蜜蜂</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无线麦克风领夹话筒迷你胸麦收音麦采访摄像机 单反无线话筒小蜜蜂</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72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128GB USB3.1</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128GB USB3.1 U盘  读速150MB/s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 TF卡</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 TF卡</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无人机</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尺寸</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124.7×38.1×30 mm</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117 g</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云台</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可控转动范围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平移: -230° 至 +70°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俯仰: -100° 至 +50°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横滚: ±45°</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结构转动范围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平移: -250° 至 +90°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俯仰: -180° 至 +70°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横滚: ±90° </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最大控制转速</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抖动抑制量</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±0.005°</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相机</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影像传感器</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 英寸 CMOS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有效像素: 6400 万</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FOV:93° f/1.8</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等效焦距: 20 mm</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ISO 范围</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拍照：100-6400（1600 万像素), 100-3200（6400 万像素）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录像：100-6400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慢动作：100-3200</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电子快门速度</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8s-1/8000s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照片最大分辨率</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9216 × 6912 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照片拍摄模式</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单张照片: 1600 万像素/6400 万像素</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倒计时拍摄: 3s/5s/7s</w:t>
            </w:r>
          </w:p>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全景照片：3x3, 180°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单反镜头 标准定焦镜头</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EF 50mm f/1.8 STM 单反镜头 标准定焦镜头</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笔记本电脑</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14寸|十代i7-1065G7 16G 512G傲腾增强型SSD 2G独显</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SD存储卡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128GB至尊超极速版</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专业摄像机原装电池</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专业摄像机原装电池</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SD存储卡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64GB至尊超极速版</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文件保密柜电子</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密码档案柜智能保险矮柜</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补光灯 数码相机摄像机专业摄影灯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适用单反相机摄像机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套机（24-105镜头）</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 Exmor R CMOS传感器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传感器尺寸 </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35.9x24.0mm(35mm全画幅）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有效像素 约4240万有效像素液晶屏尺寸 3.0"TFT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液晶屏总像素 约144万像素镜头类型 全画幅标准变焦G镜头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镜头结构（组-片） 14-17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尺寸（最大直径x长）（mm） 约 83.4x113.3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质量（g） 约 663g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摄像头</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摄像头 400万网络高清球机监控摄像头 7寸红外夜视 23倍光学变倍户外工程摄像机带储存盘、安装支架套装</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微单相机配件横拍竖拍vlog套装 </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材质：铝合金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产品净重（kg）:</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 xml:space="preserve">0.2KG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适用范围:视频，摄影相机用保护套件</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原装数据线</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单反相机连接线 黑色</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平板</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10.8英寸4G 5G安卓平板电脑二合一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全面屏办公平板电脑 【5G全网通】8G+256G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电脑显示器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32英寸2K分辨率100%sRGB色域CAD/CAM模式 专业设计电脑显示器显示屏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五、演播室设备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4K超高清摄像机</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1/2.8 英寸 3CMOS 成像器。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2、内置25 倍变焦镜头和三个独立镜头环，可提供清晰 4K 画质。几乎适用于任何专业拍摄场景。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3、配备高级人脸检测 AF 和电子可调 ND 灰度滤镜，可轻松拍摄优质内容。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4、支持双 MI 热靴及4CH音频输入。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5、具备3G-SDI接口和1个HDMI接口，能够通过HDMI输出4K 60p/50p信号。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6、具有2个SD卡记录插槽。</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SD卡及读卡器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介质：SD卡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容量：128G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读写速度：R：270M/S,W:120M/S</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电池</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容量56Wh 电压7.2V 其他特性 重量：350g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适用机型XDCAM系列手持摄像机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4.15 x 8.25 x 6.97</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6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三脚架（含脚轮）</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采用耐用的两级三节椭圆形铝合金脚架 托板可以前后移动33mm 新开发的带有蝴蝶旋钮的镁材质的快速安装板 承重：5kg（最大） 球碗直径：75mm 俯仰角度：＋90°/-60° 动态平衡：（关）+3档 阻尼模式：内置 摄像机托板：快速拆卸式托板 托板附件：4/1螺钉 重量：3.7kg 高度：75-155cm 级数：2级。</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通话系统</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一拖四</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SDI转换器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广播级质量，HDMI转SDI信号转换器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2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主持返看屏（可自选）</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屏幕尺寸 65英寸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分辨率 4K（3840*2160）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屏幕比例 16:9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背光灯类型 LED发光二极管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推荐观看距离 5.0米以上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图像参数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刷新率 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 1000:1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可视角度 178/178度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响应时间 8ms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屏幕亮度 330cd/m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扫描方式 逐行扫描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调音台</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话筒：6 频响：+0.5dB/-0.5dB（20Hz-20kHz） 总谐波失真：0.03%@+14dBu（20 Hz-20kHz） 输入通道：12通道：单声道：4；立体声：4 输出通道：STEREO OUT：2；PHONES：1 母线：立体声：1；编组：2，AUX 电平表：2x12 - 点距LED电平表[PEAK，+10，+6，+3，0，-3，-6，-10，-15，-20，-25，-30dB] 幻象电源电压：+48V 功率要求：AC 100-240V，50/60Hz 外观尺寸：</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308×118×422mm 功耗：22W 操作温度：0-40℃ 净重：</w:t>
            </w:r>
            <w:r>
              <w:rPr>
                <w:rFonts w:hint="eastAsia" w:ascii="宋体" w:hAnsi="宋体" w:cs="宋体"/>
                <w:color w:val="auto"/>
                <w:kern w:val="0"/>
                <w:sz w:val="21"/>
                <w:szCs w:val="21"/>
                <w:highlight w:val="none"/>
                <w:lang w:eastAsia="zh-CN"/>
              </w:rPr>
              <w:t>约</w:t>
            </w:r>
            <w:r>
              <w:rPr>
                <w:rFonts w:hint="eastAsia" w:ascii="宋体" w:hAnsi="宋体" w:eastAsia="宋体" w:cs="宋体"/>
                <w:color w:val="auto"/>
                <w:kern w:val="0"/>
                <w:sz w:val="21"/>
                <w:szCs w:val="21"/>
                <w:highlight w:val="none"/>
              </w:rPr>
              <w:t>2.1kg。</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5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监听耳机</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连接方式 3.5mm镀金插头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发声原理  动圈耳机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佩戴方式 头戴式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单元直径 30mm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频响范围  16-28000Hz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产品阻抗  55欧姆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  91dB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最大功率 200mW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插头类型 I直型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腰包式无线麦克风套件可提供数字音频处理级音质和稳定的模拟 FM 调制。该套件包括腰包式发射器和便携式接收器。还包括高质量全方位领夹式麦克风和一系列配件，其中包括防风罩、麦克风固定器夹、皮带夹和热靴适配器。此套件凭借 72 MHz 带宽（具体视地区而定）可提供宽频率范围并覆盖多个通道，还提供多种模式供用户选择。易于使用的功能包括：大显示屏和小尺寸接收器可完美地连接在任何尺寸的摄录一体机或 DSLR 摄像机上，自动通道设置功能，耳机输出，USB 电源连接以及线路输入可用性。系统具有一流的瞬态响应性能，适用于所有 ENG/EFP 制作领域。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★可支持红外线对频。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支持SMAD-P5 MI热靴适配器，免去了数字信号转模拟信号再从模拟信号转数字信号的转换过程，直接将数字信号传输至机身</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液晶提词器</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兼容平台 Apple iPad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Android Tablets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摄像机固定方式 Prompter Rail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最大平板/智能型手机尺寸 Min. Tablet Width: 145mm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Max. Tablet Width: 265mm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支持多种语言 Device dependent including: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Arabic and Asian languages such as Chinese，Japanese，Korean，Hindi，Tamil and more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提词机尺寸 Width: 415mm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Height: 290mm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Depth: 750mm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远程控制 Universal Bluetooth Wireless Remote Included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(with USB cable adapter for charging purposes)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标配：10英寸平板电脑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100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多功能超级一体机（含虚拟演播功能及外置切换台）</w:t>
            </w:r>
          </w:p>
        </w:tc>
        <w:tc>
          <w:tcPr>
            <w:tcW w:w="5762" w:type="dxa"/>
            <w:tcBorders>
              <w:top w:val="nil"/>
              <w:left w:val="nil"/>
              <w:bottom w:val="single" w:color="auto" w:sz="4" w:space="0"/>
              <w:right w:val="single" w:color="auto" w:sz="4" w:space="0"/>
            </w:tcBorders>
            <w:shd w:val="clear" w:color="auto" w:fill="auto"/>
            <w:noWrap w:val="0"/>
            <w:vAlign w:val="top"/>
          </w:tcPr>
          <w:p>
            <w:pPr>
              <w:widowControl/>
              <w:numPr>
                <w:ilvl w:val="0"/>
                <w:numId w:val="2"/>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系统配置：工控机箱、intel酷睿 CPU 主频≥3.2GHZ（六核十二线程）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内存≥16GB (2*8GB)  DDR4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NVIDIA GeForce GTX PCIE x16显卡  具有8G显存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SSD 250G固态硬盘，存储硬盘：SATA 2TB企业级硬盘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集成千兆网卡、24 IPS显示器、键鼠套装、600W 服务器电源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预装WINDOWS 10专业版操作系统。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二、接口参数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2.1、广播级高清通道板卡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2.2、为了确保系统稳定性，广播级高清通道板卡需与虚拟演播室软件系统为</w:t>
            </w:r>
            <w:r>
              <w:rPr>
                <w:rFonts w:hint="eastAsia" w:ascii="宋体" w:hAnsi="宋体" w:eastAsia="宋体" w:cs="宋体"/>
                <w:color w:val="auto"/>
                <w:kern w:val="0"/>
                <w:sz w:val="21"/>
                <w:szCs w:val="21"/>
                <w:highlight w:val="none"/>
                <w:lang w:eastAsia="zh-CN"/>
              </w:rPr>
              <w:t>兼容</w:t>
            </w:r>
            <w:r>
              <w:rPr>
                <w:rFonts w:hint="eastAsia" w:ascii="宋体" w:hAnsi="宋体" w:eastAsia="宋体" w:cs="宋体"/>
                <w:color w:val="auto"/>
                <w:kern w:val="0"/>
                <w:sz w:val="21"/>
                <w:szCs w:val="21"/>
                <w:highlight w:val="none"/>
              </w:rPr>
              <w:t>品牌。</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2.3、高清接口板卡参数要求：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信号输入：6路HD SDI输入、2路HDMI或4路IP/USB/NDI；</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2路DDR本地视频或4G回传信号；1路Downstream Key；</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嵌入音频或模拟音频输入。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信号输出：2路HD SDI（1路PGM+1路PVW）信号输出；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1路IP输出；1路NDI输出；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1路HDMI（MultiView、PGM可选）；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嵌入音频、模拟音频、监听音频输出。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2.4、信号格式要求：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支持摄像机信号、IVGA、网络HTTP/UDP/RTSP/RTMP/NDI、手机信号、本地视频、IP DSK等信号源输入。可同时支持PAL、NTSC、720/25P、720/29.97P、720/30P、1080/50i、1080/59.94i、1080/25P、1080/29.97P、1080/30P等多种制式视频信号的输入，并可对其抠像以及在场景中播放。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三、系统功能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系统构架为八讯道双通道高标清兼容现场导播切换系统。并在任意两个通道间实现硬切、和特技切换（包括淡入淡出、划像、三维卷页等多种特技）。</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能够实时生成虚拟场景，支持3DS Max、Maya等三维软件生成的三维场景模型，支持并透明场景模型，按1920×1080/50/I格式输出。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支持虚拟三维场景编辑、实时渲染功能，可以即时修改3DS Max、Maya等三维软件制作的三维场景（包括改变物件纹理、光效、空间位置、大小、透明度、朝向和物件动画等属性），添加或删除三维物件，使生成的新场景有正确的渲染信息（如真实的环境光效）；并可以生成新的场景（.MOD/.SAM格式）,场景文件及前景动画的导入格式具有3DS和X选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支持5路不同信号源同屏画中画实时调度，1路信号源衬底。用作同屏的信号源，并非虚拟大屏幕信号的简单同属一个输出画面，而是同屏信号源实时分割屏幕画面，形成多种布局，方便多信号源切换、调度；调度效果和时间可调，支持自定义布局、自定义调度特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同屏画面下的每一路信号都可以添加视频框，视频框会跟随视频特技、视频大小自动贴合，支持三维视频；每个视频框都支持实时光效，可自定义光效强弱、光效移动速度、环境光。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支持导入3D MAX导出的模型用于视频窗边框，可在导播切换软件里随时调整边框的纹理贴图，附加各种光效，颜色和扫光速度可调。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«支持视频画面任意大小的缩放和裁切，支持视频画面位置及角度的调整，支持视频画面旋转，支持视频画面边框的任意更换及光效的调整，支持视频画面满屏特技、飞出角度和时长的调整。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系统支持故事版功能，可在故事版中添加无限数量宏脚本预设，宏脚本包含字幕、多画面布局、DDR（本地视频）等信息的控制；宏脚本不仅可以单个播出还可以联动播出，满足只需一键即可完成字幕入出屏、DDR列表控制、布局切换、音视频控制等节目制作。支持远程无线控制播出。</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«系统支持字幕随切随播，即切换到当前机位时设置好的字幕会播放、上键；切换到另一机位时，当前字幕停止、下键；字幕随切随播不借助第三方工具。</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«支持DDR随切随播，即切换到当前机位时设置好的DDR开始播放；切换到另一机位时，当前DDR停止；DDR随切随播不借助第三方工具。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 可以设定音频输出方式，指定音源始终输出、切换到PGM时输出、始终不输出。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 支持布局模板编辑器，允许在三维纵深中自由定义窗口布局。制作完成的布局可被保存成模版，在日后被重复利用、快速调度，支持随时随意修改。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 «支持远程无线控制，手机、平板等任意终端通过远程网页控制宏脚本，一键节目制作。网页端支持用户自定义界面和控制方式。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 可在物件表面实现镜像效果，包括地面倒影、桌面倒影、水波纹等，倒影区域大小、强度、转向、模糊度可自定义。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 «集成云客户端（与虚拟软件同品牌），可实时获取云中现有的场景（新闻、教育、体育、时政、综艺等18个类别，约500套）和图文字幕模板（当前约200套），获取场景及模板后，可进行修改使用。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 «具有在线资源管理页面，可分类管理场景、前景、蓝箱、三维模型、光效、DVE特技和字幕包装等资源文件。支持云端更新资源。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 «系统实时渲染输出三维模型场景三角形面数大于30000万，纹理贴图大于15GB。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 支持将场景信息封装在同一文件下，安全、唯一，便于管理、查找。对资源的保存、迁移方便。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 可同时载入三维模型、图片、视频等多种格式场景。场景之间可做特技快速切换，切换特技支持200种三维DVE、不限种类的二维划像，并可支持用户自定义。可边播边载入场景。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 «可实现虚拟场景多个物件的延时、联动，如随韵律跳动的虚拟音符、上下且旋转的旋转木马等效果。</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 «可实现虚拟场景中物件贴图的两层纹理动画效果，纹理可来源于本地硬盘，也可调用外来信号。物件纹理飘移叠加方式、运动方向可自定义；亮度、透明度等调节。</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 可对前景人物进行校色处理，包括亮度、对比度、饱和度、色彩偏移和色调增强（色调及增幅）等。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 可同时对摄像机信号、网络信号、NDI信号进行抠像处理，抠像效果人物边缘无黑边、无蓝（绿）边、无闪烁、无锯齿；人物运动或摆手时无蓝（绿）边、无拖尾。支持外置色键。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 «提供动态示波器，可显示视频画面信息，包括幅度和相位。并以矢量方式显示幅度和相位，助力抠像处理。</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 «系统支持一键快速抠像，通过一键抠像可以将水瓶、头发丝等半透明物体从背景中分离出来，被抠像物体边缘连续完整、无杂色。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 «系统具有广播级前景修正功能，支持对抠像后的前景人物进行美肤、美白处理，处理区域仅作用于前景人物可见皮肤，不会影响衣物、头发、眼睛等区域。</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 能够实现多路活动视频，实时嵌入高标清活动视频、实时基带信号、网络信号支持视频DVE特效。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 «能够实现多机位的实时切换。切换时不会出现错帧、丢帧、前景和虚拟场景不同步现象。支持二维划像、淡化、三维卷页、模型等特技切换效果；三维切换特技支持高光效果；支持多信号源同屏切换时的相互迁移，迁移包括平面移动、斜切、翻转等特效；机位切换过程中，前景信号与虚拟背景信号场同步切换，未发现前背景不同步、夹帧、黑场、画面撕裂。</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 «可选配专用外置特技切换台，可实时控制机位的特技切换，模型、字幕的播出和停止，视频开窗的播出，虚拟摇臂的播出和停止，视频的录制。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30. 系统需支持本地和网络收录，无需外置采集设备，能够在线实时录制PGM合成信号，可以多种格式编码生成视音频格式文件，支持录制实时异地存储。编码格式及码率可调。</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«系统支持多屏监看，可输出画面分割信号到电视墙大尺寸液晶电视上监看，视频输出的界面包括PGM监看、PVW监看、各路前景机位、本地视频、在线包装、字幕等需要监看的信息。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32. 可分别对每一路前景音频的延时、音量大小进行调整，能对本地视频的音量及输出音量的大小进行调整，支持模拟音频、嵌入音频的输入和输出。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33. «支持7路网络流媒体信号的接入，并可同时调度、播放。支持RTMP/RTSP /UDP/HTTP/NDI等流媒体信号输入。</w:t>
            </w:r>
          </w:p>
          <w:p>
            <w:pPr>
              <w:widowControl/>
              <w:numPr>
                <w:ilvl w:val="0"/>
                <w:numId w:val="0"/>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 系统通过网口接收IP（UDP、RTMP、RTSP、HTTP）流媒体信号，可实时解析多路组播地址，将解析的视音频信号运用于虚拟视频开窗，也可用于虚拟机位的切换。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35. «系统可通过IP网络信号接收外部独立的字幕机发送的图文字幕信息，无需键控设备即可进行叠加，在字幕机故障时不影响演播室节目的正常播出和录制。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36. 系统需支持NDI将局域网的屏幕和摄像头实时采集到系统中用于机位的调度功能，可以远程采集网络中任意电脑的屏幕信息，并可以运用到虚拟视频开窗或是作为一个独立机位进行切换。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37. 支持流媒体直播，支持RTMP协议，可独立设置高达80Mbps码率，CQP、VBR、CBR编码可选。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38. 支持虚拟机位航拍自定义设置，航拍轨迹支持时间线上做任意关键帧设置；虚拟摄像机运动过程中，拍摄的合成画面定位准确，不会出现漂移、抖动，前景画面与虚拟空间融为一体；前景画面清晰度较高；支持虚拟摄像机旋转效果的运动轨迹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39. 前景人物可以在虚拟三维场景中穿梭，虚拟三维场景空间关系、透视关系正常。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40. 支持三维虚拟场景半透明物件遮罩效果；支持前景物件的虚拟景深设置。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 具备无限蓝箱功能，在虚拟摄像机作360度旋转和变焦操作时，蓝箱以外的区域不应进入取景范围。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 支持黑场双电平、三电平外同步信号锁相，支持内同步。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43. 系统自带帧同步功能，支持接入异步视频信号，不同信号间切换平滑，无抖动，画面不撕裂。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44. 支持多路本地视频文件播放，实现虚拟大屏幕效果。本地视频支持图片、PPT、流媒体等输入。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45. 支持虚拟大屏飞出满屏特技，支持飞出角度、三维旋转、飞出时长、半透明、Alpha遮挡等屏性设置，缩放过程中不会出现爬行、闪烁等现象。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46. «系统提供图文在线包装功能，可在合成画面之后添加各种三维字幕图文效果，包括包括图片、动画、粒子效果，可模拟爆炸、火焰和烟雾等效果，可生成360度粒子效果等，并且支持基于时间线的图文非线性编辑，可在节目中植入实时创建、所见即所得的三维文字和三维几何体，导入外来图文或三维模型、动画，可实时调整倒角、厚度、环境光、漫反射、镜面反射等多种的参数；所有物件的所有面均可实现纹理贴图，以满足节目在线图文包装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47. 所有三维物件（文字、几何体、外来三维模型）支持基于时间线的关键帧设置，包括位置、旋转、缩放、透明度、振动等；支持物件的组合和节点的播放控制。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48. «系统提供图文字幕上屏时可修改功能，即不需要将字幕下屏即可修改播出内容，满足诸如比赛记分牌的应用场合。</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49. 可对各个机位视频进行单独包装，各个机位视频可以同时包装不同的三维图文效果。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50. 支持阴影和倒影，可模拟虚拟场景灯光。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51. 支持嵌入音频输入输出，模拟音频输入输出。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52. «系统八个讯道输入信号源可自由选择基带信号、HDMI信号、NDI信号、IP信号、USB信号，也可多种方式同时输入。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53. 支持PAL、NTSC、720/25P、720/29.97P、720/30P、1080/50i、1080/59.94i、1080/25P、1080/29.97P、1080/30P制式视频信号的输入，并可对其抠像以及在场景中播放。</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3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演播室LED灯光及周边配件</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ED柔光灯（平板灯）6台：采用672颗高配置的LED贴片灯珠，光线柔和，专为面光设计，Ra：95，色温5600k。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LED聚光灯4台：采用优质LED芯片，高亮度，低耗能，高功率，标准色温5600K,显示指数Ra:95，不带风扇，被动散热设计，没有噪音，是一款高端专业的演播室灯具。可适用于以下场景：演播室、直播室等。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含恒力铰链、灯钩、号码牌、数字DMX调光台、线缆等。</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6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线材及集成</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含项目所需的视频线、音频线、视音频接头及设备安装集成、培训。</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六、配套办公设备</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1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工作站</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酷睿i9-10900/32GB/1T SSD+1TB/ RTX4000 8G独显/24.0IPS屏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办公配套电脑</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i7/8G/1T/2G独立显卡/23.0IPS屏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笔记本电脑</w:t>
            </w:r>
          </w:p>
        </w:tc>
        <w:tc>
          <w:tcPr>
            <w:tcW w:w="57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i5-10300H/32GB/512GB+2TB/GTX1650Ti 4GB/15.6英寸</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七、融媒体中心云服务</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restart"/>
            <w:tcBorders>
              <w:top w:val="nil"/>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56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融媒基础平台</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构建线索汇聚、选题策划、调度指挥和信息呈现等功能，以支持融媒体中心业务人员进行新闻选题的策划，并进行人员、设备资源的指挥和调度，和统筹组织新闻采访和生产发布等</w:t>
            </w:r>
          </w:p>
        </w:tc>
        <w:tc>
          <w:tcPr>
            <w:tcW w:w="7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实现文本、图片、音频、视频等素材的管理与应用，可方便快捷的将素材应用到稿件的创作编辑中。</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新闻资讯涉及头条、要闻、视频、时政、体育、社会、娱乐、健康、教育、美食、汽车、房产、旅游、直播等新闻栏目分类，同时融合视频、音频、图文、图集、H5等全媒体形态的信息</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120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内容生产模块实现资源多元化组合加工的流程生产模式，重点面向网站、报纸 、微信、微博、APP等渠道，通过对各类稿件编辑器的优化满足全渠道的一体化采编需求，支持PC端、移动端协同写稿，通过提供统一的发布功能，支持用户根据发布方向，实现向不同渠道的一体化分众发布，通过流程监控功能，实时监管整个系统的生产加工全过程，实现稿件的数字化全流程、多版本的跟踪服务。</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643" w:type="dxa"/>
            <w:vMerge w:val="continue"/>
            <w:tcBorders>
              <w:left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对网站、客户端渠道的前端内容运营运维，以及互动活动的创建维护。</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vMerge w:val="continue"/>
            <w:tcBorders>
              <w:left w:val="single" w:color="auto" w:sz="4" w:space="0"/>
              <w:bottom w:val="single" w:color="auto" w:sz="4" w:space="0"/>
              <w:right w:val="single" w:color="auto" w:sz="4" w:space="0"/>
            </w:tcBorders>
            <w:shd w:val="clear" w:color="000000" w:fill="C4D79B"/>
            <w:noWrap/>
            <w:vAlign w:val="center"/>
          </w:tcPr>
          <w:p>
            <w:pPr>
              <w:widowControl/>
              <w:jc w:val="center"/>
              <w:rPr>
                <w:rFonts w:hint="eastAsia" w:ascii="宋体" w:hAnsi="宋体" w:eastAsia="宋体" w:cs="宋体"/>
                <w:color w:val="auto"/>
                <w:kern w:val="0"/>
                <w:sz w:val="21"/>
                <w:szCs w:val="21"/>
                <w:highlight w:val="none"/>
              </w:rPr>
            </w:pPr>
          </w:p>
        </w:tc>
        <w:tc>
          <w:tcPr>
            <w:tcW w:w="15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构建统一的租户管理平台，包括租户的统一身份认证，租户权限配置及分级权限授权，自定义租户组织、自定义租户用户、统一用户管理、自定义产品、渠道、模板、站点等系统配置。</w:t>
            </w:r>
          </w:p>
        </w:tc>
        <w:tc>
          <w:tcPr>
            <w:tcW w:w="7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64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4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广西云融媒体平台新时代文明实践中心板块</w:t>
            </w:r>
          </w:p>
        </w:tc>
        <w:tc>
          <w:tcPr>
            <w:tcW w:w="5762"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广西云融媒体平台新时代文明实践中心依托广西云融媒体平台，建立“百姓 点单、中心派单、志愿者接单、公众评单”的“四单”相互贯通运行机制，为群 众提供＂家门口指尖一体化＂服务，旨在于有效满足群众需求，充分整合各方力 量，织密志愿服务网，实现文明实践活动异地指挥、网上招募、实时发布、同步 宣传和系统融合、用户统一、资源共享、数据互通的目标。平台整合融媒体资源， 着力打通宣传群众、教育群众、关心群众、服务群众“最后一公里”。</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645"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全年新闻策划</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为融媒体中心提供全年专业新闻策划服务，新闻策划产品分图文以及视频内容。带编辑、技术人员从新闻选题、新闻策划、新闻采写等方面完成全年重点新闻策划，策划紧跟工作考核、宣传重点工作进行。</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90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融媒中心培训实战班</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为编辑、技术人员开展针对采编、策划、生产、发布等环节的培训，提供相关师资及培训材料。（不包括场地、食宿等费用）。</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供发稿机制</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为鼓励各融媒中心创新内容，淬炼精品作品提供机制优化保障，将提升融媒中心的工作积极性，提高稿件质量。</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tblPrEx>
          <w:tblCellMar>
            <w:top w:w="0" w:type="dxa"/>
            <w:left w:w="108" w:type="dxa"/>
            <w:bottom w:w="0" w:type="dxa"/>
            <w:right w:w="108" w:type="dxa"/>
          </w:tblCellMar>
        </w:tblPrEx>
        <w:trPr>
          <w:trHeight w:val="27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p>
        </w:tc>
        <w:tc>
          <w:tcPr>
            <w:tcW w:w="1560" w:type="dxa"/>
            <w:tcBorders>
              <w:top w:val="nil"/>
              <w:left w:val="nil"/>
              <w:bottom w:val="single" w:color="auto" w:sz="4" w:space="0"/>
              <w:right w:val="single" w:color="auto" w:sz="4" w:space="0"/>
            </w:tcBorders>
            <w:shd w:val="clear" w:color="000000" w:fill="EBF1DE"/>
            <w:noWrap/>
            <w:vAlign w:val="center"/>
          </w:tcPr>
          <w:p>
            <w:pPr>
              <w:widowControl/>
              <w:jc w:val="left"/>
              <w:rPr>
                <w:rFonts w:hint="eastAsia" w:ascii="宋体" w:hAnsi="宋体" w:eastAsia="宋体" w:cs="宋体"/>
                <w:color w:val="auto"/>
                <w:kern w:val="0"/>
                <w:sz w:val="21"/>
                <w:szCs w:val="21"/>
                <w:highlight w:val="none"/>
              </w:rPr>
            </w:pPr>
          </w:p>
        </w:tc>
        <w:tc>
          <w:tcPr>
            <w:tcW w:w="5762"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八、融媒体中心基础装修</w:t>
            </w:r>
          </w:p>
        </w:tc>
        <w:tc>
          <w:tcPr>
            <w:tcW w:w="747"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c>
          <w:tcPr>
            <w:tcW w:w="644" w:type="dxa"/>
            <w:tcBorders>
              <w:top w:val="nil"/>
              <w:left w:val="nil"/>
              <w:bottom w:val="single" w:color="auto" w:sz="4" w:space="0"/>
              <w:right w:val="single" w:color="auto" w:sz="4" w:space="0"/>
            </w:tcBorders>
            <w:shd w:val="clear" w:color="000000" w:fill="EBF1DE"/>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480" w:hRule="atLeast"/>
        </w:trPr>
        <w:tc>
          <w:tcPr>
            <w:tcW w:w="643" w:type="dxa"/>
            <w:tcBorders>
              <w:top w:val="nil"/>
              <w:left w:val="single" w:color="auto" w:sz="4" w:space="0"/>
              <w:bottom w:val="single" w:color="auto" w:sz="4" w:space="0"/>
              <w:right w:val="single" w:color="auto" w:sz="4" w:space="0"/>
            </w:tcBorders>
            <w:shd w:val="clear" w:color="000000" w:fill="C4D79B"/>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费用明细</w:t>
            </w:r>
          </w:p>
        </w:tc>
        <w:tc>
          <w:tcPr>
            <w:tcW w:w="57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整体设计（效果图、施工图）包含三次修改，指挥中心、采编室、审片室、会议室、办公室、会客室、茶水区、改造项目、电梯前室、过道、演播室、家具订制等装修</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bl>
    <w:p>
      <w:pPr>
        <w:wordWrap w:val="0"/>
        <w:spacing w:line="400" w:lineRule="exact"/>
        <w:ind w:firstLine="484" w:firstLineChars="202"/>
        <w:jc w:val="left"/>
        <w:rPr>
          <w:rFonts w:hint="eastAsia" w:ascii="宋体" w:hAnsi="宋体"/>
          <w:b/>
          <w:color w:val="auto"/>
          <w:sz w:val="24"/>
          <w:highlight w:val="none"/>
        </w:rPr>
      </w:pPr>
      <w:r>
        <w:rPr>
          <w:rFonts w:hint="eastAsia" w:ascii="宋体" w:hAnsi="宋体" w:cs="仿宋_GB2312"/>
          <w:color w:val="auto"/>
          <w:sz w:val="24"/>
          <w:highlight w:val="none"/>
          <w:lang w:eastAsia="zh-CN"/>
        </w:rPr>
        <w:t>★</w:t>
      </w:r>
      <w:r>
        <w:rPr>
          <w:rFonts w:hint="eastAsia" w:ascii="宋体" w:hAnsi="宋体" w:cs="宋体"/>
          <w:color w:val="auto"/>
          <w:sz w:val="24"/>
          <w:highlight w:val="none"/>
        </w:rPr>
        <w:t>二、</w:t>
      </w:r>
      <w:r>
        <w:rPr>
          <w:rFonts w:hint="eastAsia" w:ascii="宋体" w:hAnsi="宋体"/>
          <w:b/>
          <w:color w:val="auto"/>
          <w:sz w:val="24"/>
          <w:highlight w:val="none"/>
        </w:rPr>
        <w:t>商务要求表</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4"/>
        <w:gridCol w:w="7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报价要求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pStyle w:val="5"/>
              <w:wordWrap w:val="0"/>
              <w:snapToGrid w:val="0"/>
              <w:spacing w:line="400" w:lineRule="exact"/>
              <w:outlineLvl w:val="0"/>
              <w:rPr>
                <w:rFonts w:hAnsi="宋体"/>
                <w:color w:val="auto"/>
                <w:sz w:val="24"/>
                <w:szCs w:val="24"/>
                <w:highlight w:val="none"/>
              </w:rPr>
            </w:pPr>
            <w:r>
              <w:rPr>
                <w:rFonts w:hint="eastAsia" w:hAnsi="宋体"/>
                <w:color w:val="auto"/>
                <w:sz w:val="24"/>
                <w:szCs w:val="24"/>
                <w:highlight w:val="none"/>
              </w:rPr>
              <w:t>本次报价须为人民币报价，包含产品价、运输费（含装卸费）、保险费、安装调试费、税费、培训费、产品检测费、产品质保期内维护费等费用。对于本文件中明确列明须报价的货物或服务，供应商存在漏报的，将导致投标无效。对于本文件中未列明，而</w:t>
            </w:r>
            <w:r>
              <w:rPr>
                <w:rFonts w:hint="eastAsia" w:hAnsi="宋体"/>
                <w:color w:val="auto"/>
                <w:sz w:val="24"/>
                <w:szCs w:val="24"/>
                <w:highlight w:val="none"/>
                <w:lang w:eastAsia="zh-CN"/>
              </w:rPr>
              <w:t>投标人</w:t>
            </w:r>
            <w:r>
              <w:rPr>
                <w:rFonts w:hint="eastAsia" w:hAnsi="宋体"/>
                <w:color w:val="auto"/>
                <w:sz w:val="24"/>
                <w:szCs w:val="24"/>
                <w:highlight w:val="none"/>
              </w:rPr>
              <w:t>认为必需的费用也需列入总报价。在合同实施时，采购人将不予支付投标人没有列入的项目费用，并认为此项目的费用已包括在投标总报价中。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合同签订日期</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中标通知书发出后</w:t>
            </w:r>
            <w:r>
              <w:rPr>
                <w:rFonts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交付时间</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采购合同签定后90个日历日内搭建完毕并检测合格交付使用。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交货地点</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质量保证</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pStyle w:val="4"/>
              <w:wordWrap w:val="0"/>
              <w:spacing w:line="40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投标人</w:t>
            </w:r>
            <w:r>
              <w:rPr>
                <w:rFonts w:hint="eastAsia" w:ascii="宋体" w:hAnsi="宋体"/>
                <w:color w:val="auto"/>
                <w:sz w:val="24"/>
                <w:highlight w:val="none"/>
              </w:rPr>
              <w:t>应明确承诺：</w:t>
            </w:r>
            <w:r>
              <w:rPr>
                <w:rFonts w:hint="eastAsia" w:ascii="宋体" w:hAnsi="宋体"/>
                <w:bCs/>
                <w:color w:val="auto"/>
                <w:kern w:val="0"/>
                <w:sz w:val="24"/>
                <w:highlight w:val="none"/>
              </w:rPr>
              <w:t>技术参数要求表中如无特别要求，则质保期自验收合格之日起不少于一年（投标文件应明确各产品的质保期，如供应商与厂家承诺的质保期不一致，以年限长的为准），</w:t>
            </w:r>
            <w:r>
              <w:rPr>
                <w:rFonts w:hint="eastAsia" w:ascii="宋体" w:hAnsi="宋体"/>
                <w:color w:val="auto"/>
                <w:sz w:val="24"/>
                <w:highlight w:val="none"/>
              </w:rPr>
              <w:t>从验收合格之日起每</w:t>
            </w:r>
            <w:r>
              <w:rPr>
                <w:rFonts w:ascii="宋体" w:hAnsi="宋体"/>
                <w:color w:val="auto"/>
                <w:sz w:val="24"/>
                <w:highlight w:val="none"/>
              </w:rPr>
              <w:t>3</w:t>
            </w:r>
            <w:r>
              <w:rPr>
                <w:rFonts w:hint="eastAsia" w:ascii="宋体" w:hAnsi="宋体"/>
                <w:color w:val="auto"/>
                <w:sz w:val="24"/>
                <w:highlight w:val="none"/>
              </w:rPr>
              <w:t>个月巡检一次，质保期内最少巡检</w:t>
            </w:r>
            <w:r>
              <w:rPr>
                <w:rFonts w:hint="eastAsia" w:ascii="宋体" w:hAnsi="宋体"/>
                <w:color w:val="auto"/>
                <w:sz w:val="24"/>
                <w:highlight w:val="none"/>
                <w:lang w:val="en-US" w:eastAsia="zh-CN"/>
              </w:rPr>
              <w:t>3</w:t>
            </w:r>
            <w:r>
              <w:rPr>
                <w:rFonts w:hint="eastAsia" w:ascii="宋体" w:hAnsi="宋体"/>
                <w:color w:val="auto"/>
                <w:sz w:val="24"/>
                <w:highlight w:val="none"/>
              </w:rPr>
              <w:t>次并免费运维、维修、保养、更换零部件。</w:t>
            </w:r>
          </w:p>
          <w:p>
            <w:pPr>
              <w:wordWrap w:val="0"/>
              <w:spacing w:line="400" w:lineRule="exact"/>
              <w:jc w:val="left"/>
              <w:rPr>
                <w:rFonts w:ascii="宋体" w:hAnsi="宋体"/>
                <w:color w:val="auto"/>
                <w:sz w:val="24"/>
                <w:highlight w:val="none"/>
              </w:rPr>
            </w:pPr>
            <w:r>
              <w:rPr>
                <w:rFonts w:hint="eastAsia" w:ascii="宋体" w:hAnsi="宋体"/>
                <w:color w:val="auto"/>
                <w:sz w:val="24"/>
                <w:highlight w:val="none"/>
              </w:rPr>
              <w:t>2、属于国家规定“三包”范围的，其质量保证期不得低于“三包”规定。投标人承诺质量保证期优于国家“三包”规定的，或优于招标文件规定的，按投标人实际承诺执行。</w:t>
            </w:r>
          </w:p>
          <w:p>
            <w:pPr>
              <w:wordWrap w:val="0"/>
              <w:spacing w:line="400" w:lineRule="exact"/>
              <w:jc w:val="left"/>
              <w:rPr>
                <w:rFonts w:ascii="宋体" w:hAnsi="宋体"/>
                <w:color w:val="auto"/>
                <w:sz w:val="24"/>
                <w:highlight w:val="none"/>
              </w:rPr>
            </w:pPr>
            <w:r>
              <w:rPr>
                <w:rFonts w:hint="eastAsia" w:ascii="宋体" w:hAnsi="宋体"/>
                <w:color w:val="auto"/>
                <w:sz w:val="24"/>
                <w:highlight w:val="none"/>
              </w:rPr>
              <w:t>3、中标后产品或服务由制造商（指产品生产制造商或服务实际提供人）负责质保期内的售后服务的，投标人应当在投标文件中予以明确说明，制造商提供的售后服务也应达到招标文件要求的标准，相关的售后服务费用由投标人向制造商支付，投标人可视情况在投标报价中予以考虑，采购人不予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服务标准、期限、效率</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ind w:left="42" w:right="141" w:hanging="2"/>
              <w:rPr>
                <w:rFonts w:ascii="宋体" w:hAnsi="宋体"/>
                <w:color w:val="auto"/>
                <w:sz w:val="24"/>
                <w:highlight w:val="none"/>
              </w:rPr>
            </w:pPr>
            <w:r>
              <w:rPr>
                <w:rFonts w:hint="eastAsia" w:ascii="宋体" w:hAnsi="宋体"/>
                <w:color w:val="auto"/>
                <w:sz w:val="24"/>
                <w:highlight w:val="none"/>
              </w:rPr>
              <w:t>售后服务除特别注明外，投标人在应当为采购人提供以下技术支持和服务：</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投标人</w:t>
            </w:r>
            <w:r>
              <w:rPr>
                <w:rFonts w:hint="eastAsia" w:ascii="宋体" w:hAnsi="宋体"/>
                <w:color w:val="auto"/>
                <w:sz w:val="24"/>
                <w:highlight w:val="none"/>
              </w:rPr>
              <w:t>负责送货上门、安装调试及技术咨询。投标产品必须是全新、完整、未使用过的优质产品。软件必须为无知识产权争议的产品，设备必须为符合国家有关质量安全标准的合格产品。产品零部件、配件、包装及安装材料必须是未经使用的全新的并符合国家有关质量安全标准的合格产品。</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投标人</w:t>
            </w:r>
            <w:r>
              <w:rPr>
                <w:rFonts w:hint="eastAsia" w:ascii="宋体" w:hAnsi="宋体"/>
                <w:color w:val="auto"/>
                <w:sz w:val="24"/>
                <w:highlight w:val="none"/>
              </w:rPr>
              <w:t>提供软件必须根据采购需求中要求的年限免费更新，设备提供终身维护服务并定期回访。质保期内负责维修及无偿提供设备原厂维修配件；质保期过后提供设备无偿维修服务，只收取更换配件费用。如有常用耗材、易损件及备品备件，其价格清单应在响应文件中列出。采购人需要继续由原投标人或制造商提供售后服务的，该投标人或制造商应以比市场价更优惠的价格提供售后服务。</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3.软件或设备发生故障时接到通知后2小时内响应，12小时内到达现场处理问题，一般问题应在到场后24小时内解决，重大问题或其它无法迅速解决的问题协商解决，处理时间不超过一周，设备及配件维修超过3天必须及时提供备用机及备品备件。投标人售后服务中，维修使用的备品备件及易损件应为原厂配件，未经采购人同意不得使用非原厂配件，质保期内维修使用的备品备件及易损件的费用，由投标人承担。质量保证期过后，采购人需要继续由原投标人提供售后服务的，该投标人应以优惠价格提供售后服务，常用的、容易损坏的备品备件及易损件的优惠价格清单须在响应文件中列出。</w:t>
            </w:r>
          </w:p>
          <w:p>
            <w:pPr>
              <w:wordWrap w:val="0"/>
              <w:spacing w:line="400" w:lineRule="exact"/>
              <w:ind w:left="44" w:right="141" w:hanging="2"/>
              <w:rPr>
                <w:rFonts w:ascii="宋体" w:hAnsi="宋体"/>
                <w:color w:val="auto"/>
                <w:sz w:val="24"/>
                <w:highlight w:val="none"/>
              </w:rPr>
            </w:pPr>
            <w:r>
              <w:rPr>
                <w:rFonts w:hint="eastAsia" w:ascii="宋体" w:hAnsi="宋体"/>
                <w:color w:val="auto"/>
                <w:sz w:val="24"/>
                <w:highlight w:val="none"/>
              </w:rPr>
              <w:t>4.随机提供相关资料：中文操作手册、维修保养手册、培训手册等。培训期间，培训人员的费用含在投标报价中。</w:t>
            </w:r>
          </w:p>
          <w:p>
            <w:pPr>
              <w:wordWrap w:val="0"/>
              <w:spacing w:line="400" w:lineRule="exact"/>
              <w:rPr>
                <w:rFonts w:ascii="宋体" w:hAnsi="宋体"/>
                <w:color w:val="auto"/>
                <w:sz w:val="24"/>
                <w:highlight w:val="none"/>
              </w:rPr>
            </w:pPr>
            <w:r>
              <w:rPr>
                <w:rFonts w:hint="eastAsia" w:ascii="宋体" w:hAnsi="宋体"/>
                <w:color w:val="auto"/>
                <w:sz w:val="24"/>
                <w:highlight w:val="none"/>
              </w:rPr>
              <w:t>5.其余按厂家承诺执行。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知识产权</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采购人在中华人民共和国境内使用供应商提供的产品及服务时免受第三方提出的侵犯其专利权或其它知识产权的起诉。如果第三方提出侵权指控，投标人应承担由此而引起的一切法律责任和费用。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核心产品</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本项目的核心产品为第</w:t>
            </w:r>
            <w:r>
              <w:rPr>
                <w:rFonts w:hint="eastAsia" w:ascii="宋体" w:hAnsi="宋体"/>
                <w:color w:val="auto"/>
                <w:sz w:val="24"/>
                <w:highlight w:val="none"/>
                <w:u w:val="single"/>
                <w:lang w:eastAsia="zh-CN"/>
              </w:rPr>
              <w:t>一、融媒体指挥中心系统（</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lang w:eastAsia="zh-CN"/>
              </w:rPr>
              <w:t>）LED显示屏系统</w:t>
            </w:r>
            <w:r>
              <w:rPr>
                <w:rFonts w:hint="eastAsia" w:ascii="宋体" w:hAnsi="宋体"/>
                <w:color w:val="auto"/>
                <w:sz w:val="24"/>
                <w:highlight w:val="none"/>
                <w:u w:val="single"/>
                <w:lang w:val="en-US" w:eastAsia="zh-CN"/>
              </w:rPr>
              <w:t>1.P1.8小间距LED显示屏(前维护)</w:t>
            </w:r>
            <w:r>
              <w:rPr>
                <w:rFonts w:hint="eastAsia" w:ascii="宋体" w:hAnsi="宋体"/>
                <w:color w:val="auto"/>
                <w:sz w:val="24"/>
                <w:highlight w:val="none"/>
                <w:lang w:eastAsia="zh-CN"/>
              </w:rPr>
              <w:t>项为核心产品。</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付款方式、时间及条件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项目完成签约后10个工作日内由采购人向</w:t>
            </w:r>
            <w:r>
              <w:rPr>
                <w:rFonts w:hint="eastAsia" w:ascii="宋体" w:hAnsi="宋体"/>
                <w:color w:val="auto"/>
                <w:sz w:val="24"/>
                <w:highlight w:val="none"/>
                <w:lang w:eastAsia="zh-CN"/>
              </w:rPr>
              <w:t>中标人</w:t>
            </w:r>
            <w:r>
              <w:rPr>
                <w:rFonts w:hint="eastAsia" w:ascii="宋体" w:hAnsi="宋体"/>
                <w:color w:val="auto"/>
                <w:sz w:val="24"/>
                <w:highlight w:val="none"/>
              </w:rPr>
              <w:t>支付合同总金额的30%，软件安装调试完毕并交付使用并验收合格后支付至合同总额的100%。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验收标准</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按采购需求中的技术服务要求、商务要求及国家相关标准进行验收。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b/>
                <w:color w:val="auto"/>
                <w:sz w:val="24"/>
                <w:highlight w:val="none"/>
              </w:rPr>
              <w:t>政策性加分条件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投标人能力</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质量管理、企业信用要求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能力或业绩要求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highlight w:val="none"/>
              </w:rPr>
            </w:pPr>
            <w:r>
              <w:rPr>
                <w:rFonts w:hint="eastAsia" w:ascii="宋体" w:hAnsi="宋体"/>
                <w:b/>
                <w:color w:val="auto"/>
                <w:sz w:val="24"/>
                <w:highlight w:val="none"/>
              </w:rPr>
              <w:t>采购人的特殊要求及说明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本项目所有货物不接受进口产品（即通过中国海关报关验放进入中国境内且产自关境外的产品）参与投标，如有此类产品参与投标的做无效标处理。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为落实政府采购政策需满足的要求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详见《第二章采购需求》及《第四章评标办法及评分标准》。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规范标准</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执行现行的强制执行的国家、行业、地方标准。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color w:val="auto"/>
                <w:sz w:val="24"/>
                <w:highlight w:val="none"/>
              </w:rPr>
            </w:pPr>
            <w:r>
              <w:rPr>
                <w:rFonts w:hint="eastAsia" w:ascii="宋体" w:hAnsi="宋体"/>
                <w:b/>
                <w:color w:val="auto"/>
                <w:sz w:val="24"/>
                <w:highlight w:val="none"/>
              </w:rPr>
              <w:t>验收标准、验收方法及方案</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详见招标文件《广西壮族自治区政府采购合同》。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其他技术及服务要求</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b/>
                <w:color w:val="auto"/>
                <w:sz w:val="24"/>
                <w:highlight w:val="none"/>
              </w:rPr>
              <w:t>五、其他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标注</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bCs/>
                <w:color w:val="auto"/>
                <w:sz w:val="24"/>
                <w:highlight w:val="none"/>
              </w:rPr>
            </w:pPr>
            <w:r>
              <w:rPr>
                <w:rFonts w:hint="eastAsia" w:ascii="宋体" w:hAnsi="宋体"/>
                <w:bCs/>
                <w:color w:val="auto"/>
                <w:sz w:val="24"/>
                <w:highlight w:val="none"/>
              </w:rPr>
              <w:t>采购需求中标注“</w:t>
            </w:r>
            <w:r>
              <w:rPr>
                <w:rFonts w:hint="eastAsia" w:ascii="宋体" w:hAnsi="宋体" w:eastAsia="宋体" w:cs="宋体"/>
                <w:color w:val="auto"/>
                <w:sz w:val="21"/>
                <w:szCs w:val="21"/>
                <w:highlight w:val="none"/>
              </w:rPr>
              <w:t>★</w:t>
            </w:r>
            <w:r>
              <w:rPr>
                <w:rFonts w:hint="eastAsia" w:ascii="宋体" w:hAnsi="宋体"/>
                <w:bCs/>
                <w:color w:val="auto"/>
                <w:sz w:val="24"/>
                <w:highlight w:val="none"/>
              </w:rPr>
              <w:t>”的项是指主要技术或服务要求。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产品资料及说明文件</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rPr>
                <w:rFonts w:ascii="宋体" w:hAnsi="宋体"/>
                <w:color w:val="auto"/>
                <w:sz w:val="24"/>
                <w:highlight w:val="none"/>
              </w:rPr>
            </w:pPr>
            <w:r>
              <w:rPr>
                <w:rFonts w:hint="eastAsia" w:ascii="宋体" w:hAnsi="宋体"/>
                <w:color w:val="auto"/>
                <w:sz w:val="24"/>
                <w:highlight w:val="none"/>
              </w:rPr>
              <w:t>1、投标文件中</w:t>
            </w:r>
            <w:r>
              <w:rPr>
                <w:rFonts w:hint="eastAsia" w:ascii="宋体" w:hAnsi="宋体"/>
                <w:color w:val="auto"/>
                <w:sz w:val="24"/>
                <w:highlight w:val="none"/>
                <w:lang w:val="en-US" w:eastAsia="zh-CN"/>
              </w:rPr>
              <w:t>要求</w:t>
            </w:r>
            <w:r>
              <w:rPr>
                <w:rFonts w:hint="eastAsia" w:ascii="宋体" w:hAnsi="宋体"/>
                <w:color w:val="auto"/>
                <w:sz w:val="24"/>
                <w:highlight w:val="none"/>
              </w:rPr>
              <w:t>提供</w:t>
            </w:r>
            <w:r>
              <w:rPr>
                <w:rFonts w:hint="eastAsia" w:ascii="宋体" w:hAnsi="宋体"/>
                <w:color w:val="auto"/>
                <w:sz w:val="24"/>
                <w:highlight w:val="none"/>
                <w:lang w:val="en-US" w:eastAsia="zh-CN"/>
              </w:rPr>
              <w:t>的</w:t>
            </w:r>
            <w:r>
              <w:rPr>
                <w:rFonts w:hint="eastAsia" w:ascii="宋体" w:hAnsi="宋体"/>
                <w:color w:val="auto"/>
                <w:sz w:val="24"/>
                <w:highlight w:val="none"/>
              </w:rPr>
              <w:t>投标产品</w:t>
            </w:r>
            <w:r>
              <w:rPr>
                <w:rFonts w:hint="eastAsia" w:ascii="宋体" w:hAnsi="宋体"/>
                <w:color w:val="auto"/>
                <w:sz w:val="24"/>
                <w:highlight w:val="none"/>
                <w:lang w:val="en-US" w:eastAsia="zh-CN"/>
              </w:rPr>
              <w:t>资料</w:t>
            </w:r>
            <w:r>
              <w:rPr>
                <w:rFonts w:hint="eastAsia" w:ascii="宋体" w:hAnsi="宋体"/>
                <w:color w:val="auto"/>
                <w:sz w:val="24"/>
                <w:highlight w:val="none"/>
              </w:rPr>
              <w:t>（体现技术参数，可以是从生产厂家网页下载的PDF</w:t>
            </w:r>
            <w:r>
              <w:rPr>
                <w:rFonts w:hint="eastAsia" w:ascii="宋体" w:hAnsi="宋体"/>
                <w:color w:val="auto"/>
                <w:sz w:val="24"/>
                <w:highlight w:val="none"/>
                <w:lang w:eastAsia="zh-CN"/>
              </w:rPr>
              <w:t>、</w:t>
            </w:r>
            <w:r>
              <w:rPr>
                <w:rFonts w:hint="eastAsia" w:ascii="宋体" w:hAnsi="宋体"/>
                <w:color w:val="auto"/>
                <w:sz w:val="24"/>
                <w:highlight w:val="none"/>
              </w:rPr>
              <w:t>HTM文件</w:t>
            </w:r>
            <w:r>
              <w:rPr>
                <w:rFonts w:hint="eastAsia" w:ascii="宋体" w:hAnsi="宋体"/>
                <w:color w:val="auto"/>
                <w:sz w:val="24"/>
                <w:highlight w:val="none"/>
                <w:lang w:val="en-US" w:eastAsia="zh-CN"/>
              </w:rPr>
              <w:t>或功能界面截图</w:t>
            </w:r>
            <w:r>
              <w:rPr>
                <w:rFonts w:hint="eastAsia" w:ascii="宋体" w:hAnsi="宋体"/>
                <w:color w:val="auto"/>
                <w:sz w:val="24"/>
                <w:highlight w:val="none"/>
              </w:rPr>
              <w:t>）</w:t>
            </w:r>
            <w:r>
              <w:rPr>
                <w:rFonts w:hint="eastAsia" w:ascii="宋体" w:hAnsi="宋体"/>
                <w:color w:val="auto"/>
                <w:sz w:val="24"/>
                <w:highlight w:val="none"/>
                <w:lang w:val="en-US" w:eastAsia="zh-CN"/>
              </w:rPr>
              <w:t>加盖投标人公章</w:t>
            </w:r>
            <w:r>
              <w:rPr>
                <w:rFonts w:hint="eastAsia" w:ascii="宋体" w:hAnsi="宋体"/>
                <w:color w:val="auto"/>
                <w:sz w:val="24"/>
                <w:highlight w:val="none"/>
              </w:rPr>
              <w:t>，以供评标时核对。当投标文件提供的设备性能参数与该设备生产商提供的性能参数不符合时，以后者为准。</w:t>
            </w:r>
          </w:p>
          <w:p>
            <w:pPr>
              <w:wordWrap w:val="0"/>
              <w:spacing w:line="400" w:lineRule="exact"/>
              <w:rPr>
                <w:rFonts w:ascii="宋体" w:hAnsi="宋体"/>
                <w:color w:val="auto"/>
                <w:sz w:val="24"/>
                <w:highlight w:val="none"/>
              </w:rPr>
            </w:pPr>
            <w:r>
              <w:rPr>
                <w:rFonts w:hint="eastAsia" w:ascii="宋体" w:hAnsi="宋体"/>
                <w:color w:val="auto"/>
                <w:sz w:val="24"/>
                <w:highlight w:val="none"/>
              </w:rPr>
              <w:t>2、投标人在供货时必须提供所投标产品生产厂家或国内代理商出具供货证明及售后服务承诺函复印件。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center"/>
              <w:rPr>
                <w:rFonts w:ascii="宋体" w:hAnsi="宋体"/>
                <w:b/>
                <w:color w:val="auto"/>
                <w:sz w:val="24"/>
                <w:highlight w:val="none"/>
              </w:rPr>
            </w:pPr>
            <w:r>
              <w:rPr>
                <w:rFonts w:hint="eastAsia" w:ascii="宋体" w:hAnsi="宋体"/>
                <w:b/>
                <w:color w:val="auto"/>
                <w:sz w:val="24"/>
                <w:highlight w:val="none"/>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pPr>
              <w:wordWrap w:val="0"/>
              <w:spacing w:line="400" w:lineRule="exact"/>
              <w:jc w:val="left"/>
              <w:rPr>
                <w:rFonts w:ascii="宋体" w:hAnsi="宋体"/>
                <w:color w:val="auto"/>
                <w:sz w:val="24"/>
                <w:highlight w:val="none"/>
              </w:rPr>
            </w:pPr>
            <w:r>
              <w:rPr>
                <w:rFonts w:hint="eastAsia" w:ascii="宋体" w:hAnsi="宋体"/>
                <w:color w:val="auto"/>
                <w:sz w:val="24"/>
                <w:highlight w:val="none"/>
              </w:rPr>
              <w:t>说明：</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1. 本招标文件所称中小企业必须符合《政府采购促进中小企业发展暂行办法》第二条规定。</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2. 小型和微型企业产品的价格给予10%的扣除，用扣除后的价格参与评审，具体扣除比例以第四章《评标办法及评标标准》的规定为准。</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3. 小型、微型企业提供中型企业制造的货物的，视同为中型企业。</w:t>
            </w:r>
          </w:p>
          <w:p>
            <w:pPr>
              <w:wordWrap w:val="0"/>
              <w:spacing w:line="400" w:lineRule="exact"/>
              <w:ind w:firstLine="484" w:firstLineChars="202"/>
              <w:jc w:val="left"/>
              <w:rPr>
                <w:rFonts w:ascii="宋体" w:hAnsi="宋体"/>
                <w:color w:val="auto"/>
                <w:sz w:val="24"/>
                <w:highlight w:val="none"/>
              </w:rPr>
            </w:pPr>
            <w:r>
              <w:rPr>
                <w:rFonts w:hint="eastAsia" w:ascii="宋体" w:hAnsi="宋体"/>
                <w:color w:val="auto"/>
                <w:sz w:val="24"/>
                <w:highlight w:val="none"/>
              </w:rPr>
              <w:t>4. 小型、微型企业提供大型企业制造的货物的，视同为大型企业。</w:t>
            </w:r>
          </w:p>
        </w:tc>
      </w:tr>
    </w:tbl>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A3CE2"/>
    <w:multiLevelType w:val="singleLevel"/>
    <w:tmpl w:val="BF5A3CE2"/>
    <w:lvl w:ilvl="0" w:tentative="0">
      <w:start w:val="1"/>
      <w:numFmt w:val="chineseCounting"/>
      <w:suff w:val="nothing"/>
      <w:lvlText w:val="%1、"/>
      <w:lvlJc w:val="left"/>
      <w:rPr>
        <w:rFonts w:hint="eastAsia"/>
      </w:rPr>
    </w:lvl>
  </w:abstractNum>
  <w:abstractNum w:abstractNumId="1">
    <w:nsid w:val="5BBC0447"/>
    <w:multiLevelType w:val="multilevel"/>
    <w:tmpl w:val="5BBC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C570A"/>
    <w:rsid w:val="012358E7"/>
    <w:rsid w:val="14053A6C"/>
    <w:rsid w:val="16922364"/>
    <w:rsid w:val="1AA06E42"/>
    <w:rsid w:val="3B9869EC"/>
    <w:rsid w:val="3F3016A4"/>
    <w:rsid w:val="43274D4F"/>
    <w:rsid w:val="43890AE5"/>
    <w:rsid w:val="458A0F65"/>
    <w:rsid w:val="45BB12F8"/>
    <w:rsid w:val="4776627E"/>
    <w:rsid w:val="47785D40"/>
    <w:rsid w:val="595151DF"/>
    <w:rsid w:val="5C375FF1"/>
    <w:rsid w:val="68E61F76"/>
    <w:rsid w:val="6B7A3DE5"/>
    <w:rsid w:val="758C570A"/>
    <w:rsid w:val="776D38FA"/>
    <w:rsid w:val="781E112B"/>
    <w:rsid w:val="7E4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4">
    <w:name w:val="annotation text"/>
    <w:basedOn w:val="1"/>
    <w:unhideWhenUsed/>
    <w:qFormat/>
    <w:uiPriority w:val="0"/>
    <w:pPr>
      <w:jc w:val="left"/>
    </w:pPr>
  </w:style>
  <w:style w:type="paragraph" w:styleId="5">
    <w:name w:val="Plain Text"/>
    <w:basedOn w:val="1"/>
    <w:next w:val="3"/>
    <w:qFormat/>
    <w:uiPriority w:val="0"/>
    <w:rPr>
      <w:rFonts w:ascii="宋体" w:hAnsi="Courier New"/>
      <w:kern w:val="0"/>
      <w:sz w:val="20"/>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2021-09-10T07:36:00Z</dcterms:created>
  <dc:creator>lenovo</dc:creator>
  <cp:lastModifiedBy>TAOTAO</cp:lastModifiedBy>
  <dcterms:modified xsi:type="dcterms:W3CDTF">2021-09-10T13:11:21Z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558E25B16C694160869551B2B6CA5BFA</vt:lpwstr>
  </property>
</Properties>
</file>