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831" w:type="dxa"/>
        <w:shd w:val="clear" w:color="auto" w:fill="auto"/>
        <w:tblLayout w:type="autofit"/>
        <w:tblCellMar>
          <w:top w:w="0" w:type="dxa"/>
          <w:left w:w="0" w:type="dxa"/>
          <w:bottom w:w="0" w:type="dxa"/>
          <w:right w:w="0" w:type="dxa"/>
        </w:tblCellMar>
      </w:tblPr>
      <w:tblGrid>
        <w:gridCol w:w="293"/>
        <w:gridCol w:w="1456"/>
        <w:gridCol w:w="1743"/>
        <w:gridCol w:w="1074"/>
        <w:gridCol w:w="678"/>
        <w:gridCol w:w="978"/>
        <w:gridCol w:w="776"/>
        <w:gridCol w:w="2242"/>
      </w:tblGrid>
      <w:tr>
        <w:tblPrEx>
          <w:shd w:val="clear" w:color="auto" w:fill="auto"/>
          <w:tblCellMar>
            <w:top w:w="0" w:type="dxa"/>
            <w:left w:w="0" w:type="dxa"/>
            <w:bottom w:w="0" w:type="dxa"/>
            <w:right w:w="0" w:type="dxa"/>
          </w:tblCellMar>
        </w:tblPrEx>
        <w:tc>
          <w:tcPr>
            <w:tcW w:w="5000" w:type="pct"/>
            <w:gridSpan w:val="8"/>
            <w:vMerge w:val="restart"/>
            <w:shd w:val="clear" w:color="auto" w:fill="auto"/>
            <w:vAlign w:val="center"/>
          </w:tcPr>
          <w:p>
            <w:pPr>
              <w:pStyle w:val="2"/>
              <w:keepNext w:val="0"/>
              <w:keepLines w:val="0"/>
              <w:widowControl/>
              <w:suppressLineNumbers w:val="0"/>
              <w:spacing w:before="0" w:beforeAutospacing="0" w:after="0" w:afterAutospacing="0" w:line="525" w:lineRule="atLeast"/>
              <w:ind w:left="0" w:right="0"/>
              <w:jc w:val="center"/>
            </w:pPr>
            <w:r>
              <w:rPr>
                <w:rFonts w:ascii="微软雅黑" w:hAnsi="微软雅黑" w:eastAsia="微软雅黑" w:cs="微软雅黑"/>
                <w:color w:val="333333"/>
                <w:sz w:val="32"/>
                <w:szCs w:val="32"/>
              </w:rPr>
              <w:t>桂林市七星区塔山片区城中村改造项目（桂林市七星区穿山塔山片区棚户区改造项目）-刘家桥项目施工招标公告</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1、招标条件</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本招标项目</w:t>
            </w:r>
            <w:r>
              <w:rPr>
                <w:rFonts w:hint="eastAsia" w:ascii="微软雅黑" w:hAnsi="微软雅黑" w:eastAsia="微软雅黑" w:cs="微软雅黑"/>
                <w:b/>
                <w:color w:val="333333"/>
                <w:sz w:val="24"/>
                <w:szCs w:val="24"/>
              </w:rPr>
              <w:t>桂林市七星区塔山片区城中村改造项目（桂林市七星区穿山塔山片区棚户区改造项目）-刘家桥项目</w:t>
            </w:r>
            <w:r>
              <w:rPr>
                <w:rFonts w:hint="eastAsia" w:ascii="微软雅黑" w:hAnsi="微软雅黑" w:eastAsia="微软雅黑" w:cs="微软雅黑"/>
                <w:color w:val="333333"/>
                <w:sz w:val="24"/>
                <w:szCs w:val="24"/>
              </w:rPr>
              <w:t>（招标文件备案编号：2020-SG-25） 已由</w:t>
            </w:r>
            <w:r>
              <w:rPr>
                <w:rFonts w:hint="eastAsia" w:ascii="微软雅黑" w:hAnsi="微软雅黑" w:eastAsia="微软雅黑" w:cs="微软雅黑"/>
                <w:b/>
                <w:color w:val="333333"/>
                <w:sz w:val="24"/>
                <w:szCs w:val="24"/>
              </w:rPr>
              <w:t>桂林国家高新区管委会七星区人民政府发展和改革局</w:t>
            </w:r>
            <w:r>
              <w:rPr>
                <w:rFonts w:hint="eastAsia" w:ascii="微软雅黑" w:hAnsi="微软雅黑" w:eastAsia="微软雅黑" w:cs="微软雅黑"/>
                <w:color w:val="333333"/>
                <w:sz w:val="24"/>
                <w:szCs w:val="24"/>
              </w:rPr>
              <w:t xml:space="preserve">以 </w:t>
            </w:r>
            <w:r>
              <w:rPr>
                <w:rFonts w:hint="eastAsia" w:ascii="微软雅黑" w:hAnsi="微软雅黑" w:eastAsia="微软雅黑" w:cs="微软雅黑"/>
                <w:b/>
                <w:color w:val="333333"/>
                <w:sz w:val="24"/>
                <w:szCs w:val="24"/>
              </w:rPr>
              <w:t>广西壮族自治区投资项目备案证明(2018-450305-48-03-018586)</w:t>
            </w:r>
            <w:r>
              <w:rPr>
                <w:rFonts w:hint="eastAsia" w:ascii="微软雅黑" w:hAnsi="微软雅黑" w:eastAsia="微软雅黑" w:cs="微软雅黑"/>
                <w:color w:val="333333"/>
                <w:sz w:val="24"/>
                <w:szCs w:val="24"/>
              </w:rPr>
              <w:t xml:space="preserve"> 批准建设，招标人（项目业主）为 </w:t>
            </w:r>
            <w:r>
              <w:rPr>
                <w:rFonts w:hint="eastAsia" w:ascii="微软雅黑" w:hAnsi="微软雅黑" w:eastAsia="微软雅黑" w:cs="微软雅黑"/>
                <w:b/>
                <w:color w:val="333333"/>
                <w:sz w:val="24"/>
                <w:szCs w:val="24"/>
              </w:rPr>
              <w:t>桂林高新技术产业建设开发总公司</w:t>
            </w:r>
            <w:r>
              <w:rPr>
                <w:rFonts w:hint="eastAsia" w:ascii="微软雅黑" w:hAnsi="微软雅黑" w:eastAsia="微软雅黑" w:cs="微软雅黑"/>
                <w:color w:val="333333"/>
                <w:sz w:val="24"/>
                <w:szCs w:val="24"/>
              </w:rPr>
              <w:t xml:space="preserve"> ，建设资金来自财政，项目出资比例为</w:t>
            </w:r>
            <w:r>
              <w:rPr>
                <w:rFonts w:hint="eastAsia" w:ascii="微软雅黑" w:hAnsi="微软雅黑" w:eastAsia="微软雅黑" w:cs="微软雅黑"/>
                <w:b/>
                <w:color w:val="333333"/>
                <w:sz w:val="24"/>
                <w:szCs w:val="24"/>
              </w:rPr>
              <w:t>100.00%</w:t>
            </w:r>
            <w:r>
              <w:rPr>
                <w:rFonts w:hint="eastAsia" w:ascii="微软雅黑" w:hAnsi="微软雅黑" w:eastAsia="微软雅黑" w:cs="微软雅黑"/>
                <w:color w:val="333333"/>
                <w:sz w:val="24"/>
                <w:szCs w:val="24"/>
              </w:rPr>
              <w:t xml:space="preserve">。项目已具备招标条件，现对该项目的施工进行公开招标。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2、项目概况与招标范围</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项目招标编号：</w:t>
            </w:r>
            <w:r>
              <w:rPr>
                <w:rFonts w:hint="eastAsia" w:ascii="微软雅黑" w:hAnsi="微软雅黑" w:eastAsia="微软雅黑" w:cs="微软雅黑"/>
                <w:b/>
                <w:color w:val="333333"/>
                <w:sz w:val="24"/>
                <w:szCs w:val="24"/>
              </w:rPr>
              <w:t>2020-SG-25</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报建号（如有）：</w:t>
            </w:r>
            <w:r>
              <w:rPr>
                <w:rFonts w:hint="eastAsia" w:ascii="微软雅黑" w:hAnsi="微软雅黑" w:eastAsia="微软雅黑" w:cs="微软雅黑"/>
                <w:b/>
                <w:color w:val="333333"/>
                <w:sz w:val="24"/>
                <w:szCs w:val="24"/>
              </w:rPr>
              <w:t>2018-450305-48-03-018586</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建设地点：</w:t>
            </w:r>
            <w:r>
              <w:rPr>
                <w:rFonts w:hint="eastAsia" w:ascii="微软雅黑" w:hAnsi="微软雅黑" w:eastAsia="微软雅黑" w:cs="微软雅黑"/>
                <w:b/>
                <w:color w:val="333333"/>
                <w:sz w:val="24"/>
                <w:szCs w:val="24"/>
              </w:rPr>
              <w:t>七星区</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建设规模：</w:t>
            </w:r>
            <w:r>
              <w:rPr>
                <w:rFonts w:hint="eastAsia" w:ascii="微软雅黑" w:hAnsi="微软雅黑" w:eastAsia="微软雅黑" w:cs="微软雅黑"/>
                <w:b/>
                <w:color w:val="333333"/>
                <w:sz w:val="24"/>
                <w:szCs w:val="24"/>
              </w:rPr>
              <w:t>规划桥梁全长约65米，红线宽22米，最大单跨16米</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合同估算价：</w:t>
            </w:r>
            <w:r>
              <w:rPr>
                <w:rFonts w:hint="eastAsia" w:ascii="微软雅黑" w:hAnsi="微软雅黑" w:eastAsia="微软雅黑" w:cs="微软雅黑"/>
                <w:b/>
                <w:color w:val="333333"/>
                <w:sz w:val="24"/>
                <w:szCs w:val="24"/>
                <w:lang w:val="en-US" w:eastAsia="zh-CN"/>
              </w:rPr>
              <w:t>3144.34</w:t>
            </w:r>
            <w:bookmarkStart w:id="0" w:name="_GoBack"/>
            <w:bookmarkEnd w:id="0"/>
            <w:r>
              <w:rPr>
                <w:rFonts w:hint="eastAsia" w:ascii="微软雅黑" w:hAnsi="微软雅黑" w:eastAsia="微软雅黑" w:cs="微软雅黑"/>
                <w:color w:val="333333"/>
                <w:sz w:val="24"/>
                <w:szCs w:val="24"/>
              </w:rPr>
              <w:t>万元</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要求工期：</w:t>
            </w:r>
            <w:r>
              <w:rPr>
                <w:rFonts w:hint="eastAsia" w:ascii="微软雅黑" w:hAnsi="微软雅黑" w:eastAsia="微软雅黑" w:cs="微软雅黑"/>
                <w:b/>
                <w:color w:val="333333"/>
                <w:sz w:val="24"/>
                <w:szCs w:val="24"/>
              </w:rPr>
              <w:t>330</w:t>
            </w:r>
            <w:r>
              <w:rPr>
                <w:rFonts w:hint="eastAsia" w:ascii="微软雅黑" w:hAnsi="微软雅黑" w:eastAsia="微软雅黑" w:cs="微软雅黑"/>
                <w:color w:val="333333"/>
                <w:sz w:val="24"/>
                <w:szCs w:val="24"/>
              </w:rPr>
              <w:t xml:space="preserve">日历天,定额工期 </w:t>
            </w:r>
            <w:r>
              <w:rPr>
                <w:rFonts w:hint="eastAsia" w:ascii="微软雅黑" w:hAnsi="微软雅黑" w:eastAsia="微软雅黑" w:cs="微软雅黑"/>
                <w:b/>
                <w:color w:val="333333"/>
                <w:sz w:val="24"/>
                <w:szCs w:val="24"/>
              </w:rPr>
              <w:t>330</w:t>
            </w:r>
            <w:r>
              <w:rPr>
                <w:rFonts w:hint="eastAsia" w:ascii="微软雅黑" w:hAnsi="微软雅黑" w:eastAsia="微软雅黑" w:cs="微软雅黑"/>
                <w:color w:val="333333"/>
                <w:sz w:val="24"/>
                <w:szCs w:val="24"/>
              </w:rPr>
              <w:t xml:space="preserve"> 日历天【备注：建筑安装工程定额工期应按《建筑安装工程工期定额（TY01-89-2016）》确定】工期压缩≧20%时，须组织专家论证，且在招标工程量清单中增设提前竣工（赶工补偿）费项目清单】</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招标范围：</w:t>
            </w:r>
            <w:r>
              <w:rPr>
                <w:rFonts w:hint="eastAsia" w:ascii="微软雅黑" w:hAnsi="微软雅黑" w:eastAsia="微软雅黑" w:cs="微软雅黑"/>
                <w:b/>
                <w:color w:val="333333"/>
                <w:sz w:val="24"/>
                <w:szCs w:val="24"/>
              </w:rPr>
              <w:t>经评审备案的施工图范围内的工程内容，详见工程量清单及图纸</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标段划分：</w:t>
            </w:r>
            <w:r>
              <w:rPr>
                <w:rFonts w:hint="eastAsia" w:ascii="微软雅黑" w:hAnsi="微软雅黑" w:eastAsia="微软雅黑" w:cs="微软雅黑"/>
                <w:b/>
                <w:color w:val="333333"/>
                <w:sz w:val="24"/>
                <w:szCs w:val="24"/>
              </w:rPr>
              <w:t xml:space="preserve"> 无</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设计单位：</w:t>
            </w:r>
            <w:r>
              <w:rPr>
                <w:rFonts w:hint="eastAsia" w:ascii="微软雅黑" w:hAnsi="微软雅黑" w:eastAsia="微软雅黑" w:cs="微软雅黑"/>
                <w:b/>
                <w:color w:val="333333"/>
                <w:sz w:val="24"/>
                <w:szCs w:val="24"/>
              </w:rPr>
              <w:t xml:space="preserve"> </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勘察单位：</w:t>
            </w:r>
            <w:r>
              <w:rPr>
                <w:rFonts w:hint="eastAsia" w:ascii="微软雅黑" w:hAnsi="微软雅黑" w:eastAsia="微软雅黑" w:cs="微软雅黑"/>
                <w:b/>
                <w:color w:val="333333"/>
                <w:sz w:val="24"/>
                <w:szCs w:val="24"/>
              </w:rPr>
              <w:t xml:space="preserve">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3、投标人资格要求</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3.1本次招标要求投标人须已办理诚信库入库手续并处于有效状态，具备</w:t>
            </w:r>
            <w:r>
              <w:rPr>
                <w:rFonts w:hint="eastAsia" w:ascii="微软雅黑" w:hAnsi="微软雅黑" w:eastAsia="微软雅黑" w:cs="微软雅黑"/>
                <w:b/>
                <w:color w:val="333333"/>
                <w:sz w:val="24"/>
                <w:szCs w:val="24"/>
              </w:rPr>
              <w:t>[市政公用工程施工总承包三级](含)以上</w:t>
            </w:r>
            <w:r>
              <w:rPr>
                <w:rFonts w:hint="eastAsia" w:ascii="微软雅黑" w:hAnsi="微软雅黑" w:eastAsia="微软雅黑" w:cs="微软雅黑"/>
                <w:color w:val="333333"/>
                <w:sz w:val="24"/>
                <w:szCs w:val="24"/>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微软雅黑" w:hAnsi="微软雅黑" w:eastAsia="微软雅黑" w:cs="微软雅黑"/>
                <w:b/>
                <w:color w:val="333333"/>
                <w:sz w:val="24"/>
                <w:szCs w:val="24"/>
              </w:rPr>
              <w:t>[市政公用工程二级](含)以上</w:t>
            </w:r>
            <w:r>
              <w:rPr>
                <w:rFonts w:hint="eastAsia" w:ascii="微软雅黑" w:hAnsi="微软雅黑" w:eastAsia="微软雅黑" w:cs="微软雅黑"/>
                <w:color w:val="333333"/>
                <w:sz w:val="24"/>
                <w:szCs w:val="24"/>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3.2业绩要求:无要求</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3.3本次招标不接受联合体投标。</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3.6投标人信息以广西建筑业企业诚信信息库为准。</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4、招标文件的获取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4.12020年08月07日至投标文件递交的截止时间止（不少于20日），由潜在投标人的专职投标员凭企业CA锁登录桂林市公共资源交易平台（http://glggzy.org.cn）免费下载招标文件。</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5、投标文件的递交</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5.1投标人须在投标截止前，截止时间（投标截止时间，下同）为 2020年08月31日 09时30分，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6、评标方式</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综合评估法</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7、预付款和进度款支付方式【备注：该项为可选项】</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8、发布招标公告的媒体</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本次招标公告同时在中国招标投标公共服务平台http://www.cebpubservice.com、广西壮族自治区招标投标公共服务平台http://ztb.gxi.gov.cn、桂林市公共资源交易中心http://glggzy.org.cn发布。（备注：实行招标投标的政府采购工程项目还应当同时在中国政府采购网http://zfcg.gxzf.gov.cn、广西壮族自治区政府采购网www.gxzfcg.gov.cn、桂林政府采购网上发布）。（备注：实行招标投标的政府采购工程项目还应当同时在中国政府采购网http://zfcg.gxzf.gov.cn、广西壮族自治区政府采购网www.gxzfcg.gov.cn、桂林政府采购网上发布）。</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9、交易服务单位</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桂林市公共资源交易中心 电话：0773 5625165</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10、监督部门及电话</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桂林市建设工程综合监督站 电话：3825369 3810165</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11、注意事项</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11.2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12、联系方式</w:t>
            </w:r>
          </w:p>
        </w:tc>
      </w:tr>
      <w:tr>
        <w:tblPrEx>
          <w:tblCellMar>
            <w:top w:w="0" w:type="dxa"/>
            <w:left w:w="0" w:type="dxa"/>
            <w:bottom w:w="0" w:type="dxa"/>
            <w:right w:w="0" w:type="dxa"/>
          </w:tblCellMar>
        </w:tblPrEx>
        <w:tc>
          <w:tcPr>
            <w:tcW w:w="5000" w:type="pct"/>
            <w:gridSpan w:val="8"/>
            <w:vMerge w:val="continue"/>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36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招 标 人：</w:t>
            </w:r>
          </w:p>
        </w:tc>
        <w:tc>
          <w:tcPr>
            <w:tcW w:w="1524"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桂林高新技术产业建设开发总公司</w:t>
            </w: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招标代理机构：</w:t>
            </w: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亿诚建设项目管理有限公司</w:t>
            </w:r>
          </w:p>
        </w:tc>
      </w:tr>
      <w:tr>
        <w:tblPrEx>
          <w:tblCellMar>
            <w:top w:w="0" w:type="dxa"/>
            <w:left w:w="0" w:type="dxa"/>
            <w:bottom w:w="0" w:type="dxa"/>
            <w:right w:w="0" w:type="dxa"/>
          </w:tblCellMar>
        </w:tblPrEx>
        <w:trPr>
          <w:trHeight w:val="70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地 址：</w:t>
            </w:r>
          </w:p>
        </w:tc>
        <w:tc>
          <w:tcPr>
            <w:tcW w:w="1524"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桂林市七星区</w:t>
            </w: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地 址：</w:t>
            </w: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桂林市中隐路清华园A3栋3楼</w:t>
            </w:r>
          </w:p>
        </w:tc>
      </w:tr>
      <w:tr>
        <w:tblPrEx>
          <w:tblCellMar>
            <w:top w:w="0" w:type="dxa"/>
            <w:left w:w="0" w:type="dxa"/>
            <w:bottom w:w="0" w:type="dxa"/>
            <w:right w:w="0" w:type="dxa"/>
          </w:tblCellMar>
        </w:tblPrEx>
        <w:trPr>
          <w:trHeight w:val="48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邮 编：</w:t>
            </w: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邮 编：</w:t>
            </w: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541000</w:t>
            </w:r>
          </w:p>
        </w:tc>
      </w:tr>
      <w:tr>
        <w:tblPrEx>
          <w:tblCellMar>
            <w:top w:w="0" w:type="dxa"/>
            <w:left w:w="0" w:type="dxa"/>
            <w:bottom w:w="0" w:type="dxa"/>
            <w:right w:w="0" w:type="dxa"/>
          </w:tblCellMar>
        </w:tblPrEx>
        <w:trPr>
          <w:trHeight w:val="58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联 系 人：</w:t>
            </w:r>
          </w:p>
        </w:tc>
        <w:tc>
          <w:tcPr>
            <w:tcW w:w="1524"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刘瑜</w:t>
            </w: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联 系 人：</w:t>
            </w: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秦飞翼</w:t>
            </w:r>
          </w:p>
        </w:tc>
      </w:tr>
      <w:tr>
        <w:tblPrEx>
          <w:tblCellMar>
            <w:top w:w="0" w:type="dxa"/>
            <w:left w:w="0" w:type="dxa"/>
            <w:bottom w:w="0" w:type="dxa"/>
            <w:right w:w="0" w:type="dxa"/>
          </w:tblCellMar>
        </w:tblPrEx>
        <w:trPr>
          <w:trHeight w:val="60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电 话：</w:t>
            </w:r>
          </w:p>
        </w:tc>
        <w:tc>
          <w:tcPr>
            <w:tcW w:w="1524"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18078358188</w:t>
            </w: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电 话：</w:t>
            </w: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13457689697</w:t>
            </w:r>
          </w:p>
        </w:tc>
      </w:tr>
      <w:tr>
        <w:tblPrEx>
          <w:tblCellMar>
            <w:top w:w="0" w:type="dxa"/>
            <w:left w:w="0" w:type="dxa"/>
            <w:bottom w:w="0" w:type="dxa"/>
            <w:right w:w="0" w:type="dxa"/>
          </w:tblCellMar>
        </w:tblPrEx>
        <w:trPr>
          <w:trHeight w:val="46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传 真：</w:t>
            </w: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传 真：</w:t>
            </w: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70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电 子 邮 件：</w:t>
            </w: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电 子 邮 件：</w:t>
            </w: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36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网 址：</w:t>
            </w: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896"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网 址：</w:t>
            </w: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rPr>
                <w:rFonts w:hint="eastAsia" w:ascii="微软雅黑" w:hAnsi="微软雅黑" w:eastAsia="微软雅黑" w:cs="微软雅黑"/>
                <w:color w:val="333333"/>
                <w:sz w:val="24"/>
                <w:szCs w:val="24"/>
              </w:rPr>
            </w:pP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367" w:type="pct"/>
            <w:shd w:val="clear" w:color="auto" w:fill="auto"/>
            <w:vAlign w:val="center"/>
          </w:tcPr>
          <w:p>
            <w:pPr>
              <w:rPr>
                <w:rFonts w:hint="eastAsia" w:ascii="微软雅黑" w:hAnsi="微软雅黑" w:eastAsia="微软雅黑" w:cs="微软雅黑"/>
                <w:color w:val="333333"/>
                <w:sz w:val="24"/>
                <w:szCs w:val="24"/>
              </w:rPr>
            </w:pPr>
          </w:p>
        </w:tc>
        <w:tc>
          <w:tcPr>
            <w:tcW w:w="528" w:type="pct"/>
            <w:shd w:val="clear" w:color="auto" w:fill="auto"/>
            <w:vAlign w:val="center"/>
          </w:tcPr>
          <w:p>
            <w:pPr>
              <w:rPr>
                <w:rFonts w:hint="eastAsia" w:ascii="微软雅黑" w:hAnsi="微软雅黑" w:eastAsia="微软雅黑" w:cs="微软雅黑"/>
                <w:color w:val="333333"/>
                <w:sz w:val="24"/>
                <w:szCs w:val="24"/>
              </w:rPr>
            </w:pP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8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rPr>
                <w:rFonts w:hint="eastAsia" w:ascii="微软雅黑" w:hAnsi="微软雅黑" w:eastAsia="微软雅黑" w:cs="微软雅黑"/>
                <w:color w:val="333333"/>
                <w:sz w:val="24"/>
                <w:szCs w:val="24"/>
              </w:rPr>
            </w:pP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367" w:type="pct"/>
            <w:shd w:val="clear" w:color="auto" w:fill="auto"/>
            <w:vAlign w:val="center"/>
          </w:tcPr>
          <w:p>
            <w:pPr>
              <w:rPr>
                <w:rFonts w:hint="eastAsia" w:ascii="微软雅黑" w:hAnsi="微软雅黑" w:eastAsia="微软雅黑" w:cs="微软雅黑"/>
                <w:color w:val="333333"/>
                <w:sz w:val="24"/>
                <w:szCs w:val="24"/>
              </w:rPr>
            </w:pPr>
          </w:p>
        </w:tc>
        <w:tc>
          <w:tcPr>
            <w:tcW w:w="528" w:type="pct"/>
            <w:shd w:val="clear" w:color="auto" w:fill="auto"/>
            <w:vAlign w:val="center"/>
          </w:tcPr>
          <w:p>
            <w:pPr>
              <w:rPr>
                <w:rFonts w:hint="eastAsia" w:ascii="微软雅黑" w:hAnsi="微软雅黑" w:eastAsia="微软雅黑" w:cs="微软雅黑"/>
                <w:color w:val="333333"/>
                <w:sz w:val="24"/>
                <w:szCs w:val="24"/>
              </w:rPr>
            </w:pP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rPr>
                <w:rFonts w:hint="eastAsia" w:ascii="微软雅黑" w:hAnsi="微软雅黑" w:eastAsia="微软雅黑" w:cs="微软雅黑"/>
                <w:color w:val="333333"/>
                <w:sz w:val="24"/>
                <w:szCs w:val="24"/>
              </w:rPr>
            </w:pP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367" w:type="pct"/>
            <w:shd w:val="clear" w:color="auto" w:fill="auto"/>
            <w:vAlign w:val="center"/>
          </w:tcPr>
          <w:p>
            <w:pPr>
              <w:rPr>
                <w:rFonts w:hint="eastAsia" w:ascii="微软雅黑" w:hAnsi="微软雅黑" w:eastAsia="微软雅黑" w:cs="微软雅黑"/>
                <w:color w:val="333333"/>
                <w:sz w:val="24"/>
                <w:szCs w:val="24"/>
              </w:rPr>
            </w:pPr>
          </w:p>
        </w:tc>
        <w:tc>
          <w:tcPr>
            <w:tcW w:w="528" w:type="pct"/>
            <w:shd w:val="clear" w:color="auto" w:fill="auto"/>
            <w:vAlign w:val="center"/>
          </w:tcPr>
          <w:p>
            <w:pPr>
              <w:rPr>
                <w:rFonts w:hint="eastAsia" w:ascii="微软雅黑" w:hAnsi="微软雅黑" w:eastAsia="微软雅黑" w:cs="微软雅黑"/>
                <w:color w:val="333333"/>
                <w:sz w:val="24"/>
                <w:szCs w:val="24"/>
              </w:rPr>
            </w:pP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80"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rPr>
                <w:rFonts w:hint="eastAsia" w:ascii="微软雅黑" w:hAnsi="微软雅黑" w:eastAsia="微软雅黑" w:cs="微软雅黑"/>
                <w:color w:val="333333"/>
                <w:sz w:val="24"/>
                <w:szCs w:val="24"/>
              </w:rPr>
            </w:pP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367" w:type="pct"/>
            <w:shd w:val="clear" w:color="auto" w:fill="auto"/>
            <w:vAlign w:val="center"/>
          </w:tcPr>
          <w:p>
            <w:pPr>
              <w:rPr>
                <w:rFonts w:hint="eastAsia" w:ascii="微软雅黑" w:hAnsi="微软雅黑" w:eastAsia="微软雅黑" w:cs="微软雅黑"/>
                <w:color w:val="333333"/>
                <w:sz w:val="24"/>
                <w:szCs w:val="24"/>
              </w:rPr>
            </w:pPr>
          </w:p>
        </w:tc>
        <w:tc>
          <w:tcPr>
            <w:tcW w:w="528" w:type="pct"/>
            <w:shd w:val="clear" w:color="auto" w:fill="auto"/>
            <w:vAlign w:val="center"/>
          </w:tcPr>
          <w:p>
            <w:pPr>
              <w:rPr>
                <w:rFonts w:hint="eastAsia" w:ascii="微软雅黑" w:hAnsi="微软雅黑" w:eastAsia="微软雅黑" w:cs="微软雅黑"/>
                <w:color w:val="333333"/>
                <w:sz w:val="24"/>
                <w:szCs w:val="24"/>
              </w:rPr>
            </w:pPr>
          </w:p>
        </w:tc>
        <w:tc>
          <w:tcPr>
            <w:tcW w:w="420" w:type="pct"/>
            <w:shd w:val="clear" w:color="auto" w:fill="auto"/>
            <w:vAlign w:val="center"/>
          </w:tcPr>
          <w:p>
            <w:pPr>
              <w:rPr>
                <w:rFonts w:hint="eastAsia" w:ascii="微软雅黑" w:hAnsi="微软雅黑" w:eastAsia="微软雅黑" w:cs="微软雅黑"/>
                <w:color w:val="333333"/>
                <w:sz w:val="24"/>
                <w:szCs w:val="24"/>
              </w:rPr>
            </w:pPr>
          </w:p>
        </w:tc>
        <w:tc>
          <w:tcPr>
            <w:tcW w:w="1209" w:type="pct"/>
            <w:shd w:val="clear" w:color="auto" w:fill="auto"/>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59" w:type="pct"/>
            <w:shd w:val="clear" w:color="auto" w:fill="auto"/>
            <w:vAlign w:val="center"/>
          </w:tcPr>
          <w:p>
            <w:pPr>
              <w:rPr>
                <w:rFonts w:hint="eastAsia" w:ascii="微软雅黑" w:hAnsi="微软雅黑" w:eastAsia="微软雅黑" w:cs="微软雅黑"/>
                <w:color w:val="333333"/>
                <w:sz w:val="24"/>
                <w:szCs w:val="24"/>
              </w:rPr>
            </w:pPr>
          </w:p>
        </w:tc>
        <w:tc>
          <w:tcPr>
            <w:tcW w:w="788" w:type="pct"/>
            <w:shd w:val="clear" w:color="auto" w:fill="auto"/>
            <w:vAlign w:val="center"/>
          </w:tcPr>
          <w:p>
            <w:pPr>
              <w:rPr>
                <w:rFonts w:hint="eastAsia" w:ascii="微软雅黑" w:hAnsi="微软雅黑" w:eastAsia="微软雅黑" w:cs="微软雅黑"/>
                <w:color w:val="333333"/>
                <w:sz w:val="24"/>
                <w:szCs w:val="24"/>
              </w:rPr>
            </w:pPr>
          </w:p>
        </w:tc>
        <w:tc>
          <w:tcPr>
            <w:tcW w:w="943" w:type="pct"/>
            <w:shd w:val="clear" w:color="auto" w:fill="auto"/>
            <w:vAlign w:val="center"/>
          </w:tcPr>
          <w:p>
            <w:pPr>
              <w:rPr>
                <w:rFonts w:hint="eastAsia" w:ascii="微软雅黑" w:hAnsi="微软雅黑" w:eastAsia="微软雅黑" w:cs="微软雅黑"/>
                <w:color w:val="333333"/>
                <w:sz w:val="24"/>
                <w:szCs w:val="24"/>
              </w:rPr>
            </w:pPr>
          </w:p>
        </w:tc>
        <w:tc>
          <w:tcPr>
            <w:tcW w:w="581" w:type="pct"/>
            <w:shd w:val="clear" w:color="auto" w:fill="auto"/>
            <w:vAlign w:val="center"/>
          </w:tcPr>
          <w:p>
            <w:pPr>
              <w:rPr>
                <w:rFonts w:hint="eastAsia" w:ascii="微软雅黑" w:hAnsi="微软雅黑" w:eastAsia="微软雅黑" w:cs="微软雅黑"/>
                <w:color w:val="333333"/>
                <w:sz w:val="24"/>
                <w:szCs w:val="24"/>
              </w:rPr>
            </w:pPr>
          </w:p>
        </w:tc>
        <w:tc>
          <w:tcPr>
            <w:tcW w:w="367" w:type="pct"/>
            <w:shd w:val="clear" w:color="auto" w:fill="auto"/>
            <w:vAlign w:val="center"/>
          </w:tcPr>
          <w:p>
            <w:pPr>
              <w:rPr>
                <w:rFonts w:hint="eastAsia" w:ascii="微软雅黑" w:hAnsi="微软雅黑" w:eastAsia="微软雅黑" w:cs="微软雅黑"/>
                <w:color w:val="333333"/>
                <w:sz w:val="24"/>
                <w:szCs w:val="24"/>
              </w:rPr>
            </w:pPr>
          </w:p>
        </w:tc>
        <w:tc>
          <w:tcPr>
            <w:tcW w:w="528" w:type="pct"/>
            <w:shd w:val="clear" w:color="auto" w:fill="auto"/>
            <w:vAlign w:val="center"/>
          </w:tcPr>
          <w:p>
            <w:pPr>
              <w:rPr>
                <w:rFonts w:hint="eastAsia" w:ascii="微软雅黑" w:hAnsi="微软雅黑" w:eastAsia="微软雅黑" w:cs="微软雅黑"/>
                <w:color w:val="333333"/>
                <w:sz w:val="24"/>
                <w:szCs w:val="24"/>
              </w:rPr>
            </w:pPr>
          </w:p>
        </w:tc>
        <w:tc>
          <w:tcPr>
            <w:tcW w:w="1630" w:type="pct"/>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2020年08月07日</w:t>
            </w:r>
          </w:p>
        </w:tc>
      </w:tr>
    </w:tbl>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436C9"/>
    <w:rsid w:val="3897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2020-08-07T07:32:40Z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