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61" w:type="pct"/>
        <w:tblInd w:w="-58" w:type="dxa"/>
        <w:shd w:val="clear"/>
        <w:tblLayout w:type="autofit"/>
        <w:tblCellMar>
          <w:top w:w="0" w:type="dxa"/>
          <w:left w:w="0" w:type="dxa"/>
          <w:bottom w:w="0" w:type="dxa"/>
          <w:right w:w="0" w:type="dxa"/>
        </w:tblCellMar>
      </w:tblPr>
      <w:tblGrid>
        <w:gridCol w:w="314"/>
        <w:gridCol w:w="1382"/>
        <w:gridCol w:w="1656"/>
        <w:gridCol w:w="1021"/>
        <w:gridCol w:w="645"/>
        <w:gridCol w:w="925"/>
        <w:gridCol w:w="737"/>
        <w:gridCol w:w="1718"/>
      </w:tblGrid>
      <w:tr>
        <w:tblPrEx>
          <w:shd w:val="clear"/>
          <w:tblCellMar>
            <w:top w:w="0" w:type="dxa"/>
            <w:left w:w="0" w:type="dxa"/>
            <w:bottom w:w="0" w:type="dxa"/>
            <w:right w:w="0" w:type="dxa"/>
          </w:tblCellMar>
        </w:tblPrEx>
        <w:tc>
          <w:tcPr>
            <w:tcW w:w="5000" w:type="pct"/>
            <w:gridSpan w:val="8"/>
            <w:vMerge w:val="restart"/>
            <w:shd w:val="clear"/>
            <w:vAlign w:val="center"/>
          </w:tcPr>
          <w:p>
            <w:pPr>
              <w:pStyle w:val="2"/>
              <w:keepNext w:val="0"/>
              <w:keepLines w:val="0"/>
              <w:widowControl/>
              <w:suppressLineNumbers w:val="0"/>
              <w:spacing w:before="0" w:beforeAutospacing="0" w:after="0" w:afterAutospacing="0" w:line="525" w:lineRule="atLeast"/>
              <w:ind w:left="0" w:right="0"/>
              <w:jc w:val="center"/>
            </w:pPr>
            <w:r>
              <w:rPr>
                <w:rFonts w:ascii="微软雅黑" w:hAnsi="微软雅黑" w:eastAsia="微软雅黑" w:cs="微软雅黑"/>
                <w:color w:val="333333"/>
                <w:sz w:val="32"/>
                <w:szCs w:val="32"/>
              </w:rPr>
              <w:t>桂林市七星区塔山片区城中村改造项目（桂林市七星区穿山塔山片区棚户区改造项目）-江东桥项目施工招标公告</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1、招标条件</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本招标项目</w:t>
            </w:r>
            <w:r>
              <w:rPr>
                <w:rFonts w:hint="eastAsia" w:ascii="微软雅黑" w:hAnsi="微软雅黑" w:eastAsia="微软雅黑" w:cs="微软雅黑"/>
                <w:b/>
                <w:color w:val="333333"/>
                <w:sz w:val="24"/>
                <w:szCs w:val="24"/>
              </w:rPr>
              <w:t>桂林市七星区塔山片区城中村改造项目（桂林市七星区穿山塔山片区棚户区改造项目）-江东桥项目</w:t>
            </w:r>
            <w:r>
              <w:rPr>
                <w:rFonts w:hint="eastAsia" w:ascii="微软雅黑" w:hAnsi="微软雅黑" w:eastAsia="微软雅黑" w:cs="微软雅黑"/>
                <w:color w:val="333333"/>
                <w:sz w:val="24"/>
                <w:szCs w:val="24"/>
              </w:rPr>
              <w:t>（招标文件备案编号：2020-SG-27） 已由</w:t>
            </w:r>
            <w:r>
              <w:rPr>
                <w:rFonts w:hint="eastAsia" w:ascii="微软雅黑" w:hAnsi="微软雅黑" w:eastAsia="微软雅黑" w:cs="微软雅黑"/>
                <w:b/>
                <w:color w:val="333333"/>
                <w:sz w:val="24"/>
                <w:szCs w:val="24"/>
              </w:rPr>
              <w:t>桂林国家高新区管委会七星区人民政府发展和改革局</w:t>
            </w:r>
            <w:r>
              <w:rPr>
                <w:rFonts w:hint="eastAsia" w:ascii="微软雅黑" w:hAnsi="微软雅黑" w:eastAsia="微软雅黑" w:cs="微软雅黑"/>
                <w:color w:val="333333"/>
                <w:sz w:val="24"/>
                <w:szCs w:val="24"/>
              </w:rPr>
              <w:t xml:space="preserve">以 </w:t>
            </w:r>
            <w:r>
              <w:rPr>
                <w:rFonts w:hint="eastAsia" w:ascii="微软雅黑" w:hAnsi="微软雅黑" w:eastAsia="微软雅黑" w:cs="微软雅黑"/>
                <w:b/>
                <w:color w:val="333333"/>
                <w:sz w:val="24"/>
                <w:szCs w:val="24"/>
              </w:rPr>
              <w:t>广西壮族自治区投资项目备案证明(2018-450305-48-03-018590)</w:t>
            </w:r>
            <w:r>
              <w:rPr>
                <w:rFonts w:hint="eastAsia" w:ascii="微软雅黑" w:hAnsi="微软雅黑" w:eastAsia="微软雅黑" w:cs="微软雅黑"/>
                <w:color w:val="333333"/>
                <w:sz w:val="24"/>
                <w:szCs w:val="24"/>
              </w:rPr>
              <w:t xml:space="preserve"> 批准建设，招标人（项目业主）为 </w:t>
            </w:r>
            <w:r>
              <w:rPr>
                <w:rFonts w:hint="eastAsia" w:ascii="微软雅黑" w:hAnsi="微软雅黑" w:eastAsia="微软雅黑" w:cs="微软雅黑"/>
                <w:b/>
                <w:color w:val="333333"/>
                <w:sz w:val="24"/>
                <w:szCs w:val="24"/>
              </w:rPr>
              <w:t>桂林高新技术产业建设开发总公司</w:t>
            </w:r>
            <w:r>
              <w:rPr>
                <w:rFonts w:hint="eastAsia" w:ascii="微软雅黑" w:hAnsi="微软雅黑" w:eastAsia="微软雅黑" w:cs="微软雅黑"/>
                <w:color w:val="333333"/>
                <w:sz w:val="24"/>
                <w:szCs w:val="24"/>
              </w:rPr>
              <w:t xml:space="preserve"> ，建设资金来自财政，项目出资比例为</w:t>
            </w:r>
            <w:r>
              <w:rPr>
                <w:rFonts w:hint="eastAsia" w:ascii="微软雅黑" w:hAnsi="微软雅黑" w:eastAsia="微软雅黑" w:cs="微软雅黑"/>
                <w:b/>
                <w:color w:val="333333"/>
                <w:sz w:val="24"/>
                <w:szCs w:val="24"/>
              </w:rPr>
              <w:t>100.00%</w:t>
            </w:r>
            <w:r>
              <w:rPr>
                <w:rFonts w:hint="eastAsia" w:ascii="微软雅黑" w:hAnsi="微软雅黑" w:eastAsia="微软雅黑" w:cs="微软雅黑"/>
                <w:color w:val="333333"/>
                <w:sz w:val="24"/>
                <w:szCs w:val="24"/>
              </w:rPr>
              <w:t xml:space="preserve">。项目已具备招标条件，现对该项目的施工进行公开招标。 </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2、项目概况与招标范围</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项目招标编号：</w:t>
            </w:r>
            <w:r>
              <w:rPr>
                <w:rFonts w:hint="eastAsia" w:ascii="微软雅黑" w:hAnsi="微软雅黑" w:eastAsia="微软雅黑" w:cs="微软雅黑"/>
                <w:b/>
                <w:color w:val="333333"/>
                <w:sz w:val="24"/>
                <w:szCs w:val="24"/>
              </w:rPr>
              <w:t>2020-SG-27</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报建号（如有）：</w:t>
            </w:r>
            <w:r>
              <w:rPr>
                <w:rFonts w:hint="eastAsia" w:ascii="微软雅黑" w:hAnsi="微软雅黑" w:eastAsia="微软雅黑" w:cs="微软雅黑"/>
                <w:b/>
                <w:color w:val="333333"/>
                <w:sz w:val="24"/>
                <w:szCs w:val="24"/>
              </w:rPr>
              <w:t>2018-450305-48-03-018590</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建设地点：</w:t>
            </w:r>
            <w:r>
              <w:rPr>
                <w:rFonts w:hint="eastAsia" w:ascii="微软雅黑" w:hAnsi="微软雅黑" w:eastAsia="微软雅黑" w:cs="微软雅黑"/>
                <w:b/>
                <w:color w:val="333333"/>
                <w:sz w:val="24"/>
                <w:szCs w:val="24"/>
              </w:rPr>
              <w:t>七星区</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建设规模：</w:t>
            </w:r>
            <w:r>
              <w:rPr>
                <w:rFonts w:hint="eastAsia" w:ascii="微软雅黑" w:hAnsi="微软雅黑" w:eastAsia="微软雅黑" w:cs="微软雅黑"/>
                <w:b/>
                <w:color w:val="333333"/>
                <w:sz w:val="24"/>
                <w:szCs w:val="24"/>
              </w:rPr>
              <w:t>规划桥梁全长约54米，红线宽40米</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合同估算价：</w:t>
            </w:r>
            <w:r>
              <w:rPr>
                <w:rFonts w:hint="eastAsia" w:ascii="微软雅黑" w:hAnsi="微软雅黑" w:eastAsia="微软雅黑" w:cs="微软雅黑"/>
                <w:b/>
                <w:color w:val="333333"/>
                <w:sz w:val="24"/>
                <w:szCs w:val="24"/>
              </w:rPr>
              <w:t>3585.60</w:t>
            </w:r>
            <w:r>
              <w:rPr>
                <w:rFonts w:hint="eastAsia" w:ascii="微软雅黑" w:hAnsi="微软雅黑" w:eastAsia="微软雅黑" w:cs="微软雅黑"/>
                <w:color w:val="333333"/>
                <w:sz w:val="24"/>
                <w:szCs w:val="24"/>
              </w:rPr>
              <w:t>万元</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要求工期：</w:t>
            </w:r>
            <w:r>
              <w:rPr>
                <w:rFonts w:hint="eastAsia" w:ascii="微软雅黑" w:hAnsi="微软雅黑" w:eastAsia="微软雅黑" w:cs="微软雅黑"/>
                <w:b/>
                <w:color w:val="333333"/>
                <w:sz w:val="24"/>
                <w:szCs w:val="24"/>
              </w:rPr>
              <w:t>330</w:t>
            </w:r>
            <w:r>
              <w:rPr>
                <w:rFonts w:hint="eastAsia" w:ascii="微软雅黑" w:hAnsi="微软雅黑" w:eastAsia="微软雅黑" w:cs="微软雅黑"/>
                <w:color w:val="333333"/>
                <w:sz w:val="24"/>
                <w:szCs w:val="24"/>
              </w:rPr>
              <w:t xml:space="preserve">日历天,定额工期 </w:t>
            </w:r>
            <w:r>
              <w:rPr>
                <w:rFonts w:hint="eastAsia" w:ascii="微软雅黑" w:hAnsi="微软雅黑" w:eastAsia="微软雅黑" w:cs="微软雅黑"/>
                <w:b/>
                <w:color w:val="333333"/>
                <w:sz w:val="24"/>
                <w:szCs w:val="24"/>
              </w:rPr>
              <w:t>330</w:t>
            </w:r>
            <w:r>
              <w:rPr>
                <w:rFonts w:hint="eastAsia" w:ascii="微软雅黑" w:hAnsi="微软雅黑" w:eastAsia="微软雅黑" w:cs="微软雅黑"/>
                <w:color w:val="333333"/>
                <w:sz w:val="24"/>
                <w:szCs w:val="24"/>
              </w:rPr>
              <w:t xml:space="preserve"> 日历天【备注：建筑安装工程定额工期应按《建筑安装工程工期定额（TY01-89-2016）》确定】工期压缩≧20%时，须组织专家论证，且在招标工程量清单中增设提前竣工（赶工补偿）费项目清单】</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招标范围：</w:t>
            </w:r>
            <w:r>
              <w:rPr>
                <w:rFonts w:hint="eastAsia" w:ascii="微软雅黑" w:hAnsi="微软雅黑" w:eastAsia="微软雅黑" w:cs="微软雅黑"/>
                <w:b/>
                <w:color w:val="333333"/>
                <w:sz w:val="24"/>
                <w:szCs w:val="24"/>
              </w:rPr>
              <w:t>经评审备案的施工图范围内的工程内容，详见工程量清单及图纸</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标段划分：</w:t>
            </w:r>
            <w:r>
              <w:rPr>
                <w:rFonts w:hint="eastAsia" w:ascii="微软雅黑" w:hAnsi="微软雅黑" w:eastAsia="微软雅黑" w:cs="微软雅黑"/>
                <w:b/>
                <w:color w:val="333333"/>
                <w:sz w:val="24"/>
                <w:szCs w:val="24"/>
              </w:rPr>
              <w:t xml:space="preserve"> 无</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设计单位：</w:t>
            </w:r>
            <w:r>
              <w:rPr>
                <w:rFonts w:hint="eastAsia" w:ascii="微软雅黑" w:hAnsi="微软雅黑" w:eastAsia="微软雅黑" w:cs="微软雅黑"/>
                <w:b/>
                <w:color w:val="333333"/>
                <w:sz w:val="24"/>
                <w:szCs w:val="24"/>
              </w:rPr>
              <w:t xml:space="preserve"> </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勘察单位：</w:t>
            </w:r>
            <w:r>
              <w:rPr>
                <w:rFonts w:hint="eastAsia" w:ascii="微软雅黑" w:hAnsi="微软雅黑" w:eastAsia="微软雅黑" w:cs="微软雅黑"/>
                <w:b/>
                <w:color w:val="333333"/>
                <w:sz w:val="24"/>
                <w:szCs w:val="24"/>
              </w:rPr>
              <w:t xml:space="preserve"> </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3、投标人资格要求</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3.1本次招标要求投标人须已办理诚信库入库手续并处于有效状态，具备</w:t>
            </w:r>
            <w:r>
              <w:rPr>
                <w:rFonts w:hint="eastAsia" w:ascii="微软雅黑" w:hAnsi="微软雅黑" w:eastAsia="微软雅黑" w:cs="微软雅黑"/>
                <w:b/>
                <w:color w:val="333333"/>
                <w:sz w:val="24"/>
                <w:szCs w:val="24"/>
              </w:rPr>
              <w:t>[市政公用工程施工总承包三级](含)以上</w:t>
            </w:r>
            <w:r>
              <w:rPr>
                <w:rFonts w:hint="eastAsia" w:ascii="微软雅黑" w:hAnsi="微软雅黑" w:eastAsia="微软雅黑" w:cs="微软雅黑"/>
                <w:color w:val="333333"/>
                <w:sz w:val="24"/>
                <w:szCs w:val="24"/>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hint="eastAsia" w:ascii="微软雅黑" w:hAnsi="微软雅黑" w:eastAsia="微软雅黑" w:cs="微软雅黑"/>
                <w:b/>
                <w:color w:val="333333"/>
                <w:sz w:val="24"/>
                <w:szCs w:val="24"/>
              </w:rPr>
              <w:t>[市政公用工程二级](含)以上</w:t>
            </w:r>
            <w:r>
              <w:rPr>
                <w:rFonts w:hint="eastAsia" w:ascii="微软雅黑" w:hAnsi="微软雅黑" w:eastAsia="微软雅黑" w:cs="微软雅黑"/>
                <w:color w:val="333333"/>
                <w:sz w:val="24"/>
                <w:szCs w:val="24"/>
              </w:rPr>
              <w:t>专业以上（含本级）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3.2业绩要求:无要求</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3.3本次招标不接受联合体投标。</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3.5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3.6投标人信息以广西建筑业企业诚信信息库为准。</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4、招标文件的获取</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4.12020年08月07日至投标文件递交的截止时间止（不少于20日），由潜在投标人的专职投标员凭企业CA锁登录桂林市公共资源交易平台（http://glggzy.org.cn）免费下载招标文件。</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5、投标文件的递交</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5.1投标人须在投标截止前，截止时间（投标截止时间，下同）为 2020年09月01日 09时30分，将加密的投标文件通过桂林市公共资源交易平台（http://glggzy.org.cn/gxglhy）成功上传，并将相同的未加密投标文件电子文本刻录光盘包装密封后，于投标截止前由企业法定代表人或其授权的专职投标员提交到 桂林市公共资源交易中心，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6、评标方式</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r>
              <w:rPr>
                <w:rFonts w:hint="eastAsia" w:ascii="微软雅黑" w:hAnsi="微软雅黑" w:eastAsia="微软雅黑" w:cs="微软雅黑"/>
                <w:b/>
                <w:color w:val="333333"/>
                <w:sz w:val="24"/>
                <w:szCs w:val="24"/>
              </w:rPr>
              <w:t>综合评估法</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7、预付款和进度款支付方式【备注：该项为可选项】</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8、发布招标公告的媒体</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r>
              <w:rPr>
                <w:rFonts w:hint="eastAsia" w:ascii="微软雅黑" w:hAnsi="微软雅黑" w:eastAsia="微软雅黑" w:cs="微软雅黑"/>
                <w:b/>
                <w:color w:val="333333"/>
                <w:sz w:val="24"/>
                <w:szCs w:val="24"/>
              </w:rPr>
              <w:t>本次招标公告同时在中国招标投标公共服务平台http://www.cebpubservice.com、广西壮族自治区招标投标公共服务平台http://ztb.gxi.gov.cn、桂林市公共资源交易中心http://glggzy.org.cn发布。（备注：实行招标投标的政府采购工程项目还应当同时在中国政府采购网http://zfcg.gxzf.gov.cn、广西壮族自治区政府采购网www.gxzfcg.gov.cn、桂林政府采购网上发布）。</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9、交易服务单位</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r>
              <w:rPr>
                <w:rFonts w:hint="eastAsia" w:ascii="微软雅黑" w:hAnsi="微软雅黑" w:eastAsia="微软雅黑" w:cs="微软雅黑"/>
                <w:b/>
                <w:color w:val="333333"/>
                <w:sz w:val="24"/>
                <w:szCs w:val="24"/>
              </w:rPr>
              <w:t>桂林市公共资源交易中心 电话：0773 5625165</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10、监督部门及电话</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w:t>
            </w:r>
            <w:r>
              <w:rPr>
                <w:rFonts w:hint="eastAsia" w:ascii="微软雅黑" w:hAnsi="微软雅黑" w:eastAsia="微软雅黑" w:cs="微软雅黑"/>
                <w:b/>
                <w:color w:val="333333"/>
                <w:sz w:val="24"/>
                <w:szCs w:val="24"/>
              </w:rPr>
              <w:t>桂林市建设工程综合监督站 电话：3825369 3810165</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11、注意事项</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11.1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因录入时间不足造成的后果由投标人自行承担。</w:t>
            </w:r>
          </w:p>
          <w:p>
            <w:pPr>
              <w:pStyle w:val="2"/>
              <w:keepNext w:val="0"/>
              <w:keepLines w:val="0"/>
              <w:widowControl/>
              <w:suppressLineNumbers w:val="0"/>
              <w:spacing w:before="0" w:beforeAutospacing="0" w:after="0" w:afterAutospacing="0" w:line="420" w:lineRule="atLeast"/>
              <w:ind w:left="0" w:right="0"/>
              <w:jc w:val="both"/>
            </w:pPr>
            <w:r>
              <w:rPr>
                <w:rFonts w:hint="eastAsia" w:ascii="微软雅黑" w:hAnsi="微软雅黑" w:eastAsia="微软雅黑" w:cs="微软雅黑"/>
                <w:color w:val="333333"/>
                <w:sz w:val="24"/>
                <w:szCs w:val="24"/>
              </w:rPr>
              <w:t>    11.2</w:t>
            </w:r>
            <w:bookmarkStart w:id="0" w:name="_GoBack"/>
            <w:bookmarkEnd w:id="0"/>
            <w:r>
              <w:rPr>
                <w:rFonts w:hint="eastAsia" w:ascii="微软雅黑" w:hAnsi="微软雅黑" w:eastAsia="微软雅黑" w:cs="微软雅黑"/>
                <w:color w:val="333333"/>
                <w:sz w:val="24"/>
                <w:szCs w:val="24"/>
              </w:rPr>
              <w:t>投标人须办理企业CA锁后并确保在有效期内才能进行网上报名、下载招标文件、制作投标文件及上传投标文件等业务。未办理企业CA锁的单位，请到广西壮族自治区数字认证中心有限公司，地址：南宁青秀区星湖路41号办理，客服电话：0771-5882343。</w:t>
            </w:r>
          </w:p>
          <w:p>
            <w:pPr>
              <w:pStyle w:val="2"/>
              <w:keepNext w:val="0"/>
              <w:keepLines w:val="0"/>
              <w:widowControl/>
              <w:suppressLineNumbers w:val="0"/>
              <w:spacing w:before="0" w:beforeAutospacing="0" w:after="0" w:afterAutospacing="0" w:line="525" w:lineRule="atLeast"/>
              <w:ind w:left="0" w:right="0"/>
              <w:jc w:val="left"/>
            </w:pPr>
            <w:r>
              <w:rPr>
                <w:rFonts w:hint="eastAsia" w:ascii="微软雅黑" w:hAnsi="微软雅黑" w:eastAsia="微软雅黑" w:cs="微软雅黑"/>
                <w:b/>
                <w:color w:val="333333"/>
                <w:sz w:val="24"/>
                <w:szCs w:val="24"/>
              </w:rPr>
              <w:t>12、联系方式</w:t>
            </w:r>
          </w:p>
        </w:tc>
      </w:tr>
      <w:tr>
        <w:tblPrEx>
          <w:tblCellMar>
            <w:top w:w="0" w:type="dxa"/>
            <w:left w:w="0" w:type="dxa"/>
            <w:bottom w:w="0" w:type="dxa"/>
            <w:right w:w="0" w:type="dxa"/>
          </w:tblCellMar>
        </w:tblPrEx>
        <w:tc>
          <w:tcPr>
            <w:tcW w:w="5000" w:type="pct"/>
            <w:gridSpan w:val="8"/>
            <w:vMerge w:val="continue"/>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c>
          <w:tcPr>
            <w:tcW w:w="5000" w:type="pct"/>
            <w:gridSpan w:val="8"/>
            <w:vMerge w:val="continue"/>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c>
          <w:tcPr>
            <w:tcW w:w="5000" w:type="pct"/>
            <w:gridSpan w:val="8"/>
            <w:vMerge w:val="continue"/>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c>
          <w:tcPr>
            <w:tcW w:w="5000" w:type="pct"/>
            <w:gridSpan w:val="8"/>
            <w:vMerge w:val="continue"/>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360"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招 标 人：</w:t>
            </w:r>
          </w:p>
        </w:tc>
        <w:tc>
          <w:tcPr>
            <w:tcW w:w="1594"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桂林高新技术产业建设开发总公司</w:t>
            </w:r>
          </w:p>
        </w:tc>
        <w:tc>
          <w:tcPr>
            <w:tcW w:w="935"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招标代理机构：</w:t>
            </w:r>
          </w:p>
        </w:tc>
        <w:tc>
          <w:tcPr>
            <w:tcW w:w="1459"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亿诚建设项目管理有限公司</w:t>
            </w:r>
          </w:p>
        </w:tc>
      </w:tr>
      <w:tr>
        <w:tblPrEx>
          <w:tblCellMar>
            <w:top w:w="0" w:type="dxa"/>
            <w:left w:w="0" w:type="dxa"/>
            <w:bottom w:w="0" w:type="dxa"/>
            <w:right w:w="0" w:type="dxa"/>
          </w:tblCellMar>
        </w:tblPrEx>
        <w:trPr>
          <w:trHeight w:val="705"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地 址：</w:t>
            </w: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935"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地 址：</w:t>
            </w:r>
          </w:p>
        </w:tc>
        <w:tc>
          <w:tcPr>
            <w:tcW w:w="1459"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桂林市中隐路清华园A3栋3楼</w:t>
            </w:r>
          </w:p>
        </w:tc>
      </w:tr>
      <w:tr>
        <w:tblPrEx>
          <w:tblCellMar>
            <w:top w:w="0" w:type="dxa"/>
            <w:left w:w="0" w:type="dxa"/>
            <w:bottom w:w="0" w:type="dxa"/>
            <w:right w:w="0" w:type="dxa"/>
          </w:tblCellMar>
        </w:tblPrEx>
        <w:trPr>
          <w:trHeight w:val="480"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邮 编：</w:t>
            </w: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935"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邮 编：</w:t>
            </w:r>
          </w:p>
        </w:tc>
        <w:tc>
          <w:tcPr>
            <w:tcW w:w="1459"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541000</w:t>
            </w:r>
          </w:p>
        </w:tc>
      </w:tr>
      <w:tr>
        <w:tblPrEx>
          <w:tblCellMar>
            <w:top w:w="0" w:type="dxa"/>
            <w:left w:w="0" w:type="dxa"/>
            <w:bottom w:w="0" w:type="dxa"/>
            <w:right w:w="0" w:type="dxa"/>
          </w:tblCellMar>
        </w:tblPrEx>
        <w:trPr>
          <w:trHeight w:val="585"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联 系 人：</w:t>
            </w:r>
          </w:p>
        </w:tc>
        <w:tc>
          <w:tcPr>
            <w:tcW w:w="1594"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刘瑜</w:t>
            </w:r>
          </w:p>
        </w:tc>
        <w:tc>
          <w:tcPr>
            <w:tcW w:w="935"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联 系 人：</w:t>
            </w:r>
          </w:p>
        </w:tc>
        <w:tc>
          <w:tcPr>
            <w:tcW w:w="1459"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秦飞翼</w:t>
            </w:r>
          </w:p>
        </w:tc>
      </w:tr>
      <w:tr>
        <w:tblPrEx>
          <w:tblCellMar>
            <w:top w:w="0" w:type="dxa"/>
            <w:left w:w="0" w:type="dxa"/>
            <w:bottom w:w="0" w:type="dxa"/>
            <w:right w:w="0" w:type="dxa"/>
          </w:tblCellMar>
        </w:tblPrEx>
        <w:trPr>
          <w:trHeight w:val="600"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电 话：</w:t>
            </w:r>
          </w:p>
        </w:tc>
        <w:tc>
          <w:tcPr>
            <w:tcW w:w="1594"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18078358188</w:t>
            </w:r>
          </w:p>
        </w:tc>
        <w:tc>
          <w:tcPr>
            <w:tcW w:w="935"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电 话：</w:t>
            </w:r>
          </w:p>
        </w:tc>
        <w:tc>
          <w:tcPr>
            <w:tcW w:w="1459"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13457689697</w:t>
            </w:r>
          </w:p>
        </w:tc>
      </w:tr>
      <w:tr>
        <w:tblPrEx>
          <w:tblCellMar>
            <w:top w:w="0" w:type="dxa"/>
            <w:left w:w="0" w:type="dxa"/>
            <w:bottom w:w="0" w:type="dxa"/>
            <w:right w:w="0" w:type="dxa"/>
          </w:tblCellMar>
        </w:tblPrEx>
        <w:trPr>
          <w:trHeight w:val="465"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传 真：</w:t>
            </w: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935"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传 真：</w:t>
            </w:r>
          </w:p>
        </w:tc>
        <w:tc>
          <w:tcPr>
            <w:tcW w:w="439" w:type="pct"/>
            <w:shd w:val="clear"/>
            <w:vAlign w:val="center"/>
          </w:tcPr>
          <w:p>
            <w:pPr>
              <w:rPr>
                <w:rFonts w:hint="eastAsia" w:ascii="微软雅黑" w:hAnsi="微软雅黑" w:eastAsia="微软雅黑" w:cs="微软雅黑"/>
                <w:color w:val="333333"/>
                <w:sz w:val="24"/>
                <w:szCs w:val="24"/>
              </w:rPr>
            </w:pPr>
          </w:p>
        </w:tc>
        <w:tc>
          <w:tcPr>
            <w:tcW w:w="1019" w:type="pct"/>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705"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电 子 邮 件：</w:t>
            </w: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935"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电 子 邮 件：</w:t>
            </w:r>
          </w:p>
        </w:tc>
        <w:tc>
          <w:tcPr>
            <w:tcW w:w="439" w:type="pct"/>
            <w:shd w:val="clear"/>
            <w:vAlign w:val="center"/>
          </w:tcPr>
          <w:p>
            <w:pPr>
              <w:rPr>
                <w:rFonts w:hint="eastAsia" w:ascii="微软雅黑" w:hAnsi="微软雅黑" w:eastAsia="微软雅黑" w:cs="微软雅黑"/>
                <w:color w:val="333333"/>
                <w:sz w:val="24"/>
                <w:szCs w:val="24"/>
              </w:rPr>
            </w:pPr>
          </w:p>
        </w:tc>
        <w:tc>
          <w:tcPr>
            <w:tcW w:w="1019" w:type="pct"/>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360"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网 址：</w:t>
            </w: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935"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网 址：</w:t>
            </w:r>
          </w:p>
        </w:tc>
        <w:tc>
          <w:tcPr>
            <w:tcW w:w="439" w:type="pct"/>
            <w:shd w:val="clear"/>
            <w:vAlign w:val="center"/>
          </w:tcPr>
          <w:p>
            <w:pPr>
              <w:rPr>
                <w:rFonts w:hint="eastAsia" w:ascii="微软雅黑" w:hAnsi="微软雅黑" w:eastAsia="微软雅黑" w:cs="微软雅黑"/>
                <w:color w:val="333333"/>
                <w:sz w:val="24"/>
                <w:szCs w:val="24"/>
              </w:rPr>
            </w:pPr>
          </w:p>
        </w:tc>
        <w:tc>
          <w:tcPr>
            <w:tcW w:w="1019" w:type="pct"/>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65"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rPr>
                <w:rFonts w:hint="eastAsia" w:ascii="微软雅黑" w:hAnsi="微软雅黑" w:eastAsia="微软雅黑" w:cs="微软雅黑"/>
                <w:color w:val="333333"/>
                <w:sz w:val="24"/>
                <w:szCs w:val="24"/>
              </w:rPr>
            </w:pP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384" w:type="pct"/>
            <w:shd w:val="clear"/>
            <w:vAlign w:val="center"/>
          </w:tcPr>
          <w:p>
            <w:pPr>
              <w:rPr>
                <w:rFonts w:hint="eastAsia" w:ascii="微软雅黑" w:hAnsi="微软雅黑" w:eastAsia="微软雅黑" w:cs="微软雅黑"/>
                <w:color w:val="333333"/>
                <w:sz w:val="24"/>
                <w:szCs w:val="24"/>
              </w:rPr>
            </w:pPr>
          </w:p>
        </w:tc>
        <w:tc>
          <w:tcPr>
            <w:tcW w:w="550" w:type="pct"/>
            <w:shd w:val="clear"/>
            <w:vAlign w:val="center"/>
          </w:tcPr>
          <w:p>
            <w:pPr>
              <w:rPr>
                <w:rFonts w:hint="eastAsia" w:ascii="微软雅黑" w:hAnsi="微软雅黑" w:eastAsia="微软雅黑" w:cs="微软雅黑"/>
                <w:color w:val="333333"/>
                <w:sz w:val="24"/>
                <w:szCs w:val="24"/>
              </w:rPr>
            </w:pPr>
          </w:p>
        </w:tc>
        <w:tc>
          <w:tcPr>
            <w:tcW w:w="439" w:type="pct"/>
            <w:shd w:val="clear"/>
            <w:vAlign w:val="center"/>
          </w:tcPr>
          <w:p>
            <w:pPr>
              <w:rPr>
                <w:rFonts w:hint="eastAsia" w:ascii="微软雅黑" w:hAnsi="微软雅黑" w:eastAsia="微软雅黑" w:cs="微软雅黑"/>
                <w:color w:val="333333"/>
                <w:sz w:val="24"/>
                <w:szCs w:val="24"/>
              </w:rPr>
            </w:pPr>
          </w:p>
        </w:tc>
        <w:tc>
          <w:tcPr>
            <w:tcW w:w="1019" w:type="pct"/>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80"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rPr>
                <w:rFonts w:hint="eastAsia" w:ascii="微软雅黑" w:hAnsi="微软雅黑" w:eastAsia="微软雅黑" w:cs="微软雅黑"/>
                <w:color w:val="333333"/>
                <w:sz w:val="24"/>
                <w:szCs w:val="24"/>
              </w:rPr>
            </w:pP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384" w:type="pct"/>
            <w:shd w:val="clear"/>
            <w:vAlign w:val="center"/>
          </w:tcPr>
          <w:p>
            <w:pPr>
              <w:rPr>
                <w:rFonts w:hint="eastAsia" w:ascii="微软雅黑" w:hAnsi="微软雅黑" w:eastAsia="微软雅黑" w:cs="微软雅黑"/>
                <w:color w:val="333333"/>
                <w:sz w:val="24"/>
                <w:szCs w:val="24"/>
              </w:rPr>
            </w:pPr>
          </w:p>
        </w:tc>
        <w:tc>
          <w:tcPr>
            <w:tcW w:w="550" w:type="pct"/>
            <w:shd w:val="clear"/>
            <w:vAlign w:val="center"/>
          </w:tcPr>
          <w:p>
            <w:pPr>
              <w:rPr>
                <w:rFonts w:hint="eastAsia" w:ascii="微软雅黑" w:hAnsi="微软雅黑" w:eastAsia="微软雅黑" w:cs="微软雅黑"/>
                <w:color w:val="333333"/>
                <w:sz w:val="24"/>
                <w:szCs w:val="24"/>
              </w:rPr>
            </w:pPr>
          </w:p>
        </w:tc>
        <w:tc>
          <w:tcPr>
            <w:tcW w:w="439" w:type="pct"/>
            <w:shd w:val="clear"/>
            <w:vAlign w:val="center"/>
          </w:tcPr>
          <w:p>
            <w:pPr>
              <w:rPr>
                <w:rFonts w:hint="eastAsia" w:ascii="微软雅黑" w:hAnsi="微软雅黑" w:eastAsia="微软雅黑" w:cs="微软雅黑"/>
                <w:color w:val="333333"/>
                <w:sz w:val="24"/>
                <w:szCs w:val="24"/>
              </w:rPr>
            </w:pPr>
          </w:p>
        </w:tc>
        <w:tc>
          <w:tcPr>
            <w:tcW w:w="1019" w:type="pct"/>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65"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rPr>
                <w:rFonts w:hint="eastAsia" w:ascii="微软雅黑" w:hAnsi="微软雅黑" w:eastAsia="微软雅黑" w:cs="微软雅黑"/>
                <w:color w:val="333333"/>
                <w:sz w:val="24"/>
                <w:szCs w:val="24"/>
              </w:rPr>
            </w:pP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384" w:type="pct"/>
            <w:shd w:val="clear"/>
            <w:vAlign w:val="center"/>
          </w:tcPr>
          <w:p>
            <w:pPr>
              <w:rPr>
                <w:rFonts w:hint="eastAsia" w:ascii="微软雅黑" w:hAnsi="微软雅黑" w:eastAsia="微软雅黑" w:cs="微软雅黑"/>
                <w:color w:val="333333"/>
                <w:sz w:val="24"/>
                <w:szCs w:val="24"/>
              </w:rPr>
            </w:pPr>
          </w:p>
        </w:tc>
        <w:tc>
          <w:tcPr>
            <w:tcW w:w="550" w:type="pct"/>
            <w:shd w:val="clear"/>
            <w:vAlign w:val="center"/>
          </w:tcPr>
          <w:p>
            <w:pPr>
              <w:rPr>
                <w:rFonts w:hint="eastAsia" w:ascii="微软雅黑" w:hAnsi="微软雅黑" w:eastAsia="微软雅黑" w:cs="微软雅黑"/>
                <w:color w:val="333333"/>
                <w:sz w:val="24"/>
                <w:szCs w:val="24"/>
              </w:rPr>
            </w:pPr>
          </w:p>
        </w:tc>
        <w:tc>
          <w:tcPr>
            <w:tcW w:w="439" w:type="pct"/>
            <w:shd w:val="clear"/>
            <w:vAlign w:val="center"/>
          </w:tcPr>
          <w:p>
            <w:pPr>
              <w:rPr>
                <w:rFonts w:hint="eastAsia" w:ascii="微软雅黑" w:hAnsi="微软雅黑" w:eastAsia="微软雅黑" w:cs="微软雅黑"/>
                <w:color w:val="333333"/>
                <w:sz w:val="24"/>
                <w:szCs w:val="24"/>
              </w:rPr>
            </w:pPr>
          </w:p>
        </w:tc>
        <w:tc>
          <w:tcPr>
            <w:tcW w:w="1019" w:type="pct"/>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80"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rPr>
                <w:rFonts w:hint="eastAsia" w:ascii="微软雅黑" w:hAnsi="微软雅黑" w:eastAsia="微软雅黑" w:cs="微软雅黑"/>
                <w:color w:val="333333"/>
                <w:sz w:val="24"/>
                <w:szCs w:val="24"/>
              </w:rPr>
            </w:pP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384" w:type="pct"/>
            <w:shd w:val="clear"/>
            <w:vAlign w:val="center"/>
          </w:tcPr>
          <w:p>
            <w:pPr>
              <w:rPr>
                <w:rFonts w:hint="eastAsia" w:ascii="微软雅黑" w:hAnsi="微软雅黑" w:eastAsia="微软雅黑" w:cs="微软雅黑"/>
                <w:color w:val="333333"/>
                <w:sz w:val="24"/>
                <w:szCs w:val="24"/>
              </w:rPr>
            </w:pPr>
          </w:p>
        </w:tc>
        <w:tc>
          <w:tcPr>
            <w:tcW w:w="550" w:type="pct"/>
            <w:shd w:val="clear"/>
            <w:vAlign w:val="center"/>
          </w:tcPr>
          <w:p>
            <w:pPr>
              <w:rPr>
                <w:rFonts w:hint="eastAsia" w:ascii="微软雅黑" w:hAnsi="微软雅黑" w:eastAsia="微软雅黑" w:cs="微软雅黑"/>
                <w:color w:val="333333"/>
                <w:sz w:val="24"/>
                <w:szCs w:val="24"/>
              </w:rPr>
            </w:pPr>
          </w:p>
        </w:tc>
        <w:tc>
          <w:tcPr>
            <w:tcW w:w="439" w:type="pct"/>
            <w:shd w:val="clear"/>
            <w:vAlign w:val="center"/>
          </w:tcPr>
          <w:p>
            <w:pPr>
              <w:rPr>
                <w:rFonts w:hint="eastAsia" w:ascii="微软雅黑" w:hAnsi="微软雅黑" w:eastAsia="微软雅黑" w:cs="微软雅黑"/>
                <w:color w:val="333333"/>
                <w:sz w:val="24"/>
                <w:szCs w:val="24"/>
              </w:rPr>
            </w:pPr>
          </w:p>
        </w:tc>
        <w:tc>
          <w:tcPr>
            <w:tcW w:w="1019" w:type="pct"/>
            <w:shd w:val="clear"/>
            <w:vAlign w:val="center"/>
          </w:tcPr>
          <w:p>
            <w:pPr>
              <w:rPr>
                <w:rFonts w:hint="eastAsia" w:ascii="微软雅黑" w:hAnsi="微软雅黑" w:eastAsia="微软雅黑" w:cs="微软雅黑"/>
                <w:color w:val="333333"/>
                <w:sz w:val="24"/>
                <w:szCs w:val="24"/>
              </w:rPr>
            </w:pPr>
          </w:p>
        </w:tc>
      </w:tr>
      <w:tr>
        <w:tblPrEx>
          <w:tblCellMar>
            <w:top w:w="0" w:type="dxa"/>
            <w:left w:w="0" w:type="dxa"/>
            <w:bottom w:w="0" w:type="dxa"/>
            <w:right w:w="0" w:type="dxa"/>
          </w:tblCellMar>
        </w:tblPrEx>
        <w:trPr>
          <w:trHeight w:val="465" w:hRule="atLeast"/>
        </w:trPr>
        <w:tc>
          <w:tcPr>
            <w:tcW w:w="187" w:type="pct"/>
            <w:shd w:val="clear"/>
            <w:vAlign w:val="center"/>
          </w:tcPr>
          <w:p>
            <w:pPr>
              <w:rPr>
                <w:rFonts w:hint="eastAsia" w:ascii="微软雅黑" w:hAnsi="微软雅黑" w:eastAsia="微软雅黑" w:cs="微软雅黑"/>
                <w:color w:val="333333"/>
                <w:sz w:val="24"/>
                <w:szCs w:val="24"/>
              </w:rPr>
            </w:pPr>
          </w:p>
        </w:tc>
        <w:tc>
          <w:tcPr>
            <w:tcW w:w="823" w:type="pct"/>
            <w:shd w:val="clear"/>
            <w:vAlign w:val="center"/>
          </w:tcPr>
          <w:p>
            <w:pPr>
              <w:rPr>
                <w:rFonts w:hint="eastAsia" w:ascii="微软雅黑" w:hAnsi="微软雅黑" w:eastAsia="微软雅黑" w:cs="微软雅黑"/>
                <w:color w:val="333333"/>
                <w:sz w:val="24"/>
                <w:szCs w:val="24"/>
              </w:rPr>
            </w:pPr>
          </w:p>
        </w:tc>
        <w:tc>
          <w:tcPr>
            <w:tcW w:w="986" w:type="pct"/>
            <w:shd w:val="clear"/>
            <w:vAlign w:val="center"/>
          </w:tcPr>
          <w:p>
            <w:pPr>
              <w:rPr>
                <w:rFonts w:hint="eastAsia" w:ascii="微软雅黑" w:hAnsi="微软雅黑" w:eastAsia="微软雅黑" w:cs="微软雅黑"/>
                <w:color w:val="333333"/>
                <w:sz w:val="24"/>
                <w:szCs w:val="24"/>
              </w:rPr>
            </w:pPr>
          </w:p>
        </w:tc>
        <w:tc>
          <w:tcPr>
            <w:tcW w:w="607" w:type="pct"/>
            <w:shd w:val="clear"/>
            <w:vAlign w:val="center"/>
          </w:tcPr>
          <w:p>
            <w:pPr>
              <w:rPr>
                <w:rFonts w:hint="eastAsia" w:ascii="微软雅黑" w:hAnsi="微软雅黑" w:eastAsia="微软雅黑" w:cs="微软雅黑"/>
                <w:color w:val="333333"/>
                <w:sz w:val="24"/>
                <w:szCs w:val="24"/>
              </w:rPr>
            </w:pPr>
          </w:p>
        </w:tc>
        <w:tc>
          <w:tcPr>
            <w:tcW w:w="384" w:type="pct"/>
            <w:shd w:val="clear"/>
            <w:vAlign w:val="center"/>
          </w:tcPr>
          <w:p>
            <w:pPr>
              <w:rPr>
                <w:rFonts w:hint="eastAsia" w:ascii="微软雅黑" w:hAnsi="微软雅黑" w:eastAsia="微软雅黑" w:cs="微软雅黑"/>
                <w:color w:val="333333"/>
                <w:sz w:val="24"/>
                <w:szCs w:val="24"/>
              </w:rPr>
            </w:pPr>
          </w:p>
        </w:tc>
        <w:tc>
          <w:tcPr>
            <w:tcW w:w="550" w:type="pct"/>
            <w:shd w:val="clear"/>
            <w:vAlign w:val="center"/>
          </w:tcPr>
          <w:p>
            <w:pPr>
              <w:rPr>
                <w:rFonts w:hint="eastAsia" w:ascii="微软雅黑" w:hAnsi="微软雅黑" w:eastAsia="微软雅黑" w:cs="微软雅黑"/>
                <w:color w:val="333333"/>
                <w:sz w:val="24"/>
                <w:szCs w:val="24"/>
              </w:rPr>
            </w:pPr>
          </w:p>
        </w:tc>
        <w:tc>
          <w:tcPr>
            <w:tcW w:w="1459" w:type="pct"/>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2020年08月07日</w:t>
            </w:r>
          </w:p>
        </w:tc>
      </w:tr>
    </w:tbl>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295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2020-08-07T02:44:39Z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