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993"/>
          <w:tab w:val="left" w:pos="1134"/>
          <w:tab w:val="left" w:pos="1418"/>
        </w:tabs>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4"/>
        <w:tabs>
          <w:tab w:val="left" w:pos="993"/>
          <w:tab w:val="left" w:pos="1134"/>
          <w:tab w:val="left" w:pos="1418"/>
        </w:tabs>
        <w:spacing w:line="560" w:lineRule="exact"/>
        <w:rPr>
          <w:rFonts w:ascii="Times New Roman" w:hAnsi="Times New Roman" w:eastAsia="黑体" w:cs="Times New Roman"/>
          <w:sz w:val="32"/>
          <w:szCs w:val="32"/>
        </w:rPr>
      </w:pPr>
    </w:p>
    <w:p>
      <w:pPr>
        <w:pStyle w:val="4"/>
        <w:tabs>
          <w:tab w:val="left" w:pos="993"/>
          <w:tab w:val="left" w:pos="1134"/>
          <w:tab w:val="left" w:pos="1418"/>
        </w:tabs>
        <w:spacing w:line="560" w:lineRule="exact"/>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龙州县彬桥乡人民政府</w:t>
      </w:r>
      <w:r>
        <w:rPr>
          <w:rFonts w:hint="eastAsia" w:ascii="方正小标宋简体" w:hAnsi="方正小标宋简体" w:eastAsia="方正小标宋简体" w:cs="方正小标宋简体"/>
          <w:sz w:val="44"/>
          <w:szCs w:val="44"/>
          <w:u w:val="none"/>
          <w:lang w:val="en-US" w:eastAsia="zh-CN"/>
        </w:rPr>
        <w:t>2023</w:t>
      </w:r>
      <w:r>
        <w:rPr>
          <w:rFonts w:hint="eastAsia" w:ascii="方正小标宋简体" w:hAnsi="方正小标宋简体" w:eastAsia="方正小标宋简体" w:cs="方正小标宋简体"/>
          <w:sz w:val="44"/>
          <w:szCs w:val="44"/>
          <w:u w:val="none"/>
        </w:rPr>
        <w:t>年</w:t>
      </w:r>
      <w:r>
        <w:rPr>
          <w:rFonts w:hint="eastAsia" w:ascii="方正小标宋简体" w:hAnsi="方正小标宋简体" w:eastAsia="方正小标宋简体" w:cs="方正小标宋简体"/>
          <w:sz w:val="44"/>
          <w:szCs w:val="44"/>
          <w:u w:val="none"/>
          <w:lang w:val="en-US" w:eastAsia="zh-CN"/>
        </w:rPr>
        <w:t>2</w:t>
      </w:r>
      <w:r>
        <w:rPr>
          <w:rFonts w:hint="eastAsia" w:ascii="方正小标宋简体" w:hAnsi="方正小标宋简体" w:eastAsia="方正小标宋简体" w:cs="方正小标宋简体"/>
          <w:sz w:val="44"/>
          <w:szCs w:val="44"/>
          <w:u w:val="none"/>
          <w:lang w:eastAsia="zh-CN"/>
        </w:rPr>
        <w:t>月</w:t>
      </w:r>
    </w:p>
    <w:p>
      <w:pPr>
        <w:pStyle w:val="4"/>
        <w:tabs>
          <w:tab w:val="left" w:pos="993"/>
          <w:tab w:val="left" w:pos="1134"/>
          <w:tab w:val="left" w:pos="1418"/>
        </w:tabs>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政府采购意向</w:t>
      </w:r>
    </w:p>
    <w:p>
      <w:pPr>
        <w:pStyle w:val="4"/>
        <w:tabs>
          <w:tab w:val="left" w:pos="993"/>
          <w:tab w:val="left" w:pos="1134"/>
          <w:tab w:val="left" w:pos="1418"/>
        </w:tabs>
        <w:spacing w:line="560" w:lineRule="exact"/>
        <w:rPr>
          <w:rFonts w:ascii="Times New Roman" w:hAnsi="Times New Roman" w:eastAsia="仿宋_GB2312" w:cs="Times New Roman"/>
          <w:sz w:val="32"/>
          <w:szCs w:val="32"/>
        </w:rPr>
      </w:pPr>
    </w:p>
    <w:p>
      <w:pPr>
        <w:pStyle w:val="4"/>
        <w:tabs>
          <w:tab w:val="left" w:pos="993"/>
          <w:tab w:val="left" w:pos="1134"/>
          <w:tab w:val="left" w:pos="1418"/>
        </w:tabs>
        <w:spacing w:line="560" w:lineRule="exact"/>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rPr>
        <w:t>为便于供应商及时了解政府采购信息，根据《财政部关于开展政府采购意向公开工作的通知》（财库〔2020〕10号）</w:t>
      </w:r>
      <w:r>
        <w:rPr>
          <w:rFonts w:hint="eastAsia" w:ascii="Times New Roman" w:hAnsi="Times New Roman" w:eastAsia="仿宋_GB2312" w:cs="Times New Roman"/>
          <w:sz w:val="32"/>
          <w:szCs w:val="32"/>
          <w:lang w:val="en-US" w:eastAsia="zh-CN"/>
        </w:rPr>
        <w:t>和《广西壮族自治区财政厅关于进一步规范政府采购意向公开工作的通知》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桂财采</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84</w:t>
      </w:r>
      <w:r>
        <w:rPr>
          <w:rFonts w:ascii="Times New Roman" w:hAnsi="Times New Roman" w:eastAsia="仿宋_GB2312" w:cs="Times New Roman"/>
          <w:sz w:val="32"/>
          <w:szCs w:val="32"/>
        </w:rPr>
        <w:t>号）等有关规定，</w:t>
      </w:r>
      <w:r>
        <w:rPr>
          <w:rFonts w:ascii="Times New Roman" w:hAnsi="Times New Roman" w:eastAsia="仿宋_GB2312" w:cs="Times New Roman"/>
          <w:sz w:val="32"/>
          <w:szCs w:val="32"/>
          <w:u w:val="none"/>
        </w:rPr>
        <w:t xml:space="preserve">现将龙州县彬桥乡人民政府 </w:t>
      </w:r>
      <w:r>
        <w:rPr>
          <w:rFonts w:ascii="Times New Roman" w:hAnsi="Times New Roman" w:eastAsia="仿宋_GB2312" w:cs="Times New Roman"/>
          <w:sz w:val="32"/>
          <w:szCs w:val="32"/>
          <w:u w:val="none"/>
          <w:lang w:val="en-US" w:eastAsia="zh-CN"/>
        </w:rPr>
        <w:t>202</w:t>
      </w:r>
      <w:r>
        <w:rPr>
          <w:rFonts w:hint="eastAsia" w:ascii="Times New Roman" w:hAnsi="Times New Roman" w:eastAsia="仿宋_GB2312" w:cs="Times New Roman"/>
          <w:sz w:val="32"/>
          <w:szCs w:val="32"/>
          <w:u w:val="none"/>
          <w:lang w:val="en-US" w:eastAsia="zh-CN"/>
        </w:rPr>
        <w:t>3</w:t>
      </w:r>
      <w:r>
        <w:rPr>
          <w:rFonts w:ascii="Times New Roman" w:hAnsi="Times New Roman" w:eastAsia="仿宋_GB2312" w:cs="Times New Roman"/>
          <w:sz w:val="32"/>
          <w:szCs w:val="32"/>
          <w:u w:val="none"/>
        </w:rPr>
        <w:t>年</w:t>
      </w:r>
      <w:r>
        <w:rPr>
          <w:rFonts w:hint="eastAsia" w:ascii="Times New Roman" w:hAnsi="Times New Roman" w:eastAsia="仿宋_GB2312" w:cs="Times New Roman"/>
          <w:color w:val="auto"/>
          <w:kern w:val="2"/>
          <w:sz w:val="32"/>
          <w:szCs w:val="32"/>
          <w:u w:val="none"/>
          <w:lang w:val="en-US" w:eastAsia="zh-CN" w:bidi="ar-SA"/>
        </w:rPr>
        <w:t>2</w:t>
      </w:r>
      <w:r>
        <w:rPr>
          <w:rFonts w:ascii="Times New Roman" w:hAnsi="Times New Roman" w:eastAsia="仿宋_GB2312" w:cs="Times New Roman"/>
          <w:sz w:val="32"/>
          <w:szCs w:val="32"/>
          <w:u w:val="none"/>
        </w:rPr>
        <w:t xml:space="preserve"> 月政府采购意向公开如下：</w:t>
      </w:r>
    </w:p>
    <w:tbl>
      <w:tblPr>
        <w:tblStyle w:val="2"/>
        <w:tblW w:w="9713" w:type="dxa"/>
        <w:tblInd w:w="-118" w:type="dxa"/>
        <w:tblLayout w:type="fixed"/>
        <w:tblCellMar>
          <w:top w:w="0" w:type="dxa"/>
          <w:left w:w="108" w:type="dxa"/>
          <w:bottom w:w="0" w:type="dxa"/>
          <w:right w:w="108" w:type="dxa"/>
        </w:tblCellMar>
      </w:tblPr>
      <w:tblGrid>
        <w:gridCol w:w="533"/>
        <w:gridCol w:w="1276"/>
        <w:gridCol w:w="3001"/>
        <w:gridCol w:w="1470"/>
        <w:gridCol w:w="1260"/>
        <w:gridCol w:w="1229"/>
        <w:gridCol w:w="944"/>
      </w:tblGrid>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采购项目</w:t>
            </w:r>
          </w:p>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名称</w:t>
            </w:r>
          </w:p>
        </w:tc>
        <w:tc>
          <w:tcPr>
            <w:tcW w:w="3001"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采购需求概况</w:t>
            </w:r>
          </w:p>
        </w:tc>
        <w:tc>
          <w:tcPr>
            <w:tcW w:w="1470"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预算金额</w:t>
            </w:r>
          </w:p>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预计采购时间（填写到月）</w:t>
            </w:r>
          </w:p>
        </w:tc>
        <w:tc>
          <w:tcPr>
            <w:tcW w:w="1229"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hint="default" w:ascii="Times New Roman" w:hAnsi="Times New Roman" w:eastAsia="宋体" w:cs="Times New Roman"/>
                <w:b/>
                <w:bCs/>
                <w:kern w:val="0"/>
                <w:sz w:val="24"/>
                <w:szCs w:val="32"/>
                <w:lang w:val="en-US" w:eastAsia="zh-CN"/>
              </w:rPr>
            </w:pPr>
            <w:r>
              <w:rPr>
                <w:rFonts w:hint="eastAsia" w:ascii="Times New Roman" w:hAnsi="Times New Roman" w:cs="Times New Roman"/>
                <w:b/>
                <w:bCs/>
                <w:kern w:val="0"/>
                <w:sz w:val="24"/>
                <w:szCs w:val="32"/>
                <w:lang w:val="en-US" w:eastAsia="zh-CN"/>
              </w:rPr>
              <w:t>落实政府采购政策功能情况</w:t>
            </w: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cs="Times New Roman"/>
                <w:b/>
                <w:bCs/>
                <w:kern w:val="0"/>
                <w:sz w:val="24"/>
                <w:szCs w:val="32"/>
              </w:rPr>
            </w:pPr>
            <w:r>
              <w:rPr>
                <w:rFonts w:ascii="Times New Roman" w:hAnsi="Times New Roman" w:cs="Times New Roman"/>
                <w:b/>
                <w:bCs/>
                <w:kern w:val="0"/>
                <w:sz w:val="24"/>
                <w:szCs w:val="32"/>
              </w:rPr>
              <w:t>备注</w:t>
            </w:r>
          </w:p>
        </w:tc>
      </w:tr>
      <w:tr>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napToGrid w:val="0"/>
              <w:spacing w:line="440" w:lineRule="exact"/>
              <w:rPr>
                <w:rFonts w:hint="eastAsia" w:ascii="Times New Roman" w:hAnsi="Times New Roman" w:eastAsia="仿宋_GB2312" w:cs="Times New Roman"/>
                <w:b/>
                <w:bCs/>
                <w:kern w:val="0"/>
                <w:sz w:val="24"/>
                <w:szCs w:val="32"/>
                <w:lang w:val="en-US" w:eastAsia="zh-CN"/>
              </w:rPr>
            </w:pPr>
            <w:r>
              <w:rPr>
                <w:rFonts w:hint="eastAsia" w:ascii="Times New Roman" w:hAnsi="Times New Roman" w:eastAsia="仿宋_GB2312" w:cs="Times New Roman"/>
                <w:b/>
                <w:bCs/>
                <w:kern w:val="0"/>
                <w:sz w:val="24"/>
                <w:szCs w:val="32"/>
                <w:lang w:val="en-US"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龙州县彬桥乡安民村平给屯通屯水毁道路建设工程</w:t>
            </w:r>
          </w:p>
        </w:tc>
        <w:tc>
          <w:tcPr>
            <w:tcW w:w="3001"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新建挡墙长58米，挡墙高8米</w:t>
            </w:r>
          </w:p>
        </w:tc>
        <w:tc>
          <w:tcPr>
            <w:tcW w:w="1470"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hint="default"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99.866</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eastAsia="仿宋_GB2312" w:cs="Times New Roman"/>
                <w:color w:val="auto"/>
                <w:kern w:val="0"/>
                <w:sz w:val="24"/>
                <w:szCs w:val="32"/>
                <w:lang w:val="en-US" w:eastAsia="zh-CN" w:bidi="ar-SA"/>
              </w:rPr>
            </w:pPr>
            <w:r>
              <w:rPr>
                <w:rFonts w:ascii="Times New Roman" w:hAnsi="Times New Roman" w:eastAsia="仿宋_GB2312" w:cs="Times New Roman"/>
                <w:color w:val="auto"/>
                <w:kern w:val="0"/>
                <w:sz w:val="24"/>
                <w:szCs w:val="32"/>
                <w:lang w:val="en-US" w:eastAsia="zh-CN" w:bidi="ar-SA"/>
              </w:rPr>
              <w:t>202</w:t>
            </w:r>
            <w:r>
              <w:rPr>
                <w:rFonts w:hint="eastAsia" w:ascii="Times New Roman" w:hAnsi="Times New Roman" w:eastAsia="仿宋_GB2312" w:cs="Times New Roman"/>
                <w:color w:val="auto"/>
                <w:kern w:val="0"/>
                <w:sz w:val="24"/>
                <w:szCs w:val="32"/>
                <w:lang w:val="en-US" w:eastAsia="zh-CN" w:bidi="ar-SA"/>
              </w:rPr>
              <w:t>3</w:t>
            </w:r>
            <w:r>
              <w:rPr>
                <w:rFonts w:ascii="Times New Roman" w:hAnsi="Times New Roman" w:eastAsia="仿宋_GB2312" w:cs="Times New Roman"/>
                <w:color w:val="auto"/>
                <w:kern w:val="0"/>
                <w:sz w:val="24"/>
                <w:szCs w:val="32"/>
                <w:lang w:val="en-US" w:eastAsia="zh-CN" w:bidi="ar-SA"/>
              </w:rPr>
              <w:t>年</w:t>
            </w:r>
            <w:r>
              <w:rPr>
                <w:rFonts w:hint="eastAsia" w:ascii="Times New Roman" w:hAnsi="Times New Roman" w:eastAsia="仿宋_GB2312" w:cs="Times New Roman"/>
                <w:color w:val="auto"/>
                <w:kern w:val="0"/>
                <w:sz w:val="24"/>
                <w:szCs w:val="32"/>
                <w:lang w:val="en-US" w:eastAsia="zh-CN" w:bidi="ar-SA"/>
              </w:rPr>
              <w:t>3</w:t>
            </w:r>
            <w:r>
              <w:rPr>
                <w:rFonts w:ascii="Times New Roman" w:hAnsi="Times New Roman" w:eastAsia="仿宋_GB2312" w:cs="Times New Roman"/>
                <w:color w:val="auto"/>
                <w:kern w:val="0"/>
                <w:sz w:val="24"/>
                <w:szCs w:val="32"/>
                <w:lang w:val="en-US" w:eastAsia="zh-CN" w:bidi="ar-SA"/>
              </w:rPr>
              <w:t>月</w:t>
            </w:r>
          </w:p>
        </w:tc>
        <w:tc>
          <w:tcPr>
            <w:tcW w:w="1229"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hint="default" w:ascii="Times New Roman" w:hAnsi="Times New Roman" w:eastAsia="仿宋_GB2312" w:cs="Times New Roman"/>
                <w:color w:val="auto"/>
                <w:kern w:val="0"/>
                <w:sz w:val="24"/>
                <w:szCs w:val="32"/>
                <w:lang w:val="en-US" w:eastAsia="zh-CN" w:bidi="ar-SA"/>
              </w:rPr>
            </w:pPr>
            <w:r>
              <w:rPr>
                <w:rFonts w:hint="eastAsia" w:ascii="Times New Roman" w:hAnsi="Times New Roman" w:eastAsia="仿宋_GB2312" w:cs="Times New Roman"/>
                <w:color w:val="auto"/>
                <w:kern w:val="0"/>
                <w:sz w:val="24"/>
                <w:szCs w:val="32"/>
                <w:lang w:val="en-US" w:eastAsia="zh-CN" w:bidi="ar-SA"/>
              </w:rPr>
              <w:t>面向中小型企业预留份额100%</w:t>
            </w:r>
          </w:p>
        </w:tc>
        <w:tc>
          <w:tcPr>
            <w:tcW w:w="944" w:type="dxa"/>
            <w:tcBorders>
              <w:top w:val="single" w:color="000000" w:sz="4" w:space="0"/>
              <w:left w:val="single" w:color="000000" w:sz="4" w:space="0"/>
              <w:bottom w:val="single" w:color="000000" w:sz="4" w:space="0"/>
              <w:right w:val="single" w:color="000000" w:sz="4" w:space="0"/>
            </w:tcBorders>
            <w:vAlign w:val="center"/>
          </w:tcPr>
          <w:p>
            <w:pPr>
              <w:pStyle w:val="4"/>
              <w:widowControl w:val="0"/>
              <w:tabs>
                <w:tab w:val="left" w:pos="993"/>
                <w:tab w:val="left" w:pos="1134"/>
                <w:tab w:val="left" w:pos="1418"/>
              </w:tabs>
              <w:spacing w:line="440" w:lineRule="exact"/>
              <w:jc w:val="center"/>
              <w:rPr>
                <w:rFonts w:ascii="Times New Roman" w:hAnsi="Times New Roman" w:eastAsia="仿宋_GB2312" w:cs="Times New Roman"/>
                <w:kern w:val="0"/>
                <w:sz w:val="24"/>
                <w:szCs w:val="32"/>
              </w:rPr>
            </w:pPr>
            <w:bookmarkStart w:id="0" w:name="_GoBack"/>
            <w:bookmarkEnd w:id="0"/>
          </w:p>
        </w:tc>
      </w:tr>
    </w:tbl>
    <w:p>
      <w:pPr>
        <w:pStyle w:val="4"/>
        <w:tabs>
          <w:tab w:val="left" w:pos="993"/>
          <w:tab w:val="left" w:pos="1134"/>
          <w:tab w:val="left" w:pos="1418"/>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本次公开的政府采购意向是本单位政府采购工作的初步安排，具体采购项目情况以相关采购公告和采购文件为准。</w:t>
      </w:r>
      <w:r>
        <w:rPr>
          <w:rFonts w:ascii="Times New Roman" w:hAnsi="Times New Roman" w:eastAsia="Times New Roman" w:cs="Times New Roman"/>
          <w:sz w:val="32"/>
          <w:szCs w:val="32"/>
        </w:rPr>
        <w:t xml:space="preserve">                                                             </w:t>
      </w:r>
    </w:p>
    <w:p>
      <w:pPr>
        <w:pStyle w:val="4"/>
        <w:tabs>
          <w:tab w:val="left" w:pos="993"/>
          <w:tab w:val="left" w:pos="1134"/>
          <w:tab w:val="left" w:pos="1418"/>
        </w:tabs>
        <w:spacing w:line="560" w:lineRule="exact"/>
        <w:jc w:val="left"/>
        <w:rPr>
          <w:rFonts w:ascii="Times New Roman" w:hAnsi="Times New Roman" w:eastAsia="仿宋_GB2312" w:cs="Times New Roman"/>
          <w:sz w:val="32"/>
          <w:szCs w:val="32"/>
        </w:rPr>
      </w:pPr>
    </w:p>
    <w:p>
      <w:pPr>
        <w:pStyle w:val="4"/>
        <w:tabs>
          <w:tab w:val="left" w:pos="993"/>
          <w:tab w:val="left" w:pos="1134"/>
          <w:tab w:val="left" w:pos="1418"/>
        </w:tabs>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龙州县彬桥乡人民政府</w:t>
      </w:r>
    </w:p>
    <w:p>
      <w:pPr>
        <w:pStyle w:val="4"/>
        <w:tabs>
          <w:tab w:val="left" w:pos="993"/>
          <w:tab w:val="left" w:pos="1134"/>
          <w:tab w:val="left" w:pos="1418"/>
        </w:tabs>
        <w:spacing w:line="560" w:lineRule="exact"/>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2023年2月23日</w:t>
      </w:r>
    </w:p>
    <w:p>
      <w:pPr>
        <w:pStyle w:val="4"/>
        <w:tabs>
          <w:tab w:val="left" w:pos="993"/>
          <w:tab w:val="left" w:pos="1134"/>
          <w:tab w:val="left" w:pos="1418"/>
        </w:tabs>
        <w:spacing w:line="560" w:lineRule="exact"/>
        <w:ind w:right="481" w:rightChars="229"/>
        <w:jc w:val="center"/>
        <w:rPr>
          <w:rFonts w:hint="default"/>
          <w:lang w:val="en-US"/>
        </w:rPr>
      </w:pPr>
      <w:r>
        <w:rPr>
          <w:rFonts w:ascii="Times New Roman" w:hAnsi="Times New Roman" w:eastAsia="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Times New Roman" w:cs="Times New Roman"/>
          <w:color w:val="auto"/>
          <w:kern w:val="2"/>
          <w:sz w:val="32"/>
          <w:szCs w:val="32"/>
          <w:lang w:val="en-US" w:eastAsia="zh-CN" w:bidi="ar-SA"/>
        </w:rPr>
        <w:t xml:space="preserve"> </w:t>
      </w:r>
    </w:p>
    <w:sectPr>
      <w:footerReference r:id="rId3" w:type="default"/>
      <w:pgSz w:w="11906" w:h="16838"/>
      <w:pgMar w:top="1928" w:right="1474" w:bottom="1814" w:left="1587" w:header="0" w:footer="1134" w:gutter="0"/>
      <w:pgNumType w:fmt="decimal"/>
      <w:cols w:space="720" w:num="1"/>
      <w:formProt w:val="0"/>
      <w:docGrid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roma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3"/>
      </w:tabs>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561975" cy="247650"/>
              <wp:effectExtent l="0" t="0" r="0" b="0"/>
              <wp:wrapNone/>
              <wp:docPr id="1" name="框架1"/>
              <wp:cNvGraphicFramePr/>
              <a:graphic xmlns:a="http://schemas.openxmlformats.org/drawingml/2006/main">
                <a:graphicData uri="http://schemas.microsoft.com/office/word/2010/wordprocessingShape">
                  <wps:wsp>
                    <wps:cNvSpPr/>
                    <wps:spPr>
                      <a:xfrm>
                        <a:off x="0" y="0"/>
                        <a:ext cx="561240" cy="24696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5"/>
                            <w:rPr>
                              <w:color w:val="000000"/>
                            </w:rPr>
                          </w:pPr>
                          <w:r>
                            <w:rPr>
                              <w:rFonts w:ascii="新宋体" w:hAnsi="新宋体" w:eastAsia="新宋体" w:cs="新宋体"/>
                              <w:color w:val="000000"/>
                              <w:sz w:val="30"/>
                              <w:szCs w:val="30"/>
                            </w:rPr>
                            <w:t>－</w:t>
                          </w:r>
                          <w:r>
                            <w:rPr>
                              <w:rFonts w:ascii="新宋体" w:hAnsi="新宋体" w:eastAsia="新宋体" w:cs="新宋体"/>
                              <w:color w:val="000000"/>
                              <w:sz w:val="13"/>
                              <w:szCs w:val="13"/>
                            </w:rPr>
                            <w:t xml:space="preserve"> </w:t>
                          </w:r>
                          <w:r>
                            <w:rPr>
                              <w:rFonts w:ascii="仿宋_GB2312" w:hAnsi="仿宋_GB2312" w:eastAsia="仿宋_GB2312" w:cs="仿宋_GB2312"/>
                              <w:color w:val="000000"/>
                              <w:sz w:val="30"/>
                              <w:szCs w:val="30"/>
                            </w:rPr>
                            <w:fldChar w:fldCharType="begin"/>
                          </w:r>
                          <w:r>
                            <w:rPr>
                              <w:rFonts w:ascii="仿宋_GB2312" w:hAnsi="仿宋_GB2312" w:eastAsia="仿宋_GB2312" w:cs="仿宋_GB2312"/>
                              <w:color w:val="000000"/>
                              <w:sz w:val="30"/>
                              <w:szCs w:val="30"/>
                            </w:rPr>
                            <w:instrText xml:space="preserve">PAGE</w:instrText>
                          </w:r>
                          <w:r>
                            <w:rPr>
                              <w:rFonts w:ascii="仿宋_GB2312" w:hAnsi="仿宋_GB2312" w:eastAsia="仿宋_GB2312" w:cs="仿宋_GB2312"/>
                              <w:color w:val="000000"/>
                              <w:sz w:val="30"/>
                              <w:szCs w:val="30"/>
                            </w:rPr>
                            <w:fldChar w:fldCharType="separate"/>
                          </w:r>
                          <w:r>
                            <w:rPr>
                              <w:rFonts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fldChar w:fldCharType="end"/>
                          </w:r>
                          <w:r>
                            <w:rPr>
                              <w:rFonts w:ascii="新宋体" w:hAnsi="新宋体" w:eastAsia="新宋体" w:cs="新宋体"/>
                              <w:color w:val="000000"/>
                              <w:sz w:val="13"/>
                              <w:szCs w:val="13"/>
                            </w:rPr>
                            <w:t xml:space="preserve"> </w:t>
                          </w:r>
                          <w:r>
                            <w:rPr>
                              <w:rFonts w:ascii="新宋体" w:hAnsi="新宋体" w:eastAsia="新宋体" w:cs="新宋体"/>
                              <w:color w:val="000000"/>
                              <w:sz w:val="30"/>
                              <w:szCs w:val="30"/>
                            </w:rPr>
                            <w:t>－</w:t>
                          </w:r>
                        </w:p>
                      </w:txbxContent>
                    </wps:txbx>
                    <wps:bodyPr lIns="720" tIns="720" rIns="720" bIns="720">
                      <a:spAutoFit/>
                    </wps:bodyPr>
                  </wps:wsp>
                </a:graphicData>
              </a:graphic>
            </wp:anchor>
          </w:drawing>
        </mc:Choice>
        <mc:Fallback>
          <w:pict>
            <v:rect id="框架1" o:spid="_x0000_s1026" o:spt="1" style="position:absolute;left:0pt;margin-top:0.05pt;height:19.5pt;width:44.25pt;mso-position-horizontal:right;mso-position-horizontal-relative:margin;z-index:-251657216;mso-width-relative:page;mso-height-relative:page;" filled="f" stroked="f" coordsize="21600,21600" o:allowincell="f" o:gfxdata="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KxbftUAAAADAQAADwAAAAAAAAABACAAAAAiAAAAZHJzL2Rvd25yZXYueG1sUEsBAhQAFAAA&#10;AAgAh07iQML0znq5AQAAfwMAAA4AAAAAAAAAAQAgAAAAJAEAAGRycy9lMm9Eb2MueG1sUEsFBgAA&#10;AAAGAAYAWQEAAE8FAAAAAA==&#10;">
              <v:fill on="f" focussize="0,0"/>
              <v:stroke on="f" weight="0pt"/>
              <v:imagedata o:title=""/>
              <o:lock v:ext="edit" aspectratio="f"/>
              <v:textbox inset="0.02mm,0.02mm,0.02mm,0.02mm" style="mso-fit-shape-to-text:t;">
                <w:txbxContent>
                  <w:p>
                    <w:pPr>
                      <w:pStyle w:val="5"/>
                      <w:rPr>
                        <w:color w:val="000000"/>
                      </w:rPr>
                    </w:pPr>
                    <w:r>
                      <w:rPr>
                        <w:rFonts w:ascii="新宋体" w:hAnsi="新宋体" w:eastAsia="新宋体" w:cs="新宋体"/>
                        <w:color w:val="000000"/>
                        <w:sz w:val="30"/>
                        <w:szCs w:val="30"/>
                      </w:rPr>
                      <w:t>－</w:t>
                    </w:r>
                    <w:r>
                      <w:rPr>
                        <w:rFonts w:ascii="新宋体" w:hAnsi="新宋体" w:eastAsia="新宋体" w:cs="新宋体"/>
                        <w:color w:val="000000"/>
                        <w:sz w:val="13"/>
                        <w:szCs w:val="13"/>
                      </w:rPr>
                      <w:t xml:space="preserve"> </w:t>
                    </w:r>
                    <w:r>
                      <w:rPr>
                        <w:rFonts w:ascii="仿宋_GB2312" w:hAnsi="仿宋_GB2312" w:eastAsia="仿宋_GB2312" w:cs="仿宋_GB2312"/>
                        <w:color w:val="000000"/>
                        <w:sz w:val="30"/>
                        <w:szCs w:val="30"/>
                      </w:rPr>
                      <w:fldChar w:fldCharType="begin"/>
                    </w:r>
                    <w:r>
                      <w:rPr>
                        <w:rFonts w:ascii="仿宋_GB2312" w:hAnsi="仿宋_GB2312" w:eastAsia="仿宋_GB2312" w:cs="仿宋_GB2312"/>
                        <w:color w:val="000000"/>
                        <w:sz w:val="30"/>
                        <w:szCs w:val="30"/>
                      </w:rPr>
                      <w:instrText xml:space="preserve">PAGE</w:instrText>
                    </w:r>
                    <w:r>
                      <w:rPr>
                        <w:rFonts w:ascii="仿宋_GB2312" w:hAnsi="仿宋_GB2312" w:eastAsia="仿宋_GB2312" w:cs="仿宋_GB2312"/>
                        <w:color w:val="000000"/>
                        <w:sz w:val="30"/>
                        <w:szCs w:val="30"/>
                      </w:rPr>
                      <w:fldChar w:fldCharType="separate"/>
                    </w:r>
                    <w:r>
                      <w:rPr>
                        <w:rFonts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fldChar w:fldCharType="end"/>
                    </w:r>
                    <w:r>
                      <w:rPr>
                        <w:rFonts w:ascii="新宋体" w:hAnsi="新宋体" w:eastAsia="新宋体" w:cs="新宋体"/>
                        <w:color w:val="000000"/>
                        <w:sz w:val="13"/>
                        <w:szCs w:val="13"/>
                      </w:rPr>
                      <w:t xml:space="preserve"> </w:t>
                    </w:r>
                    <w:r>
                      <w:rPr>
                        <w:rFonts w:ascii="新宋体" w:hAnsi="新宋体" w:eastAsia="新宋体" w:cs="新宋体"/>
                        <w:color w:val="000000"/>
                        <w:sz w:val="30"/>
                        <w:szCs w:val="30"/>
                      </w:rPr>
                      <w:t>－</w:t>
                    </w:r>
                  </w:p>
                </w:txbxContent>
              </v:textbox>
            </v:rect>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autoHyphenation/>
  <w:compat>
    <w:balanceSingleByteDoubleByteWidth/>
    <w:ulTrailSpace/>
    <w:doNotExpandShiftReturn/>
    <w:useFELayout/>
    <w:compatSetting w:name="compatibilityMode" w:uri="http://schemas.microsoft.com/office/word" w:val="15"/>
  </w:compat>
  <w:docVars>
    <w:docVar w:name="commondata" w:val="eyJoZGlkIjoiNTI3NTFlOWU5ZTAxMDMzN2U4M2IxNzQ4ZWU4MjVjZDkifQ=="/>
  </w:docVars>
  <w:rsids>
    <w:rsidRoot w:val="00000000"/>
    <w:rsid w:val="172D33A1"/>
    <w:rsid w:val="48C642AB"/>
    <w:rsid w:val="62226C56"/>
    <w:rsid w:val="68FD066F"/>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sz w:val="21"/>
      <w:szCs w:val="24"/>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0"/>
      <w:lang w:val="en-US" w:eastAsia="zh-CN" w:bidi="ar-SA"/>
    </w:rPr>
  </w:style>
  <w:style w:type="paragraph" w:customStyle="1" w:styleId="5">
    <w:name w:val="页脚1"/>
    <w:basedOn w:val="4"/>
    <w:qFormat/>
    <w:uiPriority w:val="0"/>
    <w:pPr>
      <w:tabs>
        <w:tab w:val="center" w:pos="4153"/>
        <w:tab w:val="right" w:pos="8306"/>
      </w:tabs>
      <w:snapToGrid w:val="0"/>
      <w:jc w:val="left"/>
    </w:pPr>
    <w:rPr>
      <w:rFonts w:ascii="Calibri" w:hAnsi="Calibri" w:cs="Calibri"/>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桂冠下行文模板.dot</Template>
  <Pages>1</Pages>
  <Words>249</Words>
  <Characters>272</Characters>
  <Paragraphs>22</Paragraphs>
  <TotalTime>17</TotalTime>
  <ScaleCrop>false</ScaleCrop>
  <LinksUpToDate>false</LinksUpToDate>
  <CharactersWithSpaces>439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2004-06-25T11:09:00Z</dcterms:created>
  <dc:creator>系统管理员</dc:creator>
  <cp:lastModifiedBy>定点     </cp:lastModifiedBy>
  <cp:lastPrinted>2021-09-27T17:46:00Z</cp:lastPrinted>
  <dcterms:modified xsi:type="dcterms:W3CDTF">2023-02-23T03:36:31Z</dcterms:modified>
  <dc:title>关于申请办理“广西桂冠电力股份有限公司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512DF52DEEE148F180F65BBF8DF71E21</vt:lpwstr>
  </property>
  <property fmtid="{D5CDD505-2E9C-101B-9397-08002B2CF9AE}" pid="3" name="KSOProductBuildVer">
    <vt:lpwstr>2052-11.1.0.13703</vt:lpwstr>
  </property>
</Properties>
</file>