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20" w:lineRule="exact"/>
        <w:jc w:val="center"/>
        <w:rPr>
          <w:rFonts w:hint="eastAsia" w:ascii="宋体" w:hAnsi="宋体" w:cs="宋体"/>
          <w:color w:val="auto"/>
          <w:kern w:val="0"/>
          <w:sz w:val="28"/>
          <w:szCs w:val="28"/>
        </w:rPr>
      </w:pPr>
      <w:r>
        <w:rPr>
          <w:rFonts w:hint="eastAsia" w:ascii="宋体" w:hAnsi="宋体" w:cs="宋体"/>
          <w:color w:val="auto"/>
          <w:kern w:val="0"/>
          <w:sz w:val="28"/>
          <w:szCs w:val="28"/>
        </w:rPr>
        <w:t>贺州市宏程工程咨询有限责任公司</w:t>
      </w:r>
      <w:r>
        <w:rPr>
          <w:rFonts w:hint="eastAsia" w:ascii="宋体" w:hAnsi="宋体" w:cs="宋体"/>
          <w:color w:val="auto"/>
          <w:kern w:val="0"/>
          <w:sz w:val="28"/>
          <w:szCs w:val="28"/>
          <w:lang w:eastAsia="zh-CN"/>
        </w:rPr>
        <w:t>关于</w:t>
      </w:r>
      <w:r>
        <w:rPr>
          <w:rFonts w:hint="eastAsia" w:ascii="宋体" w:hAnsi="宋体" w:cs="宋体"/>
          <w:color w:val="auto"/>
          <w:kern w:val="0"/>
          <w:sz w:val="28"/>
          <w:szCs w:val="28"/>
        </w:rPr>
        <w:t>富川瑶族自治县2019年度电子商务进农村综合示范项目采购项目编号:FCZFCG2020-F-28 ）</w:t>
      </w:r>
    </w:p>
    <w:p>
      <w:pPr>
        <w:snapToGrid w:val="0"/>
        <w:spacing w:after="156" w:afterLines="50" w:line="320" w:lineRule="exact"/>
        <w:jc w:val="center"/>
        <w:rPr>
          <w:rFonts w:hint="eastAsia" w:ascii="宋体" w:hAnsi="宋体" w:cs="宋体"/>
          <w:color w:val="auto"/>
          <w:kern w:val="0"/>
          <w:sz w:val="28"/>
          <w:szCs w:val="28"/>
        </w:rPr>
      </w:pPr>
      <w:r>
        <w:rPr>
          <w:rFonts w:hint="eastAsia" w:ascii="宋体" w:hAnsi="宋体" w:cs="宋体"/>
          <w:bCs/>
          <w:color w:val="auto"/>
          <w:sz w:val="28"/>
          <w:szCs w:val="28"/>
        </w:rPr>
        <w:t>公开招标公告</w:t>
      </w:r>
    </w:p>
    <w:p>
      <w:pPr>
        <w:pStyle w:val="4"/>
        <w:snapToGrid w:val="0"/>
        <w:spacing w:line="380" w:lineRule="exact"/>
        <w:ind w:firstLine="420" w:firstLineChars="200"/>
        <w:rPr>
          <w:rFonts w:hint="eastAsia" w:hAnsi="宋体" w:cs="宋体"/>
          <w:color w:val="auto"/>
          <w:sz w:val="21"/>
        </w:rPr>
      </w:pPr>
      <w:r>
        <w:rPr>
          <w:rFonts w:hint="eastAsia" w:hAnsi="宋体" w:cs="宋体"/>
          <w:color w:val="auto"/>
          <w:sz w:val="21"/>
        </w:rPr>
        <w:t>根据</w:t>
      </w:r>
      <w:r>
        <w:rPr>
          <w:rFonts w:hint="eastAsia" w:hAnsi="宋体" w:cs="宋体"/>
          <w:color w:val="auto"/>
          <w:sz w:val="21"/>
          <w:u w:val="single"/>
        </w:rPr>
        <w:t>《中华人民共和国政府采购法》、《政府采购货物和服务招标投标管理办法》</w:t>
      </w:r>
      <w:r>
        <w:rPr>
          <w:rFonts w:hint="eastAsia" w:hAnsi="宋体" w:cs="宋体"/>
          <w:color w:val="auto"/>
          <w:sz w:val="21"/>
        </w:rPr>
        <w:t>等规定，经</w:t>
      </w:r>
      <w:r>
        <w:rPr>
          <w:rFonts w:hint="eastAsia" w:hAnsi="宋体" w:cs="宋体"/>
          <w:color w:val="auto"/>
          <w:sz w:val="21"/>
          <w:u w:val="single"/>
        </w:rPr>
        <w:t xml:space="preserve"> 财政管理部门</w:t>
      </w:r>
      <w:r>
        <w:rPr>
          <w:rFonts w:hint="eastAsia" w:hAnsi="宋体" w:cs="宋体"/>
          <w:color w:val="auto"/>
          <w:sz w:val="21"/>
        </w:rPr>
        <w:t>批准，</w:t>
      </w:r>
      <w:r>
        <w:rPr>
          <w:rFonts w:hint="eastAsia" w:hAnsi="宋体" w:cs="宋体"/>
          <w:color w:val="auto"/>
          <w:sz w:val="21"/>
          <w:lang w:eastAsia="zh-CN"/>
        </w:rPr>
        <w:t>资金来源文</w:t>
      </w:r>
      <w:r>
        <w:rPr>
          <w:rFonts w:hint="eastAsia" w:hAnsi="宋体" w:cs="宋体"/>
          <w:color w:val="auto"/>
          <w:sz w:val="21"/>
        </w:rPr>
        <w:t>号</w:t>
      </w:r>
      <w:r>
        <w:rPr>
          <w:rFonts w:hint="eastAsia" w:hAnsi="宋体" w:cs="宋体"/>
          <w:color w:val="auto"/>
          <w:sz w:val="21"/>
          <w:u w:val="single"/>
        </w:rPr>
        <w:t>：</w:t>
      </w:r>
      <w:r>
        <w:rPr>
          <w:rFonts w:hint="eastAsia" w:hAnsi="宋体" w:cs="宋体"/>
          <w:color w:val="auto"/>
          <w:sz w:val="21"/>
          <w:u w:val="single"/>
          <w:lang w:val="en-US" w:eastAsia="zh-CN"/>
        </w:rPr>
        <w:t xml:space="preserve"> 桂财建【2019】159号   </w:t>
      </w:r>
      <w:r>
        <w:rPr>
          <w:rFonts w:hint="eastAsia" w:hAnsi="宋体" w:cs="宋体"/>
          <w:color w:val="auto"/>
          <w:sz w:val="21"/>
        </w:rPr>
        <w:t>，现就</w:t>
      </w:r>
      <w:r>
        <w:rPr>
          <w:rFonts w:hint="eastAsia" w:hAnsi="宋体" w:cs="宋体"/>
          <w:color w:val="auto"/>
          <w:sz w:val="21"/>
          <w:u w:val="single"/>
          <w:lang w:eastAsia="zh-CN"/>
        </w:rPr>
        <w:t>富川瑶族自治县经济贸易局</w:t>
      </w:r>
      <w:r>
        <w:rPr>
          <w:rFonts w:hint="eastAsia" w:hAnsi="宋体" w:cs="宋体"/>
          <w:color w:val="auto"/>
          <w:sz w:val="21"/>
        </w:rPr>
        <w:t>的</w:t>
      </w:r>
      <w:r>
        <w:rPr>
          <w:rFonts w:hint="eastAsia" w:hAnsi="宋体" w:cs="宋体"/>
          <w:color w:val="auto"/>
          <w:sz w:val="21"/>
          <w:u w:val="single"/>
          <w:lang w:eastAsia="zh-CN"/>
        </w:rPr>
        <w:t>富川瑶族自治县2019年度电子商务进农村综合示范项目</w:t>
      </w:r>
      <w:r>
        <w:rPr>
          <w:rFonts w:hint="eastAsia" w:hAnsi="宋体" w:cs="宋体"/>
          <w:color w:val="auto"/>
          <w:sz w:val="21"/>
        </w:rPr>
        <w:t>进行</w:t>
      </w:r>
      <w:r>
        <w:rPr>
          <w:rFonts w:hint="eastAsia" w:hAnsi="宋体" w:cs="宋体"/>
          <w:color w:val="auto"/>
          <w:sz w:val="21"/>
          <w:u w:val="single"/>
        </w:rPr>
        <w:t>公开招标</w:t>
      </w:r>
      <w:r>
        <w:rPr>
          <w:rFonts w:hint="eastAsia" w:hAnsi="宋体" w:cs="宋体"/>
          <w:color w:val="auto"/>
          <w:sz w:val="21"/>
        </w:rPr>
        <w:t>采购，现将有关事项公告如下：</w:t>
      </w:r>
    </w:p>
    <w:p>
      <w:pPr>
        <w:numPr>
          <w:ilvl w:val="0"/>
          <w:numId w:val="1"/>
        </w:numPr>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项目名称：富川瑶族自治县2019年度电子商务进农村综合示范项目</w:t>
      </w:r>
    </w:p>
    <w:p>
      <w:pPr>
        <w:numPr>
          <w:ilvl w:val="0"/>
          <w:numId w:val="1"/>
        </w:numPr>
        <w:snapToGrid w:val="0"/>
        <w:spacing w:line="380" w:lineRule="exact"/>
        <w:rPr>
          <w:rFonts w:hint="eastAsia" w:ascii="宋体" w:hAnsi="宋体" w:cs="宋体"/>
          <w:color w:val="auto"/>
          <w:szCs w:val="21"/>
        </w:rPr>
      </w:pPr>
      <w:r>
        <w:rPr>
          <w:rFonts w:hint="eastAsia" w:ascii="宋体" w:hAnsi="宋体" w:cs="宋体"/>
          <w:color w:val="auto"/>
          <w:szCs w:val="21"/>
        </w:rPr>
        <w:t xml:space="preserve">项目编号：FCZFCG2020-F-28 </w:t>
      </w:r>
    </w:p>
    <w:p>
      <w:pPr>
        <w:numPr>
          <w:ilvl w:val="0"/>
          <w:numId w:val="1"/>
        </w:numPr>
        <w:snapToGrid w:val="0"/>
        <w:spacing w:line="380" w:lineRule="exact"/>
        <w:rPr>
          <w:rFonts w:hint="eastAsia" w:ascii="宋体" w:hAnsi="宋体" w:cs="宋体"/>
          <w:color w:val="auto"/>
          <w:szCs w:val="21"/>
        </w:rPr>
      </w:pPr>
      <w:r>
        <w:rPr>
          <w:rFonts w:hint="eastAsia" w:ascii="宋体" w:hAnsi="宋体" w:cs="宋体"/>
          <w:color w:val="auto"/>
          <w:szCs w:val="21"/>
        </w:rPr>
        <w:t>采购方式：公开招标</w:t>
      </w:r>
    </w:p>
    <w:p>
      <w:pPr>
        <w:numPr>
          <w:ilvl w:val="0"/>
          <w:numId w:val="1"/>
        </w:numPr>
        <w:snapToGrid w:val="0"/>
        <w:spacing w:line="380" w:lineRule="exact"/>
        <w:rPr>
          <w:rFonts w:hint="eastAsia"/>
          <w:color w:val="auto"/>
        </w:rPr>
      </w:pPr>
      <w:r>
        <w:rPr>
          <w:rFonts w:hint="eastAsia" w:ascii="宋体" w:hAnsi="宋体" w:cs="宋体"/>
          <w:bCs/>
          <w:color w:val="auto"/>
          <w:szCs w:val="21"/>
        </w:rPr>
        <w:t>采购内容及数量、简要规格描述或项目基本概况介绍：</w:t>
      </w:r>
    </w:p>
    <w:tbl>
      <w:tblPr>
        <w:tblStyle w:val="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723"/>
        <w:gridCol w:w="339"/>
        <w:gridCol w:w="468"/>
        <w:gridCol w:w="399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9" w:type="dxa"/>
            <w:noWrap w:val="0"/>
            <w:vAlign w:val="center"/>
          </w:tcPr>
          <w:p>
            <w:pPr>
              <w:widowControl/>
              <w:adjustRightInd w:val="0"/>
              <w:snapToGrid w:val="0"/>
              <w:spacing w:line="360" w:lineRule="auto"/>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标段号</w:t>
            </w:r>
          </w:p>
        </w:tc>
        <w:tc>
          <w:tcPr>
            <w:tcW w:w="1723" w:type="dxa"/>
            <w:noWrap w:val="0"/>
            <w:vAlign w:val="center"/>
          </w:tcPr>
          <w:p>
            <w:pPr>
              <w:widowControl/>
              <w:adjustRightInd w:val="0"/>
              <w:snapToGrid w:val="0"/>
              <w:spacing w:line="360" w:lineRule="auto"/>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采购内容</w:t>
            </w:r>
          </w:p>
        </w:tc>
        <w:tc>
          <w:tcPr>
            <w:tcW w:w="339" w:type="dxa"/>
            <w:noWrap w:val="0"/>
            <w:vAlign w:val="center"/>
          </w:tcPr>
          <w:p>
            <w:pPr>
              <w:widowControl/>
              <w:adjustRightInd w:val="0"/>
              <w:snapToGrid w:val="0"/>
              <w:spacing w:line="360" w:lineRule="auto"/>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数量</w:t>
            </w:r>
          </w:p>
        </w:tc>
        <w:tc>
          <w:tcPr>
            <w:tcW w:w="468" w:type="dxa"/>
            <w:noWrap w:val="0"/>
            <w:vAlign w:val="center"/>
          </w:tcPr>
          <w:p>
            <w:pPr>
              <w:widowControl/>
              <w:adjustRightInd w:val="0"/>
              <w:snapToGrid w:val="0"/>
              <w:spacing w:line="360" w:lineRule="auto"/>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3993" w:type="dxa"/>
            <w:noWrap w:val="0"/>
            <w:vAlign w:val="center"/>
          </w:tcPr>
          <w:p>
            <w:pPr>
              <w:widowControl/>
              <w:adjustRightInd w:val="0"/>
              <w:snapToGrid w:val="0"/>
              <w:spacing w:line="360" w:lineRule="auto"/>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简要规格描述或项目基本情况</w:t>
            </w:r>
          </w:p>
        </w:tc>
        <w:tc>
          <w:tcPr>
            <w:tcW w:w="1295" w:type="dxa"/>
            <w:noWrap w:val="0"/>
            <w:vAlign w:val="center"/>
          </w:tcPr>
          <w:p>
            <w:pPr>
              <w:widowControl/>
              <w:adjustRightInd w:val="0"/>
              <w:snapToGrid w:val="0"/>
              <w:spacing w:line="360" w:lineRule="auto"/>
              <w:ind w:left="361" w:hanging="361" w:hangingChars="200"/>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采购预算/控制价</w:t>
            </w:r>
          </w:p>
          <w:p>
            <w:pPr>
              <w:widowControl/>
              <w:adjustRightInd w:val="0"/>
              <w:snapToGrid w:val="0"/>
              <w:spacing w:line="360" w:lineRule="auto"/>
              <w:ind w:left="361" w:hanging="361" w:hangingChars="200"/>
              <w:jc w:val="center"/>
              <w:textAlignment w:val="baseline"/>
              <w:rPr>
                <w:rFonts w:ascii="宋体" w:hAnsi="宋体" w:cs="宋体"/>
                <w:b/>
                <w:bCs/>
                <w:color w:val="auto"/>
                <w:kern w:val="0"/>
                <w:sz w:val="18"/>
                <w:szCs w:val="18"/>
              </w:rPr>
            </w:pPr>
            <w:r>
              <w:rPr>
                <w:rFonts w:hint="eastAsia" w:ascii="宋体" w:hAnsi="宋体" w:cs="宋体"/>
                <w:b/>
                <w:bCs/>
                <w:color w:val="auto"/>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1标段</w:t>
            </w:r>
          </w:p>
        </w:tc>
        <w:tc>
          <w:tcPr>
            <w:tcW w:w="1723"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富川瑶族自治县公共服务中心运营、人才队伍培育、品牌推广、检疫检测中心建设及溯源和大数据系统建设运营项目</w:t>
            </w:r>
          </w:p>
        </w:tc>
        <w:tc>
          <w:tcPr>
            <w:tcW w:w="3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5</w:t>
            </w:r>
          </w:p>
        </w:tc>
        <w:tc>
          <w:tcPr>
            <w:tcW w:w="468"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项</w:t>
            </w: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1.富川瑶族自治县电子商务公共服务中心运营</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2.富川瑶族自治县电商人才队伍培育体系建设</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3.富川瑶族自治县品牌推广体系建设</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4.富川瑶族自治县检疫检测中心建设运营服务</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20"/>
                <w:szCs w:val="21"/>
              </w:rPr>
            </w:pPr>
            <w:r>
              <w:rPr>
                <w:rFonts w:hint="eastAsia" w:ascii="宋体" w:hAnsi="宋体" w:cs="宋体"/>
                <w:color w:val="auto"/>
                <w:kern w:val="0"/>
                <w:sz w:val="18"/>
                <w:szCs w:val="18"/>
              </w:rPr>
              <w:t>5.富川瑶族自治县溯源和大数据系统建设</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2标段</w:t>
            </w:r>
          </w:p>
        </w:tc>
        <w:tc>
          <w:tcPr>
            <w:tcW w:w="1723"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富川瑶族自治县脐橙商品化预处理中心升级运营服务项目</w:t>
            </w:r>
          </w:p>
        </w:tc>
        <w:tc>
          <w:tcPr>
            <w:tcW w:w="3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4</w:t>
            </w:r>
          </w:p>
        </w:tc>
        <w:tc>
          <w:tcPr>
            <w:tcW w:w="468"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项</w:t>
            </w: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1.富川瑶族自治县脐橙商品化预处理中心升级改造</w:t>
            </w:r>
          </w:p>
        </w:tc>
        <w:tc>
          <w:tcPr>
            <w:tcW w:w="1295" w:type="dxa"/>
            <w:vMerge w:val="restart"/>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2.富川瑶族自治县脐橙商品化预处理中心规范制定</w:t>
            </w:r>
          </w:p>
        </w:tc>
        <w:tc>
          <w:tcPr>
            <w:tcW w:w="1295" w:type="dxa"/>
            <w:vMerge w:val="continue"/>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3.富川瑶族自治县脐橙商品化预处理中心功能区规划</w:t>
            </w:r>
          </w:p>
        </w:tc>
        <w:tc>
          <w:tcPr>
            <w:tcW w:w="1295" w:type="dxa"/>
            <w:vMerge w:val="continue"/>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4.富川瑶族自治县脐橙商品化预处理中心运营</w:t>
            </w:r>
          </w:p>
        </w:tc>
        <w:tc>
          <w:tcPr>
            <w:tcW w:w="1295" w:type="dxa"/>
            <w:vMerge w:val="continue"/>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3标段</w:t>
            </w:r>
          </w:p>
        </w:tc>
        <w:tc>
          <w:tcPr>
            <w:tcW w:w="1723"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富川瑶族自治县服务站点改造运营及三级物流体系升级运营服务项目</w:t>
            </w:r>
          </w:p>
        </w:tc>
        <w:tc>
          <w:tcPr>
            <w:tcW w:w="339"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w:t>
            </w:r>
          </w:p>
        </w:tc>
        <w:tc>
          <w:tcPr>
            <w:tcW w:w="468" w:type="dxa"/>
            <w:vMerge w:val="restart"/>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项</w:t>
            </w: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1.富川瑶族自治县电子商务服务站点改造运营服务</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1723"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39"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468" w:type="dxa"/>
            <w:vMerge w:val="continue"/>
            <w:noWrap w:val="0"/>
            <w:vAlign w:val="center"/>
          </w:tcPr>
          <w:p>
            <w:pPr>
              <w:widowControl/>
              <w:adjustRightInd w:val="0"/>
              <w:snapToGrid w:val="0"/>
              <w:spacing w:line="360" w:lineRule="auto"/>
              <w:jc w:val="center"/>
              <w:textAlignment w:val="baseline"/>
              <w:rPr>
                <w:rFonts w:ascii="宋体" w:hAnsi="宋体" w:cs="宋体"/>
                <w:color w:val="auto"/>
                <w:kern w:val="0"/>
                <w:sz w:val="18"/>
                <w:szCs w:val="18"/>
              </w:rPr>
            </w:pPr>
          </w:p>
        </w:tc>
        <w:tc>
          <w:tcPr>
            <w:tcW w:w="3993" w:type="dxa"/>
            <w:noWrap w:val="0"/>
            <w:vAlign w:val="center"/>
          </w:tcPr>
          <w:p>
            <w:pPr>
              <w:widowControl/>
              <w:adjustRightInd w:val="0"/>
              <w:snapToGrid w:val="0"/>
              <w:spacing w:line="360" w:lineRule="auto"/>
              <w:jc w:val="left"/>
              <w:textAlignment w:val="baseline"/>
              <w:rPr>
                <w:rFonts w:ascii="宋体" w:hAnsi="宋体" w:cs="宋体"/>
                <w:color w:val="auto"/>
                <w:kern w:val="0"/>
                <w:sz w:val="18"/>
                <w:szCs w:val="18"/>
              </w:rPr>
            </w:pPr>
            <w:r>
              <w:rPr>
                <w:rFonts w:hint="eastAsia" w:ascii="宋体" w:hAnsi="宋体" w:cs="宋体"/>
                <w:color w:val="auto"/>
                <w:kern w:val="0"/>
                <w:sz w:val="18"/>
                <w:szCs w:val="18"/>
              </w:rPr>
              <w:t>2.富川瑶族自治县三级物流体系升级运营服务</w:t>
            </w:r>
          </w:p>
        </w:tc>
        <w:tc>
          <w:tcPr>
            <w:tcW w:w="1295" w:type="dxa"/>
            <w:noWrap w:val="0"/>
            <w:vAlign w:val="center"/>
          </w:tcPr>
          <w:p>
            <w:pPr>
              <w:widowControl/>
              <w:adjustRightInd w:val="0"/>
              <w:snapToGrid w:val="0"/>
              <w:spacing w:line="360" w:lineRule="auto"/>
              <w:ind w:left="360" w:hanging="360" w:hangingChars="200"/>
              <w:jc w:val="center"/>
              <w:textAlignment w:val="baseline"/>
              <w:rPr>
                <w:rFonts w:ascii="宋体" w:hAnsi="宋体" w:cs="宋体"/>
                <w:color w:val="auto"/>
                <w:kern w:val="0"/>
                <w:sz w:val="18"/>
                <w:szCs w:val="18"/>
              </w:rPr>
            </w:pPr>
            <w:r>
              <w:rPr>
                <w:rFonts w:hint="eastAsia" w:ascii="宋体" w:hAnsi="宋体" w:cs="宋体"/>
                <w:color w:val="auto"/>
                <w:kern w:val="0"/>
                <w:sz w:val="18"/>
                <w:szCs w:val="18"/>
              </w:rPr>
              <w:t>215</w:t>
            </w:r>
          </w:p>
        </w:tc>
      </w:tr>
    </w:tbl>
    <w:p>
      <w:pPr>
        <w:pStyle w:val="2"/>
        <w:rPr>
          <w:rFonts w:hint="eastAsia"/>
          <w:color w:val="auto"/>
        </w:rPr>
      </w:pPr>
    </w:p>
    <w:p>
      <w:pPr>
        <w:spacing w:line="380" w:lineRule="exact"/>
        <w:ind w:firstLine="420" w:firstLineChars="200"/>
        <w:jc w:val="left"/>
        <w:rPr>
          <w:rFonts w:hint="eastAsia" w:ascii="宋体" w:hAnsi="宋体" w:cs="宋体"/>
          <w:color w:val="auto"/>
          <w:szCs w:val="21"/>
        </w:rPr>
      </w:pPr>
    </w:p>
    <w:p>
      <w:pPr>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服务期限：自合同签订生效之日起24个月。</w:t>
      </w:r>
    </w:p>
    <w:p>
      <w:pPr>
        <w:spacing w:line="380" w:lineRule="exact"/>
        <w:ind w:firstLine="420" w:firstLineChars="200"/>
        <w:jc w:val="left"/>
        <w:rPr>
          <w:rFonts w:hint="eastAsia" w:ascii="宋体" w:hAnsi="宋体" w:cs="宋体"/>
          <w:color w:val="auto"/>
          <w:szCs w:val="21"/>
        </w:rPr>
      </w:pPr>
      <w:r>
        <w:rPr>
          <w:rFonts w:hint="eastAsia" w:ascii="宋体" w:hAnsi="宋体" w:cs="宋体"/>
          <w:bCs/>
          <w:color w:val="auto"/>
          <w:szCs w:val="21"/>
        </w:rPr>
        <w:t>质量标准：达到验收合格标准。</w:t>
      </w:r>
    </w:p>
    <w:p>
      <w:pPr>
        <w:spacing w:line="38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注：如需进一步了解采购详细内容详见招标文件项目采购需求。</w:t>
      </w:r>
    </w:p>
    <w:p>
      <w:pPr>
        <w:numPr>
          <w:ilvl w:val="0"/>
          <w:numId w:val="1"/>
        </w:numPr>
        <w:snapToGrid w:val="0"/>
        <w:spacing w:line="380" w:lineRule="exact"/>
        <w:rPr>
          <w:rFonts w:hint="eastAsia" w:ascii="宋体" w:hAnsi="宋体" w:cs="宋体"/>
          <w:b/>
          <w:bCs/>
          <w:color w:val="auto"/>
          <w:szCs w:val="21"/>
        </w:rPr>
      </w:pPr>
      <w:r>
        <w:rPr>
          <w:rFonts w:hint="eastAsia" w:ascii="宋体" w:hAnsi="宋体" w:cs="宋体"/>
          <w:b/>
          <w:bCs/>
          <w:color w:val="auto"/>
          <w:szCs w:val="21"/>
        </w:rPr>
        <w:t>采购项目预算金额（人民币）：1495万元。其中1标段采购预算：920万元；2标段采购预算：280万元；3标段采购预算：295万元</w:t>
      </w:r>
    </w:p>
    <w:p>
      <w:pPr>
        <w:numPr>
          <w:ilvl w:val="0"/>
          <w:numId w:val="1"/>
        </w:numPr>
        <w:snapToGrid w:val="0"/>
        <w:spacing w:line="380" w:lineRule="exact"/>
        <w:rPr>
          <w:rFonts w:hint="eastAsia" w:hAnsi="宋体" w:cs="宋体"/>
          <w:b/>
          <w:color w:val="auto"/>
        </w:rPr>
      </w:pPr>
      <w:r>
        <w:rPr>
          <w:rFonts w:hint="eastAsia" w:hAnsi="宋体" w:cs="宋体"/>
          <w:b/>
          <w:color w:val="auto"/>
        </w:rPr>
        <w:t>本项目需要落实的政府采购政策：</w:t>
      </w:r>
    </w:p>
    <w:p>
      <w:pPr>
        <w:pStyle w:val="4"/>
        <w:spacing w:line="380" w:lineRule="exact"/>
        <w:ind w:right="-1" w:firstLine="462" w:firstLineChars="220"/>
        <w:rPr>
          <w:rFonts w:hint="eastAsia" w:hAnsi="宋体" w:cs="宋体"/>
          <w:color w:val="auto"/>
          <w:sz w:val="21"/>
        </w:rPr>
      </w:pPr>
      <w:r>
        <w:rPr>
          <w:rFonts w:hint="eastAsia" w:hAnsi="宋体" w:cs="宋体"/>
          <w:color w:val="auto"/>
          <w:sz w:val="21"/>
        </w:rPr>
        <w:t>《政府采购促进中小企业发展暂行办法》（财库[2011]181号）、《关于我区政府采购支持监狱企业发展有关问题的通知》（桂财采[2015]24号）、《三部门联合发布关于促进残疾人就业政府采购政策的通知》（财库〔2017〕141号）。</w:t>
      </w:r>
    </w:p>
    <w:p>
      <w:pPr>
        <w:numPr>
          <w:ilvl w:val="0"/>
          <w:numId w:val="1"/>
        </w:numPr>
        <w:snapToGrid w:val="0"/>
        <w:spacing w:line="380" w:lineRule="exact"/>
        <w:rPr>
          <w:rFonts w:hint="eastAsia" w:ascii="宋体" w:hAnsi="宋体" w:cs="宋体"/>
          <w:b/>
          <w:bCs/>
          <w:color w:val="auto"/>
          <w:szCs w:val="21"/>
        </w:rPr>
      </w:pPr>
      <w:r>
        <w:rPr>
          <w:rFonts w:hint="eastAsia" w:ascii="宋体" w:hAnsi="宋体" w:cs="宋体"/>
          <w:b/>
          <w:bCs/>
          <w:color w:val="auto"/>
          <w:szCs w:val="21"/>
        </w:rPr>
        <w:t>投标人资格要求</w:t>
      </w:r>
    </w:p>
    <w:p>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1、符合《中华人民共和国政府采购法》第二十二条规定的投标人资格条件。</w:t>
      </w:r>
    </w:p>
    <w:p>
      <w:pPr>
        <w:pStyle w:val="3"/>
        <w:spacing w:line="380" w:lineRule="exact"/>
        <w:ind w:firstLine="420" w:firstLineChars="200"/>
        <w:rPr>
          <w:rFonts w:hint="eastAsia" w:ascii="宋体" w:hAnsi="宋体" w:cs="宋体"/>
          <w:color w:val="auto"/>
          <w:szCs w:val="21"/>
        </w:rPr>
      </w:pPr>
      <w:r>
        <w:rPr>
          <w:rFonts w:hint="eastAsia" w:ascii="宋体" w:hAnsi="宋体" w:cs="宋体"/>
          <w:color w:val="auto"/>
          <w:szCs w:val="21"/>
        </w:rPr>
        <w:t>2、国内注册（指按国家有关规定要求注册的）</w:t>
      </w:r>
      <w:r>
        <w:rPr>
          <w:rFonts w:hint="eastAsia" w:ascii="宋体" w:hAnsi="宋体" w:cs="宋体"/>
          <w:color w:val="auto"/>
          <w:spacing w:val="-4"/>
          <w:kern w:val="48"/>
          <w:szCs w:val="21"/>
        </w:rPr>
        <w:t>经营范围</w:t>
      </w:r>
      <w:r>
        <w:rPr>
          <w:rFonts w:hint="eastAsia" w:ascii="宋体" w:hAnsi="宋体" w:cs="宋体"/>
          <w:color w:val="auto"/>
          <w:spacing w:val="-4"/>
          <w:kern w:val="48"/>
          <w:szCs w:val="21"/>
          <w:lang w:eastAsia="zh-CN"/>
        </w:rPr>
        <w:t>满足</w:t>
      </w:r>
      <w:r>
        <w:rPr>
          <w:rFonts w:hint="eastAsia" w:ascii="宋体" w:hAnsi="宋体" w:cs="宋体"/>
          <w:color w:val="auto"/>
          <w:spacing w:val="-4"/>
          <w:kern w:val="48"/>
          <w:szCs w:val="21"/>
        </w:rPr>
        <w:t>本次采购服务</w:t>
      </w:r>
      <w:r>
        <w:rPr>
          <w:rFonts w:hint="eastAsia" w:ascii="宋体" w:hAnsi="宋体" w:cs="宋体"/>
          <w:color w:val="auto"/>
          <w:szCs w:val="21"/>
        </w:rPr>
        <w:t>，有能力提供本次采购服务的供应商。</w:t>
      </w:r>
    </w:p>
    <w:p>
      <w:pPr>
        <w:pStyle w:val="4"/>
        <w:spacing w:line="380" w:lineRule="exact"/>
        <w:ind w:right="-1" w:firstLine="462" w:firstLineChars="220"/>
        <w:rPr>
          <w:rFonts w:hint="eastAsia" w:hAnsi="宋体" w:cs="宋体"/>
          <w:color w:val="auto"/>
          <w:sz w:val="21"/>
        </w:rPr>
      </w:pPr>
      <w:r>
        <w:rPr>
          <w:rFonts w:hint="eastAsia" w:hAnsi="宋体" w:cs="宋体"/>
          <w:color w:val="auto"/>
          <w:sz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spacing w:line="380" w:lineRule="exact"/>
        <w:ind w:right="-1" w:firstLine="462" w:firstLineChars="220"/>
        <w:rPr>
          <w:rFonts w:hint="eastAsia" w:hAnsi="宋体" w:cs="宋体"/>
          <w:color w:val="auto"/>
          <w:sz w:val="21"/>
        </w:rPr>
      </w:pPr>
      <w:r>
        <w:rPr>
          <w:rFonts w:hint="eastAsia" w:hAnsi="宋体" w:cs="宋体"/>
          <w:color w:val="auto"/>
          <w:sz w:val="21"/>
        </w:rPr>
        <w:t>4、</w:t>
      </w:r>
      <w:r>
        <w:rPr>
          <w:rFonts w:hint="eastAsia" w:hAnsi="宋体" w:cs="宋体"/>
          <w:color w:val="auto"/>
          <w:sz w:val="21"/>
          <w:lang w:eastAsia="zh-CN"/>
        </w:rPr>
        <w:t>对在</w:t>
      </w:r>
      <w:r>
        <w:rPr>
          <w:rFonts w:hint="eastAsia" w:hAnsi="宋体" w:cs="宋体"/>
          <w:color w:val="auto"/>
          <w:sz w:val="21"/>
        </w:rPr>
        <w:t>“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80" w:lineRule="exact"/>
        <w:ind w:right="-1" w:firstLine="462" w:firstLineChars="220"/>
        <w:rPr>
          <w:rFonts w:hint="eastAsia" w:hAnsi="宋体" w:cs="宋体"/>
          <w:color w:val="auto"/>
          <w:sz w:val="21"/>
        </w:rPr>
      </w:pPr>
      <w:r>
        <w:rPr>
          <w:rFonts w:hint="eastAsia" w:hAnsi="宋体" w:cs="宋体"/>
          <w:color w:val="auto"/>
          <w:sz w:val="21"/>
        </w:rPr>
        <w:t>5、本项目</w:t>
      </w:r>
      <w:r>
        <w:rPr>
          <w:rFonts w:hint="eastAsia" w:hAnsi="宋体" w:cs="宋体"/>
          <w:b/>
          <w:bCs/>
          <w:color w:val="auto"/>
          <w:sz w:val="21"/>
          <w:lang w:eastAsia="zh-CN"/>
        </w:rPr>
        <w:t>不接受</w:t>
      </w:r>
      <w:r>
        <w:rPr>
          <w:rFonts w:hint="eastAsia" w:hAnsi="宋体" w:cs="宋体"/>
          <w:color w:val="auto"/>
          <w:sz w:val="21"/>
        </w:rPr>
        <w:t>联合体投标。</w:t>
      </w:r>
    </w:p>
    <w:p>
      <w:pPr>
        <w:pStyle w:val="4"/>
        <w:spacing w:line="380" w:lineRule="exact"/>
        <w:ind w:right="-1" w:firstLine="462" w:firstLineChars="220"/>
        <w:rPr>
          <w:rFonts w:hint="eastAsia" w:hAnsi="宋体" w:cs="宋体"/>
          <w:color w:val="auto"/>
          <w:sz w:val="21"/>
          <w:lang w:eastAsia="zh-CN"/>
        </w:rPr>
      </w:pPr>
      <w:r>
        <w:rPr>
          <w:rFonts w:hint="eastAsia" w:hAnsi="宋体" w:cs="宋体"/>
          <w:color w:val="auto"/>
          <w:sz w:val="21"/>
          <w:lang w:eastAsia="zh-CN"/>
        </w:rPr>
        <w:t>【</w:t>
      </w:r>
      <w:r>
        <w:rPr>
          <w:rFonts w:hint="eastAsia" w:hAnsi="宋体" w:cs="宋体"/>
          <w:color w:val="auto"/>
          <w:sz w:val="21"/>
        </w:rPr>
        <w:t>注：投标人可对</w:t>
      </w:r>
      <w:r>
        <w:rPr>
          <w:rFonts w:hint="eastAsia" w:hAnsi="宋体" w:cs="宋体"/>
          <w:color w:val="auto"/>
          <w:sz w:val="21"/>
          <w:lang w:val="en-US" w:eastAsia="zh-CN"/>
        </w:rPr>
        <w:t>1</w:t>
      </w:r>
      <w:r>
        <w:rPr>
          <w:rFonts w:hint="eastAsia" w:hAnsi="宋体" w:cs="宋体"/>
          <w:color w:val="auto"/>
          <w:sz w:val="21"/>
          <w:lang w:eastAsia="zh-CN"/>
        </w:rPr>
        <w:t>标段</w:t>
      </w:r>
      <w:r>
        <w:rPr>
          <w:rFonts w:hint="eastAsia" w:hAnsi="宋体" w:cs="宋体"/>
          <w:color w:val="auto"/>
          <w:sz w:val="21"/>
        </w:rPr>
        <w:t>、</w:t>
      </w:r>
      <w:r>
        <w:rPr>
          <w:rFonts w:hint="eastAsia" w:hAnsi="宋体" w:cs="宋体"/>
          <w:color w:val="auto"/>
          <w:sz w:val="21"/>
          <w:lang w:val="en-US" w:eastAsia="zh-CN"/>
        </w:rPr>
        <w:t>2</w:t>
      </w:r>
      <w:r>
        <w:rPr>
          <w:rFonts w:hint="eastAsia" w:hAnsi="宋体" w:cs="宋体"/>
          <w:color w:val="auto"/>
          <w:sz w:val="21"/>
          <w:lang w:eastAsia="zh-CN"/>
        </w:rPr>
        <w:t>标段</w:t>
      </w:r>
      <w:r>
        <w:rPr>
          <w:rFonts w:hint="eastAsia" w:hAnsi="宋体" w:cs="宋体"/>
          <w:color w:val="auto"/>
          <w:sz w:val="21"/>
        </w:rPr>
        <w:t>、</w:t>
      </w:r>
      <w:r>
        <w:rPr>
          <w:rFonts w:hint="eastAsia" w:hAnsi="宋体" w:cs="宋体"/>
          <w:color w:val="auto"/>
          <w:sz w:val="21"/>
          <w:lang w:val="en-US" w:eastAsia="zh-CN"/>
        </w:rPr>
        <w:t>3</w:t>
      </w:r>
      <w:r>
        <w:rPr>
          <w:rFonts w:hint="eastAsia" w:hAnsi="宋体" w:cs="宋体"/>
          <w:color w:val="auto"/>
          <w:sz w:val="21"/>
          <w:lang w:eastAsia="zh-CN"/>
        </w:rPr>
        <w:t>标段</w:t>
      </w:r>
      <w:r>
        <w:rPr>
          <w:rFonts w:hint="eastAsia" w:hAnsi="宋体" w:cs="宋体"/>
          <w:color w:val="auto"/>
          <w:sz w:val="21"/>
          <w:lang w:val="en-US" w:eastAsia="zh-CN"/>
        </w:rPr>
        <w:t>、3</w:t>
      </w:r>
      <w:r>
        <w:rPr>
          <w:rFonts w:hint="eastAsia" w:hAnsi="宋体" w:cs="宋体"/>
          <w:color w:val="auto"/>
          <w:sz w:val="21"/>
        </w:rPr>
        <w:t>个标段同时进行投标，</w:t>
      </w:r>
      <w:r>
        <w:rPr>
          <w:rFonts w:hint="eastAsia" w:hAnsi="宋体" w:cs="宋体"/>
          <w:color w:val="auto"/>
          <w:sz w:val="21"/>
          <w:lang w:eastAsia="zh-CN"/>
        </w:rPr>
        <w:t>但最多只能中一个标段，</w:t>
      </w:r>
      <w:r>
        <w:rPr>
          <w:rFonts w:hint="eastAsia" w:hAnsi="宋体" w:cs="宋体"/>
          <w:color w:val="auto"/>
          <w:sz w:val="21"/>
        </w:rPr>
        <w:t>并对每个标段单独递交投标文件。</w:t>
      </w:r>
      <w:r>
        <w:rPr>
          <w:rFonts w:hint="eastAsia" w:hAnsi="宋体" w:cs="宋体"/>
          <w:color w:val="auto"/>
          <w:sz w:val="21"/>
          <w:lang w:eastAsia="zh-CN"/>
        </w:rPr>
        <w:t>已在前面标段（按标段顺序）被推荐为中标人的，不再在其后的标段推荐为中标人。】</w:t>
      </w:r>
    </w:p>
    <w:p>
      <w:pPr>
        <w:numPr>
          <w:ilvl w:val="0"/>
          <w:numId w:val="1"/>
        </w:numPr>
        <w:snapToGrid w:val="0"/>
        <w:spacing w:line="380" w:lineRule="exact"/>
        <w:rPr>
          <w:rFonts w:hint="eastAsia" w:ascii="宋体" w:hAnsi="宋体" w:cs="宋体"/>
          <w:color w:val="auto"/>
          <w:szCs w:val="21"/>
        </w:rPr>
      </w:pPr>
      <w:r>
        <w:rPr>
          <w:rFonts w:hint="eastAsia" w:ascii="宋体" w:hAnsi="宋体" w:cs="宋体"/>
          <w:b/>
          <w:bCs/>
          <w:color w:val="auto"/>
          <w:szCs w:val="21"/>
        </w:rPr>
        <w:t>招</w:t>
      </w:r>
      <w:r>
        <w:rPr>
          <w:rFonts w:hint="eastAsia" w:ascii="宋体" w:hAnsi="宋体" w:cs="宋体"/>
          <w:b/>
          <w:color w:val="auto"/>
          <w:szCs w:val="21"/>
        </w:rPr>
        <w:t>标文件的获取</w:t>
      </w:r>
    </w:p>
    <w:p>
      <w:pPr>
        <w:widowControl/>
        <w:spacing w:line="380" w:lineRule="exact"/>
        <w:ind w:firstLine="420" w:firstLineChars="200"/>
        <w:jc w:val="left"/>
        <w:rPr>
          <w:rFonts w:hint="eastAsia" w:ascii="宋体" w:hAnsi="宋体" w:cs="Arial"/>
          <w:color w:val="auto"/>
          <w:szCs w:val="21"/>
          <w:lang w:bidi="ar"/>
        </w:rPr>
      </w:pPr>
      <w:r>
        <w:rPr>
          <w:rFonts w:hint="eastAsia" w:ascii="宋体" w:hAnsi="宋体" w:cs="Arial"/>
          <w:color w:val="auto"/>
          <w:szCs w:val="21"/>
          <w:lang w:bidi="ar"/>
        </w:rPr>
        <w:t>1、获取文件起止时间：</w:t>
      </w:r>
      <w:r>
        <w:rPr>
          <w:rFonts w:hint="eastAsia" w:ascii="宋体" w:hAnsi="宋体" w:cs="宋体"/>
          <w:color w:val="auto"/>
          <w:kern w:val="0"/>
          <w:sz w:val="21"/>
          <w:szCs w:val="21"/>
          <w:lang w:val="en-US" w:eastAsia="zh-CN" w:bidi="ar-SA"/>
        </w:rPr>
        <w:t>2020年5月6 日公告发布之时起至2020年5月12日止（工作日，法定公休日、法定节假日除外），每日8:30～11:30,15:00～17:30时；</w:t>
      </w:r>
    </w:p>
    <w:p>
      <w:pPr>
        <w:widowControl/>
        <w:spacing w:line="380" w:lineRule="exact"/>
        <w:ind w:firstLine="420" w:firstLineChars="200"/>
        <w:jc w:val="left"/>
        <w:rPr>
          <w:rFonts w:hint="eastAsia" w:ascii="宋体" w:hAnsi="宋体" w:cs="Arial"/>
          <w:color w:val="auto"/>
          <w:szCs w:val="21"/>
          <w:lang w:bidi="ar"/>
        </w:rPr>
      </w:pPr>
      <w:r>
        <w:rPr>
          <w:rFonts w:hint="eastAsia" w:ascii="宋体" w:hAnsi="宋体" w:cs="Arial"/>
          <w:color w:val="auto"/>
          <w:szCs w:val="21"/>
          <w:lang w:bidi="ar"/>
        </w:rPr>
        <w:t>2、获取方式：投标人法定代表人（负责人）（持本人身份证原件和复印件）或授权委托代理人（持本项目法定代表人（负责人）授权委托书原件，本人身份证原件及复印件）携带营业执照副本复印件（复印件加盖单位公章）</w:t>
      </w:r>
    </w:p>
    <w:p>
      <w:pPr>
        <w:widowControl/>
        <w:spacing w:line="380" w:lineRule="exact"/>
        <w:ind w:firstLine="420" w:firstLineChars="200"/>
        <w:jc w:val="left"/>
        <w:rPr>
          <w:rFonts w:hint="eastAsia" w:ascii="宋体" w:hAnsi="宋体" w:cs="Arial"/>
          <w:color w:val="auto"/>
          <w:szCs w:val="21"/>
          <w:lang w:bidi="ar"/>
        </w:rPr>
      </w:pPr>
      <w:r>
        <w:rPr>
          <w:rFonts w:hint="eastAsia" w:ascii="宋体" w:hAnsi="宋体" w:cs="Arial"/>
          <w:color w:val="auto"/>
          <w:szCs w:val="21"/>
          <w:lang w:bidi="ar"/>
        </w:rPr>
        <w:t>3、发售地点：贺州市公共资源交易中心综合部（地址：广西贺州市鞍山西路83-1号（城建集团）4楼，0774-5268001，现场报名并同时购买招标文件）；</w:t>
      </w:r>
    </w:p>
    <w:p>
      <w:pPr>
        <w:spacing w:line="400" w:lineRule="exact"/>
        <w:ind w:firstLine="420" w:firstLineChars="200"/>
        <w:outlineLvl w:val="0"/>
        <w:rPr>
          <w:rFonts w:hint="eastAsia"/>
          <w:color w:val="auto"/>
        </w:rPr>
      </w:pPr>
      <w:bookmarkStart w:id="0" w:name="_Toc16494"/>
      <w:r>
        <w:rPr>
          <w:rFonts w:hint="eastAsia" w:ascii="宋体" w:hAnsi="宋体" w:cs="Arial"/>
          <w:color w:val="auto"/>
          <w:szCs w:val="21"/>
          <w:lang w:val="en-US" w:eastAsia="zh-CN" w:bidi="ar"/>
        </w:rPr>
        <w:t>4、</w:t>
      </w:r>
      <w:r>
        <w:rPr>
          <w:rFonts w:hint="eastAsia" w:ascii="宋体" w:hAnsi="宋体"/>
          <w:color w:val="auto"/>
        </w:rPr>
        <w:t xml:space="preserve"> </w:t>
      </w:r>
      <w:r>
        <w:rPr>
          <w:rFonts w:ascii="宋体" w:hAnsi="宋体"/>
          <w:color w:val="auto"/>
        </w:rPr>
        <w:t>招标文件售价</w:t>
      </w:r>
      <w:r>
        <w:rPr>
          <w:rFonts w:hint="eastAsia" w:ascii="宋体" w:hAnsi="宋体"/>
          <w:color w:val="auto"/>
          <w:u w:val="single"/>
          <w:lang w:val="en-US" w:eastAsia="zh-CN"/>
        </w:rPr>
        <w:t>300</w:t>
      </w:r>
      <w:r>
        <w:rPr>
          <w:rFonts w:hint="eastAsia" w:ascii="宋体" w:hAnsi="宋体"/>
          <w:color w:val="auto"/>
        </w:rPr>
        <w:t>元/套</w:t>
      </w:r>
      <w:r>
        <w:rPr>
          <w:rFonts w:ascii="宋体" w:hAnsi="宋体"/>
          <w:color w:val="auto"/>
        </w:rPr>
        <w:t>，售后不退</w:t>
      </w:r>
      <w:r>
        <w:rPr>
          <w:rFonts w:hint="eastAsia" w:ascii="宋体" w:hAnsi="宋体"/>
          <w:color w:val="auto"/>
        </w:rPr>
        <w:t>。</w:t>
      </w:r>
      <w:bookmarkEnd w:id="0"/>
    </w:p>
    <w:p>
      <w:pPr>
        <w:numPr>
          <w:ilvl w:val="0"/>
          <w:numId w:val="1"/>
        </w:numPr>
        <w:snapToGrid w:val="0"/>
        <w:spacing w:line="380" w:lineRule="exact"/>
        <w:rPr>
          <w:rFonts w:hint="eastAsia" w:hAnsi="宋体" w:cs="宋体"/>
          <w:color w:val="auto"/>
        </w:rPr>
      </w:pPr>
      <w:r>
        <w:rPr>
          <w:rFonts w:hint="eastAsia" w:hAnsi="宋体" w:cs="宋体"/>
          <w:b/>
          <w:bCs/>
          <w:color w:val="auto"/>
        </w:rPr>
        <w:t>投标保证金</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投标保证金数额为：</w:t>
      </w:r>
      <w:r>
        <w:rPr>
          <w:rFonts w:hint="eastAsia" w:ascii="宋体" w:hAnsi="宋体" w:cs="宋体"/>
          <w:b/>
          <w:bCs/>
          <w:color w:val="auto"/>
          <w:szCs w:val="21"/>
          <w:u w:val="single"/>
        </w:rPr>
        <w:t>1标段</w:t>
      </w:r>
      <w:r>
        <w:rPr>
          <w:rFonts w:hint="eastAsia" w:ascii="宋体" w:hAnsi="宋体" w:cs="宋体"/>
          <w:b/>
          <w:bCs/>
          <w:color w:val="auto"/>
          <w:szCs w:val="21"/>
        </w:rPr>
        <w:t>人民币壹拾万元整（￥100000.00元）；</w:t>
      </w:r>
      <w:r>
        <w:rPr>
          <w:rFonts w:hint="eastAsia" w:ascii="宋体" w:hAnsi="宋体" w:cs="宋体"/>
          <w:b/>
          <w:bCs/>
          <w:color w:val="auto"/>
          <w:szCs w:val="21"/>
          <w:u w:val="single"/>
        </w:rPr>
        <w:t>2标段</w:t>
      </w:r>
      <w:r>
        <w:rPr>
          <w:rFonts w:hint="eastAsia" w:ascii="宋体" w:hAnsi="宋体" w:cs="宋体"/>
          <w:b/>
          <w:bCs/>
          <w:color w:val="auto"/>
          <w:szCs w:val="21"/>
        </w:rPr>
        <w:t>人民币叁万元整（￥30000.00元）；</w:t>
      </w:r>
      <w:r>
        <w:rPr>
          <w:rFonts w:hint="eastAsia" w:ascii="宋体" w:hAnsi="宋体" w:cs="宋体"/>
          <w:b/>
          <w:bCs/>
          <w:color w:val="auto"/>
          <w:szCs w:val="21"/>
          <w:u w:val="single"/>
        </w:rPr>
        <w:t>3标段</w:t>
      </w:r>
      <w:r>
        <w:rPr>
          <w:rFonts w:hint="eastAsia" w:ascii="宋体" w:hAnsi="宋体" w:cs="宋体"/>
          <w:b/>
          <w:bCs/>
          <w:color w:val="auto"/>
          <w:szCs w:val="21"/>
        </w:rPr>
        <w:t>人民币叁万元整（￥30000.00元）；</w:t>
      </w:r>
    </w:p>
    <w:p>
      <w:pPr>
        <w:spacing w:line="380" w:lineRule="exact"/>
        <w:rPr>
          <w:rFonts w:hint="eastAsia" w:ascii="宋体" w:hAnsi="宋体" w:cs="宋体"/>
          <w:b/>
          <w:bCs/>
          <w:color w:val="auto"/>
          <w:szCs w:val="21"/>
        </w:rPr>
      </w:pPr>
      <w:r>
        <w:rPr>
          <w:rFonts w:hint="eastAsia" w:ascii="宋体" w:hAnsi="宋体" w:cs="宋体"/>
          <w:color w:val="auto"/>
          <w:szCs w:val="21"/>
        </w:rPr>
        <w:t xml:space="preserve">    投标人应于</w:t>
      </w:r>
      <w:r>
        <w:rPr>
          <w:rFonts w:hint="eastAsia" w:ascii="宋体" w:hAnsi="宋体" w:cs="宋体"/>
          <w:b/>
          <w:bCs/>
          <w:color w:val="auto"/>
          <w:szCs w:val="21"/>
        </w:rPr>
        <w:t>投标截止时间前</w:t>
      </w:r>
      <w:r>
        <w:rPr>
          <w:rFonts w:hint="eastAsia" w:ascii="宋体" w:hAnsi="宋体" w:cs="宋体"/>
          <w:color w:val="auto"/>
          <w:szCs w:val="21"/>
        </w:rPr>
        <w:t>将投标保证金以转账或电汇等非现金形式从投标人</w:t>
      </w:r>
      <w:r>
        <w:rPr>
          <w:rFonts w:hint="eastAsia" w:ascii="宋体" w:hAnsi="宋体" w:cs="宋体"/>
          <w:b/>
          <w:bCs/>
          <w:color w:val="auto"/>
          <w:szCs w:val="21"/>
          <w:u w:val="single"/>
        </w:rPr>
        <w:t>基本账户</w:t>
      </w:r>
      <w:r>
        <w:rPr>
          <w:rFonts w:hint="eastAsia" w:ascii="宋体" w:hAnsi="宋体" w:cs="宋体"/>
          <w:color w:val="auto"/>
          <w:szCs w:val="21"/>
        </w:rPr>
        <w:t>交至以下账户(底单上注明投标项目名称及标段号）：</w:t>
      </w:r>
    </w:p>
    <w:p>
      <w:pPr>
        <w:snapToGrid w:val="0"/>
        <w:spacing w:line="380" w:lineRule="exact"/>
        <w:ind w:firstLine="840" w:firstLineChars="400"/>
        <w:jc w:val="left"/>
        <w:rPr>
          <w:rFonts w:hint="eastAsia" w:ascii="宋体" w:hAnsi="宋体" w:cs="宋体"/>
          <w:color w:val="auto"/>
          <w:szCs w:val="21"/>
        </w:rPr>
      </w:pPr>
      <w:r>
        <w:rPr>
          <w:rFonts w:hint="eastAsia" w:ascii="宋体" w:hAnsi="宋体" w:cs="宋体"/>
          <w:color w:val="auto"/>
          <w:szCs w:val="21"/>
        </w:rPr>
        <w:t>开户名：贺州市公共资源交易中心     </w:t>
      </w:r>
    </w:p>
    <w:p>
      <w:pPr>
        <w:snapToGrid w:val="0"/>
        <w:spacing w:line="380" w:lineRule="exact"/>
        <w:ind w:firstLine="840" w:firstLineChars="400"/>
        <w:jc w:val="left"/>
        <w:rPr>
          <w:rFonts w:hint="eastAsia" w:ascii="宋体" w:hAnsi="宋体" w:cs="宋体"/>
          <w:color w:val="auto"/>
          <w:szCs w:val="21"/>
        </w:rPr>
      </w:pPr>
      <w:r>
        <w:rPr>
          <w:rFonts w:hint="eastAsia" w:ascii="宋体" w:hAnsi="宋体" w:cs="宋体"/>
          <w:color w:val="auto"/>
          <w:szCs w:val="21"/>
        </w:rPr>
        <w:t>账号：945009010008838888   </w:t>
      </w:r>
    </w:p>
    <w:p>
      <w:pPr>
        <w:snapToGrid w:val="0"/>
        <w:spacing w:line="380" w:lineRule="exact"/>
        <w:ind w:firstLine="840" w:firstLineChars="400"/>
        <w:jc w:val="left"/>
        <w:rPr>
          <w:rFonts w:hint="eastAsia" w:hAnsi="宋体" w:cs="宋体"/>
          <w:b/>
          <w:bCs/>
          <w:color w:val="auto"/>
        </w:rPr>
      </w:pPr>
      <w:r>
        <w:rPr>
          <w:rFonts w:hint="eastAsia" w:ascii="宋体" w:hAnsi="宋体" w:cs="宋体"/>
          <w:color w:val="auto"/>
          <w:szCs w:val="21"/>
        </w:rPr>
        <w:t>开户行：邮政储蓄银行贺州市分行营业部</w:t>
      </w:r>
    </w:p>
    <w:p>
      <w:pPr>
        <w:numPr>
          <w:ilvl w:val="0"/>
          <w:numId w:val="1"/>
        </w:numPr>
        <w:snapToGrid w:val="0"/>
        <w:spacing w:line="380" w:lineRule="exact"/>
        <w:rPr>
          <w:rFonts w:hint="eastAsia" w:ascii="宋体" w:hAnsi="宋体" w:cs="宋体"/>
          <w:color w:val="auto"/>
          <w:szCs w:val="21"/>
        </w:rPr>
      </w:pPr>
      <w:r>
        <w:rPr>
          <w:rFonts w:hint="eastAsia" w:hAnsi="宋体" w:cs="宋体"/>
          <w:b/>
          <w:bCs/>
          <w:color w:val="auto"/>
        </w:rPr>
        <w:t xml:space="preserve"> 投标</w:t>
      </w:r>
      <w:r>
        <w:rPr>
          <w:rFonts w:hint="eastAsia" w:ascii="宋体" w:hAnsi="宋体" w:cs="宋体"/>
          <w:b/>
          <w:bCs/>
          <w:color w:val="auto"/>
          <w:szCs w:val="21"/>
        </w:rPr>
        <w:t>截止时间和地点</w:t>
      </w:r>
    </w:p>
    <w:p>
      <w:pPr>
        <w:autoSpaceDE w:val="0"/>
        <w:autoSpaceDN w:val="0"/>
        <w:snapToGrid w:val="0"/>
        <w:spacing w:line="400" w:lineRule="exact"/>
        <w:ind w:firstLine="420"/>
        <w:rPr>
          <w:rFonts w:hint="eastAsia" w:ascii="宋体" w:hAnsi="宋体" w:cs="宋体"/>
          <w:color w:val="auto"/>
          <w:szCs w:val="21"/>
        </w:rPr>
      </w:pPr>
      <w:r>
        <w:rPr>
          <w:rFonts w:hint="eastAsia" w:ascii="宋体" w:hAnsi="宋体" w:cs="宋体"/>
          <w:color w:val="auto"/>
          <w:szCs w:val="21"/>
        </w:rPr>
        <w:t>投标人应于</w:t>
      </w:r>
      <w:r>
        <w:rPr>
          <w:rFonts w:hint="eastAsia" w:ascii="宋体" w:hAnsi="宋体" w:cs="宋体"/>
          <w:color w:val="auto"/>
          <w:szCs w:val="21"/>
          <w:lang w:val="en-US" w:eastAsia="zh-CN"/>
        </w:rPr>
        <w:t xml:space="preserve"> </w:t>
      </w:r>
      <w:r>
        <w:rPr>
          <w:rFonts w:hint="eastAsia" w:ascii="宋体" w:hAnsi="宋体" w:cs="宋体"/>
          <w:color w:val="auto"/>
          <w:szCs w:val="21"/>
        </w:rPr>
        <w:t>2020</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5</w:t>
      </w:r>
      <w:r>
        <w:rPr>
          <w:rFonts w:hint="eastAsia" w:ascii="宋体" w:hAnsi="宋体" w:cs="宋体"/>
          <w:color w:val="auto"/>
          <w:szCs w:val="21"/>
        </w:rPr>
        <w:t>月</w:t>
      </w:r>
      <w:r>
        <w:rPr>
          <w:rFonts w:hint="eastAsia" w:ascii="宋体" w:hAnsi="宋体" w:cs="宋体"/>
          <w:color w:val="auto"/>
          <w:szCs w:val="21"/>
          <w:lang w:val="en-US" w:eastAsia="zh-CN"/>
        </w:rPr>
        <w:t xml:space="preserve"> 27 </w:t>
      </w:r>
      <w:r>
        <w:rPr>
          <w:rFonts w:hint="eastAsia" w:ascii="宋体" w:hAnsi="宋体" w:cs="宋体"/>
          <w:color w:val="auto"/>
          <w:szCs w:val="21"/>
        </w:rPr>
        <w:t>日</w:t>
      </w:r>
      <w:r>
        <w:rPr>
          <w:rFonts w:hint="eastAsia" w:ascii="宋体" w:hAnsi="宋体" w:cs="宋体"/>
          <w:color w:val="auto"/>
          <w:kern w:val="0"/>
          <w:szCs w:val="21"/>
        </w:rPr>
        <w:t xml:space="preserve"> 09 </w:t>
      </w:r>
      <w:r>
        <w:rPr>
          <w:rFonts w:hint="eastAsia" w:ascii="宋体" w:hAnsi="宋体" w:cs="宋体"/>
          <w:color w:val="auto"/>
          <w:szCs w:val="21"/>
        </w:rPr>
        <w:t>时 30 分前</w:t>
      </w:r>
      <w:r>
        <w:rPr>
          <w:rFonts w:ascii="宋体" w:hAnsi="宋体" w:cs="宋体"/>
          <w:color w:val="auto"/>
        </w:rPr>
        <w:t>将投标文件密封提交到</w:t>
      </w:r>
      <w:r>
        <w:rPr>
          <w:rFonts w:ascii="宋体" w:hAnsi="宋体" w:cs="宋体"/>
          <w:color w:val="auto"/>
          <w:u w:val="single" w:color="000000"/>
        </w:rPr>
        <w:t>贺州市公共资源交易中心交易大厅（具体安排详见开标当天四楼电子显示屏)</w:t>
      </w:r>
      <w:r>
        <w:rPr>
          <w:rFonts w:ascii="宋体" w:hAnsi="宋体" w:cs="宋体"/>
          <w:color w:val="auto"/>
        </w:rPr>
        <w:t>，逾期送达的将予以拒收。</w:t>
      </w:r>
    </w:p>
    <w:p>
      <w:pPr>
        <w:numPr>
          <w:ilvl w:val="0"/>
          <w:numId w:val="1"/>
        </w:numPr>
        <w:snapToGrid w:val="0"/>
        <w:spacing w:line="380" w:lineRule="exact"/>
        <w:rPr>
          <w:rFonts w:hint="eastAsia" w:ascii="宋体" w:hAnsi="宋体" w:cs="宋体"/>
          <w:color w:val="auto"/>
          <w:szCs w:val="21"/>
        </w:rPr>
      </w:pPr>
      <w:r>
        <w:rPr>
          <w:rFonts w:hint="eastAsia" w:ascii="宋体" w:hAnsi="宋体" w:cs="宋体"/>
          <w:b/>
          <w:bCs/>
          <w:color w:val="auto"/>
          <w:szCs w:val="21"/>
        </w:rPr>
        <w:t>开标时间及地点</w:t>
      </w:r>
    </w:p>
    <w:p>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本次招标将于</w:t>
      </w:r>
      <w:r>
        <w:rPr>
          <w:rFonts w:hint="eastAsia" w:ascii="宋体" w:hAnsi="宋体" w:cs="宋体"/>
          <w:color w:val="auto"/>
          <w:szCs w:val="21"/>
          <w:lang w:val="en-US" w:eastAsia="zh-CN"/>
        </w:rPr>
        <w:t xml:space="preserve"> </w:t>
      </w:r>
      <w:r>
        <w:rPr>
          <w:rFonts w:hint="eastAsia" w:ascii="宋体" w:hAnsi="宋体" w:cs="宋体"/>
          <w:color w:val="auto"/>
          <w:szCs w:val="21"/>
        </w:rPr>
        <w:t>2020</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5</w:t>
      </w:r>
      <w:r>
        <w:rPr>
          <w:rFonts w:hint="eastAsia" w:ascii="宋体" w:hAnsi="宋体" w:cs="宋体"/>
          <w:color w:val="auto"/>
          <w:szCs w:val="21"/>
        </w:rPr>
        <w:t>月</w:t>
      </w:r>
      <w:r>
        <w:rPr>
          <w:rFonts w:hint="eastAsia" w:ascii="宋体" w:hAnsi="宋体" w:cs="宋体"/>
          <w:color w:val="auto"/>
          <w:szCs w:val="21"/>
          <w:lang w:val="en-US" w:eastAsia="zh-CN"/>
        </w:rPr>
        <w:t xml:space="preserve"> 27 </w:t>
      </w:r>
      <w:r>
        <w:rPr>
          <w:rFonts w:hint="eastAsia" w:ascii="宋体" w:hAnsi="宋体" w:cs="宋体"/>
          <w:color w:val="auto"/>
          <w:szCs w:val="21"/>
        </w:rPr>
        <w:t>日</w:t>
      </w:r>
      <w:r>
        <w:rPr>
          <w:rFonts w:hint="eastAsia" w:ascii="宋体" w:hAnsi="宋体" w:cs="宋体"/>
          <w:color w:val="auto"/>
          <w:kern w:val="0"/>
          <w:szCs w:val="21"/>
        </w:rPr>
        <w:t xml:space="preserve"> 09 </w:t>
      </w:r>
      <w:r>
        <w:rPr>
          <w:rFonts w:hint="eastAsia" w:ascii="宋体" w:hAnsi="宋体" w:cs="宋体"/>
          <w:color w:val="auto"/>
          <w:szCs w:val="21"/>
        </w:rPr>
        <w:t>时 30 分在</w:t>
      </w:r>
      <w:r>
        <w:rPr>
          <w:rFonts w:ascii="宋体" w:hAnsi="宋体" w:cs="宋体"/>
          <w:color w:val="auto"/>
          <w:spacing w:val="-1"/>
        </w:rPr>
        <w:t>贺州市公共资源交易中心交易大厅</w:t>
      </w:r>
      <w:r>
        <w:rPr>
          <w:rFonts w:hint="eastAsia" w:ascii="宋体" w:hAnsi="宋体" w:cs="宋体"/>
          <w:color w:val="auto"/>
          <w:szCs w:val="21"/>
        </w:rPr>
        <w:t>开标。</w:t>
      </w:r>
    </w:p>
    <w:p>
      <w:pPr>
        <w:numPr>
          <w:ilvl w:val="0"/>
          <w:numId w:val="1"/>
        </w:numPr>
        <w:snapToGrid w:val="0"/>
        <w:spacing w:line="380" w:lineRule="exact"/>
        <w:rPr>
          <w:rFonts w:hint="eastAsia" w:ascii="宋体" w:hAnsi="宋体" w:cs="宋体"/>
          <w:b/>
          <w:color w:val="auto"/>
          <w:szCs w:val="21"/>
        </w:rPr>
      </w:pPr>
      <w:r>
        <w:rPr>
          <w:rFonts w:hint="eastAsia" w:ascii="宋体" w:hAnsi="宋体" w:cs="宋体"/>
          <w:b/>
          <w:color w:val="auto"/>
          <w:szCs w:val="21"/>
        </w:rPr>
        <w:t>发布媒介</w:t>
      </w:r>
    </w:p>
    <w:p>
      <w:pPr>
        <w:autoSpaceDE w:val="0"/>
        <w:autoSpaceDN w:val="0"/>
        <w:snapToGrid w:val="0"/>
        <w:spacing w:line="400" w:lineRule="exact"/>
        <w:ind w:firstLine="416" w:firstLineChars="200"/>
        <w:jc w:val="left"/>
        <w:rPr>
          <w:rFonts w:ascii="宋体" w:hAnsi="宋体" w:cs="宋体"/>
          <w:color w:val="auto"/>
        </w:rPr>
      </w:pPr>
      <w:r>
        <w:rPr>
          <w:rFonts w:ascii="宋体" w:hAnsi="宋体" w:cs="宋体"/>
          <w:color w:val="auto"/>
          <w:spacing w:val="-1"/>
        </w:rPr>
        <w:t>本次招标公告</w:t>
      </w:r>
      <w:r>
        <w:rPr>
          <w:rFonts w:ascii="宋体" w:hAnsi="宋体" w:cs="宋体"/>
          <w:color w:val="auto"/>
        </w:rPr>
        <w:t>同时在中国政府采购网、广西壮族自治区政府采购网和贺州市公共资源交易中心网发布。</w:t>
      </w:r>
    </w:p>
    <w:p>
      <w:pPr>
        <w:numPr>
          <w:ilvl w:val="0"/>
          <w:numId w:val="1"/>
        </w:numPr>
        <w:snapToGrid w:val="0"/>
        <w:spacing w:line="380" w:lineRule="exact"/>
        <w:rPr>
          <w:rStyle w:val="7"/>
          <w:rFonts w:hint="eastAsia" w:ascii="宋体" w:hAnsi="宋体" w:cs="宋体"/>
          <w:color w:val="auto"/>
          <w:szCs w:val="21"/>
          <w:u w:val="none"/>
        </w:rPr>
      </w:pPr>
      <w:r>
        <w:rPr>
          <w:rStyle w:val="7"/>
          <w:rFonts w:hint="eastAsia" w:ascii="宋体" w:hAnsi="宋体" w:cs="宋体"/>
          <w:b/>
          <w:bCs/>
          <w:color w:val="auto"/>
          <w:szCs w:val="21"/>
          <w:u w:val="none"/>
        </w:rPr>
        <w:t>公告期限</w:t>
      </w:r>
      <w:r>
        <w:rPr>
          <w:rStyle w:val="7"/>
          <w:rFonts w:hint="eastAsia" w:ascii="宋体" w:hAnsi="宋体" w:cs="宋体"/>
          <w:color w:val="auto"/>
          <w:szCs w:val="21"/>
          <w:u w:val="none"/>
        </w:rPr>
        <w:t>：自公告发布之日起5个工作日。</w:t>
      </w:r>
    </w:p>
    <w:p>
      <w:pPr>
        <w:numPr>
          <w:ilvl w:val="0"/>
          <w:numId w:val="1"/>
        </w:numPr>
        <w:snapToGrid w:val="0"/>
        <w:spacing w:line="380" w:lineRule="exact"/>
        <w:rPr>
          <w:rStyle w:val="7"/>
          <w:rFonts w:hint="eastAsia" w:ascii="宋体" w:hAnsi="宋体" w:cs="宋体"/>
          <w:color w:val="auto"/>
          <w:szCs w:val="21"/>
          <w:u w:val="none"/>
        </w:rPr>
      </w:pPr>
      <w:r>
        <w:rPr>
          <w:rStyle w:val="7"/>
          <w:rFonts w:hint="eastAsia" w:ascii="宋体" w:hAnsi="宋体" w:cs="宋体"/>
          <w:b/>
          <w:bCs/>
          <w:color w:val="auto"/>
          <w:szCs w:val="21"/>
          <w:u w:val="none"/>
        </w:rPr>
        <w:t>业务咨询</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1.采购人名称：富川瑶族自治县经济贸易局</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  地      址：</w:t>
      </w:r>
      <w:r>
        <w:rPr>
          <w:rFonts w:hint="eastAsia" w:ascii="宋体" w:hAnsi="宋体"/>
          <w:color w:val="auto"/>
          <w:szCs w:val="21"/>
        </w:rPr>
        <w:t>富川瑶族自治县富阳镇新建路20号</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  联系人及电话: 程工                   联系电话：</w:t>
      </w:r>
      <w:r>
        <w:rPr>
          <w:rFonts w:hint="eastAsia" w:ascii="宋体" w:hAnsi="宋体"/>
          <w:color w:val="auto"/>
          <w:szCs w:val="21"/>
        </w:rPr>
        <w:t>0774-7898992</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2.采购代理机构：贺州市宏程工程咨询有限责任公司</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  地      址：</w:t>
      </w:r>
      <w:r>
        <w:rPr>
          <w:rFonts w:hint="eastAsia" w:ascii="宋体" w:hAnsi="宋体" w:cs="宋体"/>
          <w:color w:val="auto"/>
          <w:kern w:val="0"/>
          <w:szCs w:val="21"/>
        </w:rPr>
        <w:t>贺州市富川瑶族自治县凤凰路（粮食局内）</w:t>
      </w:r>
    </w:p>
    <w:p>
      <w:pPr>
        <w:spacing w:line="380" w:lineRule="exact"/>
        <w:ind w:firstLine="630" w:firstLineChars="300"/>
        <w:rPr>
          <w:rFonts w:ascii="宋体" w:hAnsi="宋体"/>
          <w:color w:val="auto"/>
          <w:szCs w:val="21"/>
        </w:rPr>
      </w:pPr>
      <w:r>
        <w:rPr>
          <w:rFonts w:hint="eastAsia" w:ascii="宋体" w:hAnsi="宋体"/>
          <w:color w:val="auto"/>
          <w:szCs w:val="21"/>
        </w:rPr>
        <w:t xml:space="preserve">项目联系人：奉工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联系电话</w:t>
      </w:r>
      <w:r>
        <w:rPr>
          <w:rFonts w:ascii="宋体" w:hAnsi="宋体"/>
          <w:color w:val="auto"/>
          <w:szCs w:val="21"/>
        </w:rPr>
        <w:t>:</w:t>
      </w:r>
      <w:r>
        <w:rPr>
          <w:rFonts w:hint="eastAsia" w:hAnsi="宋体"/>
          <w:color w:val="auto"/>
          <w:szCs w:val="21"/>
        </w:rPr>
        <w:t xml:space="preserve"> 0774-7888390； </w:t>
      </w:r>
    </w:p>
    <w:p>
      <w:pPr>
        <w:spacing w:line="380" w:lineRule="exact"/>
        <w:ind w:firstLine="420" w:firstLineChars="200"/>
        <w:rPr>
          <w:rFonts w:hint="eastAsia" w:hAnsi="宋体" w:cs="Arial"/>
          <w:color w:val="auto"/>
          <w:szCs w:val="21"/>
        </w:rPr>
      </w:pPr>
      <w:r>
        <w:rPr>
          <w:rFonts w:ascii="宋体" w:hAnsi="宋体"/>
          <w:color w:val="auto"/>
          <w:szCs w:val="21"/>
        </w:rPr>
        <w:t>3</w:t>
      </w:r>
      <w:r>
        <w:rPr>
          <w:rFonts w:hint="eastAsia" w:ascii="宋体" w:hAnsi="宋体"/>
          <w:color w:val="auto"/>
          <w:szCs w:val="21"/>
        </w:rPr>
        <w:t>、监督部门</w:t>
      </w:r>
      <w:r>
        <w:rPr>
          <w:rFonts w:ascii="宋体" w:hAnsi="宋体"/>
          <w:color w:val="auto"/>
          <w:szCs w:val="21"/>
        </w:rPr>
        <w:t xml:space="preserve">: </w:t>
      </w:r>
      <w:r>
        <w:rPr>
          <w:rFonts w:hint="eastAsia" w:ascii="宋体" w:hAnsi="宋体" w:cs="宋体"/>
          <w:color w:val="auto"/>
          <w:kern w:val="0"/>
          <w:szCs w:val="21"/>
        </w:rPr>
        <w:t>富川瑶族自治县财政局政府采购管理办公室</w:t>
      </w:r>
      <w:r>
        <w:rPr>
          <w:rFonts w:hint="eastAsia" w:hAnsi="宋体"/>
          <w:color w:val="auto"/>
          <w:szCs w:val="21"/>
        </w:rPr>
        <w:t>；</w:t>
      </w:r>
      <w:r>
        <w:rPr>
          <w:rFonts w:hint="eastAsia" w:hAnsi="宋体" w:cs="Arial"/>
          <w:color w:val="auto"/>
          <w:szCs w:val="21"/>
        </w:rPr>
        <w:t>联系电话：0774-7882324；</w:t>
      </w:r>
    </w:p>
    <w:p>
      <w:pPr>
        <w:spacing w:line="340" w:lineRule="exact"/>
        <w:rPr>
          <w:rFonts w:ascii="宋体" w:hAnsi="宋体"/>
          <w:color w:val="auto"/>
        </w:rPr>
      </w:pPr>
      <w:r>
        <w:rPr>
          <w:rFonts w:hint="eastAsia" w:ascii="宋体" w:hAnsi="宋体"/>
          <w:color w:val="auto"/>
        </w:rPr>
        <w:t xml:space="preserve">                                     </w:t>
      </w:r>
    </w:p>
    <w:p>
      <w:pPr>
        <w:snapToGrid w:val="0"/>
        <w:spacing w:after="156" w:afterLines="50"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                             </w:t>
      </w:r>
    </w:p>
    <w:p>
      <w:pPr>
        <w:snapToGrid w:val="0"/>
        <w:spacing w:line="380" w:lineRule="exact"/>
        <w:ind w:firstLine="4200" w:firstLineChars="2000"/>
        <w:jc w:val="left"/>
        <w:rPr>
          <w:rFonts w:hint="eastAsia" w:ascii="宋体" w:hAnsi="宋体" w:cs="宋体"/>
          <w:color w:val="auto"/>
          <w:szCs w:val="21"/>
        </w:rPr>
      </w:pPr>
      <w:r>
        <w:rPr>
          <w:rFonts w:hint="eastAsia" w:ascii="宋体" w:hAnsi="宋体" w:cs="宋体"/>
          <w:color w:val="auto"/>
          <w:szCs w:val="21"/>
        </w:rPr>
        <w:t xml:space="preserve">采购人：富川瑶族自治县经济贸易局   </w:t>
      </w:r>
    </w:p>
    <w:p>
      <w:pPr>
        <w:snapToGrid w:val="0"/>
        <w:spacing w:line="380" w:lineRule="exact"/>
        <w:ind w:firstLine="4200" w:firstLineChars="2000"/>
        <w:jc w:val="left"/>
        <w:rPr>
          <w:rFonts w:hint="eastAsia" w:ascii="宋体" w:hAnsi="宋体" w:cs="宋体"/>
          <w:color w:val="auto"/>
          <w:szCs w:val="21"/>
        </w:rPr>
      </w:pPr>
    </w:p>
    <w:p>
      <w:pPr>
        <w:snapToGrid w:val="0"/>
        <w:spacing w:line="380" w:lineRule="exact"/>
        <w:ind w:firstLine="4200" w:firstLineChars="2000"/>
        <w:jc w:val="left"/>
        <w:rPr>
          <w:rFonts w:hint="eastAsia" w:ascii="宋体" w:hAnsi="宋体" w:cs="宋体"/>
          <w:color w:val="auto"/>
          <w:szCs w:val="21"/>
        </w:rPr>
      </w:pPr>
    </w:p>
    <w:p>
      <w:pPr>
        <w:snapToGrid w:val="0"/>
        <w:spacing w:line="380" w:lineRule="exact"/>
        <w:ind w:firstLine="4200" w:firstLineChars="2000"/>
        <w:jc w:val="left"/>
        <w:rPr>
          <w:rFonts w:hint="eastAsia" w:ascii="宋体" w:hAnsi="宋体" w:cs="宋体"/>
          <w:color w:val="auto"/>
          <w:szCs w:val="21"/>
        </w:rPr>
      </w:pPr>
      <w:bookmarkStart w:id="1" w:name="_GoBack"/>
      <w:bookmarkEnd w:id="1"/>
      <w:r>
        <w:rPr>
          <w:rFonts w:hint="eastAsia" w:ascii="宋体" w:hAnsi="宋体" w:cs="宋体"/>
          <w:color w:val="auto"/>
          <w:szCs w:val="21"/>
        </w:rPr>
        <w:t xml:space="preserve">                                   </w:t>
      </w:r>
    </w:p>
    <w:p>
      <w:pPr>
        <w:snapToGrid w:val="0"/>
        <w:spacing w:line="380" w:lineRule="exact"/>
        <w:ind w:firstLine="420" w:firstLineChars="200"/>
        <w:jc w:val="center"/>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招标代理机构：</w:t>
      </w:r>
      <w:r>
        <w:rPr>
          <w:rFonts w:hint="eastAsia" w:ascii="宋体" w:hAnsi="宋体" w:cs="宋体"/>
          <w:color w:val="auto"/>
          <w:kern w:val="0"/>
          <w:szCs w:val="21"/>
        </w:rPr>
        <w:t>贺州市宏程工程咨询有限责任公司</w:t>
      </w:r>
    </w:p>
    <w:p>
      <w:pPr>
        <w:snapToGrid w:val="0"/>
        <w:spacing w:line="380" w:lineRule="exact"/>
        <w:ind w:firstLine="4200" w:firstLineChars="2000"/>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2020年</w:t>
      </w:r>
      <w:r>
        <w:rPr>
          <w:rFonts w:hint="eastAsia" w:ascii="宋体" w:hAnsi="宋体" w:cs="宋体"/>
          <w:color w:val="auto"/>
          <w:szCs w:val="21"/>
          <w:lang w:val="en-US" w:eastAsia="zh-CN"/>
        </w:rPr>
        <w:t>5</w:t>
      </w:r>
      <w:r>
        <w:rPr>
          <w:rFonts w:hint="eastAsia" w:ascii="宋体" w:hAnsi="宋体" w:cs="宋体"/>
          <w:color w:val="auto"/>
          <w:szCs w:val="21"/>
        </w:rPr>
        <w:t xml:space="preserve">月 </w:t>
      </w:r>
      <w:r>
        <w:rPr>
          <w:rFonts w:hint="eastAsia" w:ascii="宋体" w:hAnsi="宋体" w:cs="宋体"/>
          <w:color w:val="auto"/>
          <w:szCs w:val="21"/>
          <w:lang w:val="en-US" w:eastAsia="zh-CN"/>
        </w:rPr>
        <w:t>6</w:t>
      </w:r>
      <w:r>
        <w:rPr>
          <w:rFonts w:hint="eastAsia" w:ascii="宋体" w:hAnsi="宋体" w:cs="宋体"/>
          <w:color w:val="auto"/>
          <w:szCs w:val="21"/>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84C00"/>
    <w:multiLevelType w:val="singleLevel"/>
    <w:tmpl w:val="6E084C0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35D27"/>
    <w:rsid w:val="0AC3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kern w:val="0"/>
      <w:sz w:val="20"/>
      <w:szCs w:val="21"/>
    </w:rPr>
  </w:style>
  <w:style w:type="character" w:styleId="7">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2020-05-06T02:50:00Z</dcterms:created>
  <dc:creator>NTKO</dc:creator>
  <cp:lastModifiedBy>NTKO</cp:lastModifiedBy>
  <dcterms:modified xsi:type="dcterms:W3CDTF">2020-05-06T02:51:17Z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