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t>广西腾曼工程咨询服务有限公司</w:t>
      </w:r>
    </w:p>
    <w:p>
      <w:pPr>
        <w:spacing w:line="400" w:lineRule="exact"/>
        <w:jc w:val="cente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t>那坡县百都乡2020年第二期（第三批）扶贫基础设施项目（BSZC2020-J2-</w:t>
      </w:r>
      <w:r>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t>07010</w:t>
      </w:r>
      <w: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t>-GXTM）</w:t>
      </w:r>
    </w:p>
    <w:p>
      <w:pPr>
        <w:spacing w:line="400" w:lineRule="exact"/>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竞争性谈判采购公告</w:t>
      </w:r>
    </w:p>
    <w:p>
      <w:pPr>
        <w:keepNext w:val="0"/>
        <w:keepLines w:val="0"/>
        <w:pageBreakBefore w:val="0"/>
        <w:shd w:val="clear" w:color="auto" w:fill="FFFFFF"/>
        <w:kinsoku/>
        <w:wordWrap/>
        <w:overflowPunct/>
        <w:topLinePunct w:val="0"/>
        <w:bidi w:val="0"/>
        <w:spacing w:line="360" w:lineRule="auto"/>
        <w:ind w:firstLine="42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广西腾曼工程咨询服务有限公司</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受</w:t>
      </w: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那坡县百都乡人民政府</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委托，根据《中华人民共和国政府采购法》、《中华人民共和国政府采购法实施条例》、《政府采购非招标采购方式管理办法》等法规规定，经财政部门批准，现对《</w:t>
      </w: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那坡县百都乡2020年第二期（第三批）扶贫基础设施项目</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》进行竞争性谈判采购，</w:t>
      </w:r>
      <w:r>
        <w:rPr>
          <w:rFonts w:hint="eastAsia" w:asciiTheme="majorEastAsia" w:hAnsiTheme="majorEastAsia" w:eastAsiaTheme="majorEastAsia" w:cstheme="majorEastAsia"/>
          <w:color w:val="000000" w:themeColor="text1"/>
          <w:sz w:val="24"/>
          <w:szCs w:val="24"/>
          <w14:textFill>
            <w14:solidFill>
              <w14:schemeClr w14:val="tx1"/>
            </w14:solidFill>
          </w14:textFill>
        </w:rPr>
        <w:t>本项目采用采购人和评审专家分别书面推荐的方式邀请不少于 3 家符合相应资格条件的供应商参与竞争性谈判，现将有关事项公告如下：</w:t>
      </w:r>
    </w:p>
    <w:p>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一、采购</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项目名称：</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那坡县百都乡2020年第二期（第三批）扶贫基础设施项目</w:t>
      </w:r>
    </w:p>
    <w:p>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二、采购项目编号</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 xml:space="preserve">BSZC2020-J2-07010-GXTM </w:t>
      </w:r>
    </w:p>
    <w:p>
      <w:pPr>
        <w:keepNext w:val="0"/>
        <w:keepLines w:val="0"/>
        <w:pageBreakBefore w:val="0"/>
        <w:tabs>
          <w:tab w:val="left" w:pos="7514"/>
        </w:tabs>
        <w:kinsoku/>
        <w:wordWrap/>
        <w:overflowPunct/>
        <w:topLinePunct w:val="0"/>
        <w:autoSpaceDE w:val="0"/>
        <w:autoSpaceDN w:val="0"/>
        <w:bidi w:val="0"/>
        <w:adjustRightInd w:val="0"/>
        <w:snapToGrid w:val="0"/>
        <w:spacing w:line="360" w:lineRule="auto"/>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三、采购项目的名称、数量、简要规格描述或项目基本概况介绍</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1、百都乡果庇村田房屯路口至百岩屯级道路安防工程， 2、百都乡果庇村田房屯路口至坡谢屯级道路安防工程， 3、百都乡弄陇村弄布屯至沿边公路道路安防工程，4、百都乡弄陇村弄布至弄力屯道路安防工程。</w:t>
      </w:r>
      <w:r>
        <w:rPr>
          <w:rFonts w:hint="eastAsia" w:asciiTheme="majorEastAsia" w:hAnsiTheme="majorEastAsia" w:eastAsiaTheme="majorEastAsia" w:cstheme="majorEastAsia"/>
          <w:color w:val="000000" w:themeColor="text1"/>
          <w:sz w:val="24"/>
          <w:szCs w:val="24"/>
          <w14:textFill>
            <w14:solidFill>
              <w14:schemeClr w14:val="tx1"/>
            </w14:solidFill>
          </w14:textFill>
        </w:rPr>
        <w:t>（具体内容以图纸及工程量清单为准）</w:t>
      </w:r>
    </w:p>
    <w:p>
      <w:pPr>
        <w:keepNext w:val="0"/>
        <w:keepLines w:val="0"/>
        <w:pageBreakBefore w:val="0"/>
        <w:tabs>
          <w:tab w:val="left" w:pos="7514"/>
        </w:tabs>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四、采购预算金额（人民币）</w:t>
      </w:r>
      <w:r>
        <w:rPr>
          <w:rFonts w:hint="eastAsia" w:asciiTheme="majorEastAsia" w:hAnsiTheme="majorEastAsia" w:eastAsiaTheme="majorEastAsia" w:cstheme="majorEastAsia"/>
          <w:color w:val="000000" w:themeColor="text1"/>
          <w:sz w:val="24"/>
          <w:szCs w:val="24"/>
          <w14:textFill>
            <w14:solidFill>
              <w14:schemeClr w14:val="tx1"/>
            </w14:solidFill>
          </w14:textFill>
        </w:rPr>
        <w:t>：总投资</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174.2145</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万元      </w:t>
      </w:r>
    </w:p>
    <w:p>
      <w:pPr>
        <w:keepNext w:val="0"/>
        <w:keepLines w:val="0"/>
        <w:pageBreakBefore w:val="0"/>
        <w:shd w:val="clear" w:color="auto" w:fill="FFFFFF"/>
        <w:kinsoku/>
        <w:wordWrap/>
        <w:overflowPunct/>
        <w:topLinePunct w:val="0"/>
        <w:bidi w:val="0"/>
        <w:spacing w:line="360" w:lineRule="auto"/>
        <w:ind w:firstLine="480"/>
        <w:textAlignment w:val="auto"/>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t>五、</w:t>
      </w: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本采购项目需要落实的政府采购政策：</w:t>
      </w:r>
      <w:r>
        <w:rPr>
          <w:rFonts w:hint="eastAsia" w:asciiTheme="majorEastAsia" w:hAnsiTheme="majorEastAsia" w:eastAsiaTheme="majorEastAsia" w:cstheme="majorEastAsia"/>
          <w:color w:val="000000" w:themeColor="text1"/>
          <w:sz w:val="24"/>
          <w:szCs w:val="24"/>
          <w14:textFill>
            <w14:solidFill>
              <w14:schemeClr w14:val="tx1"/>
            </w14:solidFill>
          </w14:textFill>
        </w:rPr>
        <w:t>《政府采购促进中小企业发展暂行办法》（财库〔2011〕181号）、《财政部、司法部关于政府采购支持监狱企业发展有关问题的通知》（财库[2014]68号）、《关于促进残疾人就业政府采购政策的通知》（财库〔2017〕141号）。</w:t>
      </w:r>
    </w:p>
    <w:p>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六、谈判供应商</w:t>
      </w:r>
      <w: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t>资格要求：</w:t>
      </w:r>
    </w:p>
    <w:p>
      <w:pPr>
        <w:keepNext w:val="0"/>
        <w:keepLines w:val="0"/>
        <w:pageBreakBefore w:val="0"/>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1、符合《中华人民共和国政府采购法》第二十二条的规定；</w:t>
      </w:r>
    </w:p>
    <w:p>
      <w:pPr>
        <w:keepNext w:val="0"/>
        <w:keepLines w:val="0"/>
        <w:pageBreakBefore w:val="0"/>
        <w:shd w:val="clear" w:color="auto" w:fill="FFFFFF"/>
        <w:kinsoku/>
        <w:wordWrap/>
        <w:overflowPunct/>
        <w:topLinePunct w:val="0"/>
        <w:bidi w:val="0"/>
        <w:spacing w:line="360" w:lineRule="auto"/>
        <w:ind w:firstLine="430"/>
        <w:textAlignment w:val="auto"/>
        <w:rPr>
          <w:rFonts w:hint="eastAsia" w:asciiTheme="majorEastAsia" w:hAnsiTheme="majorEastAsia" w:eastAsiaTheme="majorEastAsia" w:cstheme="majorEastAsia"/>
          <w:b w:val="0"/>
          <w:bCs w:val="0"/>
          <w:color w:val="auto"/>
          <w:kern w:val="0"/>
          <w:sz w:val="24"/>
          <w:szCs w:val="24"/>
        </w:rPr>
      </w:pPr>
      <w:r>
        <w:rPr>
          <w:rFonts w:hint="eastAsia" w:asciiTheme="majorEastAsia" w:hAnsiTheme="majorEastAsia" w:eastAsiaTheme="majorEastAsia" w:cstheme="majorEastAsia"/>
          <w:b w:val="0"/>
          <w:bCs w:val="0"/>
          <w:color w:val="auto"/>
          <w:kern w:val="0"/>
          <w:sz w:val="24"/>
          <w:szCs w:val="24"/>
        </w:rPr>
        <w:t>2、具有国内注</w:t>
      </w:r>
      <w:r>
        <w:rPr>
          <w:rFonts w:hint="eastAsia" w:asciiTheme="majorEastAsia" w:hAnsiTheme="majorEastAsia" w:eastAsiaTheme="majorEastAsia" w:cstheme="majorEastAsia"/>
          <w:b w:val="0"/>
          <w:bCs w:val="0"/>
          <w:color w:val="auto"/>
          <w:kern w:val="0"/>
          <w:sz w:val="24"/>
          <w:szCs w:val="24"/>
          <w:highlight w:val="none"/>
        </w:rPr>
        <w:t>册</w:t>
      </w:r>
      <w:r>
        <w:rPr>
          <w:rFonts w:hint="eastAsia" w:asciiTheme="majorEastAsia" w:hAnsiTheme="majorEastAsia" w:eastAsiaTheme="majorEastAsia" w:cstheme="majorEastAsia"/>
          <w:b w:val="0"/>
          <w:bCs w:val="0"/>
          <w:color w:val="auto"/>
          <w:kern w:val="0"/>
          <w:sz w:val="24"/>
          <w:szCs w:val="24"/>
          <w:highlight w:val="none"/>
          <w:lang w:eastAsia="zh-CN"/>
        </w:rPr>
        <w:t>合法资格的供应商</w:t>
      </w:r>
      <w:r>
        <w:rPr>
          <w:rFonts w:hint="eastAsia" w:asciiTheme="majorEastAsia" w:hAnsiTheme="majorEastAsia" w:eastAsiaTheme="majorEastAsia" w:cstheme="majorEastAsia"/>
          <w:b w:val="0"/>
          <w:bCs w:val="0"/>
          <w:color w:val="auto"/>
          <w:kern w:val="0"/>
          <w:sz w:val="24"/>
          <w:szCs w:val="24"/>
        </w:rPr>
        <w:t>，具备</w:t>
      </w:r>
      <w:r>
        <w:rPr>
          <w:rFonts w:hint="eastAsia" w:asciiTheme="majorEastAsia" w:hAnsiTheme="majorEastAsia" w:eastAsiaTheme="majorEastAsia" w:cstheme="majorEastAsia"/>
          <w:b w:val="0"/>
          <w:bCs w:val="0"/>
          <w:color w:val="auto"/>
          <w:kern w:val="0"/>
          <w:sz w:val="24"/>
          <w:szCs w:val="24"/>
          <w:lang w:eastAsia="zh-CN"/>
        </w:rPr>
        <w:t>公路工程</w:t>
      </w:r>
      <w:r>
        <w:rPr>
          <w:rFonts w:hint="eastAsia" w:asciiTheme="majorEastAsia" w:hAnsiTheme="majorEastAsia" w:eastAsiaTheme="majorEastAsia" w:cstheme="majorEastAsia"/>
          <w:b w:val="0"/>
          <w:bCs w:val="0"/>
          <w:color w:val="auto"/>
          <w:kern w:val="0"/>
          <w:sz w:val="24"/>
          <w:szCs w:val="24"/>
        </w:rPr>
        <w:t>施工总承包叁级以上（含叁级）资质</w:t>
      </w:r>
      <w:r>
        <w:rPr>
          <w:rFonts w:hint="eastAsia" w:asciiTheme="majorEastAsia" w:hAnsiTheme="majorEastAsia" w:eastAsiaTheme="majorEastAsia" w:cstheme="majorEastAsia"/>
          <w:b w:val="0"/>
          <w:bCs w:val="0"/>
          <w:color w:val="auto"/>
          <w:kern w:val="0"/>
          <w:sz w:val="24"/>
          <w:szCs w:val="24"/>
          <w:lang w:val="en-US" w:eastAsia="zh-CN"/>
        </w:rPr>
        <w:t>,</w:t>
      </w:r>
      <w:r>
        <w:rPr>
          <w:rFonts w:hint="eastAsia" w:asciiTheme="majorEastAsia" w:hAnsiTheme="majorEastAsia" w:eastAsiaTheme="majorEastAsia" w:cstheme="majorEastAsia"/>
          <w:b w:val="0"/>
          <w:bCs w:val="0"/>
          <w:color w:val="auto"/>
          <w:kern w:val="0"/>
          <w:sz w:val="24"/>
          <w:szCs w:val="24"/>
        </w:rPr>
        <w:t>并在人员、设备、资金等方面具有相应的施工能力的施工企业，拟投入的项目经理具备</w:t>
      </w:r>
      <w:r>
        <w:rPr>
          <w:rFonts w:hint="eastAsia" w:asciiTheme="majorEastAsia" w:hAnsiTheme="majorEastAsia" w:eastAsiaTheme="majorEastAsia" w:cstheme="majorEastAsia"/>
          <w:b w:val="0"/>
          <w:bCs w:val="0"/>
          <w:color w:val="auto"/>
          <w:kern w:val="0"/>
          <w:sz w:val="24"/>
          <w:szCs w:val="24"/>
          <w:lang w:eastAsia="zh-CN"/>
        </w:rPr>
        <w:t>公路工程</w:t>
      </w:r>
      <w:r>
        <w:rPr>
          <w:rFonts w:hint="eastAsia" w:asciiTheme="majorEastAsia" w:hAnsiTheme="majorEastAsia" w:eastAsiaTheme="majorEastAsia" w:cstheme="majorEastAsia"/>
          <w:b w:val="0"/>
          <w:bCs w:val="0"/>
          <w:color w:val="auto"/>
          <w:kern w:val="0"/>
          <w:sz w:val="24"/>
          <w:szCs w:val="24"/>
        </w:rPr>
        <w:t>专业贰级以上（含贰级）注册建造师资格，并具有中级及以上职称，并具备有效的安全生产考核合格证书（B类）。</w:t>
      </w:r>
    </w:p>
    <w:p>
      <w:pPr>
        <w:keepNext w:val="0"/>
        <w:keepLines w:val="0"/>
        <w:pageBreakBefore w:val="0"/>
        <w:shd w:val="clear" w:color="auto" w:fill="FFFFFF"/>
        <w:kinsoku/>
        <w:wordWrap/>
        <w:overflowPunct/>
        <w:topLinePunct w:val="0"/>
        <w:bidi w:val="0"/>
        <w:spacing w:line="360" w:lineRule="auto"/>
        <w:ind w:firstLine="430"/>
        <w:textAlignment w:val="auto"/>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3.已依法获取邀请推荐的供应商才有资格参与谈判。</w:t>
      </w:r>
    </w:p>
    <w:p>
      <w:pPr>
        <w:keepNext w:val="0"/>
        <w:keepLines w:val="0"/>
        <w:pageBreakBefore w:val="0"/>
        <w:shd w:val="clear" w:color="auto" w:fill="FFFFFF"/>
        <w:kinsoku/>
        <w:wordWrap/>
        <w:overflowPunct/>
        <w:topLinePunct w:val="0"/>
        <w:bidi w:val="0"/>
        <w:spacing w:line="360" w:lineRule="auto"/>
        <w:ind w:firstLine="430"/>
        <w:textAlignment w:val="auto"/>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shd w:val="clear" w:color="auto" w:fill="FFFFFF"/>
        <w:kinsoku/>
        <w:wordWrap/>
        <w:overflowPunct/>
        <w:topLinePunct w:val="0"/>
        <w:bidi w:val="0"/>
        <w:spacing w:line="360" w:lineRule="auto"/>
        <w:ind w:firstLine="430"/>
        <w:textAlignment w:val="auto"/>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shd w:val="clear" w:color="auto" w:fill="FFFFFF"/>
        <w:kinsoku/>
        <w:wordWrap/>
        <w:overflowPunct/>
        <w:topLinePunct w:val="0"/>
        <w:bidi w:val="0"/>
        <w:spacing w:line="360" w:lineRule="auto"/>
        <w:ind w:firstLine="430"/>
        <w:textAlignment w:val="auto"/>
        <w:rPr>
          <w:rFonts w:hint="eastAsia" w:asciiTheme="majorEastAsia" w:hAnsiTheme="majorEastAsia" w:eastAsiaTheme="majorEastAsia" w:cstheme="majorEastAsia"/>
          <w:b/>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、本项目不接受联合体竞标。</w:t>
      </w:r>
    </w:p>
    <w:p>
      <w:pPr>
        <w:keepNext w:val="0"/>
        <w:keepLines w:val="0"/>
        <w:pageBreakBefore w:val="0"/>
        <w:shd w:val="clear" w:color="auto" w:fill="FFFFFF"/>
        <w:kinsoku/>
        <w:wordWrap/>
        <w:overflowPunct/>
        <w:topLinePunct w:val="0"/>
        <w:bidi w:val="0"/>
        <w:spacing w:line="360" w:lineRule="auto"/>
        <w:ind w:firstLine="430"/>
        <w:textAlignment w:val="auto"/>
        <w:rPr>
          <w:rFonts w:hint="eastAsia" w:asciiTheme="majorEastAsia" w:hAnsiTheme="majorEastAsia" w:eastAsiaTheme="majorEastAsia" w:cstheme="majorEastAsia"/>
          <w:b/>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b/>
          <w:color w:val="000000" w:themeColor="text1"/>
          <w:sz w:val="24"/>
          <w:szCs w:val="24"/>
          <w:u w:val="none"/>
          <w14:textFill>
            <w14:solidFill>
              <w14:schemeClr w14:val="tx1"/>
            </w14:solidFill>
          </w14:textFill>
        </w:rPr>
        <w:t>七、</w:t>
      </w:r>
      <w:bookmarkStart w:id="0" w:name="_Hlt5118180"/>
      <w:bookmarkEnd w:id="0"/>
      <w:bookmarkStart w:id="1" w:name="_Hlt5117854"/>
      <w:bookmarkEnd w:id="1"/>
      <w:r>
        <w:rPr>
          <w:rFonts w:hint="eastAsia" w:asciiTheme="majorEastAsia" w:hAnsiTheme="majorEastAsia" w:eastAsiaTheme="majorEastAsia" w:cstheme="majorEastAsia"/>
          <w:b/>
          <w:color w:val="000000" w:themeColor="text1"/>
          <w:sz w:val="24"/>
          <w:szCs w:val="24"/>
          <w:u w:val="none"/>
          <w14:textFill>
            <w14:solidFill>
              <w14:schemeClr w14:val="tx1"/>
            </w14:solidFill>
          </w14:textFill>
        </w:rPr>
        <w:t>竞争性谈判文件的获取：</w:t>
      </w:r>
    </w:p>
    <w:p>
      <w:pPr>
        <w:keepNext w:val="0"/>
        <w:keepLines w:val="0"/>
        <w:pageBreakBefore w:val="0"/>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1.发售时间：</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20</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20</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年</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月</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27</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日至20</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20</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年</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月</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29</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日止</w:t>
      </w:r>
      <w:r>
        <w:rPr>
          <w:rFonts w:hint="eastAsia" w:asciiTheme="majorEastAsia" w:hAnsiTheme="majorEastAsia" w:eastAsiaTheme="majorEastAsia" w:cstheme="majorEastAsia"/>
          <w:color w:val="000000" w:themeColor="text1"/>
          <w:sz w:val="24"/>
          <w:szCs w:val="24"/>
          <w14:textFill>
            <w14:solidFill>
              <w14:schemeClr w14:val="tx1"/>
            </w14:solidFill>
          </w14:textFill>
        </w:rPr>
        <w:t>（工作日），每日上午08:00-12 :00，下午15:00-18:00，节假日除外；</w:t>
      </w:r>
    </w:p>
    <w:p>
      <w:pPr>
        <w:keepNext w:val="0"/>
        <w:keepLines w:val="0"/>
        <w:pageBreakBefore w:val="0"/>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2.发售地点：</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广西腾曼工程咨询服务有限公司</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广西百色市右江区那毕大道12号百色投资大厦西塔楼1单元11层1127号</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3.售价：竞争性谈判文件工本费每本250元（不含图纸及其他资料），售后不退。</w:t>
      </w:r>
    </w:p>
    <w:p>
      <w:pPr>
        <w:keepNext w:val="0"/>
        <w:keepLines w:val="0"/>
        <w:pageBreakBefore w:val="0"/>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4.获取竞争性谈判文件的方式：由应邀谈判供应商法定代表人或授权委托代理人携带以下资料：</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(1)竞标邀请书以及响应确认函；</w:t>
      </w:r>
      <w:r>
        <w:rPr>
          <w:rFonts w:hint="eastAsia" w:asciiTheme="majorEastAsia" w:hAnsiTheme="majorEastAsia" w:eastAsiaTheme="majorEastAsia" w:cstheme="majorEastAsia"/>
          <w:color w:val="000000" w:themeColor="text1"/>
          <w:sz w:val="24"/>
          <w:szCs w:val="24"/>
          <w14:textFill>
            <w14:solidFill>
              <w14:schemeClr w14:val="tx1"/>
            </w14:solidFill>
          </w14:textFill>
        </w:rPr>
        <w:t>(2)法定代表人或委托代理人身份证复印件（原件核查）；(3)非法定代表人携带法定代表人授权书原件。备齐上述材料方可获取竞争性谈判文件。</w:t>
      </w:r>
    </w:p>
    <w:p>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b/>
          <w:color w:val="auto"/>
          <w:sz w:val="24"/>
          <w:szCs w:val="24"/>
        </w:rPr>
        <w:t>八、谈判保证金(人民币)</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贰万元整（￥</w:t>
      </w:r>
      <w:r>
        <w:rPr>
          <w:rFonts w:hint="eastAsia" w:asciiTheme="majorEastAsia" w:hAnsiTheme="majorEastAsia" w:eastAsiaTheme="majorEastAsia" w:cstheme="majorEastAsia"/>
          <w:color w:val="auto"/>
          <w:sz w:val="24"/>
          <w:szCs w:val="24"/>
          <w:lang w:val="en-US" w:eastAsia="zh-CN"/>
        </w:rPr>
        <w:t>20000</w:t>
      </w:r>
      <w:r>
        <w:rPr>
          <w:rFonts w:hint="eastAsia" w:asciiTheme="majorEastAsia" w:hAnsiTheme="majorEastAsia" w:eastAsiaTheme="majorEastAsia" w:cstheme="majorEastAsia"/>
          <w:color w:val="auto"/>
          <w:sz w:val="24"/>
          <w:szCs w:val="24"/>
          <w:lang w:eastAsia="zh-CN"/>
        </w:rPr>
        <w:t>元）</w:t>
      </w:r>
    </w:p>
    <w:p>
      <w:pPr>
        <w:keepNext w:val="0"/>
        <w:keepLines w:val="0"/>
        <w:pageBreakBefore w:val="0"/>
        <w:kinsoku/>
        <w:wordWrap/>
        <w:overflowPunct/>
        <w:topLinePunct w:val="0"/>
        <w:bidi w:val="0"/>
        <w:spacing w:line="360" w:lineRule="auto"/>
        <w:ind w:firstLine="42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供应商应于竞标截止时间前将谈判保证金以</w:t>
      </w:r>
      <w:r>
        <w:rPr>
          <w:rFonts w:hint="eastAsia" w:asciiTheme="majorEastAsia" w:hAnsiTheme="majorEastAsia" w:eastAsiaTheme="majorEastAsia" w:cstheme="majorEastAsia"/>
          <w:color w:val="000000" w:themeColor="text1"/>
          <w:sz w:val="24"/>
          <w:szCs w:val="24"/>
          <w:highlight w:val="none"/>
          <w:u w:val="none"/>
          <w:lang w:eastAsia="zh-CN"/>
          <w14:textFill>
            <w14:solidFill>
              <w14:schemeClr w14:val="tx1"/>
            </w14:solidFill>
          </w14:textFill>
        </w:rPr>
        <w:t>汇款、</w:t>
      </w:r>
      <w:r>
        <w:rPr>
          <w:rFonts w:hint="eastAsia" w:asciiTheme="majorEastAsia" w:hAnsiTheme="majorEastAsia" w:eastAsiaTheme="majorEastAsia" w:cstheme="majorEastAsia"/>
          <w:color w:val="000000" w:themeColor="text1"/>
          <w:sz w:val="24"/>
          <w:szCs w:val="24"/>
          <w:highlight w:val="none"/>
          <w:u w:val="none"/>
          <w14:textFill>
            <w14:solidFill>
              <w14:schemeClr w14:val="tx1"/>
            </w14:solidFill>
          </w14:textFill>
        </w:rPr>
        <w:t>转帐</w:t>
      </w:r>
      <w:r>
        <w:rPr>
          <w:rFonts w:hint="eastAsia" w:asciiTheme="majorEastAsia" w:hAnsiTheme="majorEastAsia" w:eastAsiaTheme="majorEastAsia" w:cstheme="majorEastAsia"/>
          <w:color w:val="000000" w:themeColor="text1"/>
          <w:sz w:val="24"/>
          <w:szCs w:val="24"/>
          <w:highlight w:val="none"/>
          <w:u w:val="none"/>
          <w:lang w:eastAsia="zh-CN"/>
          <w14:textFill>
            <w14:solidFill>
              <w14:schemeClr w14:val="tx1"/>
            </w14:solidFill>
          </w14:textFill>
        </w:rPr>
        <w:t>等</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形式从供</w:t>
      </w:r>
      <w:r>
        <w:rPr>
          <w:rFonts w:hint="eastAsia" w:asciiTheme="majorEastAsia" w:hAnsiTheme="majorEastAsia" w:eastAsiaTheme="majorEastAsia" w:cstheme="majorEastAsia"/>
          <w:color w:val="000000" w:themeColor="text1"/>
          <w:sz w:val="24"/>
          <w:szCs w:val="24"/>
          <w14:textFill>
            <w14:solidFill>
              <w14:schemeClr w14:val="tx1"/>
            </w14:solidFill>
          </w14:textFill>
        </w:rPr>
        <w:t>应商基本账户转入并到达以下账户：</w:t>
      </w:r>
    </w:p>
    <w:p>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b/>
          <w:bCs/>
          <w:color w:val="000000" w:themeColor="text1"/>
          <w:spacing w:val="2"/>
          <w:sz w:val="24"/>
          <w:szCs w:val="24"/>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t>开户名称：广西腾曼工程咨询服务有限公司</w:t>
      </w:r>
    </w:p>
    <w:p>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b/>
          <w:bCs/>
          <w:color w:val="000000" w:themeColor="text1"/>
          <w:spacing w:val="2"/>
          <w:sz w:val="24"/>
          <w:szCs w:val="24"/>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t>开户银行：广西北部湾银行股份有限公司百色分行</w:t>
      </w:r>
    </w:p>
    <w:p>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b/>
          <w:bCs/>
          <w:color w:val="000000" w:themeColor="text1"/>
          <w:spacing w:val="2"/>
          <w:sz w:val="24"/>
          <w:szCs w:val="24"/>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t>银行账号：8001 3158 1900 011</w:t>
      </w:r>
    </w:p>
    <w:p>
      <w:pPr>
        <w:keepNext w:val="0"/>
        <w:keepLines w:val="0"/>
        <w:pageBreakBefore w:val="0"/>
        <w:kinsoku/>
        <w:wordWrap/>
        <w:overflowPunct/>
        <w:topLinePunct w:val="0"/>
        <w:bidi w:val="0"/>
        <w:spacing w:line="360" w:lineRule="auto"/>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注：办理谈判保证金手续时，必须在谈判保证金转账凭证上注明本项目的项目名称（简称即可）或项目编号。</w:t>
      </w:r>
    </w:p>
    <w:p>
      <w:pPr>
        <w:keepNext w:val="0"/>
        <w:keepLines w:val="0"/>
        <w:pageBreakBefore w:val="0"/>
        <w:kinsoku/>
        <w:wordWrap/>
        <w:overflowPunct/>
        <w:topLinePunct w:val="0"/>
        <w:bidi w:val="0"/>
        <w:spacing w:line="360" w:lineRule="auto"/>
        <w:ind w:left="420" w:leftChars="200"/>
        <w:textAlignment w:val="auto"/>
        <w:rPr>
          <w:rFonts w:hint="eastAsia" w:asciiTheme="majorEastAsia" w:hAnsiTheme="majorEastAsia" w:eastAsiaTheme="majorEastAsia" w:cstheme="majorEastAsia"/>
          <w:color w:val="000000" w:themeColor="text1"/>
          <w:kern w:val="0"/>
          <w:sz w:val="24"/>
          <w:szCs w:val="24"/>
          <w:lang w:bidi="ar"/>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bidi="ar"/>
          <w14:textFill>
            <w14:solidFill>
              <w14:schemeClr w14:val="tx1"/>
            </w14:solidFill>
          </w14:textFill>
        </w:rPr>
        <w:t>九、竞标截止时间</w:t>
      </w:r>
      <w:r>
        <w:rPr>
          <w:rFonts w:hint="eastAsia" w:asciiTheme="majorEastAsia" w:hAnsiTheme="majorEastAsia" w:eastAsiaTheme="majorEastAsia" w:cstheme="majorEastAsia"/>
          <w:color w:val="000000" w:themeColor="text1"/>
          <w:sz w:val="24"/>
          <w:szCs w:val="24"/>
          <w:u w:val="none"/>
          <w:lang w:bidi="ar"/>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u w:val="none"/>
          <w:lang w:bidi="ar"/>
          <w14:textFill>
            <w14:solidFill>
              <w14:schemeClr w14:val="tx1"/>
            </w14:solidFill>
          </w14:textFill>
        </w:rPr>
        <w:t>竞标人应于</w:t>
      </w:r>
      <w:r>
        <w:rPr>
          <w:rFonts w:hint="eastAsia" w:asciiTheme="majorEastAsia" w:hAnsiTheme="majorEastAsia" w:eastAsiaTheme="majorEastAsia" w:cstheme="majorEastAsia"/>
          <w:color w:val="000000" w:themeColor="text1"/>
          <w:kern w:val="0"/>
          <w:sz w:val="24"/>
          <w:szCs w:val="24"/>
          <w:u w:val="single"/>
          <w:lang w:val="en-US" w:eastAsia="zh-CN" w:bidi="ar"/>
          <w14:textFill>
            <w14:solidFill>
              <w14:schemeClr w14:val="tx1"/>
            </w14:solidFill>
          </w14:textFill>
        </w:rPr>
        <w:t>2020年4月30日10时00分</w:t>
      </w:r>
      <w:r>
        <w:rPr>
          <w:rFonts w:hint="eastAsia" w:asciiTheme="majorEastAsia" w:hAnsiTheme="majorEastAsia" w:eastAsiaTheme="majorEastAsia" w:cstheme="majorEastAsia"/>
          <w:color w:val="000000" w:themeColor="text1"/>
          <w:kern w:val="0"/>
          <w:sz w:val="24"/>
          <w:szCs w:val="24"/>
          <w:u w:val="none"/>
          <w:lang w:bidi="ar"/>
          <w14:textFill>
            <w14:solidFill>
              <w14:schemeClr w14:val="tx1"/>
            </w14:solidFill>
          </w14:textFill>
        </w:rPr>
        <w:t>前将</w:t>
      </w:r>
      <w:r>
        <w:rPr>
          <w:rFonts w:hint="eastAsia" w:asciiTheme="majorEastAsia" w:hAnsiTheme="majorEastAsia" w:eastAsiaTheme="majorEastAsia" w:cstheme="majorEastAsia"/>
          <w:color w:val="000000" w:themeColor="text1"/>
          <w:kern w:val="0"/>
          <w:sz w:val="24"/>
          <w:szCs w:val="24"/>
          <w:lang w:bidi="ar"/>
          <w14:textFill>
            <w14:solidFill>
              <w14:schemeClr w14:val="tx1"/>
            </w14:solidFill>
          </w14:textFill>
        </w:rPr>
        <w:t>竞标文件密封送交到</w:t>
      </w:r>
      <w:r>
        <w:rPr>
          <w:rFonts w:hint="eastAsia" w:asciiTheme="majorEastAsia" w:hAnsiTheme="majorEastAsia" w:eastAsiaTheme="majorEastAsia" w:cstheme="majorEastAsia"/>
          <w:color w:val="000000" w:themeColor="text1"/>
          <w:sz w:val="24"/>
          <w:szCs w:val="24"/>
          <w:lang w:eastAsia="zh-CN" w:bidi="ar"/>
          <w14:textFill>
            <w14:solidFill>
              <w14:schemeClr w14:val="tx1"/>
            </w14:solidFill>
          </w14:textFill>
        </w:rPr>
        <w:t>广西腾曼工程咨询服务有限公司</w:t>
      </w:r>
      <w:r>
        <w:rPr>
          <w:rFonts w:hint="eastAsia" w:asciiTheme="majorEastAsia" w:hAnsiTheme="majorEastAsia" w:eastAsiaTheme="majorEastAsia" w:cstheme="majorEastAsia"/>
          <w:color w:val="000000" w:themeColor="text1"/>
          <w:sz w:val="24"/>
          <w:szCs w:val="24"/>
          <w:lang w:bidi="ar"/>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bidi="ar"/>
          <w14:textFill>
            <w14:solidFill>
              <w14:schemeClr w14:val="tx1"/>
            </w14:solidFill>
          </w14:textFill>
        </w:rPr>
        <w:t>广西百色市右江区那毕大道12号百色投资大厦西塔楼1单元11层1127号</w:t>
      </w:r>
      <w:r>
        <w:rPr>
          <w:rFonts w:hint="eastAsia" w:asciiTheme="majorEastAsia" w:hAnsiTheme="majorEastAsia" w:eastAsiaTheme="majorEastAsia" w:cstheme="majorEastAsia"/>
          <w:color w:val="000000" w:themeColor="text1"/>
          <w:sz w:val="24"/>
          <w:szCs w:val="24"/>
          <w:lang w:bidi="ar"/>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lang w:bidi="ar"/>
          <w14:textFill>
            <w14:solidFill>
              <w14:schemeClr w14:val="tx1"/>
            </w14:solidFill>
          </w14:textFill>
        </w:rPr>
        <w:t>，逾期送达或未密封将予以拒收（或作无效竞标文件处理）。</w:t>
      </w:r>
    </w:p>
    <w:p>
      <w:pPr>
        <w:keepNext w:val="0"/>
        <w:keepLines w:val="0"/>
        <w:pageBreakBefore w:val="0"/>
        <w:widowControl/>
        <w:kinsoku/>
        <w:wordWrap/>
        <w:overflowPunct/>
        <w:topLinePunct w:val="0"/>
        <w:bidi w:val="0"/>
        <w:spacing w:after="75" w:line="360" w:lineRule="auto"/>
        <w:ind w:firstLine="420"/>
        <w:jc w:val="left"/>
        <w:textAlignment w:val="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十、谈判时间及地点：</w:t>
      </w:r>
      <w:r>
        <w:rPr>
          <w:rFonts w:hint="eastAsia" w:asciiTheme="majorEastAsia" w:hAnsiTheme="majorEastAsia" w:eastAsiaTheme="majorEastAsia" w:cstheme="majorEastAsia"/>
          <w:color w:val="000000" w:themeColor="text1"/>
          <w:kern w:val="0"/>
          <w:sz w:val="24"/>
          <w:szCs w:val="24"/>
          <w:lang w:bidi="ar"/>
          <w14:textFill>
            <w14:solidFill>
              <w14:schemeClr w14:val="tx1"/>
            </w14:solidFill>
          </w14:textFill>
        </w:rPr>
        <w:t>本次采购将于</w:t>
      </w:r>
      <w:r>
        <w:rPr>
          <w:rFonts w:hint="eastAsia" w:asciiTheme="majorEastAsia" w:hAnsiTheme="majorEastAsia" w:eastAsiaTheme="majorEastAsia" w:cstheme="majorEastAsia"/>
          <w:color w:val="000000" w:themeColor="text1"/>
          <w:kern w:val="0"/>
          <w:sz w:val="24"/>
          <w:szCs w:val="24"/>
          <w:u w:val="single"/>
          <w:lang w:val="en-US" w:eastAsia="zh-CN" w:bidi="ar"/>
          <w14:textFill>
            <w14:solidFill>
              <w14:schemeClr w14:val="tx1"/>
            </w14:solidFill>
          </w14:textFill>
        </w:rPr>
        <w:t>2020年4月30日10时00分</w:t>
      </w:r>
      <w:r>
        <w:rPr>
          <w:rFonts w:hint="eastAsia" w:asciiTheme="majorEastAsia" w:hAnsiTheme="majorEastAsia" w:eastAsiaTheme="majorEastAsia" w:cstheme="majorEastAsia"/>
          <w:color w:val="000000" w:themeColor="text1"/>
          <w:kern w:val="0"/>
          <w:sz w:val="24"/>
          <w:szCs w:val="24"/>
          <w:u w:val="single"/>
          <w:lang w:bidi="ar"/>
          <w14:textFill>
            <w14:solidFill>
              <w14:schemeClr w14:val="tx1"/>
            </w14:solidFill>
          </w14:textFill>
        </w:rPr>
        <w:t>截标后在</w:t>
      </w:r>
      <w:r>
        <w:rPr>
          <w:rFonts w:hint="eastAsia" w:asciiTheme="majorEastAsia" w:hAnsiTheme="majorEastAsia" w:eastAsiaTheme="majorEastAsia" w:cstheme="majorEastAsia"/>
          <w:color w:val="000000" w:themeColor="text1"/>
          <w:sz w:val="24"/>
          <w:szCs w:val="24"/>
          <w:lang w:eastAsia="zh-CN" w:bidi="ar"/>
          <w14:textFill>
            <w14:solidFill>
              <w14:schemeClr w14:val="tx1"/>
            </w14:solidFill>
          </w14:textFill>
        </w:rPr>
        <w:t>广西腾曼工程咨询服务有限公司</w:t>
      </w:r>
      <w:r>
        <w:rPr>
          <w:rFonts w:hint="eastAsia" w:asciiTheme="majorEastAsia" w:hAnsiTheme="majorEastAsia" w:eastAsiaTheme="majorEastAsia" w:cstheme="majorEastAsia"/>
          <w:color w:val="000000" w:themeColor="text1"/>
          <w:sz w:val="24"/>
          <w:szCs w:val="24"/>
          <w:lang w:bidi="ar"/>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广西百色市右江区那毕大道12号百色投资大厦西塔楼1单元11层1127号</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7" w:name="_GoBack"/>
      <w:bookmarkEnd w:id="7"/>
      <w:r>
        <w:rPr>
          <w:rFonts w:hint="eastAsia" w:asciiTheme="majorEastAsia" w:hAnsiTheme="majorEastAsia" w:eastAsiaTheme="majorEastAsia" w:cstheme="majorEastAsia"/>
          <w:b/>
          <w:color w:val="000000" w:themeColor="text1"/>
          <w:sz w:val="24"/>
          <w:szCs w:val="24"/>
          <w14:textFill>
            <w14:solidFill>
              <w14:schemeClr w14:val="tx1"/>
            </w14:solidFill>
          </w14:textFill>
        </w:rPr>
        <w:t>十一、联系事项</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spacing w:line="360" w:lineRule="auto"/>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1.采购人名称：</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那坡县百都乡人民政府</w:t>
      </w:r>
    </w:p>
    <w:p>
      <w:pPr>
        <w:keepNext w:val="0"/>
        <w:keepLines w:val="0"/>
        <w:pageBreakBefore w:val="0"/>
        <w:kinsoku/>
        <w:wordWrap/>
        <w:overflowPunct/>
        <w:topLinePunct w:val="0"/>
        <w:bidi w:val="0"/>
        <w:spacing w:line="360" w:lineRule="auto"/>
        <w:textAlignment w:val="auto"/>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地址：</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那坡县百都乡</w:t>
      </w:r>
    </w:p>
    <w:p>
      <w:pPr>
        <w:keepNext w:val="0"/>
        <w:keepLines w:val="0"/>
        <w:pageBreakBefore w:val="0"/>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联系人及电话</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：黄家尤</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18378612345</w:t>
      </w:r>
    </w:p>
    <w:p>
      <w:pPr>
        <w:keepNext w:val="0"/>
        <w:keepLines w:val="0"/>
        <w:pageBreakBefore w:val="0"/>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2.采购代理机构名称：</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广西腾曼工程咨询服务有限公司</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line="360" w:lineRule="auto"/>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地址：</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广西百色市右江区那毕大道12号百色投资大厦西塔楼1单元11层1127号</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line="360" w:lineRule="auto"/>
        <w:textAlignment w:val="auto"/>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联系人及电话：</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陈稳</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18378619588</w:t>
      </w:r>
    </w:p>
    <w:p>
      <w:pPr>
        <w:keepNext w:val="0"/>
        <w:keepLines w:val="0"/>
        <w:pageBreakBefore w:val="0"/>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3.监督部门: </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那坡县</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政府采购管理办公室 </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联系电话：0776-6802337</w:t>
      </w:r>
    </w:p>
    <w:p>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十二</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b/>
          <w:color w:val="000000" w:themeColor="text1"/>
          <w:sz w:val="24"/>
          <w:szCs w:val="24"/>
          <w14:textFill>
            <w14:solidFill>
              <w14:schemeClr w14:val="tx1"/>
            </w14:solidFill>
          </w14:textFill>
        </w:rPr>
        <w:t>网上公告媒体</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spacing w:line="360" w:lineRule="auto"/>
        <w:ind w:right="21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中国政府采购网（http://</w: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4"/>
          <w:szCs w:val="24"/>
          <w14:textFill>
            <w14:solidFill>
              <w14:schemeClr w14:val="tx1"/>
            </w14:solidFill>
          </w14:textFill>
        </w:rPr>
        <w:instrText xml:space="preserve"> HYPERLINK "http://www.ccgp.gov.cn/" </w:instrTex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separate"/>
      </w:r>
      <w:r>
        <w:rPr>
          <w:rStyle w:val="8"/>
          <w:rFonts w:hint="eastAsia" w:asciiTheme="majorEastAsia" w:hAnsiTheme="majorEastAsia" w:eastAsiaTheme="majorEastAsia" w:cstheme="majorEastAsia"/>
          <w:color w:val="000000" w:themeColor="text1"/>
          <w:sz w:val="24"/>
          <w:szCs w:val="24"/>
          <w14:textFill>
            <w14:solidFill>
              <w14:schemeClr w14:val="tx1"/>
            </w14:solidFill>
          </w14:textFill>
        </w:rPr>
        <w:t>www.ccgp.gov.cn</w: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4"/>
          <w:szCs w:val="24"/>
          <w14:textFill>
            <w14:solidFill>
              <w14:schemeClr w14:val="tx1"/>
            </w14:solidFill>
          </w14:textFill>
        </w:rPr>
        <w:t>）、广西壮族自治区政府采购网（</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http://zfcg.gxzf.gov.cn）</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br w:type="textWrapping"/>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24"/>
          <w:szCs w:val="24"/>
          <w:lang w:eastAsia="zh-CN"/>
          <w14:textFill>
            <w14:solidFill>
              <w14:schemeClr w14:val="tx1"/>
            </w14:solidFill>
          </w14:textFill>
        </w:rPr>
        <w:t>十三、</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特别注明：</w:t>
      </w: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投标人在递交投标文件时需附上“投标人（供应商）承诺书”（格式附后）,如投标人未按要求提供以上材料或者拒绝配合检查无法按时到达开标现场的，视为无效投标。</w:t>
      </w:r>
    </w:p>
    <w:p>
      <w:pPr>
        <w:keepNext w:val="0"/>
        <w:keepLines w:val="0"/>
        <w:pageBreakBefore w:val="0"/>
        <w:kinsoku/>
        <w:wordWrap/>
        <w:overflowPunct/>
        <w:topLinePunct w:val="0"/>
        <w:bidi w:val="0"/>
        <w:spacing w:line="360" w:lineRule="auto"/>
        <w:ind w:right="42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line="360" w:lineRule="auto"/>
        <w:ind w:right="420"/>
        <w:jc w:val="righ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line="360" w:lineRule="auto"/>
        <w:ind w:right="420"/>
        <w:jc w:val="righ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line="360" w:lineRule="auto"/>
        <w:ind w:right="420"/>
        <w:jc w:val="righ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采购人：</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那坡县百都乡人民政府</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line="360" w:lineRule="auto"/>
        <w:ind w:right="420"/>
        <w:jc w:val="righ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line="360" w:lineRule="auto"/>
        <w:ind w:right="420"/>
        <w:jc w:val="center"/>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line="360" w:lineRule="auto"/>
        <w:ind w:right="420"/>
        <w:jc w:val="righ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line="360" w:lineRule="auto"/>
        <w:ind w:right="420"/>
        <w:jc w:val="righ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采购代理机构：</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广西腾曼工程咨询服务有限公司</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 xml:space="preserve">　　　                                   </w:t>
      </w:r>
    </w:p>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p>
      <w:pPr>
        <w:ind w:firstLine="6960" w:firstLineChars="2900"/>
        <w:rPr>
          <w:rFonts w:hint="eastAsia"/>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bookmarkStart w:id="2" w:name="_Toc534185883"/>
      <w:bookmarkStart w:id="3" w:name="_Toc27620"/>
      <w:bookmarkStart w:id="4" w:name="_Toc21720"/>
      <w:bookmarkStart w:id="5" w:name="_Toc18854"/>
      <w:bookmarkStart w:id="6" w:name="_Toc534185816"/>
      <w:r>
        <w:rPr>
          <w:rFonts w:hint="eastAsia" w:asciiTheme="majorEastAsia" w:hAnsiTheme="majorEastAsia" w:eastAsiaTheme="majorEastAsia" w:cstheme="majorEastAsia"/>
          <w:color w:val="000000" w:themeColor="text1"/>
          <w:sz w:val="24"/>
          <w:szCs w:val="24"/>
          <w14:textFill>
            <w14:solidFill>
              <w14:schemeClr w14:val="tx1"/>
            </w14:solidFill>
          </w14:textFill>
        </w:rPr>
        <w:t>20</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20</w:t>
      </w:r>
      <w:r>
        <w:rPr>
          <w:rFonts w:hint="eastAsia" w:asciiTheme="majorEastAsia" w:hAnsiTheme="majorEastAsia" w:eastAsiaTheme="majorEastAsia" w:cstheme="majorEastAsia"/>
          <w:color w:val="000000" w:themeColor="text1"/>
          <w:sz w:val="24"/>
          <w:szCs w:val="24"/>
          <w14:textFill>
            <w14:solidFill>
              <w14:schemeClr w14:val="tx1"/>
            </w14:solidFill>
          </w14:textFill>
        </w:rPr>
        <w:t>年</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szCs w:val="24"/>
          <w14:textFill>
            <w14:solidFill>
              <w14:schemeClr w14:val="tx1"/>
            </w14:solidFill>
          </w14:textFill>
        </w:rPr>
        <w:t>月</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26</w:t>
      </w:r>
      <w:r>
        <w:rPr>
          <w:rFonts w:hint="eastAsia" w:asciiTheme="majorEastAsia" w:hAnsiTheme="majorEastAsia" w:eastAsiaTheme="majorEastAsia" w:cstheme="majorEastAsia"/>
          <w:color w:val="000000" w:themeColor="text1"/>
          <w:sz w:val="24"/>
          <w:szCs w:val="24"/>
          <w14:textFill>
            <w14:solidFill>
              <w14:schemeClr w14:val="tx1"/>
            </w14:solidFill>
          </w14:textFill>
        </w:rPr>
        <w:t>日</w:t>
      </w:r>
      <w:bookmarkEnd w:id="2"/>
      <w:bookmarkEnd w:id="3"/>
      <w:bookmarkEnd w:id="4"/>
      <w:bookmarkEnd w:id="5"/>
      <w:bookmarkEnd w:id="6"/>
    </w:p>
    <w:sectPr>
      <w:pgSz w:w="11906" w:h="16838"/>
      <w:pgMar w:top="1134" w:right="1274" w:bottom="1276"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4BE"/>
    <w:rsid w:val="00036454"/>
    <w:rsid w:val="00421BC4"/>
    <w:rsid w:val="004227DD"/>
    <w:rsid w:val="006826FF"/>
    <w:rsid w:val="006F1325"/>
    <w:rsid w:val="00945389"/>
    <w:rsid w:val="009734BE"/>
    <w:rsid w:val="009F7617"/>
    <w:rsid w:val="00CF76BC"/>
    <w:rsid w:val="00F07DB0"/>
    <w:rsid w:val="012A7F9C"/>
    <w:rsid w:val="03061952"/>
    <w:rsid w:val="03391C17"/>
    <w:rsid w:val="03603C8E"/>
    <w:rsid w:val="04F0013F"/>
    <w:rsid w:val="050E27F2"/>
    <w:rsid w:val="0588306A"/>
    <w:rsid w:val="0B753E36"/>
    <w:rsid w:val="0C9A156A"/>
    <w:rsid w:val="0F156A33"/>
    <w:rsid w:val="10315E1A"/>
    <w:rsid w:val="13A71B77"/>
    <w:rsid w:val="13B14172"/>
    <w:rsid w:val="14A75EB7"/>
    <w:rsid w:val="158C26E5"/>
    <w:rsid w:val="16754E33"/>
    <w:rsid w:val="17FB0452"/>
    <w:rsid w:val="18662C8D"/>
    <w:rsid w:val="189E3918"/>
    <w:rsid w:val="18A15A6C"/>
    <w:rsid w:val="1D6C71BA"/>
    <w:rsid w:val="1F031D10"/>
    <w:rsid w:val="1F750097"/>
    <w:rsid w:val="1FD16683"/>
    <w:rsid w:val="21AD3379"/>
    <w:rsid w:val="21EE17F5"/>
    <w:rsid w:val="21FD3427"/>
    <w:rsid w:val="22127F35"/>
    <w:rsid w:val="226908DA"/>
    <w:rsid w:val="23914096"/>
    <w:rsid w:val="24194CD0"/>
    <w:rsid w:val="24197AC6"/>
    <w:rsid w:val="24365FDD"/>
    <w:rsid w:val="25507711"/>
    <w:rsid w:val="263036A9"/>
    <w:rsid w:val="2713506D"/>
    <w:rsid w:val="276F02F3"/>
    <w:rsid w:val="28207971"/>
    <w:rsid w:val="28267278"/>
    <w:rsid w:val="287116A0"/>
    <w:rsid w:val="2A807264"/>
    <w:rsid w:val="2C905D7E"/>
    <w:rsid w:val="2CCD309C"/>
    <w:rsid w:val="2DEF524C"/>
    <w:rsid w:val="2DFE2715"/>
    <w:rsid w:val="306B522B"/>
    <w:rsid w:val="309435DF"/>
    <w:rsid w:val="30F16957"/>
    <w:rsid w:val="322E772F"/>
    <w:rsid w:val="328C3AA7"/>
    <w:rsid w:val="34CD7506"/>
    <w:rsid w:val="358572A8"/>
    <w:rsid w:val="35CA78EF"/>
    <w:rsid w:val="36876D2A"/>
    <w:rsid w:val="37DF3041"/>
    <w:rsid w:val="383E4505"/>
    <w:rsid w:val="389B502D"/>
    <w:rsid w:val="390E31C2"/>
    <w:rsid w:val="39D40C81"/>
    <w:rsid w:val="39D87160"/>
    <w:rsid w:val="39E670BF"/>
    <w:rsid w:val="3AAD2A1A"/>
    <w:rsid w:val="3AD05280"/>
    <w:rsid w:val="3DA224AF"/>
    <w:rsid w:val="3DB43A6A"/>
    <w:rsid w:val="3DD13BAE"/>
    <w:rsid w:val="3EE37B64"/>
    <w:rsid w:val="3F456523"/>
    <w:rsid w:val="3F8B2041"/>
    <w:rsid w:val="43DB2CB0"/>
    <w:rsid w:val="44950C7B"/>
    <w:rsid w:val="451E7732"/>
    <w:rsid w:val="456353C8"/>
    <w:rsid w:val="457F690C"/>
    <w:rsid w:val="45DC1997"/>
    <w:rsid w:val="462A5A24"/>
    <w:rsid w:val="468B69E6"/>
    <w:rsid w:val="47E05F33"/>
    <w:rsid w:val="4AAE7A6A"/>
    <w:rsid w:val="4AB37FA3"/>
    <w:rsid w:val="4AD76AA7"/>
    <w:rsid w:val="4ADD3333"/>
    <w:rsid w:val="4C0D6F8A"/>
    <w:rsid w:val="4DBD4B1F"/>
    <w:rsid w:val="4F1A3549"/>
    <w:rsid w:val="50EE7CEE"/>
    <w:rsid w:val="515A78EE"/>
    <w:rsid w:val="51DB600F"/>
    <w:rsid w:val="5275365E"/>
    <w:rsid w:val="527F63BB"/>
    <w:rsid w:val="52AC47F4"/>
    <w:rsid w:val="55460057"/>
    <w:rsid w:val="56693394"/>
    <w:rsid w:val="566C799D"/>
    <w:rsid w:val="577C52C3"/>
    <w:rsid w:val="58AB12F8"/>
    <w:rsid w:val="59E05EFD"/>
    <w:rsid w:val="5A855265"/>
    <w:rsid w:val="5B362EF2"/>
    <w:rsid w:val="5C9715DD"/>
    <w:rsid w:val="5E414F68"/>
    <w:rsid w:val="5FE9234B"/>
    <w:rsid w:val="60EE767A"/>
    <w:rsid w:val="60F856DF"/>
    <w:rsid w:val="627A6056"/>
    <w:rsid w:val="645B1062"/>
    <w:rsid w:val="648625F4"/>
    <w:rsid w:val="660F3E7D"/>
    <w:rsid w:val="679011D9"/>
    <w:rsid w:val="69067B6D"/>
    <w:rsid w:val="6A6D167A"/>
    <w:rsid w:val="6BEE474C"/>
    <w:rsid w:val="6C560FED"/>
    <w:rsid w:val="6E545A41"/>
    <w:rsid w:val="6EAC6774"/>
    <w:rsid w:val="6EF95F14"/>
    <w:rsid w:val="70311901"/>
    <w:rsid w:val="70DF6423"/>
    <w:rsid w:val="721636EF"/>
    <w:rsid w:val="75DA2091"/>
    <w:rsid w:val="7A9E0DBB"/>
    <w:rsid w:val="7AE060D1"/>
    <w:rsid w:val="7C7E409C"/>
    <w:rsid w:val="7CB74AB6"/>
    <w:rsid w:val="7E293BF8"/>
    <w:rsid w:val="7FE30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napToGrid w:val="0"/>
      <w:spacing w:before="340" w:after="330" w:line="350" w:lineRule="exact"/>
      <w:jc w:val="center"/>
      <w:outlineLvl w:val="0"/>
    </w:pPr>
    <w:rPr>
      <w:rFonts w:eastAsia="黑体"/>
      <w:kern w:val="44"/>
      <w:sz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rFonts w:ascii="宋体" w:hAnsi="宋体"/>
      <w:b/>
      <w:bCs/>
      <w:color w:val="000000"/>
      <w:kern w:val="0"/>
      <w:sz w:val="24"/>
    </w:rPr>
  </w:style>
  <w:style w:type="character" w:styleId="8">
    <w:name w:val="Hyperlink"/>
    <w:qFormat/>
    <w:uiPriority w:val="99"/>
    <w:rPr>
      <w:color w:val="333333"/>
      <w:u w:val="none"/>
    </w:rPr>
  </w:style>
  <w:style w:type="paragraph" w:customStyle="1" w:styleId="10">
    <w:name w:val="表格文字"/>
    <w:basedOn w:val="1"/>
    <w:qFormat/>
    <w:uiPriority w:val="99"/>
    <w:pPr>
      <w:spacing w:before="25" w:after="25"/>
      <w:ind w:firstLine="315" w:firstLineChars="150"/>
      <w:jc w:val="left"/>
    </w:pPr>
    <w:rPr>
      <w:bCs/>
      <w:color w:val="000000"/>
      <w:szCs w:val="21"/>
    </w:rPr>
  </w:style>
  <w:style w:type="character" w:customStyle="1" w:styleId="11">
    <w:name w:val="页眉 Char"/>
    <w:basedOn w:val="6"/>
    <w:link w:val="5"/>
    <w:qFormat/>
    <w:uiPriority w:val="99"/>
    <w:rPr>
      <w:sz w:val="18"/>
      <w:szCs w:val="18"/>
    </w:rPr>
  </w:style>
  <w:style w:type="character" w:customStyle="1" w:styleId="12">
    <w:name w:val="页脚 Char"/>
    <w:basedOn w:val="6"/>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374</Words>
  <Characters>2133</Characters>
  <Lines>17</Lines>
  <Paragraphs>5</Paragraphs>
  <TotalTime>5</TotalTime>
  <ScaleCrop>false</ScaleCrop>
  <LinksUpToDate>false</LinksUpToDate>
  <CharactersWithSpaces>2502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2019-02-18T06:59:00Z</dcterms:created>
  <dc:creator>微软用户</dc:creator>
  <cp:lastModifiedBy>Administrator</cp:lastModifiedBy>
  <cp:lastPrinted>2019-10-29T11:05:00Z</cp:lastPrinted>
  <dcterms:modified xsi:type="dcterms:W3CDTF">2020-04-26T09:54:50Z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