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00" w:lineRule="exact"/>
        <w:ind w:firstLine="643" w:firstLineChars="200"/>
        <w:jc w:val="center"/>
        <w:rPr>
          <w:rFonts w:hint="eastAsia" w:ascii="宋体" w:hAnsi="宋体" w:eastAsia="宋体" w:cs="宋体"/>
          <w:color w:val="auto"/>
          <w:sz w:val="32"/>
          <w:szCs w:val="32"/>
          <w:highlight w:val="none"/>
          <w:lang w:eastAsia="zh-CN"/>
        </w:rPr>
      </w:pPr>
      <w:bookmarkStart w:id="0" w:name="_Toc51077644"/>
      <w:r>
        <w:rPr>
          <w:rFonts w:hint="eastAsia" w:ascii="宋体" w:hAnsi="宋体" w:eastAsia="宋体" w:cs="宋体"/>
          <w:color w:val="auto"/>
          <w:sz w:val="32"/>
          <w:szCs w:val="32"/>
          <w:highlight w:val="none"/>
          <w:lang w:eastAsia="zh-CN"/>
        </w:rPr>
        <w:t>招标公告</w:t>
      </w:r>
    </w:p>
    <w:p>
      <w:pPr>
        <w:pStyle w:val="2"/>
        <w:spacing w:before="0" w:after="0" w:line="400" w:lineRule="exact"/>
        <w:ind w:firstLine="422" w:firstLineChars="200"/>
        <w:rPr>
          <w:rFonts w:hint="eastAsia" w:ascii="宋体" w:hAnsi="宋体" w:eastAsia="宋体" w:cs="宋体"/>
          <w:color w:val="auto"/>
          <w:sz w:val="21"/>
          <w:szCs w:val="21"/>
          <w:highlight w:val="none"/>
        </w:rPr>
      </w:pPr>
    </w:p>
    <w:p>
      <w:pPr>
        <w:pStyle w:val="2"/>
        <w:spacing w:before="0" w:after="0" w:line="400" w:lineRule="exact"/>
        <w:ind w:firstLine="422" w:firstLineChars="200"/>
        <w:rPr>
          <w:rFonts w:hint="eastAsia" w:ascii="宋体" w:hAnsi="宋体" w:eastAsia="宋体" w:cs="宋体"/>
          <w:color w:val="auto"/>
          <w:sz w:val="21"/>
          <w:szCs w:val="21"/>
          <w:highlight w:val="none"/>
        </w:rPr>
      </w:pPr>
    </w:p>
    <w:p>
      <w:pPr>
        <w:pStyle w:val="2"/>
        <w:spacing w:before="0" w:after="0" w:line="40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1．招标条件</w:t>
      </w:r>
      <w:bookmarkEnd w:id="0"/>
    </w:p>
    <w:p>
      <w:pPr>
        <w:spacing w:line="400" w:lineRule="exact"/>
        <w:ind w:firstLine="420" w:firstLineChars="200"/>
        <w:jc w:val="left"/>
        <w:rPr>
          <w:rFonts w:hint="eastAsia"/>
          <w:color w:val="auto"/>
          <w:szCs w:val="21"/>
          <w:highlight w:val="none"/>
        </w:rPr>
      </w:pPr>
      <w:r>
        <w:rPr>
          <w:color w:val="auto"/>
          <w:highlight w:val="none"/>
        </w:rPr>
        <w:t>本招标项目</w:t>
      </w:r>
      <w:r>
        <w:rPr>
          <w:rFonts w:hint="eastAsia"/>
          <w:color w:val="auto"/>
          <w:highlight w:val="none"/>
          <w:u w:val="single"/>
        </w:rPr>
        <w:fldChar w:fldCharType="begin"/>
      </w:r>
      <w:r>
        <w:rPr>
          <w:rFonts w:hint="eastAsia"/>
          <w:color w:val="auto"/>
          <w:highlight w:val="none"/>
          <w:u w:val="single"/>
        </w:rPr>
        <w:instrText xml:space="preserve"> HYPERLINK "https://www.zcygov.cn/proj-procurement/project-result-detail/5d8f082f93279366" \t "https://www.zcygov.cn/bidding-entrust/" \l "/purchaseFileMake/_blank" </w:instrText>
      </w:r>
      <w:r>
        <w:rPr>
          <w:rFonts w:hint="eastAsia"/>
          <w:color w:val="auto"/>
          <w:highlight w:val="none"/>
          <w:u w:val="single"/>
        </w:rPr>
        <w:fldChar w:fldCharType="separate"/>
      </w:r>
      <w:r>
        <w:rPr>
          <w:rFonts w:hint="eastAsia"/>
          <w:color w:val="auto"/>
          <w:highlight w:val="none"/>
          <w:u w:val="single"/>
        </w:rPr>
        <w:t>乐业县逻西至百安公路工程NO.1标段</w:t>
      </w:r>
      <w:r>
        <w:rPr>
          <w:rFonts w:hint="eastAsia"/>
          <w:color w:val="auto"/>
          <w:highlight w:val="none"/>
          <w:u w:val="single"/>
        </w:rPr>
        <w:fldChar w:fldCharType="end"/>
      </w:r>
      <w:r>
        <w:rPr>
          <w:color w:val="auto"/>
          <w:highlight w:val="none"/>
        </w:rPr>
        <w:t>（项目名称</w:t>
      </w:r>
      <w:r>
        <w:rPr>
          <w:color w:val="auto"/>
          <w:spacing w:val="-24"/>
          <w:highlight w:val="none"/>
        </w:rPr>
        <w:t>）</w:t>
      </w:r>
      <w:r>
        <w:rPr>
          <w:color w:val="auto"/>
          <w:highlight w:val="none"/>
        </w:rPr>
        <w:t>已由</w:t>
      </w:r>
      <w:r>
        <w:rPr>
          <w:rFonts w:hint="eastAsia"/>
          <w:color w:val="auto"/>
          <w:highlight w:val="none"/>
        </w:rPr>
        <w:t xml:space="preserve"> </w:t>
      </w:r>
      <w:r>
        <w:rPr>
          <w:rFonts w:hint="eastAsia"/>
          <w:color w:val="auto"/>
          <w:highlight w:val="none"/>
          <w:u w:val="single"/>
          <w:lang w:eastAsia="zh-CN"/>
        </w:rPr>
        <w:t>乐业县发展和改革局以《关于乐业县逻西至百安公路工程可行性研究报告的批复》</w:t>
      </w:r>
      <w:r>
        <w:rPr>
          <w:color w:val="auto"/>
          <w:highlight w:val="none"/>
        </w:rPr>
        <w:t>批准</w:t>
      </w:r>
      <w:bookmarkStart w:id="44" w:name="_GoBack"/>
      <w:bookmarkEnd w:id="44"/>
      <w:r>
        <w:rPr>
          <w:color w:val="auto"/>
          <w:highlight w:val="none"/>
        </w:rPr>
        <w:t>建设</w:t>
      </w:r>
      <w:r>
        <w:rPr>
          <w:color w:val="auto"/>
          <w:spacing w:val="-24"/>
          <w:highlight w:val="none"/>
        </w:rPr>
        <w:t>，</w:t>
      </w:r>
      <w:r>
        <w:rPr>
          <w:color w:val="auto"/>
          <w:highlight w:val="none"/>
        </w:rPr>
        <w:t>项目业主为</w:t>
      </w:r>
      <w:r>
        <w:rPr>
          <w:rFonts w:hint="eastAsia"/>
          <w:color w:val="auto"/>
          <w:highlight w:val="none"/>
          <w:u w:val="single"/>
          <w:lang w:eastAsia="zh-CN"/>
        </w:rPr>
        <w:t>乐业</w:t>
      </w:r>
      <w:r>
        <w:rPr>
          <w:rFonts w:hint="eastAsia"/>
          <w:color w:val="auto"/>
          <w:highlight w:val="none"/>
          <w:u w:val="single"/>
        </w:rPr>
        <w:t>县农村公路建设办公室</w:t>
      </w:r>
      <w:r>
        <w:rPr>
          <w:color w:val="auto"/>
          <w:spacing w:val="-32"/>
          <w:highlight w:val="none"/>
        </w:rPr>
        <w:t>，</w:t>
      </w:r>
      <w:r>
        <w:rPr>
          <w:color w:val="auto"/>
          <w:highlight w:val="none"/>
        </w:rPr>
        <w:t>建设资金来自</w:t>
      </w:r>
      <w:r>
        <w:rPr>
          <w:rFonts w:hint="eastAsia"/>
          <w:color w:val="auto"/>
          <w:highlight w:val="none"/>
          <w:u w:val="single"/>
        </w:rPr>
        <w:t>财政性资金</w:t>
      </w:r>
      <w:r>
        <w:rPr>
          <w:color w:val="auto"/>
          <w:highlight w:val="none"/>
        </w:rPr>
        <w:t>（资金来源</w:t>
      </w:r>
      <w:r>
        <w:rPr>
          <w:color w:val="auto"/>
          <w:spacing w:val="-76"/>
          <w:highlight w:val="none"/>
        </w:rPr>
        <w:t>）</w:t>
      </w:r>
      <w:r>
        <w:rPr>
          <w:rFonts w:hint="eastAsia"/>
          <w:color w:val="auto"/>
          <w:spacing w:val="-76"/>
          <w:highlight w:val="none"/>
          <w:lang w:eastAsia="zh-CN"/>
        </w:rPr>
        <w:t>，</w:t>
      </w:r>
      <w:r>
        <w:rPr>
          <w:color w:val="auto"/>
          <w:highlight w:val="none"/>
        </w:rPr>
        <w:t>出资比例为</w:t>
      </w:r>
      <w:r>
        <w:rPr>
          <w:rFonts w:hint="eastAsia"/>
          <w:color w:val="auto"/>
          <w:highlight w:val="none"/>
          <w:u w:val="single"/>
        </w:rPr>
        <w:t>100%</w:t>
      </w:r>
      <w:r>
        <w:rPr>
          <w:color w:val="auto"/>
          <w:spacing w:val="-32"/>
          <w:highlight w:val="none"/>
        </w:rPr>
        <w:t>，</w:t>
      </w:r>
      <w:r>
        <w:rPr>
          <w:color w:val="auto"/>
          <w:highlight w:val="none"/>
        </w:rPr>
        <w:t>招标人为</w:t>
      </w:r>
      <w:r>
        <w:rPr>
          <w:rFonts w:hint="eastAsia"/>
          <w:color w:val="auto"/>
          <w:highlight w:val="none"/>
          <w:u w:val="single"/>
          <w:lang w:eastAsia="zh-CN"/>
        </w:rPr>
        <w:t>乐业</w:t>
      </w:r>
      <w:r>
        <w:rPr>
          <w:rFonts w:hint="eastAsia"/>
          <w:color w:val="auto"/>
          <w:highlight w:val="none"/>
          <w:u w:val="single"/>
        </w:rPr>
        <w:t>县农村公路建设办公室</w:t>
      </w:r>
      <w:r>
        <w:rPr>
          <w:color w:val="auto"/>
          <w:spacing w:val="-32"/>
          <w:highlight w:val="none"/>
        </w:rPr>
        <w:t>。</w:t>
      </w:r>
      <w:r>
        <w:rPr>
          <w:color w:val="auto"/>
          <w:highlight w:val="none"/>
        </w:rPr>
        <w:t>项目已具备招标条件</w:t>
      </w:r>
      <w:r>
        <w:rPr>
          <w:color w:val="auto"/>
          <w:spacing w:val="-32"/>
          <w:highlight w:val="none"/>
        </w:rPr>
        <w:t>，</w:t>
      </w:r>
      <w:r>
        <w:rPr>
          <w:color w:val="auto"/>
          <w:highlight w:val="none"/>
        </w:rPr>
        <w:t>现对该项目的施工进行公开招标。</w:t>
      </w:r>
    </w:p>
    <w:p>
      <w:pPr>
        <w:pStyle w:val="2"/>
        <w:spacing w:before="0" w:after="0" w:line="400" w:lineRule="exact"/>
        <w:ind w:firstLine="422" w:firstLineChars="200"/>
        <w:rPr>
          <w:rFonts w:hint="eastAsia" w:ascii="宋体" w:hAnsi="宋体" w:eastAsia="宋体" w:cs="宋体"/>
          <w:color w:val="auto"/>
          <w:sz w:val="21"/>
          <w:szCs w:val="21"/>
          <w:highlight w:val="none"/>
        </w:rPr>
      </w:pPr>
      <w:bookmarkStart w:id="1" w:name="_Toc19725626"/>
      <w:bookmarkStart w:id="2" w:name="_Toc51077645"/>
      <w:bookmarkStart w:id="3" w:name="_Toc234382571"/>
      <w:bookmarkStart w:id="4" w:name="_Toc19523613"/>
      <w:r>
        <w:rPr>
          <w:rFonts w:hint="eastAsia" w:ascii="宋体" w:hAnsi="宋体" w:eastAsia="宋体" w:cs="宋体"/>
          <w:color w:val="auto"/>
          <w:sz w:val="21"/>
          <w:szCs w:val="21"/>
          <w:highlight w:val="none"/>
        </w:rPr>
        <w:t>2. 项目概况与招标范围</w:t>
      </w:r>
      <w:bookmarkEnd w:id="1"/>
      <w:bookmarkEnd w:id="2"/>
      <w:bookmarkEnd w:id="3"/>
      <w:bookmarkEnd w:id="4"/>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2.1项目名称：</w:t>
      </w:r>
      <w:r>
        <w:rPr>
          <w:rFonts w:hint="eastAsia"/>
          <w:color w:val="auto"/>
          <w:highlight w:val="none"/>
          <w:u w:val="none"/>
        </w:rPr>
        <w:fldChar w:fldCharType="begin"/>
      </w:r>
      <w:r>
        <w:rPr>
          <w:rFonts w:hint="eastAsia"/>
          <w:color w:val="auto"/>
          <w:highlight w:val="none"/>
          <w:u w:val="none"/>
        </w:rPr>
        <w:instrText xml:space="preserve"> HYPERLINK "https://www.zcygov.cn/proj-procurement/project-result-detail/5d8f082f93279366" \t "https://www.zcygov.cn/bidding-entrust/" \l "/purchaseFileMake/_blank" </w:instrText>
      </w:r>
      <w:r>
        <w:rPr>
          <w:rFonts w:hint="eastAsia"/>
          <w:color w:val="auto"/>
          <w:highlight w:val="none"/>
          <w:u w:val="none"/>
        </w:rPr>
        <w:fldChar w:fldCharType="separate"/>
      </w:r>
      <w:r>
        <w:rPr>
          <w:rFonts w:hint="eastAsia"/>
          <w:color w:val="auto"/>
          <w:highlight w:val="none"/>
          <w:u w:val="none"/>
        </w:rPr>
        <w:t>乐业县逻西至百安公路工程NO.1标段</w:t>
      </w:r>
      <w:r>
        <w:rPr>
          <w:rFonts w:hint="eastAsia"/>
          <w:color w:val="auto"/>
          <w:highlight w:val="none"/>
          <w:u w:val="none"/>
        </w:rPr>
        <w:fldChar w:fldCharType="end"/>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2.2项目编号：BSZC2020-G2-280616-XHGL</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2.3项目概况：</w:t>
      </w:r>
      <w:r>
        <w:rPr>
          <w:rFonts w:hint="eastAsia" w:ascii="宋体" w:hAnsi="宋体"/>
          <w:color w:val="auto"/>
          <w:szCs w:val="21"/>
          <w:highlight w:val="none"/>
          <w:lang w:eastAsia="zh-CN"/>
        </w:rPr>
        <w:t>本工程为乐业逻西至百安公路工程</w:t>
      </w:r>
      <w:r>
        <w:rPr>
          <w:rFonts w:hint="eastAsia"/>
          <w:color w:val="auto"/>
          <w:highlight w:val="none"/>
          <w:u w:val="none"/>
        </w:rPr>
        <w:t>NO.1标段</w:t>
      </w:r>
      <w:r>
        <w:rPr>
          <w:rFonts w:hint="eastAsia"/>
          <w:color w:val="auto"/>
          <w:highlight w:val="none"/>
          <w:u w:val="none"/>
          <w:lang w:eastAsia="zh-CN"/>
        </w:rPr>
        <w:t>，位于乐业县境内，为利用旧路进行改造。建设起讫桩号</w:t>
      </w:r>
      <w:r>
        <w:rPr>
          <w:rFonts w:hint="eastAsia"/>
          <w:color w:val="auto"/>
          <w:highlight w:val="none"/>
          <w:u w:val="none"/>
          <w:lang w:val="en-US" w:eastAsia="zh-CN"/>
        </w:rPr>
        <w:t>K0+000~K9+000，路线全长9公里。公路等级为三级，计算行车速度为30km/h。路线设计起点K0+000位于乐业县逻西乡附近，与国道G212（原省道S206）T形交叉，自东向西，沿着现有道路，途经逻西乡、平浪屯、广里屯、化里屯、民友村、故里屯，设计终点K9+000位于乐业县故里屯旧路附近。路基宽度 7.5m，路面宽度 6.5m，为水泥混凝土路面。</w:t>
      </w:r>
      <w:r>
        <w:rPr>
          <w:rFonts w:hint="eastAsia" w:ascii="宋体" w:hAnsi="宋体"/>
          <w:color w:val="auto"/>
          <w:szCs w:val="21"/>
          <w:highlight w:val="none"/>
        </w:rPr>
        <w:t>主要建设内容包括：</w:t>
      </w:r>
      <w:r>
        <w:rPr>
          <w:rFonts w:hint="eastAsia" w:ascii="宋体" w:hAnsi="宋体"/>
          <w:color w:val="auto"/>
          <w:szCs w:val="21"/>
          <w:highlight w:val="none"/>
          <w:lang w:val="en-US" w:eastAsia="zh-CN"/>
        </w:rPr>
        <w:t>路基、路面、桥涵</w:t>
      </w:r>
      <w:r>
        <w:rPr>
          <w:rFonts w:hint="eastAsia" w:ascii="宋体" w:hAnsi="宋体"/>
          <w:color w:val="auto"/>
          <w:szCs w:val="21"/>
          <w:highlight w:val="none"/>
        </w:rPr>
        <w:t>工程等。</w:t>
      </w:r>
    </w:p>
    <w:p>
      <w:pPr>
        <w:spacing w:line="400" w:lineRule="exact"/>
        <w:ind w:firstLine="420" w:firstLineChars="200"/>
        <w:rPr>
          <w:rFonts w:hint="eastAsia" w:hAnsi="宋体"/>
          <w:color w:val="auto"/>
          <w:szCs w:val="21"/>
          <w:highlight w:val="none"/>
        </w:rPr>
      </w:pPr>
      <w:r>
        <w:rPr>
          <w:rFonts w:hint="eastAsia" w:ascii="宋体" w:hAnsi="宋体"/>
          <w:color w:val="auto"/>
          <w:szCs w:val="21"/>
          <w:highlight w:val="none"/>
        </w:rPr>
        <w:t>2.4建设地点：</w:t>
      </w:r>
      <w:r>
        <w:rPr>
          <w:rFonts w:hint="eastAsia" w:ascii="宋体" w:hAnsi="宋体"/>
          <w:color w:val="auto"/>
          <w:szCs w:val="21"/>
          <w:highlight w:val="none"/>
          <w:lang w:val="en-US" w:eastAsia="zh-CN"/>
        </w:rPr>
        <w:t>乐业县境内</w:t>
      </w:r>
      <w:r>
        <w:rPr>
          <w:rFonts w:hint="eastAsia"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2.5投资金额：</w:t>
      </w:r>
      <w:r>
        <w:rPr>
          <w:rFonts w:hint="eastAsia" w:ascii="宋体" w:hAnsi="宋体"/>
          <w:color w:val="auto"/>
          <w:szCs w:val="21"/>
          <w:highlight w:val="none"/>
          <w:lang w:val="en-US" w:eastAsia="zh-CN"/>
        </w:rPr>
        <w:t>26364726.00</w:t>
      </w:r>
      <w:r>
        <w:rPr>
          <w:rFonts w:hint="eastAsia" w:ascii="宋体" w:hAnsi="宋体"/>
          <w:color w:val="auto"/>
          <w:szCs w:val="21"/>
          <w:highlight w:val="none"/>
        </w:rPr>
        <w:t>元。</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2.6计划工期：</w:t>
      </w:r>
      <w:r>
        <w:rPr>
          <w:rFonts w:hint="eastAsia" w:ascii="宋体" w:hAnsi="宋体"/>
          <w:color w:val="auto"/>
          <w:szCs w:val="21"/>
          <w:highlight w:val="none"/>
          <w:u w:val="single"/>
          <w:lang w:val="en-US" w:eastAsia="zh-CN"/>
        </w:rPr>
        <w:t>730</w:t>
      </w:r>
      <w:r>
        <w:rPr>
          <w:rFonts w:hint="eastAsia" w:ascii="宋体" w:hAnsi="宋体"/>
          <w:color w:val="auto"/>
          <w:szCs w:val="21"/>
          <w:highlight w:val="none"/>
        </w:rPr>
        <w:t>日历天。</w:t>
      </w:r>
    </w:p>
    <w:p>
      <w:pPr>
        <w:spacing w:line="40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2.7招标范围：</w:t>
      </w:r>
      <w:r>
        <w:rPr>
          <w:rFonts w:hint="eastAsia" w:ascii="宋体" w:hAnsi="宋体" w:cs="宋体"/>
          <w:color w:val="auto"/>
          <w:szCs w:val="21"/>
          <w:highlight w:val="none"/>
        </w:rPr>
        <w:t>施工应按招标人审定的设计施工图（含优化设计变更）及工程量清单所规定内容等施工。</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2.8</w:t>
      </w:r>
      <w:r>
        <w:rPr>
          <w:rFonts w:hint="eastAsia" w:ascii="宋体" w:hAnsi="宋体" w:cs="宋体"/>
          <w:color w:val="auto"/>
          <w:szCs w:val="21"/>
          <w:highlight w:val="none"/>
        </w:rPr>
        <w:t>主要技术指标（详见《施工图设计》）。本招标文件载明的主要技术指标若与施工图设计不符，以工程量清单为准。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2.9本项目仅划为分1个独立合同标段。</w:t>
      </w:r>
    </w:p>
    <w:p>
      <w:pPr>
        <w:pStyle w:val="2"/>
        <w:spacing w:before="0" w:after="0" w:line="400" w:lineRule="exact"/>
        <w:ind w:firstLine="422" w:firstLineChars="200"/>
        <w:rPr>
          <w:rFonts w:hint="eastAsia" w:ascii="宋体" w:hAnsi="宋体" w:eastAsia="宋体" w:cs="宋体"/>
          <w:color w:val="auto"/>
          <w:sz w:val="21"/>
          <w:szCs w:val="21"/>
          <w:highlight w:val="none"/>
        </w:rPr>
      </w:pPr>
      <w:bookmarkStart w:id="5" w:name="_Toc51077646"/>
      <w:r>
        <w:rPr>
          <w:rFonts w:hint="eastAsia" w:ascii="宋体" w:hAnsi="宋体" w:eastAsia="宋体" w:cs="宋体"/>
          <w:color w:val="auto"/>
          <w:sz w:val="21"/>
          <w:szCs w:val="21"/>
          <w:highlight w:val="none"/>
        </w:rPr>
        <w:t>3. 投标人资格</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w:t>
      </w:r>
      <w:bookmarkEnd w:id="5"/>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3.1本次招标要求投标人须在国家工商行政管理部门注册，具有独立法人资格并具有有效的营业执照；公路工程施工总承包叁级（含叁级）以上的施工资质；投标人具有省级及以上的建设行政主管部门颁发的有效的企业安全生产许可证，并在人员、设备、资金等方面具有相应的施工能力。投标人应进入交通运输部</w:t>
      </w:r>
      <w:r>
        <w:rPr>
          <w:rFonts w:ascii="宋体" w:hAnsi="宋体"/>
          <w:color w:val="auto"/>
          <w:szCs w:val="21"/>
          <w:highlight w:val="none"/>
        </w:rPr>
        <w:t>“</w:t>
      </w:r>
      <w:r>
        <w:rPr>
          <w:rFonts w:hint="eastAsia" w:ascii="宋体" w:hAnsi="宋体"/>
          <w:color w:val="auto"/>
          <w:szCs w:val="21"/>
          <w:highlight w:val="none"/>
        </w:rPr>
        <w:t>全国公路建设市场信用信息管理系统（</w:t>
      </w:r>
      <w:r>
        <w:rPr>
          <w:rFonts w:ascii="宋体" w:hAnsi="宋体"/>
          <w:color w:val="auto"/>
          <w:szCs w:val="21"/>
          <w:highlight w:val="none"/>
        </w:rPr>
        <w:t>http</w:t>
      </w:r>
      <w:r>
        <w:rPr>
          <w:rFonts w:hint="eastAsia" w:ascii="宋体" w:hAnsi="宋体"/>
          <w:color w:val="auto"/>
          <w:szCs w:val="21"/>
          <w:highlight w:val="none"/>
        </w:rPr>
        <w:t>：</w:t>
      </w:r>
      <w:r>
        <w:rPr>
          <w:rFonts w:ascii="宋体" w:hAnsi="宋体"/>
          <w:color w:val="auto"/>
          <w:szCs w:val="21"/>
          <w:highlight w:val="none"/>
        </w:rPr>
        <w:t>//glxy.mot.gov.cn</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中的公路工程施工资质企业名录，且投标人名称和资质与该名录中的相应企业名称和资质完全一致。</w:t>
      </w:r>
    </w:p>
    <w:p>
      <w:pPr>
        <w:spacing w:line="400" w:lineRule="exact"/>
        <w:ind w:firstLine="420" w:firstLineChars="200"/>
        <w:rPr>
          <w:rStyle w:val="7"/>
          <w:rFonts w:hint="eastAsia" w:ascii="宋体" w:hAnsi="宋体"/>
          <w:color w:val="auto"/>
          <w:szCs w:val="21"/>
          <w:highlight w:val="none"/>
        </w:rPr>
      </w:pPr>
      <w:r>
        <w:rPr>
          <w:rFonts w:hint="eastAsia" w:ascii="宋体" w:hAnsi="宋体"/>
          <w:color w:val="auto"/>
          <w:szCs w:val="21"/>
          <w:highlight w:val="none"/>
        </w:rPr>
        <w:t>3.2符合《中华人民共和国招标投标法》、《中华人民共和国政</w:t>
      </w:r>
      <w:r>
        <w:rPr>
          <w:rStyle w:val="7"/>
          <w:rFonts w:hint="eastAsia" w:ascii="宋体" w:hAnsi="宋体"/>
          <w:color w:val="auto"/>
          <w:szCs w:val="21"/>
          <w:highlight w:val="none"/>
        </w:rPr>
        <w:t>府采购法》</w:t>
      </w:r>
      <w:r>
        <w:rPr>
          <w:rFonts w:hint="eastAsia" w:ascii="宋体" w:hAnsi="宋体" w:cs="宋体"/>
          <w:color w:val="auto"/>
          <w:szCs w:val="21"/>
          <w:highlight w:val="none"/>
        </w:rPr>
        <w:t>及《公路工程建设项目招标投标管理办法》</w:t>
      </w:r>
      <w:r>
        <w:rPr>
          <w:rStyle w:val="7"/>
          <w:rFonts w:hint="eastAsia" w:ascii="宋体" w:hAnsi="宋体"/>
          <w:color w:val="auto"/>
          <w:szCs w:val="21"/>
          <w:highlight w:val="none"/>
        </w:rPr>
        <w:t>的相关规定。</w:t>
      </w:r>
    </w:p>
    <w:p>
      <w:pPr>
        <w:spacing w:line="400" w:lineRule="exact"/>
        <w:ind w:firstLine="420" w:firstLineChars="200"/>
        <w:rPr>
          <w:rFonts w:hint="eastAsia" w:ascii="宋体" w:hAnsi="宋体" w:cs="Microsoft JhengHei"/>
          <w:color w:val="auto"/>
          <w:spacing w:val="6"/>
          <w:szCs w:val="21"/>
          <w:highlight w:val="none"/>
        </w:rPr>
      </w:pPr>
      <w:r>
        <w:rPr>
          <w:rFonts w:hint="eastAsia" w:ascii="宋体" w:hAnsi="宋体" w:cs="宋体"/>
          <w:color w:val="auto"/>
          <w:szCs w:val="21"/>
          <w:highlight w:val="none"/>
        </w:rPr>
        <w:t>3.3 凡在广西壮族自治区交通主管部门或建设主管部门公布禁止参加省内工程建设或投标活动期限内的单位不得参加本项目的投标；</w:t>
      </w:r>
    </w:p>
    <w:p>
      <w:pPr>
        <w:pStyle w:val="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w:t>
      </w:r>
      <w:r>
        <w:rPr>
          <w:rStyle w:val="7"/>
          <w:rFonts w:hint="eastAsia" w:ascii="宋体" w:hAnsi="宋体"/>
          <w:color w:val="auto"/>
          <w:szCs w:val="21"/>
          <w:highlight w:val="none"/>
        </w:rPr>
        <w:t>项目经理须</w:t>
      </w:r>
      <w:r>
        <w:rPr>
          <w:rFonts w:ascii="宋体" w:hAnsi="宋体"/>
          <w:color w:val="auto"/>
          <w:szCs w:val="21"/>
          <w:highlight w:val="none"/>
        </w:rPr>
        <w:t>具有公路工程专业贰级</w:t>
      </w:r>
      <w:r>
        <w:rPr>
          <w:rFonts w:hint="eastAsia" w:ascii="宋体" w:hAnsi="宋体"/>
          <w:color w:val="auto"/>
          <w:szCs w:val="21"/>
          <w:highlight w:val="none"/>
          <w:lang w:eastAsia="zh-CN"/>
        </w:rPr>
        <w:t>及以上</w:t>
      </w:r>
      <w:r>
        <w:rPr>
          <w:rFonts w:ascii="宋体" w:hAnsi="宋体"/>
          <w:color w:val="auto"/>
          <w:szCs w:val="21"/>
          <w:highlight w:val="none"/>
        </w:rPr>
        <w:t>注册建造师证书，并持有省级及以上交通行政主管部门颁发的安全生产考核合格证（</w:t>
      </w:r>
      <w:r>
        <w:rPr>
          <w:rFonts w:hint="eastAsia" w:ascii="宋体" w:hAnsi="宋体" w:cs="宋体"/>
          <w:color w:val="auto"/>
          <w:szCs w:val="21"/>
          <w:highlight w:val="none"/>
        </w:rPr>
        <w:t>“三类人员”</w:t>
      </w:r>
      <w:r>
        <w:rPr>
          <w:rFonts w:ascii="宋体" w:hAnsi="宋体"/>
          <w:color w:val="auto"/>
          <w:szCs w:val="21"/>
          <w:highlight w:val="none"/>
        </w:rPr>
        <w:t>B类证书）、</w:t>
      </w:r>
      <w:r>
        <w:rPr>
          <w:rFonts w:hint="eastAsia" w:ascii="宋体" w:hAnsi="宋体"/>
          <w:color w:val="auto"/>
          <w:szCs w:val="21"/>
          <w:highlight w:val="none"/>
        </w:rPr>
        <w:t>中级</w:t>
      </w:r>
      <w:r>
        <w:rPr>
          <w:rFonts w:ascii="宋体" w:hAnsi="宋体"/>
          <w:color w:val="auto"/>
          <w:szCs w:val="21"/>
          <w:highlight w:val="none"/>
        </w:rPr>
        <w:t>及以上</w:t>
      </w:r>
      <w:r>
        <w:rPr>
          <w:rFonts w:hint="eastAsia" w:ascii="宋体" w:hAnsi="宋体"/>
          <w:color w:val="auto"/>
          <w:szCs w:val="21"/>
          <w:highlight w:val="none"/>
        </w:rPr>
        <w:t>技术</w:t>
      </w:r>
      <w:r>
        <w:rPr>
          <w:rFonts w:ascii="宋体" w:hAnsi="宋体"/>
          <w:color w:val="auto"/>
          <w:szCs w:val="21"/>
          <w:highlight w:val="none"/>
        </w:rPr>
        <w:t>职称</w:t>
      </w:r>
      <w:r>
        <w:rPr>
          <w:rFonts w:hint="eastAsia" w:ascii="宋体" w:hAnsi="宋体"/>
          <w:color w:val="auto"/>
          <w:szCs w:val="21"/>
          <w:highlight w:val="none"/>
        </w:rPr>
        <w:t>；</w:t>
      </w:r>
      <w:r>
        <w:rPr>
          <w:rFonts w:hint="eastAsia" w:ascii="宋体" w:hAnsi="宋体" w:cs="宋体"/>
          <w:color w:val="auto"/>
          <w:szCs w:val="21"/>
          <w:highlight w:val="none"/>
        </w:rPr>
        <w:t>无在岗项目（指目前未在其他项目上任职，或虽在其他项目上任职但本项目中标后能够从该项目撤离）。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3.5在“信用中国”网站(www.creditchina.gov.cn</w:t>
      </w:r>
      <w:r>
        <w:rPr>
          <w:rFonts w:hint="eastAsia" w:ascii="宋体" w:hAnsi="宋体" w:cs="宋体"/>
          <w:color w:val="auto"/>
          <w:szCs w:val="21"/>
          <w:highlight w:val="none"/>
          <w:lang w:eastAsia="zh-CN"/>
        </w:rPr>
        <w:t>）被</w:t>
      </w:r>
      <w:r>
        <w:rPr>
          <w:rFonts w:hint="eastAsia" w:ascii="宋体" w:hAnsi="宋体" w:cs="宋体"/>
          <w:color w:val="auto"/>
          <w:szCs w:val="21"/>
          <w:highlight w:val="none"/>
        </w:rPr>
        <w:t>列入失信被执行人名单的投标人，不得参加投标。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 业绩要求：无。</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3.7信用评价等级属 AA 级、A 级、B 级和 C 级且没有被《信用中国》</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"http://www.creditchina.gov.cn/"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www.creditchina.gov.cn</w:t>
      </w:r>
      <w:r>
        <w:rPr>
          <w:rFonts w:hint="eastAsia" w:ascii="宋体" w:hAnsi="宋体" w:cs="宋体"/>
          <w:color w:val="auto"/>
          <w:szCs w:val="21"/>
          <w:highlight w:val="none"/>
        </w:rPr>
        <w:fldChar w:fldCharType="end"/>
      </w:r>
      <w:r>
        <w:rPr>
          <w:rFonts w:ascii="宋体" w:hAnsi="宋体" w:cs="宋体"/>
          <w:color w:val="auto"/>
          <w:szCs w:val="21"/>
          <w:highlight w:val="none"/>
        </w:rPr>
        <w:t>列入被限制参与工程投标受惩黑名单的企业，可以对本工程投标。 投标单位的信用评价等级按照《广西壮族自治区交通运输厅关于修订广西公路建设市场施工企业信用评价规则实施细则的通知》（桂交建管发[2016]59号）及</w:t>
      </w:r>
      <w:r>
        <w:rPr>
          <w:rFonts w:cs="Arial"/>
          <w:color w:val="auto"/>
          <w:szCs w:val="21"/>
          <w:highlight w:val="none"/>
          <w:shd w:val="clear" w:color="auto" w:fill="FFFFFF"/>
        </w:rPr>
        <w:t>《广西壮族自治区交通运输厅关于公布广西公路建设市场201</w:t>
      </w:r>
      <w:r>
        <w:rPr>
          <w:rFonts w:hint="eastAsia"/>
          <w:color w:val="auto"/>
          <w:szCs w:val="21"/>
          <w:highlight w:val="none"/>
          <w:shd w:val="clear" w:color="auto" w:fill="FFFFFF"/>
          <w:lang w:val="en-US" w:eastAsia="zh-CN"/>
        </w:rPr>
        <w:t>9</w:t>
      </w:r>
      <w:r>
        <w:rPr>
          <w:rFonts w:hint="eastAsia"/>
          <w:color w:val="auto"/>
          <w:szCs w:val="21"/>
          <w:highlight w:val="none"/>
          <w:shd w:val="clear" w:color="auto" w:fill="FFFFFF"/>
        </w:rPr>
        <w:t>年度公路施工企业信用评价结果的通知》（桂交建管发〔20</w:t>
      </w:r>
      <w:r>
        <w:rPr>
          <w:rFonts w:hint="eastAsia"/>
          <w:color w:val="auto"/>
          <w:szCs w:val="21"/>
          <w:highlight w:val="none"/>
          <w:shd w:val="clear" w:color="auto" w:fill="FFFFFF"/>
          <w:lang w:val="en-US" w:eastAsia="zh-CN"/>
        </w:rPr>
        <w:t>20</w:t>
      </w:r>
      <w:r>
        <w:rPr>
          <w:rFonts w:hint="eastAsia"/>
          <w:color w:val="auto"/>
          <w:szCs w:val="21"/>
          <w:highlight w:val="none"/>
          <w:shd w:val="clear" w:color="auto" w:fill="FFFFFF"/>
        </w:rPr>
        <w:t>〕</w:t>
      </w:r>
      <w:r>
        <w:rPr>
          <w:rFonts w:hint="eastAsia"/>
          <w:color w:val="auto"/>
          <w:szCs w:val="21"/>
          <w:highlight w:val="none"/>
          <w:shd w:val="clear" w:color="auto" w:fill="FFFFFF"/>
          <w:lang w:val="en-US" w:eastAsia="zh-CN"/>
        </w:rPr>
        <w:t>26</w:t>
      </w:r>
      <w:r>
        <w:rPr>
          <w:rFonts w:hint="eastAsia"/>
          <w:color w:val="auto"/>
          <w:szCs w:val="21"/>
          <w:highlight w:val="none"/>
          <w:shd w:val="clear" w:color="auto" w:fill="FFFFFF"/>
        </w:rPr>
        <w:t>号）</w:t>
      </w:r>
      <w:r>
        <w:rPr>
          <w:rFonts w:hint="eastAsia" w:ascii="宋体" w:hAnsi="宋体" w:cs="宋体"/>
          <w:color w:val="auto"/>
          <w:szCs w:val="21"/>
          <w:highlight w:val="none"/>
        </w:rPr>
        <w:t>执行。企业无广西交通运输厅发布的信用等级的，按交通部发布的结果为准。也可按照百色市2019年度公路建设市场施工企业信用评价结果规定执行。按照桂交建管发[2016]59号第十九条规定，初次进入广西公路建设市场的投标单位，既无全国综合评价等级也无注册地省级交通运输主管部门的省级综合评价等级的，在递交投标文件前应到广西公路建设市场施工企业信用评价领导小组办公室（办公室设自治区交通工程质量监督站内）办理登记手续，其信用评价等级按登记后的确定。也可到百色市交通工程质量监督站办理登记手续，其信用评价等级按登记后的确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3.8财务要求：投标人在最近三年（ 2017年、2018年 、2019年）都有经会计师事务所或审计机构审计的会计报表(包括资产负债表、现金流量表、利润表和财务情况说明书或附注)。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3.9本项目不接受联合体投标。</w:t>
      </w:r>
    </w:p>
    <w:p>
      <w:pPr>
        <w:pStyle w:val="2"/>
        <w:spacing w:before="0" w:after="0" w:line="400" w:lineRule="exact"/>
        <w:ind w:firstLine="422" w:firstLineChars="200"/>
        <w:rPr>
          <w:rFonts w:hint="eastAsia" w:ascii="宋体" w:hAnsi="宋体" w:eastAsia="宋体" w:cs="宋体"/>
          <w:color w:val="auto"/>
          <w:sz w:val="21"/>
          <w:szCs w:val="21"/>
          <w:highlight w:val="none"/>
        </w:rPr>
      </w:pPr>
      <w:bookmarkStart w:id="6" w:name="_Toc468717249"/>
      <w:bookmarkStart w:id="7" w:name="_Toc32586"/>
      <w:bookmarkStart w:id="8" w:name="_Toc19523614"/>
      <w:bookmarkStart w:id="9" w:name="_Toc19725627"/>
      <w:bookmarkStart w:id="10" w:name="_Toc51077647"/>
      <w:bookmarkStart w:id="11" w:name="_Toc5915"/>
      <w:r>
        <w:rPr>
          <w:rFonts w:hint="eastAsia" w:ascii="宋体" w:hAnsi="宋体" w:eastAsia="宋体" w:cs="宋体"/>
          <w:color w:val="auto"/>
          <w:sz w:val="21"/>
          <w:szCs w:val="21"/>
          <w:highlight w:val="none"/>
        </w:rPr>
        <w:t xml:space="preserve">4. </w:t>
      </w:r>
      <w:bookmarkEnd w:id="6"/>
      <w:r>
        <w:rPr>
          <w:rFonts w:hint="eastAsia" w:ascii="宋体" w:hAnsi="宋体" w:eastAsia="宋体" w:cs="宋体"/>
          <w:color w:val="auto"/>
          <w:sz w:val="21"/>
          <w:szCs w:val="21"/>
          <w:highlight w:val="none"/>
        </w:rPr>
        <w:t>投标报名与招标文件的获取</w:t>
      </w:r>
      <w:bookmarkEnd w:id="7"/>
      <w:bookmarkEnd w:id="8"/>
      <w:bookmarkEnd w:id="9"/>
      <w:bookmarkEnd w:id="10"/>
      <w:bookmarkEnd w:id="11"/>
    </w:p>
    <w:p>
      <w:pPr>
        <w:pStyle w:val="4"/>
        <w:spacing w:before="0" w:beforeAutospacing="0" w:after="0" w:afterAutospacing="0" w:line="400" w:lineRule="exact"/>
        <w:ind w:left="105" w:leftChars="50" w:firstLine="315" w:firstLineChars="150"/>
        <w:jc w:val="both"/>
        <w:rPr>
          <w:rFonts w:hint="eastAsia"/>
          <w:color w:val="auto"/>
          <w:sz w:val="21"/>
          <w:szCs w:val="21"/>
          <w:highlight w:val="none"/>
        </w:rPr>
      </w:pPr>
      <w:bookmarkStart w:id="12" w:name="_Toc468717251"/>
      <w:r>
        <w:rPr>
          <w:rFonts w:hint="eastAsia"/>
          <w:color w:val="auto"/>
          <w:sz w:val="21"/>
          <w:szCs w:val="21"/>
          <w:highlight w:val="none"/>
        </w:rPr>
        <w:t>本项目采用不记名方式下载招标文件。潜在投标人均可于</w:t>
      </w:r>
      <w:r>
        <w:rPr>
          <w:rFonts w:hint="eastAsia"/>
          <w:b/>
          <w:color w:val="auto"/>
          <w:sz w:val="21"/>
          <w:szCs w:val="21"/>
          <w:highlight w:val="none"/>
          <w:u w:val="single"/>
        </w:rPr>
        <w:t>2020年</w:t>
      </w:r>
      <w:r>
        <w:rPr>
          <w:rFonts w:hint="eastAsia"/>
          <w:b/>
          <w:color w:val="auto"/>
          <w:sz w:val="21"/>
          <w:szCs w:val="21"/>
          <w:highlight w:val="none"/>
          <w:u w:val="single"/>
          <w:lang w:val="en-US" w:eastAsia="zh-CN"/>
        </w:rPr>
        <w:t>12</w:t>
      </w:r>
      <w:r>
        <w:rPr>
          <w:rFonts w:hint="eastAsia"/>
          <w:b/>
          <w:color w:val="auto"/>
          <w:sz w:val="21"/>
          <w:szCs w:val="21"/>
          <w:highlight w:val="none"/>
          <w:u w:val="single"/>
        </w:rPr>
        <w:t>月</w:t>
      </w:r>
      <w:r>
        <w:rPr>
          <w:rFonts w:hint="eastAsia"/>
          <w:b/>
          <w:color w:val="auto"/>
          <w:sz w:val="21"/>
          <w:szCs w:val="21"/>
          <w:highlight w:val="none"/>
          <w:u w:val="single"/>
          <w:lang w:val="en-US" w:eastAsia="zh-CN"/>
        </w:rPr>
        <w:t>15</w:t>
      </w:r>
      <w:r>
        <w:rPr>
          <w:rFonts w:hint="eastAsia"/>
          <w:b/>
          <w:color w:val="auto"/>
          <w:sz w:val="21"/>
          <w:szCs w:val="21"/>
          <w:highlight w:val="none"/>
          <w:u w:val="single"/>
        </w:rPr>
        <w:t>日 至 2020 年</w:t>
      </w:r>
      <w:r>
        <w:rPr>
          <w:rFonts w:hint="eastAsia"/>
          <w:b/>
          <w:color w:val="auto"/>
          <w:sz w:val="21"/>
          <w:szCs w:val="21"/>
          <w:highlight w:val="none"/>
          <w:u w:val="single"/>
          <w:lang w:val="en-US" w:eastAsia="zh-CN"/>
        </w:rPr>
        <w:t>12</w:t>
      </w:r>
      <w:r>
        <w:rPr>
          <w:rFonts w:hint="eastAsia"/>
          <w:b/>
          <w:color w:val="auto"/>
          <w:sz w:val="21"/>
          <w:szCs w:val="21"/>
          <w:highlight w:val="none"/>
          <w:u w:val="single"/>
        </w:rPr>
        <w:t>月</w:t>
      </w:r>
      <w:r>
        <w:rPr>
          <w:rFonts w:hint="eastAsia"/>
          <w:b/>
          <w:color w:val="auto"/>
          <w:sz w:val="21"/>
          <w:szCs w:val="21"/>
          <w:highlight w:val="none"/>
          <w:u w:val="single"/>
          <w:lang w:val="en-US" w:eastAsia="zh-CN"/>
        </w:rPr>
        <w:t xml:space="preserve">  21</w:t>
      </w:r>
      <w:r>
        <w:rPr>
          <w:rFonts w:hint="eastAsia"/>
          <w:b/>
          <w:color w:val="auto"/>
          <w:sz w:val="21"/>
          <w:szCs w:val="21"/>
          <w:highlight w:val="none"/>
          <w:u w:val="single"/>
        </w:rPr>
        <w:t>日</w:t>
      </w:r>
      <w:r>
        <w:rPr>
          <w:rFonts w:hint="eastAsia"/>
          <w:color w:val="auto"/>
          <w:sz w:val="21"/>
          <w:szCs w:val="21"/>
          <w:highlight w:val="none"/>
        </w:rPr>
        <w:t>止在百色市公共资源交易中心网（</w:t>
      </w:r>
      <w:r>
        <w:rPr>
          <w:rFonts w:hint="eastAsia"/>
          <w:color w:val="auto"/>
          <w:kern w:val="1"/>
          <w:highlight w:val="none"/>
        </w:rPr>
        <w:t>http://www. bsggzy.org.cn</w:t>
      </w:r>
      <w:r>
        <w:rPr>
          <w:rFonts w:hint="eastAsia"/>
          <w:color w:val="auto"/>
          <w:sz w:val="21"/>
          <w:szCs w:val="21"/>
          <w:highlight w:val="none"/>
        </w:rPr>
        <w:t>）下载招标文件电子版。</w:t>
      </w:r>
    </w:p>
    <w:p>
      <w:pPr>
        <w:pStyle w:val="2"/>
        <w:spacing w:before="0" w:after="0" w:line="400" w:lineRule="exact"/>
        <w:ind w:firstLine="422" w:firstLineChars="200"/>
        <w:rPr>
          <w:rFonts w:hint="eastAsia" w:ascii="宋体" w:hAnsi="宋体" w:eastAsia="宋体" w:cs="宋体"/>
          <w:color w:val="auto"/>
          <w:sz w:val="21"/>
          <w:szCs w:val="21"/>
          <w:highlight w:val="none"/>
        </w:rPr>
      </w:pPr>
      <w:bookmarkStart w:id="13" w:name="_Toc13184"/>
      <w:bookmarkStart w:id="14" w:name="_Toc5234"/>
      <w:bookmarkStart w:id="15" w:name="_Toc19523615"/>
      <w:bookmarkStart w:id="16" w:name="_Toc19725628"/>
      <w:bookmarkStart w:id="17" w:name="_Toc51077648"/>
      <w:r>
        <w:rPr>
          <w:rFonts w:hint="eastAsia" w:ascii="宋体" w:hAnsi="宋体" w:eastAsia="宋体" w:cs="宋体"/>
          <w:color w:val="auto"/>
          <w:sz w:val="21"/>
          <w:szCs w:val="21"/>
          <w:highlight w:val="none"/>
        </w:rPr>
        <w:t>5. 投标文件的递交</w:t>
      </w:r>
      <w:bookmarkEnd w:id="12"/>
      <w:bookmarkEnd w:id="13"/>
      <w:bookmarkEnd w:id="14"/>
      <w:bookmarkEnd w:id="15"/>
      <w:bookmarkEnd w:id="16"/>
      <w:bookmarkEnd w:id="17"/>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投标文件递交的截止时间（投标截止时间，下同）为</w:t>
      </w:r>
      <w:r>
        <w:rPr>
          <w:rFonts w:hint="eastAsia" w:ascii="宋体" w:hAnsi="宋体" w:cs="宋体"/>
          <w:b/>
          <w:color w:val="auto"/>
          <w:szCs w:val="21"/>
          <w:highlight w:val="none"/>
          <w:u w:val="single"/>
        </w:rPr>
        <w:t>202</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rPr>
        <w:t>年</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rPr>
        <w:t>月</w:t>
      </w:r>
      <w:r>
        <w:rPr>
          <w:rFonts w:hint="eastAsia" w:ascii="宋体" w:hAnsi="宋体" w:cs="宋体"/>
          <w:b/>
          <w:color w:val="auto"/>
          <w:szCs w:val="21"/>
          <w:highlight w:val="none"/>
          <w:u w:val="single"/>
          <w:lang w:val="en-US" w:eastAsia="zh-CN"/>
        </w:rPr>
        <w:t>4</w:t>
      </w:r>
      <w:r>
        <w:rPr>
          <w:rFonts w:hint="eastAsia" w:ascii="宋体" w:hAnsi="宋体" w:cs="宋体"/>
          <w:b/>
          <w:color w:val="auto"/>
          <w:szCs w:val="21"/>
          <w:highlight w:val="none"/>
          <w:u w:val="single"/>
        </w:rPr>
        <w:t>日</w:t>
      </w:r>
      <w:r>
        <w:rPr>
          <w:rFonts w:hint="eastAsia" w:ascii="宋体" w:hAnsi="宋体" w:cs="宋体"/>
          <w:b/>
          <w:color w:val="auto"/>
          <w:szCs w:val="21"/>
          <w:highlight w:val="none"/>
          <w:u w:val="single"/>
          <w:lang w:val="en-US" w:eastAsia="zh-CN"/>
        </w:rPr>
        <w:t>9</w:t>
      </w:r>
      <w:r>
        <w:rPr>
          <w:rFonts w:hint="eastAsia" w:ascii="宋体" w:hAnsi="宋体" w:cs="宋体"/>
          <w:b/>
          <w:color w:val="auto"/>
          <w:szCs w:val="21"/>
          <w:highlight w:val="none"/>
          <w:u w:val="single"/>
        </w:rPr>
        <w:t>时</w:t>
      </w:r>
      <w:r>
        <w:rPr>
          <w:rFonts w:hint="eastAsia" w:ascii="宋体" w:hAnsi="宋体" w:cs="宋体"/>
          <w:b/>
          <w:color w:val="auto"/>
          <w:szCs w:val="21"/>
          <w:highlight w:val="none"/>
          <w:u w:val="single"/>
          <w:lang w:val="en-US" w:eastAsia="zh-CN"/>
        </w:rPr>
        <w:t>30</w:t>
      </w:r>
      <w:r>
        <w:rPr>
          <w:rFonts w:hint="eastAsia" w:ascii="宋体" w:hAnsi="宋体" w:cs="宋体"/>
          <w:b/>
          <w:color w:val="auto"/>
          <w:szCs w:val="21"/>
          <w:highlight w:val="none"/>
          <w:u w:val="single"/>
        </w:rPr>
        <w:t>分</w:t>
      </w:r>
      <w:r>
        <w:rPr>
          <w:rFonts w:hint="eastAsia" w:ascii="宋体" w:hAnsi="宋体" w:cs="宋体"/>
          <w:b/>
          <w:color w:val="auto"/>
          <w:szCs w:val="21"/>
          <w:highlight w:val="none"/>
        </w:rPr>
        <w:t>止</w:t>
      </w:r>
      <w:r>
        <w:rPr>
          <w:rFonts w:hint="eastAsia" w:ascii="宋体" w:hAnsi="宋体" w:cs="宋体"/>
          <w:color w:val="auto"/>
          <w:szCs w:val="21"/>
          <w:highlight w:val="none"/>
        </w:rPr>
        <w:t>，地点为</w:t>
      </w:r>
      <w:r>
        <w:rPr>
          <w:rFonts w:hint="eastAsia"/>
          <w:color w:val="auto"/>
          <w:szCs w:val="21"/>
          <w:highlight w:val="none"/>
          <w:u w:val="single"/>
        </w:rPr>
        <w:t>百色市公共资源交易中心开标厅（百色市右江区园博园主展馆新政务中心三楼，具体安排详见电子大屏幕场地安排表）</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 逾期送达的或者未送达指定地点的投标文件，招标人不予受理。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投标文件必须由企业法定代表人或委托代理人持证件（法定代表人凭身份证原件及身份证明书原件或委托代理人凭法定代表人授权委托书原件和本人身份证原件、法定代表人身份证复印件）、投标保证缴纳凭证或保函等有效证明出席。</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5.4特别注明：</w:t>
      </w:r>
      <w:r>
        <w:rPr>
          <w:rFonts w:hint="eastAsia" w:ascii="宋体" w:hAnsi="宋体" w:eastAsia="宋体" w:cs="宋体"/>
          <w:color w:val="auto"/>
          <w:kern w:val="0"/>
          <w:sz w:val="21"/>
          <w:szCs w:val="21"/>
          <w:highlight w:val="none"/>
          <w:shd w:val="clear" w:color="auto" w:fill="FFFFFF"/>
        </w:rPr>
        <w:t>现因处于疫情期，相关现场招标投标活动遵循《百色市公共资源交易中心疫情防控期间进场交易项目服务指南》规定，投标人派代表参加现场交易活动</w:t>
      </w:r>
      <w:r>
        <w:rPr>
          <w:rFonts w:hint="eastAsia" w:eastAsia="宋体" w:cs="宋体"/>
          <w:color w:val="auto"/>
          <w:kern w:val="0"/>
          <w:sz w:val="21"/>
          <w:szCs w:val="21"/>
          <w:highlight w:val="none"/>
          <w:shd w:val="clear" w:color="auto" w:fill="FFFFFF"/>
          <w:lang w:eastAsia="zh-CN"/>
        </w:rPr>
        <w:t>时</w:t>
      </w:r>
      <w:r>
        <w:rPr>
          <w:rFonts w:hint="eastAsia" w:ascii="宋体" w:hAnsi="宋体" w:eastAsia="宋体" w:cs="宋体"/>
          <w:color w:val="auto"/>
          <w:kern w:val="0"/>
          <w:sz w:val="21"/>
          <w:szCs w:val="21"/>
          <w:highlight w:val="none"/>
          <w:shd w:val="clear" w:color="auto" w:fill="FFFFFF"/>
        </w:rPr>
        <w:t>，同时提供“投标人承诺书”及身份证，作为出入交易活动现场凭证。“服务指南”及相关承诺书格式可在百色市公共资源交易中心门户网站（</w:t>
      </w:r>
      <w:r>
        <w:rPr>
          <w:rFonts w:hint="default" w:ascii="Times New Roman" w:hAnsi="Times New Roman" w:eastAsia="宋体" w:cs="Times New Roman"/>
          <w:color w:val="auto"/>
          <w:kern w:val="0"/>
          <w:sz w:val="21"/>
          <w:szCs w:val="21"/>
          <w:highlight w:val="none"/>
          <w:shd w:val="clear" w:color="auto" w:fill="FFFFFF"/>
        </w:rPr>
        <w:t>www.bsggzy.org.cn</w:t>
      </w:r>
      <w:r>
        <w:rPr>
          <w:rFonts w:hint="eastAsia" w:ascii="宋体" w:hAnsi="宋体" w:eastAsia="宋体" w:cs="宋体"/>
          <w:color w:val="auto"/>
          <w:kern w:val="0"/>
          <w:sz w:val="21"/>
          <w:szCs w:val="21"/>
          <w:highlight w:val="none"/>
          <w:shd w:val="clear" w:color="auto" w:fill="FFFFFF"/>
        </w:rPr>
        <w:t>）下载。</w:t>
      </w:r>
    </w:p>
    <w:p>
      <w:pPr>
        <w:pStyle w:val="2"/>
        <w:spacing w:before="0" w:after="0" w:line="400" w:lineRule="exact"/>
        <w:ind w:firstLine="422" w:firstLineChars="200"/>
        <w:rPr>
          <w:rFonts w:hint="eastAsia" w:ascii="宋体" w:hAnsi="宋体" w:eastAsia="宋体" w:cs="宋体"/>
          <w:color w:val="auto"/>
          <w:sz w:val="21"/>
          <w:szCs w:val="21"/>
          <w:highlight w:val="none"/>
        </w:rPr>
      </w:pPr>
      <w:bookmarkStart w:id="18" w:name="_Toc51077649"/>
      <w:r>
        <w:rPr>
          <w:rFonts w:hint="eastAsia" w:ascii="宋体" w:hAnsi="宋体" w:eastAsia="宋体" w:cs="宋体"/>
          <w:color w:val="auto"/>
          <w:sz w:val="21"/>
          <w:szCs w:val="21"/>
          <w:highlight w:val="none"/>
        </w:rPr>
        <w:t>6.</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开标</w:t>
      </w:r>
      <w:r>
        <w:rPr>
          <w:rFonts w:ascii="宋体" w:hAnsi="宋体" w:eastAsia="宋体" w:cs="宋体"/>
          <w:color w:val="auto"/>
          <w:sz w:val="21"/>
          <w:szCs w:val="21"/>
          <w:highlight w:val="none"/>
        </w:rPr>
        <w:t>时间及地点：</w:t>
      </w:r>
      <w:bookmarkEnd w:id="18"/>
    </w:p>
    <w:p>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u w:val="single"/>
        </w:rPr>
        <w:t>202</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rPr>
        <w:t>年</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rPr>
        <w:t>月</w:t>
      </w:r>
      <w:r>
        <w:rPr>
          <w:rFonts w:hint="eastAsia" w:ascii="宋体" w:hAnsi="宋体" w:cs="宋体"/>
          <w:b/>
          <w:color w:val="auto"/>
          <w:szCs w:val="21"/>
          <w:highlight w:val="none"/>
          <w:u w:val="single"/>
          <w:lang w:val="en-US" w:eastAsia="zh-CN"/>
        </w:rPr>
        <w:t>4</w:t>
      </w:r>
      <w:r>
        <w:rPr>
          <w:rFonts w:hint="eastAsia" w:ascii="宋体" w:hAnsi="宋体" w:cs="宋体"/>
          <w:b/>
          <w:color w:val="auto"/>
          <w:szCs w:val="21"/>
          <w:highlight w:val="none"/>
          <w:u w:val="single"/>
        </w:rPr>
        <w:t>日</w:t>
      </w:r>
      <w:r>
        <w:rPr>
          <w:rFonts w:hint="eastAsia" w:ascii="宋体" w:hAnsi="宋体" w:cs="宋体"/>
          <w:b/>
          <w:color w:val="auto"/>
          <w:szCs w:val="21"/>
          <w:highlight w:val="none"/>
          <w:u w:val="single"/>
          <w:lang w:val="en-US" w:eastAsia="zh-CN"/>
        </w:rPr>
        <w:t>9</w:t>
      </w:r>
      <w:r>
        <w:rPr>
          <w:rFonts w:hint="eastAsia" w:ascii="宋体" w:hAnsi="宋体" w:cs="宋体"/>
          <w:b/>
          <w:color w:val="auto"/>
          <w:szCs w:val="21"/>
          <w:highlight w:val="none"/>
          <w:u w:val="single"/>
        </w:rPr>
        <w:t>时</w:t>
      </w:r>
      <w:r>
        <w:rPr>
          <w:rFonts w:hint="eastAsia" w:ascii="宋体" w:hAnsi="宋体" w:cs="宋体"/>
          <w:b/>
          <w:color w:val="auto"/>
          <w:szCs w:val="21"/>
          <w:highlight w:val="none"/>
          <w:u w:val="single"/>
          <w:lang w:val="en-US" w:eastAsia="zh-CN"/>
        </w:rPr>
        <w:t>30</w:t>
      </w:r>
      <w:r>
        <w:rPr>
          <w:rFonts w:hint="eastAsia" w:ascii="宋体" w:hAnsi="宋体" w:cs="宋体"/>
          <w:b/>
          <w:color w:val="auto"/>
          <w:szCs w:val="21"/>
          <w:highlight w:val="none"/>
          <w:u w:val="single"/>
        </w:rPr>
        <w:t>分</w:t>
      </w:r>
      <w:r>
        <w:rPr>
          <w:rFonts w:hint="eastAsia" w:ascii="宋体" w:hAnsi="宋体" w:cs="宋体"/>
          <w:b/>
          <w:color w:val="auto"/>
          <w:szCs w:val="21"/>
          <w:highlight w:val="none"/>
        </w:rPr>
        <w:t>后</w:t>
      </w:r>
      <w:r>
        <w:rPr>
          <w:rFonts w:hint="eastAsia" w:ascii="宋体" w:hAnsi="宋体" w:cs="宋体"/>
          <w:color w:val="auto"/>
          <w:szCs w:val="21"/>
          <w:highlight w:val="none"/>
        </w:rPr>
        <w:t>，地点为</w:t>
      </w:r>
      <w:r>
        <w:rPr>
          <w:rFonts w:hint="eastAsia"/>
          <w:color w:val="auto"/>
          <w:highlight w:val="none"/>
          <w:u w:val="single"/>
        </w:rPr>
        <w:t>百色市公共资源交易中心开标厅（百色市右江区园博园主展馆新政务中心三楼，具体安排详见电子大屏幕场地安排表）</w:t>
      </w:r>
      <w:r>
        <w:rPr>
          <w:rFonts w:hint="eastAsia" w:ascii="宋体" w:hAnsi="宋体" w:cs="宋体"/>
          <w:color w:val="auto"/>
          <w:szCs w:val="21"/>
          <w:highlight w:val="none"/>
        </w:rPr>
        <w:t>。</w:t>
      </w:r>
    </w:p>
    <w:p>
      <w:pPr>
        <w:pStyle w:val="2"/>
        <w:spacing w:before="0" w:after="0" w:line="400" w:lineRule="exact"/>
        <w:ind w:firstLine="422" w:firstLineChars="200"/>
        <w:rPr>
          <w:rFonts w:hint="eastAsia" w:ascii="宋体" w:hAnsi="宋体" w:eastAsia="宋体" w:cs="宋体"/>
          <w:color w:val="auto"/>
          <w:sz w:val="21"/>
          <w:szCs w:val="21"/>
          <w:highlight w:val="none"/>
        </w:rPr>
      </w:pPr>
      <w:bookmarkStart w:id="19" w:name="_Toc395312507"/>
      <w:bookmarkStart w:id="20" w:name="_Toc28398"/>
      <w:bookmarkStart w:id="21" w:name="_Toc4169"/>
      <w:bookmarkStart w:id="22" w:name="_Toc19523616"/>
      <w:bookmarkStart w:id="23" w:name="_Toc19725629"/>
      <w:bookmarkStart w:id="24" w:name="_Toc51077650"/>
      <w:bookmarkStart w:id="25" w:name="_Toc468717254"/>
      <w:r>
        <w:rPr>
          <w:rFonts w:hint="eastAsia" w:ascii="宋体" w:hAnsi="宋体" w:eastAsia="宋体" w:cs="宋体"/>
          <w:color w:val="auto"/>
          <w:sz w:val="21"/>
          <w:szCs w:val="21"/>
          <w:highlight w:val="none"/>
        </w:rPr>
        <w:t>7. 交易服务单位</w:t>
      </w:r>
      <w:bookmarkEnd w:id="19"/>
      <w:bookmarkEnd w:id="20"/>
      <w:bookmarkEnd w:id="21"/>
      <w:bookmarkEnd w:id="22"/>
      <w:bookmarkEnd w:id="23"/>
      <w:bookmarkEnd w:id="24"/>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百色市公共资源交易中心 </w:t>
      </w:r>
    </w:p>
    <w:bookmarkEnd w:id="25"/>
    <w:p>
      <w:pPr>
        <w:pStyle w:val="2"/>
        <w:numPr>
          <w:ilvl w:val="0"/>
          <w:numId w:val="1"/>
        </w:numPr>
        <w:spacing w:before="0" w:after="0" w:line="400" w:lineRule="exact"/>
        <w:ind w:firstLine="422" w:firstLineChars="200"/>
        <w:rPr>
          <w:rFonts w:ascii="宋体" w:hAnsi="宋体" w:eastAsia="宋体" w:cs="宋体"/>
          <w:color w:val="auto"/>
          <w:sz w:val="21"/>
          <w:szCs w:val="21"/>
          <w:highlight w:val="none"/>
        </w:rPr>
      </w:pPr>
      <w:bookmarkStart w:id="26" w:name="_Toc51077651"/>
      <w:bookmarkStart w:id="27" w:name="_Toc395312508"/>
      <w:bookmarkStart w:id="28" w:name="_Toc13644"/>
      <w:bookmarkStart w:id="29" w:name="_Toc19523617"/>
      <w:bookmarkStart w:id="30" w:name="_Toc19725630"/>
      <w:bookmarkStart w:id="31" w:name="_Toc1652"/>
      <w:bookmarkStart w:id="32" w:name="_Toc468717255"/>
      <w:r>
        <w:rPr>
          <w:rFonts w:hint="eastAsia" w:ascii="宋体" w:hAnsi="宋体" w:eastAsia="宋体" w:cs="宋体"/>
          <w:color w:val="auto"/>
          <w:sz w:val="21"/>
          <w:szCs w:val="21"/>
          <w:highlight w:val="none"/>
        </w:rPr>
        <w:t>监督部门及电话</w:t>
      </w:r>
      <w:bookmarkEnd w:id="26"/>
      <w:bookmarkEnd w:id="27"/>
      <w:bookmarkEnd w:id="28"/>
      <w:bookmarkEnd w:id="29"/>
      <w:bookmarkEnd w:id="30"/>
      <w:bookmarkEnd w:id="31"/>
      <w:bookmarkStart w:id="33" w:name="_Toc6276"/>
      <w:bookmarkStart w:id="34" w:name="_Toc11810"/>
    </w:p>
    <w:p>
      <w:pPr>
        <w:autoSpaceDE w:val="0"/>
        <w:autoSpaceDN w:val="0"/>
        <w:adjustRightInd w:val="0"/>
        <w:snapToGrid w:val="0"/>
        <w:spacing w:line="400" w:lineRule="exact"/>
        <w:ind w:firstLine="420" w:firstLineChars="200"/>
        <w:rPr>
          <w:rFonts w:hint="eastAsia" w:ascii="宋体" w:hAnsi="宋体" w:cs="宋体"/>
          <w:color w:val="auto"/>
          <w:szCs w:val="21"/>
          <w:highlight w:val="none"/>
          <w:lang w:bidi="ar"/>
        </w:rPr>
      </w:pPr>
      <w:r>
        <w:rPr>
          <w:rFonts w:hint="eastAsia" w:ascii="宋体" w:hAnsi="宋体" w:eastAsia="宋体" w:cs="宋体"/>
          <w:color w:val="auto"/>
          <w:sz w:val="21"/>
          <w:szCs w:val="21"/>
          <w:highlight w:val="none"/>
        </w:rPr>
        <w:t>乐业县政府采购管理</w:t>
      </w:r>
      <w:r>
        <w:rPr>
          <w:rFonts w:hint="eastAsia" w:ascii="宋体" w:hAnsi="宋体" w:eastAsia="宋体" w:cs="宋体"/>
          <w:color w:val="auto"/>
          <w:sz w:val="21"/>
          <w:szCs w:val="21"/>
          <w:highlight w:val="none"/>
          <w:lang w:eastAsia="zh-CN"/>
        </w:rPr>
        <w:t>中心</w:t>
      </w:r>
      <w:r>
        <w:rPr>
          <w:rFonts w:hint="eastAsia" w:ascii="宋体" w:hAnsi="宋体" w:cs="宋体"/>
          <w:color w:val="auto"/>
          <w:szCs w:val="21"/>
          <w:highlight w:val="none"/>
        </w:rPr>
        <w:t xml:space="preserve">     联系电话：</w:t>
      </w:r>
      <w:r>
        <w:rPr>
          <w:rFonts w:hint="eastAsia" w:ascii="宋体" w:hAnsi="宋体" w:eastAsia="宋体" w:cs="宋体"/>
          <w:color w:val="auto"/>
          <w:kern w:val="2"/>
          <w:sz w:val="21"/>
          <w:szCs w:val="21"/>
          <w:highlight w:val="none"/>
          <w:lang w:val="en-US" w:eastAsia="zh-CN" w:bidi="ar-SA"/>
        </w:rPr>
        <w:t>0776-7922622</w:t>
      </w:r>
    </w:p>
    <w:p>
      <w:pPr>
        <w:pStyle w:val="2"/>
        <w:spacing w:before="0" w:after="0" w:line="400" w:lineRule="exact"/>
        <w:ind w:firstLine="422" w:firstLineChars="200"/>
        <w:rPr>
          <w:rFonts w:hint="eastAsia" w:ascii="宋体" w:hAnsi="宋体" w:eastAsia="宋体" w:cs="宋体"/>
          <w:color w:val="auto"/>
          <w:sz w:val="21"/>
          <w:szCs w:val="21"/>
          <w:highlight w:val="none"/>
        </w:rPr>
      </w:pPr>
      <w:bookmarkStart w:id="35" w:name="_Toc19523618"/>
      <w:bookmarkStart w:id="36" w:name="_Toc19725631"/>
      <w:bookmarkStart w:id="37" w:name="_Toc51077652"/>
      <w:r>
        <w:rPr>
          <w:rFonts w:hint="eastAsia" w:ascii="宋体" w:hAnsi="宋体" w:cs="宋体"/>
          <w:color w:val="auto"/>
          <w:sz w:val="21"/>
          <w:szCs w:val="21"/>
          <w:highlight w:val="none"/>
          <w:lang w:bidi="ar"/>
        </w:rPr>
        <w:t>9.</w:t>
      </w:r>
      <w:bookmarkStart w:id="38" w:name="_Toc11634"/>
      <w:bookmarkStart w:id="39" w:name="_Toc26003"/>
      <w:bookmarkStart w:id="40" w:name="_Toc468717252"/>
      <w:r>
        <w:rPr>
          <w:rFonts w:hint="eastAsia" w:ascii="宋体" w:hAnsi="宋体" w:eastAsia="宋体" w:cs="宋体"/>
          <w:color w:val="auto"/>
          <w:sz w:val="21"/>
          <w:szCs w:val="21"/>
          <w:highlight w:val="none"/>
        </w:rPr>
        <w:t xml:space="preserve"> 发布公告的媒介</w:t>
      </w:r>
      <w:bookmarkEnd w:id="35"/>
      <w:bookmarkEnd w:id="36"/>
      <w:bookmarkEnd w:id="37"/>
      <w:bookmarkEnd w:id="38"/>
      <w:bookmarkEnd w:id="39"/>
      <w:bookmarkEnd w:id="40"/>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本次招标公告同时在中国采购与招标网 www.chinabidding.com.cn、中国政府采购网（www.ccgp.gov.cn）、广西壮族自治区政府采购网（http://zfcg.gxzf.gov.cn）、广西壮族自治区招标投标公共服务平台（</w:t>
      </w:r>
      <w:r>
        <w:rPr>
          <w:rFonts w:ascii="宋体" w:hAnsi="宋体" w:cs="宋体"/>
          <w:color w:val="auto"/>
          <w:szCs w:val="21"/>
          <w:highlight w:val="none"/>
        </w:rPr>
        <w:t>http://ztb.gxi.gov.cn/</w:t>
      </w:r>
      <w:r>
        <w:rPr>
          <w:rFonts w:hint="eastAsia" w:ascii="宋体" w:hAnsi="宋体" w:cs="宋体"/>
          <w:color w:val="auto"/>
          <w:szCs w:val="21"/>
          <w:highlight w:val="none"/>
        </w:rPr>
        <w:t>）、百色市公共资源交易中心网(http://www. bsggzy.org.cn)等网站上发布。</w:t>
      </w:r>
    </w:p>
    <w:p>
      <w:pPr>
        <w:pStyle w:val="2"/>
        <w:spacing w:before="0" w:after="0" w:line="440" w:lineRule="exact"/>
        <w:ind w:firstLine="422" w:firstLineChars="200"/>
        <w:rPr>
          <w:rFonts w:hint="eastAsia"/>
          <w:color w:val="auto"/>
          <w:szCs w:val="21"/>
          <w:highlight w:val="none"/>
        </w:rPr>
      </w:pPr>
      <w:bookmarkStart w:id="41" w:name="_Toc19523619"/>
      <w:bookmarkStart w:id="42" w:name="_Toc19725632"/>
      <w:bookmarkStart w:id="43" w:name="_Toc51077653"/>
      <w:r>
        <w:rPr>
          <w:rFonts w:hint="eastAsia" w:ascii="宋体" w:hAnsi="宋体" w:eastAsia="宋体" w:cs="宋体"/>
          <w:color w:val="auto"/>
          <w:sz w:val="21"/>
          <w:szCs w:val="21"/>
          <w:highlight w:val="none"/>
        </w:rPr>
        <w:t>10. 联系方式</w:t>
      </w:r>
      <w:bookmarkEnd w:id="32"/>
      <w:bookmarkEnd w:id="33"/>
      <w:bookmarkEnd w:id="34"/>
      <w:bookmarkEnd w:id="41"/>
      <w:bookmarkEnd w:id="42"/>
      <w:bookmarkEnd w:id="43"/>
    </w:p>
    <w:p>
      <w:pPr>
        <w:spacing w:line="360" w:lineRule="exact"/>
        <w:rPr>
          <w:rFonts w:ascii="宋体" w:hAnsi="宋体"/>
          <w:color w:val="auto"/>
          <w:szCs w:val="21"/>
          <w:highlight w:val="none"/>
          <w:u w:val="single"/>
        </w:rPr>
      </w:pPr>
      <w:r>
        <w:rPr>
          <w:rFonts w:ascii="宋体" w:hAnsi="宋体"/>
          <w:color w:val="auto"/>
          <w:szCs w:val="21"/>
          <w:highlight w:val="none"/>
        </w:rPr>
        <w:t>招标人：</w:t>
      </w:r>
      <w:r>
        <w:rPr>
          <w:rFonts w:hint="eastAsia" w:ascii="宋体" w:hAnsi="宋体"/>
          <w:color w:val="auto"/>
          <w:szCs w:val="21"/>
          <w:highlight w:val="none"/>
          <w:u w:val="single"/>
          <w:lang w:bidi="zh-CN"/>
        </w:rPr>
        <w:t>乐业县农村公路建设办公室</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招标代理机构：</w:t>
      </w:r>
      <w:r>
        <w:rPr>
          <w:rFonts w:hint="eastAsia" w:ascii="宋体" w:hAnsi="宋体" w:eastAsia="宋体" w:cs="宋体"/>
          <w:color w:val="auto"/>
          <w:highlight w:val="none"/>
          <w:u w:val="single"/>
          <w:lang w:eastAsia="zh-CN"/>
        </w:rPr>
        <w:t>广西翔鸿工程管理服务有限公司</w:t>
      </w:r>
    </w:p>
    <w:p>
      <w:pPr>
        <w:spacing w:line="360" w:lineRule="exact"/>
        <w:rPr>
          <w:rFonts w:ascii="宋体" w:hAnsi="宋体"/>
          <w:color w:val="auto"/>
          <w:szCs w:val="21"/>
          <w:highlight w:val="none"/>
          <w:u w:val="single"/>
        </w:rPr>
      </w:pPr>
      <w:r>
        <w:rPr>
          <w:rFonts w:ascii="宋体" w:hAnsi="宋体"/>
          <w:color w:val="auto"/>
          <w:szCs w:val="21"/>
          <w:highlight w:val="none"/>
        </w:rPr>
        <w:t>地</w:t>
      </w:r>
      <w:r>
        <w:rPr>
          <w:rFonts w:hint="eastAsia" w:ascii="宋体" w:hAnsi="宋体"/>
          <w:color w:val="auto"/>
          <w:szCs w:val="21"/>
          <w:highlight w:val="none"/>
        </w:rPr>
        <w:t xml:space="preserve"> </w:t>
      </w:r>
      <w:r>
        <w:rPr>
          <w:rFonts w:ascii="宋体" w:hAnsi="宋体"/>
          <w:color w:val="auto"/>
          <w:szCs w:val="21"/>
          <w:highlight w:val="none"/>
        </w:rPr>
        <w:t>址：</w:t>
      </w:r>
      <w:r>
        <w:rPr>
          <w:rFonts w:hint="eastAsia" w:ascii="宋体" w:hAnsi="宋体"/>
          <w:color w:val="auto"/>
          <w:szCs w:val="21"/>
          <w:highlight w:val="none"/>
          <w:u w:val="single"/>
          <w:lang w:val="en-US" w:eastAsia="zh-CN"/>
        </w:rPr>
        <w:t>百色市乐业县同乐镇三乐街103号</w:t>
      </w:r>
      <w:r>
        <w:rPr>
          <w:rFonts w:hint="eastAsia" w:ascii="宋体" w:hAnsi="宋体"/>
          <w:color w:val="auto"/>
          <w:szCs w:val="21"/>
          <w:highlight w:val="none"/>
          <w:lang w:val="en-US" w:eastAsia="zh-CN"/>
        </w:rPr>
        <w:t xml:space="preserve">   </w:t>
      </w:r>
      <w:r>
        <w:rPr>
          <w:rFonts w:ascii="宋体" w:hAnsi="宋体"/>
          <w:color w:val="auto"/>
          <w:szCs w:val="21"/>
          <w:highlight w:val="none"/>
        </w:rPr>
        <w:t>地址：</w:t>
      </w:r>
      <w:r>
        <w:rPr>
          <w:rFonts w:hint="eastAsia" w:ascii="宋体" w:hAnsi="宋体" w:eastAsia="宋体" w:cs="宋体"/>
          <w:color w:val="auto"/>
          <w:highlight w:val="none"/>
          <w:u w:val="single"/>
          <w:lang w:val="en-US" w:eastAsia="zh-CN"/>
        </w:rPr>
        <w:t>百色市右江区龙景街道龙腾路长鸿荣业大厦9楼</w:t>
      </w:r>
    </w:p>
    <w:p>
      <w:pPr>
        <w:spacing w:line="360" w:lineRule="exact"/>
        <w:rPr>
          <w:rFonts w:ascii="宋体" w:hAnsi="宋体"/>
          <w:color w:val="auto"/>
          <w:szCs w:val="21"/>
          <w:highlight w:val="none"/>
          <w:u w:val="single"/>
        </w:rPr>
      </w:pPr>
      <w:r>
        <w:rPr>
          <w:rFonts w:ascii="宋体" w:hAnsi="宋体"/>
          <w:color w:val="auto"/>
          <w:szCs w:val="21"/>
          <w:highlight w:val="none"/>
        </w:rPr>
        <w:t>邮    编：</w:t>
      </w:r>
      <w:r>
        <w:rPr>
          <w:rFonts w:hint="eastAsia" w:ascii="宋体" w:hAnsi="宋体"/>
          <w:color w:val="auto"/>
          <w:szCs w:val="21"/>
          <w:highlight w:val="none"/>
          <w:u w:val="single"/>
          <w:lang w:val="en-US" w:eastAsia="zh-CN"/>
        </w:rPr>
        <w:t xml:space="preserve">533200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邮   编：</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533000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exact"/>
        <w:rPr>
          <w:rFonts w:hint="eastAsia" w:ascii="宋体" w:hAnsi="宋体"/>
          <w:color w:val="auto"/>
          <w:szCs w:val="21"/>
          <w:highlight w:val="none"/>
        </w:rPr>
      </w:pPr>
      <w:r>
        <w:rPr>
          <w:rFonts w:ascii="宋体" w:hAnsi="宋体"/>
          <w:color w:val="auto"/>
          <w:szCs w:val="21"/>
          <w:highlight w:val="none"/>
        </w:rPr>
        <w:t>联 系 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黄锡鑫</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联 系 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卢</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宁</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pPr>
        <w:spacing w:line="360" w:lineRule="exact"/>
        <w:rPr>
          <w:rFonts w:ascii="宋体" w:hAnsi="宋体"/>
          <w:color w:val="auto"/>
          <w:szCs w:val="21"/>
          <w:highlight w:val="none"/>
        </w:rPr>
      </w:pPr>
      <w:r>
        <w:rPr>
          <w:rFonts w:ascii="宋体" w:hAnsi="宋体"/>
          <w:color w:val="auto"/>
          <w:szCs w:val="21"/>
          <w:highlight w:val="none"/>
        </w:rPr>
        <w:t>电    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18177678101</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电    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0776-</w:t>
      </w:r>
      <w:r>
        <w:rPr>
          <w:rFonts w:hint="eastAsia" w:ascii="宋体" w:hAnsi="宋体"/>
          <w:color w:val="auto"/>
          <w:szCs w:val="21"/>
          <w:highlight w:val="none"/>
          <w:u w:val="single"/>
          <w:lang w:val="en-US" w:eastAsia="zh-CN"/>
        </w:rPr>
        <w:t>2883231</w:t>
      </w:r>
      <w:r>
        <w:rPr>
          <w:rFonts w:hint="eastAsia" w:ascii="宋体" w:hAnsi="宋体"/>
          <w:color w:val="auto"/>
          <w:szCs w:val="21"/>
          <w:highlight w:val="none"/>
          <w:u w:val="single"/>
        </w:rPr>
        <w:t xml:space="preserve">             </w:t>
      </w:r>
    </w:p>
    <w:p>
      <w:pPr>
        <w:spacing w:line="440" w:lineRule="exact"/>
        <w:rPr>
          <w:rFonts w:hint="eastAsia" w:ascii="宋体" w:hAnsi="宋体"/>
          <w:color w:val="auto"/>
          <w:szCs w:val="21"/>
          <w:highlight w:val="none"/>
        </w:rPr>
      </w:pPr>
      <w:r>
        <w:rPr>
          <w:rFonts w:ascii="宋体" w:hAnsi="宋体"/>
          <w:color w:val="auto"/>
          <w:szCs w:val="21"/>
          <w:highlight w:val="none"/>
        </w:rPr>
        <w:t>传    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传    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0776-</w:t>
      </w:r>
      <w:r>
        <w:rPr>
          <w:rFonts w:hint="eastAsia" w:ascii="宋体" w:hAnsi="宋体"/>
          <w:color w:val="auto"/>
          <w:szCs w:val="21"/>
          <w:highlight w:val="none"/>
          <w:u w:val="single"/>
          <w:lang w:val="en-US" w:eastAsia="zh-CN"/>
        </w:rPr>
        <w:t>2883231</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40" w:lineRule="exact"/>
        <w:ind w:firstLine="420" w:firstLineChars="200"/>
        <w:jc w:val="right"/>
        <w:rPr>
          <w:rFonts w:hint="eastAsia" w:ascii="宋体" w:hAnsi="宋体"/>
          <w:color w:val="auto"/>
          <w:szCs w:val="21"/>
          <w:highlight w:val="none"/>
        </w:rPr>
      </w:pPr>
      <w:r>
        <w:rPr>
          <w:rFonts w:hint="eastAsia" w:ascii="宋体" w:hAnsi="宋体"/>
          <w:color w:val="auto"/>
          <w:szCs w:val="21"/>
          <w:highlight w:val="none"/>
        </w:rPr>
        <w:t xml:space="preserve">           </w:t>
      </w:r>
    </w:p>
    <w:p>
      <w:r>
        <w:rPr>
          <w:rFonts w:hint="eastAsia" w:ascii="宋体" w:hAnsi="宋体"/>
          <w:color w:val="auto"/>
          <w:szCs w:val="21"/>
          <w:highlight w:val="none"/>
        </w:rPr>
        <w:t xml:space="preserve">                                                                     2020年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14</w:t>
      </w:r>
      <w:r>
        <w:rPr>
          <w:rFonts w:hint="eastAsia" w:ascii="宋体" w:hAnsi="宋体"/>
          <w:color w:val="auto"/>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Microsoft JhengHei">
    <w:altName w:val="PMingLiU"/>
    <w:panose1 w:val="020B0604030504040204"/>
    <w:charset w:val="88"/>
    <w:family w:val="swiss"/>
    <w:pitch w:val="default"/>
    <w:sig w:usb0="00000000" w:usb1="00000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F2FBE"/>
    <w:multiLevelType w:val="singleLevel"/>
    <w:tmpl w:val="BA8F2FBE"/>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C3592"/>
    <w:rsid w:val="5F8C3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uiPriority w:val="0"/>
    <w:pPr>
      <w:jc w:val="left"/>
    </w:pPr>
    <w:rPr>
      <w:rFonts w:eastAsia="宋体"/>
      <w:kern w:val="2"/>
      <w:sz w:val="21"/>
      <w:szCs w:val="24"/>
      <w:lang w:val="en-US" w:eastAsia="zh-CN" w:bidi="ar-SA"/>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line"/>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2020-12-14T10:15:00Z</dcterms:created>
  <dc:creator>刘春寒</dc:creator>
  <cp:lastModifiedBy>刘春寒</cp:lastModifiedBy>
  <dcterms:modified xsi:type="dcterms:W3CDTF">2020-12-14T10:16:33Z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