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431" w:type="pct"/>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6"/>
        <w:gridCol w:w="1432"/>
        <w:gridCol w:w="2768"/>
        <w:gridCol w:w="1622"/>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5"/>
            <w:tcBorders>
              <w:top w:val="nil"/>
              <w:left w:val="nil"/>
              <w:bottom w:val="nil"/>
              <w:right w:val="nil"/>
            </w:tcBorders>
            <w:noWrap w:val="0"/>
            <w:vAlign w:val="center"/>
          </w:tcPr>
          <w:p>
            <w:pPr>
              <w:pStyle w:val="4"/>
              <w:jc w:val="center"/>
              <w:rPr>
                <w:rFonts w:cs="宋体"/>
                <w:lang w:val="zh-CN" w:eastAsia="zh-CN"/>
              </w:rPr>
            </w:pPr>
            <w:r>
              <w:rPr>
                <w:rFonts w:hint="eastAsia" w:cs="宋体"/>
                <w:b/>
                <w:bCs/>
                <w:sz w:val="32"/>
                <w:lang w:val="zh-CN" w:eastAsia="zh-CN"/>
              </w:rPr>
              <w:t>靖西市安宁乡果布村生态养殖小区项目主体建安工程</w:t>
            </w:r>
            <w:r>
              <w:rPr>
                <w:rFonts w:cs="宋体"/>
                <w:b/>
                <w:bCs/>
                <w:sz w:val="32"/>
                <w:lang w:val="zh-CN" w:eastAsia="zh-CN"/>
              </w:rPr>
              <w:t>施工招标公告</w:t>
            </w:r>
          </w:p>
          <w:p>
            <w:pPr>
              <w:pStyle w:val="4"/>
              <w:rPr>
                <w:rFonts w:cs="宋体"/>
                <w:b/>
                <w:bCs/>
                <w:lang w:val="zh-CN" w:eastAsia="zh-CN"/>
              </w:rPr>
            </w:pPr>
          </w:p>
          <w:p>
            <w:pPr>
              <w:pStyle w:val="4"/>
              <w:rPr>
                <w:rFonts w:cs="宋体"/>
                <w:lang w:val="zh-CN" w:eastAsia="zh-CN"/>
              </w:rPr>
            </w:pPr>
            <w:r>
              <w:rPr>
                <w:rFonts w:cs="宋体"/>
                <w:b/>
                <w:bCs/>
                <w:lang w:val="zh-CN" w:eastAsia="zh-CN"/>
              </w:rPr>
              <w:t>1、招标条件</w:t>
            </w:r>
          </w:p>
          <w:p>
            <w:pPr>
              <w:pStyle w:val="4"/>
              <w:jc w:val="both"/>
              <w:rPr>
                <w:rFonts w:cs="宋体"/>
                <w:lang w:val="zh-CN" w:eastAsia="zh-CN"/>
              </w:rPr>
            </w:pPr>
            <w:r>
              <w:rPr>
                <w:rFonts w:cs="宋体"/>
                <w:lang w:val="zh-CN" w:eastAsia="zh-CN"/>
              </w:rPr>
              <w:t>    本招标项目</w:t>
            </w:r>
            <w:r>
              <w:rPr>
                <w:rFonts w:hint="eastAsia" w:cs="宋体"/>
                <w:b/>
                <w:bCs/>
                <w:lang w:val="zh-CN" w:eastAsia="zh-CN"/>
              </w:rPr>
              <w:t>靖西市安宁乡果布村生态养殖小区项目主体建安工程</w:t>
            </w:r>
            <w:r>
              <w:rPr>
                <w:rFonts w:cs="宋体"/>
                <w:lang w:val="zh-CN" w:eastAsia="zh-CN"/>
              </w:rPr>
              <w:t>已由</w:t>
            </w:r>
            <w:r>
              <w:rPr>
                <w:rFonts w:cs="宋体"/>
                <w:b/>
                <w:bCs/>
                <w:lang w:val="zh-CN" w:eastAsia="zh-CN"/>
              </w:rPr>
              <w:t>靖西市发展和改革局</w:t>
            </w:r>
            <w:r>
              <w:rPr>
                <w:rFonts w:cs="宋体"/>
                <w:lang w:val="zh-CN" w:eastAsia="zh-CN"/>
              </w:rPr>
              <w:t xml:space="preserve">以 </w:t>
            </w:r>
            <w:r>
              <w:rPr>
                <w:rFonts w:cs="宋体"/>
                <w:b/>
                <w:bCs/>
                <w:lang w:val="zh-CN" w:eastAsia="zh-CN"/>
              </w:rPr>
              <w:t>关于</w:t>
            </w:r>
            <w:r>
              <w:rPr>
                <w:rFonts w:hint="eastAsia" w:cs="宋体"/>
                <w:b/>
                <w:bCs/>
                <w:lang w:val="zh-CN" w:eastAsia="zh-CN"/>
              </w:rPr>
              <w:t>靖西市安宁乡果布村生态养殖小区项目</w:t>
            </w:r>
            <w:r>
              <w:rPr>
                <w:rFonts w:cs="宋体"/>
                <w:b/>
                <w:bCs/>
                <w:lang w:val="zh-CN" w:eastAsia="zh-CN"/>
              </w:rPr>
              <w:t>建议书的批复(靖发改</w:t>
            </w:r>
            <w:r>
              <w:rPr>
                <w:rFonts w:hint="eastAsia" w:cs="宋体"/>
                <w:b/>
                <w:bCs/>
                <w:lang w:val="zh-CN" w:eastAsia="zh-CN"/>
              </w:rPr>
              <w:t>规划</w:t>
            </w:r>
            <w:r>
              <w:rPr>
                <w:rFonts w:cs="宋体"/>
                <w:b/>
                <w:bCs/>
                <w:lang w:val="zh-CN" w:eastAsia="zh-CN"/>
              </w:rPr>
              <w:t>（2019）</w:t>
            </w:r>
            <w:r>
              <w:rPr>
                <w:rFonts w:hint="eastAsia" w:cs="宋体"/>
                <w:b/>
                <w:bCs/>
                <w:lang w:val="en-US" w:eastAsia="zh-CN"/>
              </w:rPr>
              <w:t>58</w:t>
            </w:r>
            <w:r>
              <w:rPr>
                <w:rFonts w:cs="宋体"/>
                <w:b/>
                <w:bCs/>
                <w:lang w:val="zh-CN" w:eastAsia="zh-CN"/>
              </w:rPr>
              <w:t>号)</w:t>
            </w:r>
            <w:r>
              <w:rPr>
                <w:rFonts w:cs="宋体"/>
                <w:lang w:val="zh-CN" w:eastAsia="zh-CN"/>
              </w:rPr>
              <w:t>批准建设，招标人（项目业主）为</w:t>
            </w:r>
            <w:r>
              <w:rPr>
                <w:rFonts w:hint="eastAsia" w:cs="宋体"/>
                <w:b/>
                <w:bCs/>
                <w:lang w:val="zh-CN" w:eastAsia="zh-CN"/>
              </w:rPr>
              <w:t>靖西市农业农村局</w:t>
            </w:r>
            <w:r>
              <w:rPr>
                <w:rFonts w:cs="宋体"/>
                <w:lang w:val="zh-CN" w:eastAsia="zh-CN"/>
              </w:rPr>
              <w:t>，建设资金来自自筹项目出资比例为</w:t>
            </w:r>
            <w:r>
              <w:rPr>
                <w:rFonts w:cs="宋体"/>
                <w:b/>
                <w:bCs/>
                <w:color w:val="auto"/>
                <w:lang w:val="zh-CN" w:eastAsia="zh-CN"/>
              </w:rPr>
              <w:t>100.00%</w:t>
            </w:r>
            <w:r>
              <w:rPr>
                <w:rFonts w:cs="宋体"/>
                <w:color w:val="auto"/>
                <w:lang w:val="zh-CN" w:eastAsia="zh-CN"/>
              </w:rPr>
              <w:t>。项目</w:t>
            </w:r>
            <w:r>
              <w:rPr>
                <w:rFonts w:cs="宋体"/>
                <w:lang w:val="zh-CN" w:eastAsia="zh-CN"/>
              </w:rPr>
              <w:t xml:space="preserve">已具备招标条件，现对该项目的施工进行公开招标。 </w:t>
            </w:r>
          </w:p>
          <w:p>
            <w:pPr>
              <w:pStyle w:val="4"/>
              <w:rPr>
                <w:rFonts w:cs="宋体"/>
                <w:lang w:val="zh-CN" w:eastAsia="zh-CN"/>
              </w:rPr>
            </w:pPr>
            <w:r>
              <w:rPr>
                <w:rFonts w:cs="宋体"/>
                <w:b/>
                <w:bCs/>
                <w:lang w:val="zh-CN" w:eastAsia="zh-CN"/>
              </w:rPr>
              <w:t>2、项目概况与招标范围</w:t>
            </w:r>
          </w:p>
          <w:p>
            <w:pPr>
              <w:pStyle w:val="4"/>
              <w:jc w:val="both"/>
              <w:rPr>
                <w:rFonts w:cs="宋体"/>
                <w:lang w:val="zh-CN" w:eastAsia="zh-CN"/>
              </w:rPr>
            </w:pPr>
            <w:r>
              <w:rPr>
                <w:rFonts w:cs="宋体"/>
                <w:lang w:val="zh-CN" w:eastAsia="zh-CN"/>
              </w:rPr>
              <w:t>    项目招标编号：</w:t>
            </w:r>
            <w:r>
              <w:rPr>
                <w:rFonts w:hint="eastAsia" w:cs="宋体"/>
                <w:b/>
                <w:bCs/>
                <w:lang w:val="zh-CN" w:eastAsia="zh-CN"/>
              </w:rPr>
              <w:t>BSZC2020-G2-250231-JSDZ</w:t>
            </w:r>
          </w:p>
          <w:p>
            <w:pPr>
              <w:pStyle w:val="4"/>
              <w:jc w:val="both"/>
              <w:rPr>
                <w:rFonts w:cs="宋体"/>
                <w:lang w:val="zh-CN" w:eastAsia="zh-CN"/>
              </w:rPr>
            </w:pPr>
            <w:r>
              <w:rPr>
                <w:rFonts w:cs="宋体"/>
                <w:lang w:val="zh-CN" w:eastAsia="zh-CN"/>
              </w:rPr>
              <w:t>    建设地点：</w:t>
            </w:r>
            <w:r>
              <w:rPr>
                <w:rFonts w:cs="宋体"/>
                <w:b/>
                <w:bCs/>
                <w:lang w:val="zh-CN" w:eastAsia="zh-CN"/>
              </w:rPr>
              <w:t>靖西市</w:t>
            </w:r>
            <w:r>
              <w:rPr>
                <w:rFonts w:hint="eastAsia" w:cs="宋体"/>
                <w:b/>
                <w:bCs/>
                <w:lang w:val="zh-CN" w:eastAsia="zh-CN"/>
              </w:rPr>
              <w:t>安宁乡果布村</w:t>
            </w:r>
          </w:p>
          <w:p>
            <w:pPr>
              <w:pStyle w:val="4"/>
              <w:jc w:val="both"/>
              <w:rPr>
                <w:rFonts w:cs="宋体"/>
                <w:b/>
                <w:bCs/>
                <w:lang w:val="zh-CN" w:eastAsia="zh-CN"/>
              </w:rPr>
            </w:pPr>
            <w:r>
              <w:rPr>
                <w:rFonts w:cs="宋体"/>
                <w:lang w:val="zh-CN" w:eastAsia="zh-CN"/>
              </w:rPr>
              <w:t>    建设规模：</w:t>
            </w:r>
            <w:r>
              <w:rPr>
                <w:rFonts w:hint="eastAsia" w:cs="宋体"/>
                <w:b/>
                <w:bCs/>
                <w:lang w:val="zh-CN" w:eastAsia="zh-CN"/>
              </w:rPr>
              <w:t>新建一栋</w:t>
            </w:r>
            <w:r>
              <w:rPr>
                <w:rFonts w:hint="eastAsia" w:cs="宋体"/>
                <w:b/>
                <w:bCs/>
                <w:lang w:val="en-US" w:eastAsia="zh-CN"/>
              </w:rPr>
              <w:t>12层猪舍楼，建筑面积12951㎡，占地面积1412.69㎡，配套附属用房检疫用房2层，一次消洗房单层，以及围墙、场地硬化等</w:t>
            </w:r>
            <w:r>
              <w:rPr>
                <w:rFonts w:hint="eastAsia" w:cs="宋体"/>
                <w:b/>
                <w:bCs/>
                <w:lang w:val="zh-CN" w:eastAsia="zh-CN"/>
              </w:rPr>
              <w:t>（具体以施工图纸与工程量清单为准）。</w:t>
            </w:r>
          </w:p>
          <w:p>
            <w:pPr>
              <w:pStyle w:val="4"/>
              <w:jc w:val="both"/>
              <w:rPr>
                <w:rFonts w:cs="宋体"/>
                <w:lang w:val="zh-CN" w:eastAsia="zh-CN"/>
              </w:rPr>
            </w:pPr>
            <w:r>
              <w:rPr>
                <w:rFonts w:cs="宋体"/>
                <w:lang w:val="zh-CN" w:eastAsia="zh-CN"/>
              </w:rPr>
              <w:t>   </w:t>
            </w:r>
            <w:r>
              <w:rPr>
                <w:rFonts w:cs="宋体"/>
                <w:color w:val="000000"/>
                <w:lang w:val="zh-CN" w:eastAsia="zh-CN"/>
              </w:rPr>
              <w:t> 合同估算价：</w:t>
            </w:r>
            <w:r>
              <w:rPr>
                <w:rFonts w:hint="eastAsia" w:cs="宋体"/>
                <w:color w:val="000000"/>
                <w:lang w:val="en-US" w:eastAsia="zh-CN"/>
              </w:rPr>
              <w:t>1611.713846</w:t>
            </w:r>
            <w:r>
              <w:rPr>
                <w:rFonts w:cs="宋体"/>
                <w:color w:val="000000"/>
                <w:lang w:val="zh-CN" w:eastAsia="zh-CN"/>
              </w:rPr>
              <w:t>万元</w:t>
            </w:r>
          </w:p>
          <w:p>
            <w:pPr>
              <w:pStyle w:val="4"/>
              <w:jc w:val="both"/>
              <w:rPr>
                <w:rFonts w:cs="宋体"/>
                <w:lang w:val="zh-CN" w:eastAsia="zh-CN"/>
              </w:rPr>
            </w:pPr>
            <w:r>
              <w:rPr>
                <w:rFonts w:cs="宋体"/>
                <w:lang w:val="zh-CN" w:eastAsia="zh-CN"/>
              </w:rPr>
              <w:t>    要求工</w:t>
            </w:r>
            <w:r>
              <w:rPr>
                <w:rFonts w:cs="宋体"/>
                <w:color w:val="auto"/>
                <w:lang w:val="zh-CN" w:eastAsia="zh-CN"/>
              </w:rPr>
              <w:t>期：</w:t>
            </w:r>
            <w:r>
              <w:rPr>
                <w:rFonts w:hint="eastAsia" w:cs="宋体"/>
                <w:b/>
                <w:bCs/>
                <w:color w:val="auto"/>
                <w:lang w:val="en-US" w:eastAsia="zh-CN"/>
              </w:rPr>
              <w:t>365</w:t>
            </w:r>
            <w:r>
              <w:rPr>
                <w:rFonts w:cs="宋体"/>
                <w:color w:val="auto"/>
                <w:lang w:val="zh-CN" w:eastAsia="zh-CN"/>
              </w:rPr>
              <w:t>日历天，定额工期</w:t>
            </w:r>
            <w:r>
              <w:rPr>
                <w:rFonts w:hint="eastAsia" w:cs="宋体"/>
                <w:b/>
                <w:bCs/>
                <w:color w:val="auto"/>
                <w:lang w:val="en-US" w:eastAsia="zh-CN"/>
              </w:rPr>
              <w:t>365</w:t>
            </w:r>
            <w:r>
              <w:rPr>
                <w:rFonts w:cs="宋体"/>
                <w:color w:val="auto"/>
                <w:lang w:val="zh-CN" w:eastAsia="zh-CN"/>
              </w:rPr>
              <w:t>日历天【</w:t>
            </w:r>
            <w:r>
              <w:rPr>
                <w:rFonts w:cs="宋体"/>
                <w:lang w:val="zh-CN" w:eastAsia="zh-CN"/>
              </w:rPr>
              <w:t>备注：建筑安装工程定额工期应按《建筑安装工程工期定额（TY01-89-2016）》确定，工期压缩时，宜组织专家论证，且在招标工程量清单中增设提前竣工（赶工补偿）费项目清单。】</w:t>
            </w:r>
          </w:p>
          <w:p>
            <w:pPr>
              <w:pStyle w:val="4"/>
              <w:jc w:val="both"/>
              <w:rPr>
                <w:rFonts w:cs="宋体"/>
                <w:lang w:val="zh-CN" w:eastAsia="zh-CN"/>
              </w:rPr>
            </w:pPr>
            <w:r>
              <w:rPr>
                <w:rFonts w:cs="宋体"/>
                <w:lang w:val="zh-CN" w:eastAsia="zh-CN"/>
              </w:rPr>
              <w:t>    招标范围：</w:t>
            </w:r>
            <w:r>
              <w:rPr>
                <w:rFonts w:hint="eastAsia" w:cs="宋体"/>
                <w:lang w:val="zh-CN" w:eastAsia="zh-CN"/>
              </w:rPr>
              <w:t>包含土建装饰装修工程、水电安装工程等（具体以施工图纸与工程量清单为准）</w:t>
            </w:r>
            <w:r>
              <w:rPr>
                <w:rFonts w:cs="宋体"/>
                <w:lang w:val="zh-CN" w:eastAsia="zh-CN"/>
              </w:rPr>
              <w:t>。</w:t>
            </w:r>
          </w:p>
          <w:p>
            <w:pPr>
              <w:pStyle w:val="4"/>
              <w:jc w:val="both"/>
              <w:rPr>
                <w:rFonts w:cs="宋体"/>
                <w:lang w:val="zh-CN" w:eastAsia="zh-CN"/>
              </w:rPr>
            </w:pPr>
            <w:r>
              <w:rPr>
                <w:rFonts w:cs="宋体"/>
                <w:lang w:val="zh-CN" w:eastAsia="zh-CN"/>
              </w:rPr>
              <w:t>    标段划分：</w:t>
            </w:r>
            <w:r>
              <w:rPr>
                <w:rFonts w:hint="eastAsia" w:cs="宋体"/>
                <w:b/>
                <w:bCs/>
                <w:lang w:val="zh-CN" w:eastAsia="zh-CN"/>
              </w:rPr>
              <w:t>一个标段</w:t>
            </w:r>
          </w:p>
          <w:p>
            <w:pPr>
              <w:pStyle w:val="4"/>
              <w:jc w:val="both"/>
              <w:rPr>
                <w:rFonts w:cs="宋体"/>
                <w:lang w:val="zh-CN" w:eastAsia="zh-CN"/>
              </w:rPr>
            </w:pPr>
            <w:r>
              <w:rPr>
                <w:rFonts w:cs="宋体"/>
                <w:lang w:val="zh-CN" w:eastAsia="zh-CN"/>
              </w:rPr>
              <w:t>    设计单位：</w:t>
            </w:r>
            <w:r>
              <w:rPr>
                <w:rFonts w:hint="eastAsia" w:cs="宋体"/>
                <w:b/>
                <w:bCs/>
                <w:lang w:val="zh-CN" w:eastAsia="zh-CN"/>
              </w:rPr>
              <w:t>广西南都建筑设计有限公司</w:t>
            </w:r>
          </w:p>
          <w:p>
            <w:pPr>
              <w:pStyle w:val="4"/>
              <w:jc w:val="both"/>
              <w:rPr>
                <w:rFonts w:hint="eastAsia" w:cs="宋体"/>
                <w:b/>
                <w:bCs/>
                <w:lang w:val="zh-CN" w:eastAsia="zh-CN"/>
              </w:rPr>
            </w:pPr>
            <w:r>
              <w:rPr>
                <w:rFonts w:cs="宋体"/>
                <w:lang w:val="zh-CN" w:eastAsia="zh-CN"/>
              </w:rPr>
              <w:t>    勘察单位：</w:t>
            </w:r>
            <w:r>
              <w:rPr>
                <w:rFonts w:hint="eastAsia" w:cs="宋体"/>
                <w:b/>
                <w:bCs/>
                <w:lang w:val="zh-CN" w:eastAsia="zh-CN"/>
              </w:rPr>
              <w:t>广西恒企工程技术集团有限公司</w:t>
            </w:r>
          </w:p>
          <w:p>
            <w:pPr>
              <w:pStyle w:val="4"/>
              <w:rPr>
                <w:rFonts w:cs="宋体"/>
                <w:lang w:val="zh-CN" w:eastAsia="zh-CN"/>
              </w:rPr>
            </w:pPr>
            <w:r>
              <w:rPr>
                <w:rFonts w:cs="宋体"/>
                <w:b/>
                <w:bCs/>
                <w:lang w:val="zh-CN" w:eastAsia="zh-CN"/>
              </w:rPr>
              <w:t>3、投标人资格要求</w:t>
            </w:r>
          </w:p>
          <w:p>
            <w:pPr>
              <w:pStyle w:val="4"/>
              <w:ind w:firstLine="960"/>
              <w:jc w:val="both"/>
              <w:rPr>
                <w:rFonts w:cs="宋体"/>
                <w:lang w:val="zh-CN" w:eastAsia="zh-CN"/>
              </w:rPr>
            </w:pPr>
            <w:r>
              <w:rPr>
                <w:rFonts w:cs="宋体"/>
                <w:lang w:val="zh-CN" w:eastAsia="zh-CN"/>
              </w:rPr>
              <w:t>3.1本次招标要求投标人须已办理诚信库入库手续并处于有效状态，具备</w:t>
            </w:r>
            <w:r>
              <w:rPr>
                <w:rFonts w:cs="宋体"/>
                <w:b/>
                <w:bCs/>
                <w:lang w:val="zh-CN" w:eastAsia="zh-CN"/>
              </w:rPr>
              <w:t>[建筑工程施工总承包</w:t>
            </w:r>
            <w:r>
              <w:rPr>
                <w:rFonts w:hint="eastAsia" w:cs="宋体"/>
                <w:b/>
                <w:bCs/>
                <w:lang w:val="zh-CN" w:eastAsia="zh-CN"/>
              </w:rPr>
              <w:t>三</w:t>
            </w:r>
            <w:r>
              <w:rPr>
                <w:rFonts w:cs="宋体"/>
                <w:b/>
                <w:bCs/>
                <w:lang w:val="zh-CN" w:eastAsia="zh-CN"/>
              </w:rPr>
              <w:t>级](含)以上</w:t>
            </w:r>
            <w:r>
              <w:rPr>
                <w:rFonts w:cs="宋体"/>
                <w:lang w:val="zh-CN" w:eastAsia="zh-CN"/>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w:t>
            </w:r>
          </w:p>
          <w:p>
            <w:pPr>
              <w:pStyle w:val="4"/>
              <w:ind w:firstLine="960"/>
              <w:jc w:val="both"/>
              <w:rPr>
                <w:rFonts w:cs="宋体"/>
                <w:lang w:val="zh-CN" w:eastAsia="zh-CN"/>
              </w:rPr>
            </w:pPr>
          </w:p>
          <w:p>
            <w:pPr>
              <w:pStyle w:val="4"/>
              <w:jc w:val="both"/>
              <w:rPr>
                <w:rFonts w:cs="宋体"/>
                <w:lang w:val="zh-CN" w:eastAsia="zh-CN"/>
              </w:rPr>
            </w:pPr>
            <w:r>
              <w:rPr>
                <w:rFonts w:cs="宋体"/>
                <w:lang w:val="zh-CN" w:eastAsia="zh-CN"/>
              </w:rPr>
              <w:t>方面具备相应的施工能力。其中，投标人拟派项目经理须具备</w:t>
            </w:r>
            <w:r>
              <w:rPr>
                <w:rFonts w:cs="宋体"/>
                <w:b/>
                <w:bCs/>
                <w:lang w:val="zh-CN" w:eastAsia="zh-CN"/>
              </w:rPr>
              <w:t>[建筑工程</w:t>
            </w:r>
            <w:r>
              <w:rPr>
                <w:rFonts w:hint="eastAsia" w:cs="宋体"/>
                <w:b/>
                <w:bCs/>
                <w:lang w:val="zh-CN" w:eastAsia="zh-CN"/>
              </w:rPr>
              <w:t>二</w:t>
            </w:r>
            <w:r>
              <w:rPr>
                <w:rFonts w:cs="宋体"/>
                <w:b/>
                <w:bCs/>
                <w:lang w:val="zh-CN" w:eastAsia="zh-CN"/>
              </w:rPr>
              <w:t>级](含)以上</w:t>
            </w:r>
            <w:r>
              <w:rPr>
                <w:rFonts w:cs="宋体"/>
                <w:lang w:val="zh-CN" w:eastAsia="zh-CN"/>
              </w:rPr>
              <w:t>专业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4"/>
              <w:jc w:val="both"/>
              <w:rPr>
                <w:rFonts w:cs="宋体"/>
                <w:lang w:val="zh-CN" w:eastAsia="zh-CN"/>
              </w:rPr>
            </w:pPr>
            <w:r>
              <w:rPr>
                <w:rFonts w:cs="宋体"/>
                <w:lang w:val="zh-CN" w:eastAsia="zh-CN"/>
              </w:rPr>
              <w:t>    3.2业绩要求：无要求</w:t>
            </w:r>
          </w:p>
          <w:p>
            <w:pPr>
              <w:pStyle w:val="4"/>
              <w:jc w:val="both"/>
              <w:rPr>
                <w:rFonts w:cs="宋体"/>
                <w:lang w:val="zh-CN" w:eastAsia="zh-CN"/>
              </w:rPr>
            </w:pPr>
            <w:r>
              <w:rPr>
                <w:rFonts w:cs="宋体"/>
                <w:lang w:val="zh-CN" w:eastAsia="zh-CN"/>
              </w:rPr>
              <w:t>    3.3本次招标不接受联合体投标。</w:t>
            </w:r>
          </w:p>
          <w:p>
            <w:pPr>
              <w:pStyle w:val="4"/>
              <w:jc w:val="both"/>
              <w:rPr>
                <w:rFonts w:cs="宋体"/>
                <w:lang w:val="zh-CN" w:eastAsia="zh-CN"/>
              </w:rPr>
            </w:pPr>
            <w:r>
              <w:rPr>
                <w:rFonts w:cs="宋体"/>
                <w:lang w:val="zh-CN" w:eastAsia="zh-CN"/>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4"/>
              <w:jc w:val="both"/>
              <w:rPr>
                <w:rFonts w:cs="宋体"/>
                <w:lang w:val="zh-CN" w:eastAsia="zh-CN"/>
              </w:rPr>
            </w:pPr>
            <w:r>
              <w:rPr>
                <w:rFonts w:cs="宋体"/>
                <w:lang w:val="zh-CN" w:eastAsia="zh-CN"/>
              </w:rPr>
              <w:t>    3.5投标人信息以广西建筑业企业诚信信息库为准【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cs="宋体"/>
                <w:b/>
                <w:bCs/>
                <w:lang w:val="zh-CN" w:eastAsia="zh-CN"/>
              </w:rPr>
              <w:t>投标人信息以广西建筑业企业诚信信息库为准</w:t>
            </w:r>
            <w:r>
              <w:rPr>
                <w:rFonts w:cs="宋体"/>
                <w:lang w:val="zh-CN" w:eastAsia="zh-CN"/>
              </w:rPr>
              <w:t>”的表述，均同此备注】。</w:t>
            </w:r>
          </w:p>
          <w:p>
            <w:pPr>
              <w:pStyle w:val="4"/>
              <w:rPr>
                <w:rFonts w:cs="宋体"/>
                <w:lang w:val="zh-CN" w:eastAsia="zh-CN"/>
              </w:rPr>
            </w:pPr>
            <w:r>
              <w:rPr>
                <w:rFonts w:cs="宋体"/>
                <w:b/>
                <w:bCs/>
                <w:lang w:val="zh-CN" w:eastAsia="zh-CN"/>
              </w:rPr>
              <w:t>4、投标报名</w:t>
            </w:r>
          </w:p>
          <w:p>
            <w:pPr>
              <w:pStyle w:val="4"/>
              <w:jc w:val="both"/>
              <w:rPr>
                <w:rFonts w:cs="宋体"/>
                <w:lang w:val="zh-CN" w:eastAsia="zh-CN"/>
              </w:rPr>
            </w:pPr>
            <w:r>
              <w:rPr>
                <w:rFonts w:cs="宋体"/>
                <w:lang w:val="zh-CN" w:eastAsia="zh-CN"/>
              </w:rPr>
              <w:t>    网上投标。凡有意参加投标者，请于</w:t>
            </w:r>
            <w:r>
              <w:rPr>
                <w:rFonts w:cs="宋体"/>
                <w:color w:val="auto"/>
                <w:u w:val="single"/>
                <w:lang w:val="zh-CN" w:eastAsia="zh-CN"/>
              </w:rPr>
              <w:t>2020年</w:t>
            </w:r>
            <w:r>
              <w:rPr>
                <w:rFonts w:hint="eastAsia" w:cs="宋体"/>
                <w:color w:val="auto"/>
                <w:u w:val="single"/>
                <w:lang w:val="en-US" w:eastAsia="zh-CN"/>
              </w:rPr>
              <w:t>05</w:t>
            </w:r>
            <w:r>
              <w:rPr>
                <w:rFonts w:hint="eastAsia" w:cs="宋体"/>
                <w:color w:val="auto"/>
                <w:u w:val="single"/>
                <w:lang w:val="zh-CN" w:eastAsia="zh-CN"/>
              </w:rPr>
              <w:t xml:space="preserve"> </w:t>
            </w:r>
            <w:r>
              <w:rPr>
                <w:rFonts w:cs="宋体"/>
                <w:color w:val="auto"/>
                <w:u w:val="single"/>
                <w:lang w:val="zh-CN" w:eastAsia="zh-CN"/>
              </w:rPr>
              <w:t>月</w:t>
            </w:r>
            <w:r>
              <w:rPr>
                <w:rFonts w:hint="eastAsia" w:cs="宋体"/>
                <w:color w:val="auto"/>
                <w:u w:val="single"/>
                <w:lang w:val="en-US" w:eastAsia="zh-CN"/>
              </w:rPr>
              <w:t>21</w:t>
            </w:r>
            <w:r>
              <w:rPr>
                <w:rFonts w:cs="宋体"/>
                <w:color w:val="auto"/>
                <w:u w:val="single"/>
                <w:lang w:val="zh-CN" w:eastAsia="zh-CN"/>
              </w:rPr>
              <w:t>日</w:t>
            </w:r>
            <w:r>
              <w:rPr>
                <w:rFonts w:hint="eastAsia" w:cs="宋体"/>
                <w:color w:val="auto"/>
                <w:u w:val="single"/>
                <w:lang w:val="en-US" w:eastAsia="zh-CN"/>
              </w:rPr>
              <w:t>18</w:t>
            </w:r>
            <w:r>
              <w:rPr>
                <w:rFonts w:cs="宋体"/>
                <w:color w:val="auto"/>
                <w:u w:val="single"/>
                <w:lang w:val="zh-CN" w:eastAsia="zh-CN"/>
              </w:rPr>
              <w:t>时</w:t>
            </w:r>
            <w:r>
              <w:rPr>
                <w:rFonts w:hint="eastAsia" w:cs="宋体"/>
                <w:color w:val="auto"/>
                <w:u w:val="single"/>
                <w:lang w:val="en-US" w:eastAsia="zh-CN"/>
              </w:rPr>
              <w:t>00</w:t>
            </w:r>
            <w:r>
              <w:rPr>
                <w:rFonts w:cs="宋体"/>
                <w:color w:val="auto"/>
                <w:u w:val="single"/>
                <w:lang w:val="zh-CN" w:eastAsia="zh-CN"/>
              </w:rPr>
              <w:t>分</w:t>
            </w:r>
            <w:r>
              <w:rPr>
                <w:rFonts w:cs="宋体"/>
                <w:lang w:val="zh-CN" w:eastAsia="zh-CN"/>
              </w:rPr>
              <w:t>前，由潜在投标人的专职投标员凭本人在“广西建筑市场网站备案”身份证号及密码或企业CA锁登陆百色市公共资源招投标网上交易系统（http://www.bsggzy.org.cn/gxbshy）进行网上投标。</w:t>
            </w:r>
          </w:p>
          <w:p>
            <w:pPr>
              <w:pStyle w:val="4"/>
              <w:rPr>
                <w:rFonts w:cs="宋体"/>
                <w:lang w:val="zh-CN" w:eastAsia="zh-CN"/>
              </w:rPr>
            </w:pPr>
            <w:r>
              <w:rPr>
                <w:rFonts w:cs="宋体"/>
                <w:b/>
                <w:bCs/>
                <w:lang w:val="zh-CN" w:eastAsia="zh-CN"/>
              </w:rPr>
              <w:t>5、招标文件的领取</w:t>
            </w:r>
          </w:p>
          <w:p>
            <w:pPr>
              <w:pStyle w:val="4"/>
              <w:jc w:val="both"/>
              <w:rPr>
                <w:rFonts w:cs="宋体"/>
                <w:lang w:val="zh-CN" w:eastAsia="zh-CN"/>
              </w:rPr>
            </w:pPr>
            <w:r>
              <w:rPr>
                <w:rFonts w:cs="宋体"/>
                <w:lang w:val="zh-CN" w:eastAsia="zh-CN"/>
              </w:rPr>
              <w:t>    5.1凡通过网上投标者，请于</w:t>
            </w:r>
            <w:r>
              <w:rPr>
                <w:rFonts w:cs="宋体"/>
                <w:u w:val="single"/>
                <w:lang w:val="zh-CN" w:eastAsia="zh-CN"/>
              </w:rPr>
              <w:t>2020年05月15日至2020年05月21日</w:t>
            </w:r>
            <w:r>
              <w:rPr>
                <w:rFonts w:cs="宋体"/>
                <w:lang w:val="zh-CN" w:eastAsia="zh-CN"/>
              </w:rPr>
              <w:t>，由潜在投标人的专职投标员凭本人的“广西建筑市场诚信卡”卡号及密码或企业CA锁登陆百色市公共资源招投标网上交易系统（http://www.bsggzy.org.cn/gxbshy）下载招标文件。   </w:t>
            </w:r>
          </w:p>
          <w:p>
            <w:pPr>
              <w:pStyle w:val="4"/>
              <w:rPr>
                <w:rFonts w:cs="宋体"/>
                <w:lang w:val="zh-CN" w:eastAsia="zh-CN"/>
              </w:rPr>
            </w:pPr>
            <w:r>
              <w:rPr>
                <w:rFonts w:cs="宋体"/>
                <w:b/>
                <w:bCs/>
                <w:lang w:val="zh-CN" w:eastAsia="zh-CN"/>
              </w:rPr>
              <w:t>6、投标文件的递交</w:t>
            </w:r>
          </w:p>
          <w:p>
            <w:pPr>
              <w:pStyle w:val="4"/>
              <w:jc w:val="both"/>
              <w:rPr>
                <w:rFonts w:cs="宋体"/>
                <w:lang w:val="zh-CN" w:eastAsia="zh-CN"/>
              </w:rPr>
            </w:pPr>
            <w:r>
              <w:rPr>
                <w:rFonts w:cs="宋体"/>
                <w:lang w:val="zh-CN" w:eastAsia="zh-CN"/>
              </w:rPr>
              <w:t>  6.1投标文件应通过百色市公共资源招投标网上交易系统（http://www.bsggzy.org.cn/gxbshy）递交，截止时间（投标截止时间，下同）为</w:t>
            </w:r>
            <w:r>
              <w:rPr>
                <w:rFonts w:hint="eastAsia" w:cs="宋体"/>
                <w:u w:val="single"/>
                <w:lang w:val="zh-CN" w:eastAsia="zh-CN"/>
              </w:rPr>
              <w:t>2020年06月04日9时30分</w:t>
            </w:r>
            <w:r>
              <w:rPr>
                <w:rFonts w:cs="宋体"/>
                <w:lang w:val="zh-CN" w:eastAsia="zh-CN"/>
              </w:rPr>
              <w:t>。未加密的电子投标文件光盘提交地点为百色市公共资源交易中心(当地交易中心）。</w:t>
            </w:r>
          </w:p>
          <w:p>
            <w:pPr>
              <w:pStyle w:val="4"/>
              <w:ind w:firstLine="960"/>
              <w:jc w:val="both"/>
              <w:rPr>
                <w:rFonts w:cs="宋体"/>
                <w:lang w:val="zh-CN" w:eastAsia="zh-CN"/>
              </w:rPr>
            </w:pPr>
            <w:r>
              <w:rPr>
                <w:rFonts w:cs="宋体"/>
                <w:lang w:val="zh-CN" w:eastAsia="zh-CN"/>
              </w:rPr>
              <w:t>6.2投标人须在投标截止前将加密的投标文件通过百色市公共资源招投标网上交易系统（http://www.bsggzy.org.cn/gxbshy）成功上传，并将与成功上传的投标文件同一时间生成的未加密投标文件电子文本刻录光盘包装密封后，于投标截止前由企业法定代表人或其授权的专职投标员提交到百色市公共资源交易中心，并持专职投标员本人身份证原件（如为法定代表人递交时可持本人身份证原件及本企业任一专职投标员的身份证复印件）、拟投入的项目经理和所有专职安全员的身份证复印件通过广西电子招标投标系统验证，否则投标无效。投标人拟投入项目经理被标注为注册状态异常的，拟投入的项目经理本人须持本人身份证原件出席开标会现场，否则招标人有权拒绝该投标人投标。</w:t>
            </w:r>
          </w:p>
          <w:p>
            <w:pPr>
              <w:pStyle w:val="4"/>
              <w:rPr>
                <w:rFonts w:cs="宋体"/>
                <w:lang w:val="zh-CN" w:eastAsia="zh-CN"/>
              </w:rPr>
            </w:pPr>
            <w:r>
              <w:rPr>
                <w:rFonts w:cs="宋体"/>
                <w:b/>
                <w:bCs/>
                <w:lang w:val="zh-CN" w:eastAsia="zh-CN"/>
              </w:rPr>
              <w:t>7、评标方式</w:t>
            </w:r>
          </w:p>
          <w:p>
            <w:pPr>
              <w:pStyle w:val="4"/>
              <w:jc w:val="both"/>
              <w:rPr>
                <w:rFonts w:cs="宋体"/>
                <w:lang w:val="zh-CN" w:eastAsia="zh-CN"/>
              </w:rPr>
            </w:pPr>
            <w:r>
              <w:rPr>
                <w:rFonts w:cs="宋体"/>
                <w:lang w:val="zh-CN" w:eastAsia="zh-CN"/>
              </w:rPr>
              <w:t>    </w:t>
            </w:r>
            <w:r>
              <w:rPr>
                <w:rFonts w:cs="宋体"/>
                <w:b/>
                <w:bCs/>
                <w:lang w:val="zh-CN" w:eastAsia="zh-CN"/>
              </w:rPr>
              <w:t>综合评估法</w:t>
            </w:r>
          </w:p>
          <w:p>
            <w:pPr>
              <w:pStyle w:val="4"/>
              <w:rPr>
                <w:rFonts w:cs="宋体"/>
                <w:lang w:val="zh-CN" w:eastAsia="zh-CN"/>
              </w:rPr>
            </w:pPr>
            <w:r>
              <w:rPr>
                <w:rFonts w:cs="宋体"/>
                <w:b/>
                <w:bCs/>
                <w:lang w:val="zh-CN" w:eastAsia="zh-CN"/>
              </w:rPr>
              <w:t>8、预付款和进度款支付方式</w:t>
            </w:r>
          </w:p>
          <w:p>
            <w:pPr>
              <w:pStyle w:val="4"/>
              <w:jc w:val="both"/>
              <w:rPr>
                <w:rFonts w:hint="default" w:cs="宋体"/>
                <w:lang w:val="en-US" w:eastAsia="zh-CN"/>
              </w:rPr>
            </w:pPr>
            <w:r>
              <w:rPr>
                <w:rFonts w:cs="宋体"/>
                <w:lang w:val="zh-CN" w:eastAsia="zh-CN"/>
              </w:rPr>
              <w:t>    详见招标文件合同条款</w:t>
            </w:r>
            <w:r>
              <w:rPr>
                <w:rFonts w:hint="eastAsia" w:cs="宋体"/>
                <w:lang w:val="zh-CN" w:eastAsia="zh-CN"/>
              </w:rPr>
              <w:t>。特别说明：现因处于疫情期，相关现场招标投标活动遵循《百色市公共资源交易中心疫情防控期间进场交易项目服务指南》规定，投标人应只派1名代表参加现场交易活动，同时提供“投标人承诺书”及身份证，作为出入交易活动现场凭证。“服务指南”及相关承诺书格式可在百色市公共资源交易中心门户网站下载。</w:t>
            </w:r>
          </w:p>
          <w:p>
            <w:pPr>
              <w:pStyle w:val="4"/>
              <w:rPr>
                <w:rFonts w:cs="宋体"/>
                <w:lang w:val="zh-CN" w:eastAsia="zh-CN"/>
              </w:rPr>
            </w:pPr>
            <w:r>
              <w:rPr>
                <w:rFonts w:cs="宋体"/>
                <w:b/>
                <w:bCs/>
                <w:lang w:val="zh-CN" w:eastAsia="zh-CN"/>
              </w:rPr>
              <w:t>9、发布公告的媒介</w:t>
            </w:r>
          </w:p>
          <w:p>
            <w:pPr>
              <w:pStyle w:val="4"/>
              <w:jc w:val="both"/>
              <w:rPr>
                <w:rFonts w:cs="宋体"/>
                <w:b w:val="0"/>
                <w:bCs w:val="0"/>
                <w:lang w:val="zh-CN" w:eastAsia="zh-CN"/>
              </w:rPr>
            </w:pPr>
            <w:r>
              <w:rPr>
                <w:rFonts w:cs="宋体"/>
                <w:lang w:val="zh-CN" w:eastAsia="zh-CN"/>
              </w:rPr>
              <w:t>    </w:t>
            </w:r>
            <w:r>
              <w:rPr>
                <w:rFonts w:cs="宋体"/>
                <w:b w:val="0"/>
                <w:bCs w:val="0"/>
                <w:lang w:val="zh-CN" w:eastAsia="zh-CN"/>
              </w:rPr>
              <w:t>本次招标公告同时在</w:t>
            </w:r>
            <w:r>
              <w:rPr>
                <w:rFonts w:hint="eastAsia" w:cs="宋体"/>
                <w:b w:val="0"/>
                <w:bCs w:val="0"/>
                <w:lang w:val="zh-CN" w:eastAsia="zh-CN"/>
              </w:rPr>
              <w:t>中国采购与招标网（http://www.chinabidding.com.cn）、广西壮族自治区政府采购网（http://zfcg.gxzf.gov.cn/）、广西壮族自治区招标投标公共服务平台（http://ztb.gxi.gov.cn）、广西百色市住房和城乡建设局网站（http://zjj.baise.gov.cn/）、百色市公共资源交易中心网（http://www.bsggzy.org.cn）</w:t>
            </w:r>
            <w:r>
              <w:rPr>
                <w:rFonts w:cs="宋体"/>
                <w:b w:val="0"/>
                <w:bCs w:val="0"/>
                <w:lang w:val="zh-CN" w:eastAsia="zh-CN"/>
              </w:rPr>
              <w:t>发布。</w:t>
            </w:r>
          </w:p>
          <w:p>
            <w:pPr>
              <w:pStyle w:val="4"/>
              <w:rPr>
                <w:rFonts w:cs="宋体"/>
                <w:lang w:val="zh-CN" w:eastAsia="zh-CN"/>
              </w:rPr>
            </w:pPr>
            <w:r>
              <w:rPr>
                <w:rFonts w:cs="宋体"/>
                <w:b/>
                <w:bCs/>
                <w:lang w:val="zh-CN" w:eastAsia="zh-CN"/>
              </w:rPr>
              <w:t>10、交易服务单位</w:t>
            </w:r>
          </w:p>
          <w:p>
            <w:pPr>
              <w:pStyle w:val="4"/>
              <w:jc w:val="both"/>
              <w:rPr>
                <w:rFonts w:cs="宋体"/>
                <w:lang w:val="zh-CN" w:eastAsia="zh-CN"/>
              </w:rPr>
            </w:pPr>
            <w:r>
              <w:rPr>
                <w:rFonts w:cs="宋体"/>
                <w:lang w:val="zh-CN" w:eastAsia="zh-CN"/>
              </w:rPr>
              <w:t>    </w:t>
            </w:r>
            <w:r>
              <w:rPr>
                <w:rFonts w:cs="宋体"/>
                <w:b/>
                <w:bCs/>
                <w:lang w:val="zh-CN" w:eastAsia="zh-CN"/>
              </w:rPr>
              <w:t>百色市公共资源交易中心</w:t>
            </w:r>
          </w:p>
          <w:p>
            <w:pPr>
              <w:pStyle w:val="4"/>
              <w:rPr>
                <w:rFonts w:cs="宋体"/>
                <w:lang w:val="zh-CN" w:eastAsia="zh-CN"/>
              </w:rPr>
            </w:pPr>
            <w:r>
              <w:rPr>
                <w:rFonts w:cs="宋体"/>
                <w:b/>
                <w:bCs/>
                <w:lang w:val="zh-CN" w:eastAsia="zh-CN"/>
              </w:rPr>
              <w:t>11、监督部门及电话</w:t>
            </w:r>
          </w:p>
          <w:p>
            <w:pPr>
              <w:pStyle w:val="4"/>
              <w:jc w:val="both"/>
              <w:rPr>
                <w:rFonts w:cs="宋体"/>
                <w:lang w:val="zh-CN" w:eastAsia="zh-CN"/>
              </w:rPr>
            </w:pPr>
            <w:r>
              <w:rPr>
                <w:rFonts w:cs="宋体"/>
                <w:lang w:val="zh-CN" w:eastAsia="zh-CN"/>
              </w:rPr>
              <w:t>    </w:t>
            </w:r>
            <w:r>
              <w:rPr>
                <w:rFonts w:cs="宋体"/>
                <w:b/>
                <w:bCs/>
                <w:lang w:val="zh-CN" w:eastAsia="zh-CN"/>
              </w:rPr>
              <w:t>靖西市住房和城乡建设局 电话：0776-6221842</w:t>
            </w:r>
            <w:bookmarkStart w:id="0" w:name="_GoBack"/>
            <w:bookmarkEnd w:id="0"/>
          </w:p>
          <w:p>
            <w:pPr>
              <w:pStyle w:val="4"/>
              <w:rPr>
                <w:rFonts w:cs="宋体"/>
                <w:lang w:val="zh-CN" w:eastAsia="zh-CN"/>
              </w:rPr>
            </w:pPr>
            <w:r>
              <w:rPr>
                <w:rFonts w:cs="宋体"/>
                <w:b/>
                <w:bCs/>
                <w:lang w:val="zh-CN" w:eastAsia="zh-CN"/>
              </w:rPr>
              <w:t>12、注意事项</w:t>
            </w:r>
          </w:p>
          <w:p>
            <w:pPr>
              <w:pStyle w:val="4"/>
              <w:jc w:val="both"/>
              <w:rPr>
                <w:rFonts w:cs="宋体"/>
                <w:lang w:val="zh-CN" w:eastAsia="zh-CN"/>
              </w:rPr>
            </w:pPr>
            <w:r>
              <w:rPr>
                <w:rFonts w:cs="宋体"/>
                <w:lang w:val="zh-CN" w:eastAsia="zh-CN"/>
              </w:rPr>
              <w:t>    12.1潜在投标人必须录入广西建筑业企业诚信信息库管理系统，广西建筑业企业诚信信息库管理系统登陆地址：http://ztb.gxzjt.gov.cn:1121/zjthy/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。由于广西建筑业企业诚信信息库与自治区招标投标系统的相关信息同步存在时间差（非实时同步，每天晚上同步一次），因此投标人应至少开标时间2天前将所需投标材料在诚信库内审核通过。</w:t>
            </w:r>
          </w:p>
          <w:p>
            <w:pPr>
              <w:pStyle w:val="4"/>
              <w:jc w:val="both"/>
              <w:rPr>
                <w:rFonts w:cs="宋体"/>
                <w:lang w:val="zh-CN" w:eastAsia="zh-CN"/>
              </w:rPr>
            </w:pPr>
            <w:r>
              <w:rPr>
                <w:rFonts w:cs="宋体"/>
                <w:lang w:val="zh-CN" w:eastAsia="zh-CN"/>
              </w:rPr>
              <w:t>    12.2投标人须办理企业CA锁后并确保在有效期内才能进行网上投标、下载招标文件、制作投标文件及上传投标文件等业务。未办理企业CA锁的单位，请到</w:t>
            </w:r>
            <w:r>
              <w:rPr>
                <w:rFonts w:cs="宋体"/>
                <w:b/>
                <w:bCs/>
                <w:lang w:val="zh-CN" w:eastAsia="zh-CN"/>
              </w:rPr>
              <w:t>广西数字认证中心服务有限公司</w:t>
            </w:r>
            <w:r>
              <w:rPr>
                <w:rFonts w:cs="宋体"/>
                <w:lang w:val="zh-CN" w:eastAsia="zh-CN"/>
              </w:rPr>
              <w:t>办理，客服电话：</w:t>
            </w:r>
            <w:r>
              <w:rPr>
                <w:rFonts w:cs="宋体"/>
                <w:b/>
                <w:bCs/>
                <w:lang w:val="zh-CN" w:eastAsia="zh-CN"/>
              </w:rPr>
              <w:t>0771-5869801。</w:t>
            </w:r>
          </w:p>
          <w:p>
            <w:pPr>
              <w:pStyle w:val="4"/>
              <w:rPr>
                <w:rFonts w:cs="宋体"/>
                <w:lang w:val="zh-CN" w:eastAsia="zh-CN"/>
              </w:rPr>
            </w:pPr>
            <w:r>
              <w:rPr>
                <w:rFonts w:cs="宋体"/>
                <w:b/>
                <w:bCs/>
                <w:lang w:val="zh-CN" w:eastAsia="zh-CN"/>
              </w:rPr>
              <w:t>13、联系方式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22" w:type="pct"/>
            <w:tcBorders>
              <w:top w:val="nil"/>
              <w:left w:val="nil"/>
              <w:bottom w:val="nil"/>
              <w:right w:val="nil"/>
            </w:tcBorders>
            <w:noWrap w:val="0"/>
            <w:vAlign w:val="center"/>
          </w:tcPr>
          <w:p>
            <w:pPr>
              <w:pStyle w:val="4"/>
              <w:rPr>
                <w:rFonts w:cs="宋体"/>
                <w:lang w:val="zh-CN" w:eastAsia="zh-CN"/>
              </w:rPr>
            </w:pPr>
          </w:p>
        </w:tc>
        <w:tc>
          <w:tcPr>
            <w:tcW w:w="725" w:type="pct"/>
            <w:tcBorders>
              <w:top w:val="nil"/>
              <w:left w:val="nil"/>
              <w:bottom w:val="nil"/>
              <w:right w:val="nil"/>
            </w:tcBorders>
            <w:noWrap w:val="0"/>
            <w:vAlign w:val="center"/>
          </w:tcPr>
          <w:p>
            <w:pPr>
              <w:pStyle w:val="4"/>
              <w:rPr>
                <w:rFonts w:cs="宋体"/>
                <w:lang w:val="zh-CN" w:eastAsia="zh-CN"/>
              </w:rPr>
            </w:pPr>
            <w:r>
              <w:rPr>
                <w:rFonts w:cs="宋体"/>
                <w:lang w:val="zh-CN" w:eastAsia="zh-CN"/>
              </w:rPr>
              <w:t>招 标 人：</w:t>
            </w:r>
          </w:p>
        </w:tc>
        <w:tc>
          <w:tcPr>
            <w:tcW w:w="1401" w:type="pct"/>
            <w:tcBorders>
              <w:top w:val="nil"/>
              <w:left w:val="nil"/>
              <w:bottom w:val="nil"/>
              <w:right w:val="nil"/>
            </w:tcBorders>
            <w:noWrap w:val="0"/>
            <w:vAlign w:val="center"/>
          </w:tcPr>
          <w:p>
            <w:pPr>
              <w:pStyle w:val="4"/>
              <w:rPr>
                <w:rFonts w:cs="宋体"/>
                <w:lang w:val="zh-CN" w:eastAsia="zh-CN"/>
              </w:rPr>
            </w:pPr>
            <w:r>
              <w:rPr>
                <w:rFonts w:hint="eastAsia" w:cs="宋体"/>
                <w:lang w:val="zh-CN" w:eastAsia="zh-CN"/>
              </w:rPr>
              <w:t>靖西市农业农村局</w:t>
            </w:r>
          </w:p>
        </w:tc>
        <w:tc>
          <w:tcPr>
            <w:tcW w:w="821" w:type="pct"/>
            <w:tcBorders>
              <w:top w:val="nil"/>
              <w:left w:val="nil"/>
              <w:bottom w:val="nil"/>
              <w:right w:val="nil"/>
            </w:tcBorders>
            <w:noWrap w:val="0"/>
            <w:vAlign w:val="center"/>
          </w:tcPr>
          <w:p>
            <w:pPr>
              <w:pStyle w:val="4"/>
              <w:rPr>
                <w:rFonts w:cs="宋体"/>
                <w:lang w:val="zh-CN" w:eastAsia="zh-CN"/>
              </w:rPr>
            </w:pPr>
            <w:r>
              <w:rPr>
                <w:rFonts w:cs="宋体"/>
                <w:lang w:val="zh-CN" w:eastAsia="zh-CN"/>
              </w:rPr>
              <w:t>招标代理机构：</w:t>
            </w:r>
          </w:p>
        </w:tc>
        <w:tc>
          <w:tcPr>
            <w:tcW w:w="1730" w:type="pct"/>
            <w:tcBorders>
              <w:top w:val="nil"/>
              <w:left w:val="nil"/>
              <w:bottom w:val="nil"/>
              <w:right w:val="nil"/>
            </w:tcBorders>
            <w:noWrap w:val="0"/>
            <w:vAlign w:val="center"/>
          </w:tcPr>
          <w:p>
            <w:pPr>
              <w:pStyle w:val="4"/>
              <w:rPr>
                <w:rFonts w:cs="宋体"/>
                <w:lang w:val="zh-CN" w:eastAsia="zh-CN"/>
              </w:rPr>
            </w:pPr>
            <w:r>
              <w:rPr>
                <w:rFonts w:hint="eastAsia"/>
                <w:bCs/>
                <w:sz w:val="24"/>
              </w:rPr>
              <w:t>江苏大洲工程项目管理有限公司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22" w:type="pct"/>
            <w:tcBorders>
              <w:top w:val="nil"/>
              <w:left w:val="nil"/>
              <w:bottom w:val="nil"/>
              <w:right w:val="nil"/>
            </w:tcBorders>
            <w:noWrap w:val="0"/>
            <w:vAlign w:val="center"/>
          </w:tcPr>
          <w:p>
            <w:pPr>
              <w:pStyle w:val="4"/>
              <w:rPr>
                <w:rFonts w:cs="宋体"/>
                <w:color w:val="auto"/>
                <w:lang w:val="zh-CN" w:eastAsia="zh-CN"/>
              </w:rPr>
            </w:pPr>
          </w:p>
        </w:tc>
        <w:tc>
          <w:tcPr>
            <w:tcW w:w="725" w:type="pct"/>
            <w:tcBorders>
              <w:top w:val="nil"/>
              <w:left w:val="nil"/>
              <w:bottom w:val="nil"/>
              <w:right w:val="nil"/>
            </w:tcBorders>
            <w:noWrap w:val="0"/>
            <w:vAlign w:val="center"/>
          </w:tcPr>
          <w:p>
            <w:pPr>
              <w:pStyle w:val="4"/>
              <w:rPr>
                <w:rFonts w:cs="宋体"/>
                <w:color w:val="auto"/>
                <w:lang w:val="zh-CN" w:eastAsia="zh-CN"/>
              </w:rPr>
            </w:pPr>
            <w:r>
              <w:rPr>
                <w:rFonts w:cs="宋体"/>
                <w:color w:val="auto"/>
                <w:lang w:val="zh-CN" w:eastAsia="zh-CN"/>
              </w:rPr>
              <w:t>地 址：</w:t>
            </w:r>
          </w:p>
        </w:tc>
        <w:tc>
          <w:tcPr>
            <w:tcW w:w="1401" w:type="pct"/>
            <w:tcBorders>
              <w:top w:val="nil"/>
              <w:left w:val="nil"/>
              <w:bottom w:val="nil"/>
              <w:right w:val="nil"/>
            </w:tcBorders>
            <w:noWrap w:val="0"/>
            <w:vAlign w:val="center"/>
          </w:tcPr>
          <w:p>
            <w:pPr>
              <w:pStyle w:val="4"/>
              <w:rPr>
                <w:rFonts w:hint="default" w:cs="宋体"/>
                <w:color w:val="auto"/>
                <w:lang w:val="en-US" w:eastAsia="zh-CN"/>
              </w:rPr>
            </w:pPr>
            <w:r>
              <w:rPr>
                <w:rFonts w:hint="eastAsia" w:cs="宋体"/>
                <w:color w:val="auto"/>
                <w:lang w:val="zh-CN" w:eastAsia="zh-CN"/>
              </w:rPr>
              <w:t>靖西市绣球大道</w:t>
            </w:r>
            <w:r>
              <w:rPr>
                <w:rFonts w:hint="eastAsia" w:cs="宋体"/>
                <w:color w:val="auto"/>
                <w:lang w:val="en-US" w:eastAsia="zh-CN"/>
              </w:rPr>
              <w:t>751号</w:t>
            </w:r>
          </w:p>
        </w:tc>
        <w:tc>
          <w:tcPr>
            <w:tcW w:w="821" w:type="pct"/>
            <w:tcBorders>
              <w:top w:val="nil"/>
              <w:left w:val="nil"/>
              <w:bottom w:val="nil"/>
              <w:right w:val="nil"/>
            </w:tcBorders>
            <w:noWrap w:val="0"/>
            <w:vAlign w:val="center"/>
          </w:tcPr>
          <w:p>
            <w:pPr>
              <w:pStyle w:val="4"/>
              <w:rPr>
                <w:rFonts w:cs="宋体"/>
                <w:lang w:val="zh-CN" w:eastAsia="zh-CN"/>
              </w:rPr>
            </w:pPr>
            <w:r>
              <w:rPr>
                <w:rFonts w:cs="宋体"/>
                <w:lang w:val="zh-CN" w:eastAsia="zh-CN"/>
              </w:rPr>
              <w:t>地 址：</w:t>
            </w:r>
          </w:p>
        </w:tc>
        <w:tc>
          <w:tcPr>
            <w:tcW w:w="1730" w:type="pct"/>
            <w:tcBorders>
              <w:top w:val="nil"/>
              <w:left w:val="nil"/>
              <w:bottom w:val="nil"/>
              <w:right w:val="nil"/>
            </w:tcBorders>
            <w:noWrap w:val="0"/>
            <w:vAlign w:val="center"/>
          </w:tcPr>
          <w:p>
            <w:pPr>
              <w:pStyle w:val="4"/>
              <w:rPr>
                <w:rFonts w:cs="宋体"/>
                <w:lang w:val="zh-CN" w:eastAsia="zh-CN"/>
              </w:rPr>
            </w:pPr>
            <w:r>
              <w:rPr>
                <w:rFonts w:hint="eastAsia"/>
                <w:bCs/>
                <w:sz w:val="24"/>
              </w:rPr>
              <w:t>广西百色市右江区那毕大道环球商业中心右塔楼17楼1701室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22" w:type="pct"/>
            <w:tcBorders>
              <w:top w:val="nil"/>
              <w:left w:val="nil"/>
              <w:bottom w:val="nil"/>
              <w:right w:val="nil"/>
            </w:tcBorders>
            <w:noWrap w:val="0"/>
            <w:vAlign w:val="center"/>
          </w:tcPr>
          <w:p>
            <w:pPr>
              <w:pStyle w:val="4"/>
              <w:rPr>
                <w:rFonts w:cs="宋体"/>
                <w:color w:val="auto"/>
                <w:lang w:val="zh-CN" w:eastAsia="zh-CN"/>
              </w:rPr>
            </w:pPr>
          </w:p>
        </w:tc>
        <w:tc>
          <w:tcPr>
            <w:tcW w:w="725" w:type="pct"/>
            <w:tcBorders>
              <w:top w:val="nil"/>
              <w:left w:val="nil"/>
              <w:bottom w:val="nil"/>
              <w:right w:val="nil"/>
            </w:tcBorders>
            <w:noWrap w:val="0"/>
            <w:vAlign w:val="center"/>
          </w:tcPr>
          <w:p>
            <w:pPr>
              <w:pStyle w:val="4"/>
              <w:rPr>
                <w:rFonts w:cs="宋体"/>
                <w:color w:val="auto"/>
                <w:lang w:val="zh-CN" w:eastAsia="zh-CN"/>
              </w:rPr>
            </w:pPr>
            <w:r>
              <w:rPr>
                <w:rFonts w:cs="宋体"/>
                <w:color w:val="auto"/>
                <w:lang w:val="zh-CN" w:eastAsia="zh-CN"/>
              </w:rPr>
              <w:t>邮 编：</w:t>
            </w:r>
          </w:p>
        </w:tc>
        <w:tc>
          <w:tcPr>
            <w:tcW w:w="1401" w:type="pct"/>
            <w:tcBorders>
              <w:top w:val="nil"/>
              <w:left w:val="nil"/>
              <w:bottom w:val="nil"/>
              <w:right w:val="nil"/>
            </w:tcBorders>
            <w:noWrap w:val="0"/>
            <w:vAlign w:val="center"/>
          </w:tcPr>
          <w:p>
            <w:pPr>
              <w:pStyle w:val="4"/>
              <w:rPr>
                <w:rFonts w:hint="default" w:cs="宋体"/>
                <w:color w:val="auto"/>
                <w:lang w:val="en-US" w:eastAsia="zh-CN"/>
              </w:rPr>
            </w:pPr>
            <w:r>
              <w:rPr>
                <w:rFonts w:hint="eastAsia" w:cs="宋体"/>
                <w:color w:val="auto"/>
                <w:lang w:val="en-US" w:eastAsia="zh-CN"/>
              </w:rPr>
              <w:t>533800</w:t>
            </w:r>
          </w:p>
        </w:tc>
        <w:tc>
          <w:tcPr>
            <w:tcW w:w="821" w:type="pct"/>
            <w:tcBorders>
              <w:top w:val="nil"/>
              <w:left w:val="nil"/>
              <w:bottom w:val="nil"/>
              <w:right w:val="nil"/>
            </w:tcBorders>
            <w:noWrap w:val="0"/>
            <w:vAlign w:val="center"/>
          </w:tcPr>
          <w:p>
            <w:pPr>
              <w:pStyle w:val="4"/>
              <w:rPr>
                <w:rFonts w:cs="宋体"/>
                <w:lang w:val="zh-CN" w:eastAsia="zh-CN"/>
              </w:rPr>
            </w:pPr>
            <w:r>
              <w:rPr>
                <w:rFonts w:cs="宋体"/>
                <w:lang w:val="zh-CN" w:eastAsia="zh-CN"/>
              </w:rPr>
              <w:t>邮 编：</w:t>
            </w:r>
          </w:p>
        </w:tc>
        <w:tc>
          <w:tcPr>
            <w:tcW w:w="1730" w:type="pct"/>
            <w:tcBorders>
              <w:top w:val="nil"/>
              <w:left w:val="nil"/>
              <w:bottom w:val="nil"/>
              <w:right w:val="nil"/>
            </w:tcBorders>
            <w:noWrap w:val="0"/>
            <w:vAlign w:val="center"/>
          </w:tcPr>
          <w:p>
            <w:pPr>
              <w:pStyle w:val="4"/>
              <w:rPr>
                <w:rFonts w:hint="default" w:cs="宋体"/>
                <w:lang w:val="en-US" w:eastAsia="zh-CN"/>
              </w:rPr>
            </w:pPr>
            <w:r>
              <w:rPr>
                <w:rFonts w:hint="eastAsia" w:cs="宋体"/>
                <w:lang w:val="en-US" w:eastAsia="zh-CN"/>
              </w:rPr>
              <w:t>533000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22" w:type="pct"/>
            <w:tcBorders>
              <w:top w:val="nil"/>
              <w:left w:val="nil"/>
              <w:bottom w:val="nil"/>
              <w:right w:val="nil"/>
            </w:tcBorders>
            <w:noWrap w:val="0"/>
            <w:vAlign w:val="center"/>
          </w:tcPr>
          <w:p>
            <w:pPr>
              <w:pStyle w:val="4"/>
              <w:rPr>
                <w:rFonts w:cs="宋体"/>
                <w:color w:val="auto"/>
                <w:lang w:val="zh-CN" w:eastAsia="zh-CN"/>
              </w:rPr>
            </w:pPr>
          </w:p>
        </w:tc>
        <w:tc>
          <w:tcPr>
            <w:tcW w:w="725" w:type="pct"/>
            <w:tcBorders>
              <w:top w:val="nil"/>
              <w:left w:val="nil"/>
              <w:bottom w:val="nil"/>
              <w:right w:val="nil"/>
            </w:tcBorders>
            <w:noWrap w:val="0"/>
            <w:vAlign w:val="center"/>
          </w:tcPr>
          <w:p>
            <w:pPr>
              <w:pStyle w:val="4"/>
              <w:rPr>
                <w:rFonts w:cs="宋体"/>
                <w:color w:val="auto"/>
                <w:lang w:val="zh-CN" w:eastAsia="zh-CN"/>
              </w:rPr>
            </w:pPr>
            <w:r>
              <w:rPr>
                <w:rFonts w:cs="宋体"/>
                <w:color w:val="auto"/>
                <w:lang w:val="zh-CN" w:eastAsia="zh-CN"/>
              </w:rPr>
              <w:t>联 系 人：</w:t>
            </w:r>
          </w:p>
        </w:tc>
        <w:tc>
          <w:tcPr>
            <w:tcW w:w="1401" w:type="pct"/>
            <w:tcBorders>
              <w:top w:val="nil"/>
              <w:left w:val="nil"/>
              <w:bottom w:val="nil"/>
              <w:right w:val="nil"/>
            </w:tcBorders>
            <w:noWrap w:val="0"/>
            <w:vAlign w:val="center"/>
          </w:tcPr>
          <w:p>
            <w:pPr>
              <w:pStyle w:val="4"/>
              <w:rPr>
                <w:rFonts w:cs="宋体"/>
                <w:color w:val="auto"/>
                <w:lang w:val="zh-CN" w:eastAsia="zh-CN"/>
              </w:rPr>
            </w:pPr>
            <w:r>
              <w:rPr>
                <w:rFonts w:hint="eastAsia" w:cs="宋体"/>
                <w:color w:val="auto"/>
                <w:lang w:val="zh-CN" w:eastAsia="zh-CN"/>
              </w:rPr>
              <w:t>马美秋</w:t>
            </w:r>
          </w:p>
        </w:tc>
        <w:tc>
          <w:tcPr>
            <w:tcW w:w="821" w:type="pct"/>
            <w:tcBorders>
              <w:top w:val="nil"/>
              <w:left w:val="nil"/>
              <w:bottom w:val="nil"/>
              <w:right w:val="nil"/>
            </w:tcBorders>
            <w:noWrap w:val="0"/>
            <w:vAlign w:val="center"/>
          </w:tcPr>
          <w:p>
            <w:pPr>
              <w:pStyle w:val="4"/>
              <w:rPr>
                <w:rFonts w:cs="宋体"/>
                <w:lang w:val="zh-CN" w:eastAsia="zh-CN"/>
              </w:rPr>
            </w:pPr>
            <w:r>
              <w:rPr>
                <w:rFonts w:cs="宋体"/>
                <w:lang w:val="zh-CN" w:eastAsia="zh-CN"/>
              </w:rPr>
              <w:t>联 系 人：</w:t>
            </w:r>
          </w:p>
        </w:tc>
        <w:tc>
          <w:tcPr>
            <w:tcW w:w="1730" w:type="pct"/>
            <w:tcBorders>
              <w:top w:val="nil"/>
              <w:left w:val="nil"/>
              <w:bottom w:val="nil"/>
              <w:right w:val="nil"/>
            </w:tcBorders>
            <w:noWrap w:val="0"/>
            <w:vAlign w:val="center"/>
          </w:tcPr>
          <w:p>
            <w:pPr>
              <w:pStyle w:val="4"/>
              <w:rPr>
                <w:rFonts w:cs="宋体"/>
                <w:lang w:val="zh-CN" w:eastAsia="zh-CN"/>
              </w:rPr>
            </w:pPr>
            <w:r>
              <w:rPr>
                <w:rFonts w:hint="eastAsia" w:hAnsi="宋体"/>
                <w:highlight w:val="white"/>
                <w:lang w:eastAsia="zh-CN"/>
              </w:rPr>
              <w:t>潘幼彩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22" w:type="pct"/>
            <w:tcBorders>
              <w:top w:val="nil"/>
              <w:left w:val="nil"/>
              <w:bottom w:val="nil"/>
              <w:right w:val="nil"/>
            </w:tcBorders>
            <w:noWrap w:val="0"/>
            <w:vAlign w:val="center"/>
          </w:tcPr>
          <w:p>
            <w:pPr>
              <w:pStyle w:val="4"/>
              <w:rPr>
                <w:rFonts w:cs="宋体"/>
                <w:color w:val="auto"/>
                <w:lang w:val="zh-CN" w:eastAsia="zh-CN"/>
              </w:rPr>
            </w:pPr>
          </w:p>
        </w:tc>
        <w:tc>
          <w:tcPr>
            <w:tcW w:w="725" w:type="pct"/>
            <w:tcBorders>
              <w:top w:val="nil"/>
              <w:left w:val="nil"/>
              <w:bottom w:val="nil"/>
              <w:right w:val="nil"/>
            </w:tcBorders>
            <w:noWrap w:val="0"/>
            <w:vAlign w:val="center"/>
          </w:tcPr>
          <w:p>
            <w:pPr>
              <w:pStyle w:val="4"/>
              <w:rPr>
                <w:rFonts w:cs="宋体"/>
                <w:color w:val="auto"/>
                <w:lang w:val="zh-CN" w:eastAsia="zh-CN"/>
              </w:rPr>
            </w:pPr>
            <w:r>
              <w:rPr>
                <w:rFonts w:cs="宋体"/>
                <w:color w:val="auto"/>
                <w:lang w:val="zh-CN" w:eastAsia="zh-CN"/>
              </w:rPr>
              <w:t>电 话：</w:t>
            </w:r>
          </w:p>
        </w:tc>
        <w:tc>
          <w:tcPr>
            <w:tcW w:w="1401" w:type="pct"/>
            <w:tcBorders>
              <w:top w:val="nil"/>
              <w:left w:val="nil"/>
              <w:bottom w:val="nil"/>
              <w:right w:val="nil"/>
            </w:tcBorders>
            <w:noWrap w:val="0"/>
            <w:vAlign w:val="center"/>
          </w:tcPr>
          <w:p>
            <w:pPr>
              <w:pStyle w:val="4"/>
              <w:rPr>
                <w:rFonts w:hint="default" w:cs="宋体"/>
                <w:color w:val="auto"/>
                <w:lang w:val="en-US" w:eastAsia="zh-CN"/>
              </w:rPr>
            </w:pPr>
            <w:r>
              <w:rPr>
                <w:rFonts w:hint="eastAsia" w:cs="宋体"/>
                <w:color w:val="auto"/>
                <w:lang w:val="en-US" w:eastAsia="zh-CN"/>
              </w:rPr>
              <w:t>13788262199</w:t>
            </w:r>
          </w:p>
        </w:tc>
        <w:tc>
          <w:tcPr>
            <w:tcW w:w="821" w:type="pct"/>
            <w:tcBorders>
              <w:top w:val="nil"/>
              <w:left w:val="nil"/>
              <w:bottom w:val="nil"/>
              <w:right w:val="nil"/>
            </w:tcBorders>
            <w:noWrap w:val="0"/>
            <w:vAlign w:val="center"/>
          </w:tcPr>
          <w:p>
            <w:pPr>
              <w:pStyle w:val="4"/>
              <w:rPr>
                <w:rFonts w:cs="宋体"/>
                <w:lang w:val="zh-CN" w:eastAsia="zh-CN"/>
              </w:rPr>
            </w:pPr>
            <w:r>
              <w:rPr>
                <w:rFonts w:cs="宋体"/>
                <w:lang w:val="zh-CN" w:eastAsia="zh-CN"/>
              </w:rPr>
              <w:t>电 话：</w:t>
            </w:r>
          </w:p>
        </w:tc>
        <w:tc>
          <w:tcPr>
            <w:tcW w:w="1730" w:type="pct"/>
            <w:tcBorders>
              <w:top w:val="nil"/>
              <w:left w:val="nil"/>
              <w:bottom w:val="nil"/>
              <w:right w:val="nil"/>
            </w:tcBorders>
            <w:noWrap w:val="0"/>
            <w:vAlign w:val="center"/>
          </w:tcPr>
          <w:p>
            <w:pPr>
              <w:pStyle w:val="4"/>
              <w:rPr>
                <w:rFonts w:cs="宋体"/>
                <w:lang w:val="zh-CN" w:eastAsia="zh-CN"/>
              </w:rPr>
            </w:pPr>
            <w:r>
              <w:rPr>
                <w:rFonts w:hint="eastAsia" w:hAnsi="宋体"/>
                <w:highlight w:val="white"/>
                <w:lang w:val="en-US" w:eastAsia="zh-CN"/>
              </w:rPr>
              <w:t>18907861955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60" w:hRule="atLeast"/>
        </w:trPr>
        <w:tc>
          <w:tcPr>
            <w:tcW w:w="322" w:type="pct"/>
            <w:tcBorders>
              <w:top w:val="nil"/>
              <w:left w:val="nil"/>
              <w:bottom w:val="nil"/>
              <w:right w:val="nil"/>
            </w:tcBorders>
            <w:noWrap w:val="0"/>
            <w:vAlign w:val="center"/>
          </w:tcPr>
          <w:p>
            <w:pPr>
              <w:pStyle w:val="4"/>
              <w:rPr>
                <w:rFonts w:cs="宋体"/>
                <w:color w:val="auto"/>
                <w:lang w:val="zh-CN" w:eastAsia="zh-CN"/>
              </w:rPr>
            </w:pPr>
          </w:p>
        </w:tc>
        <w:tc>
          <w:tcPr>
            <w:tcW w:w="725" w:type="pct"/>
            <w:tcBorders>
              <w:top w:val="nil"/>
              <w:left w:val="nil"/>
              <w:bottom w:val="nil"/>
              <w:right w:val="nil"/>
            </w:tcBorders>
            <w:noWrap w:val="0"/>
            <w:vAlign w:val="center"/>
          </w:tcPr>
          <w:p>
            <w:pPr>
              <w:pStyle w:val="4"/>
              <w:rPr>
                <w:rFonts w:cs="宋体"/>
                <w:color w:val="auto"/>
                <w:lang w:val="zh-CN" w:eastAsia="zh-CN"/>
              </w:rPr>
            </w:pPr>
            <w:r>
              <w:rPr>
                <w:rFonts w:cs="宋体"/>
                <w:color w:val="auto"/>
                <w:lang w:val="zh-CN" w:eastAsia="zh-CN"/>
              </w:rPr>
              <w:t>传 真：</w:t>
            </w:r>
          </w:p>
        </w:tc>
        <w:tc>
          <w:tcPr>
            <w:tcW w:w="1401" w:type="pct"/>
            <w:tcBorders>
              <w:top w:val="nil"/>
              <w:left w:val="nil"/>
              <w:bottom w:val="nil"/>
              <w:right w:val="nil"/>
            </w:tcBorders>
            <w:noWrap w:val="0"/>
            <w:vAlign w:val="center"/>
          </w:tcPr>
          <w:p>
            <w:pPr>
              <w:pStyle w:val="4"/>
              <w:rPr>
                <w:rFonts w:cs="宋体"/>
                <w:color w:val="auto"/>
                <w:lang w:val="zh-CN" w:eastAsia="zh-CN"/>
              </w:rPr>
            </w:pPr>
          </w:p>
        </w:tc>
        <w:tc>
          <w:tcPr>
            <w:tcW w:w="821" w:type="pct"/>
            <w:tcBorders>
              <w:top w:val="nil"/>
              <w:left w:val="nil"/>
              <w:bottom w:val="nil"/>
              <w:right w:val="nil"/>
            </w:tcBorders>
            <w:noWrap w:val="0"/>
            <w:vAlign w:val="center"/>
          </w:tcPr>
          <w:p>
            <w:pPr>
              <w:pStyle w:val="4"/>
              <w:rPr>
                <w:rFonts w:cs="宋体"/>
                <w:lang w:val="zh-CN" w:eastAsia="zh-CN"/>
              </w:rPr>
            </w:pPr>
            <w:r>
              <w:rPr>
                <w:rFonts w:cs="宋体"/>
                <w:lang w:val="zh-CN" w:eastAsia="zh-CN"/>
              </w:rPr>
              <w:t>传 真：</w:t>
            </w:r>
          </w:p>
        </w:tc>
        <w:tc>
          <w:tcPr>
            <w:tcW w:w="1730" w:type="pct"/>
            <w:tcBorders>
              <w:top w:val="nil"/>
              <w:left w:val="nil"/>
              <w:bottom w:val="nil"/>
              <w:right w:val="nil"/>
            </w:tcBorders>
            <w:noWrap w:val="0"/>
            <w:vAlign w:val="center"/>
          </w:tcPr>
          <w:p>
            <w:pPr>
              <w:pStyle w:val="4"/>
              <w:rPr>
                <w:rFonts w:cs="宋体"/>
                <w:lang w:val="zh-CN"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22" w:type="pct"/>
            <w:tcBorders>
              <w:top w:val="nil"/>
              <w:left w:val="nil"/>
              <w:bottom w:val="nil"/>
              <w:right w:val="nil"/>
            </w:tcBorders>
            <w:noWrap w:val="0"/>
            <w:vAlign w:val="center"/>
          </w:tcPr>
          <w:p>
            <w:pPr>
              <w:pStyle w:val="4"/>
              <w:rPr>
                <w:rFonts w:cs="宋体"/>
                <w:lang w:val="zh-CN" w:eastAsia="zh-CN"/>
              </w:rPr>
            </w:pPr>
          </w:p>
        </w:tc>
        <w:tc>
          <w:tcPr>
            <w:tcW w:w="725" w:type="pct"/>
            <w:tcBorders>
              <w:top w:val="nil"/>
              <w:left w:val="nil"/>
              <w:bottom w:val="nil"/>
              <w:right w:val="nil"/>
            </w:tcBorders>
            <w:noWrap w:val="0"/>
            <w:vAlign w:val="center"/>
          </w:tcPr>
          <w:p>
            <w:pPr>
              <w:pStyle w:val="4"/>
              <w:rPr>
                <w:rFonts w:cs="宋体"/>
                <w:lang w:val="zh-CN" w:eastAsia="zh-CN"/>
              </w:rPr>
            </w:pPr>
            <w:r>
              <w:rPr>
                <w:rFonts w:cs="宋体"/>
                <w:lang w:val="zh-CN" w:eastAsia="zh-CN"/>
              </w:rPr>
              <w:t>电 子 邮 件：</w:t>
            </w:r>
          </w:p>
        </w:tc>
        <w:tc>
          <w:tcPr>
            <w:tcW w:w="1401" w:type="pct"/>
            <w:tcBorders>
              <w:top w:val="nil"/>
              <w:left w:val="nil"/>
              <w:bottom w:val="nil"/>
              <w:right w:val="nil"/>
            </w:tcBorders>
            <w:noWrap w:val="0"/>
            <w:vAlign w:val="center"/>
          </w:tcPr>
          <w:p>
            <w:pPr>
              <w:pStyle w:val="4"/>
              <w:rPr>
                <w:rFonts w:cs="宋体"/>
                <w:lang w:val="zh-CN" w:eastAsia="zh-CN"/>
              </w:rPr>
            </w:pPr>
          </w:p>
        </w:tc>
        <w:tc>
          <w:tcPr>
            <w:tcW w:w="821" w:type="pct"/>
            <w:tcBorders>
              <w:top w:val="nil"/>
              <w:left w:val="nil"/>
              <w:bottom w:val="nil"/>
              <w:right w:val="nil"/>
            </w:tcBorders>
            <w:noWrap w:val="0"/>
            <w:vAlign w:val="center"/>
          </w:tcPr>
          <w:p>
            <w:pPr>
              <w:pStyle w:val="4"/>
              <w:rPr>
                <w:rFonts w:cs="宋体"/>
                <w:lang w:val="zh-CN" w:eastAsia="zh-CN"/>
              </w:rPr>
            </w:pPr>
            <w:r>
              <w:rPr>
                <w:rFonts w:cs="宋体"/>
                <w:lang w:val="zh-CN" w:eastAsia="zh-CN"/>
              </w:rPr>
              <w:t>电 子 邮 件：</w:t>
            </w:r>
          </w:p>
        </w:tc>
        <w:tc>
          <w:tcPr>
            <w:tcW w:w="1730" w:type="pct"/>
            <w:tcBorders>
              <w:top w:val="nil"/>
              <w:left w:val="nil"/>
              <w:bottom w:val="nil"/>
              <w:right w:val="nil"/>
            </w:tcBorders>
            <w:noWrap w:val="0"/>
            <w:vAlign w:val="center"/>
          </w:tcPr>
          <w:p>
            <w:pPr>
              <w:pStyle w:val="4"/>
              <w:rPr>
                <w:rFonts w:cs="宋体"/>
                <w:lang w:val="zh-CN"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322" w:type="pct"/>
            <w:tcBorders>
              <w:top w:val="nil"/>
              <w:left w:val="nil"/>
              <w:bottom w:val="nil"/>
              <w:right w:val="nil"/>
            </w:tcBorders>
            <w:noWrap w:val="0"/>
            <w:vAlign w:val="center"/>
          </w:tcPr>
          <w:p>
            <w:pPr>
              <w:pStyle w:val="4"/>
              <w:rPr>
                <w:rFonts w:cs="宋体"/>
                <w:lang w:val="zh-CN" w:eastAsia="zh-CN"/>
              </w:rPr>
            </w:pPr>
          </w:p>
        </w:tc>
        <w:tc>
          <w:tcPr>
            <w:tcW w:w="725" w:type="pct"/>
            <w:tcBorders>
              <w:top w:val="nil"/>
              <w:left w:val="nil"/>
              <w:bottom w:val="nil"/>
              <w:right w:val="nil"/>
            </w:tcBorders>
            <w:noWrap w:val="0"/>
            <w:vAlign w:val="center"/>
          </w:tcPr>
          <w:p>
            <w:pPr>
              <w:pStyle w:val="4"/>
              <w:rPr>
                <w:rFonts w:cs="宋体"/>
                <w:lang w:val="zh-CN" w:eastAsia="zh-CN"/>
              </w:rPr>
            </w:pPr>
            <w:r>
              <w:rPr>
                <w:rFonts w:cs="宋体"/>
                <w:lang w:val="zh-CN" w:eastAsia="zh-CN"/>
              </w:rPr>
              <w:t>网 址：</w:t>
            </w:r>
          </w:p>
        </w:tc>
        <w:tc>
          <w:tcPr>
            <w:tcW w:w="1401" w:type="pct"/>
            <w:tcBorders>
              <w:top w:val="nil"/>
              <w:left w:val="nil"/>
              <w:bottom w:val="nil"/>
              <w:right w:val="nil"/>
            </w:tcBorders>
            <w:noWrap w:val="0"/>
            <w:vAlign w:val="center"/>
          </w:tcPr>
          <w:p>
            <w:pPr>
              <w:pStyle w:val="4"/>
              <w:rPr>
                <w:rFonts w:cs="宋体"/>
                <w:lang w:val="zh-CN" w:eastAsia="zh-CN"/>
              </w:rPr>
            </w:pPr>
          </w:p>
        </w:tc>
        <w:tc>
          <w:tcPr>
            <w:tcW w:w="821" w:type="pct"/>
            <w:tcBorders>
              <w:top w:val="nil"/>
              <w:left w:val="nil"/>
              <w:bottom w:val="nil"/>
              <w:right w:val="nil"/>
            </w:tcBorders>
            <w:noWrap w:val="0"/>
            <w:vAlign w:val="center"/>
          </w:tcPr>
          <w:p>
            <w:pPr>
              <w:pStyle w:val="4"/>
              <w:rPr>
                <w:rFonts w:cs="宋体"/>
                <w:lang w:val="zh-CN" w:eastAsia="zh-CN"/>
              </w:rPr>
            </w:pPr>
            <w:r>
              <w:rPr>
                <w:rFonts w:cs="宋体"/>
                <w:lang w:val="zh-CN" w:eastAsia="zh-CN"/>
              </w:rPr>
              <w:t>网 址：</w:t>
            </w:r>
          </w:p>
        </w:tc>
        <w:tc>
          <w:tcPr>
            <w:tcW w:w="1730" w:type="pct"/>
            <w:tcBorders>
              <w:top w:val="nil"/>
              <w:left w:val="nil"/>
              <w:bottom w:val="nil"/>
              <w:right w:val="nil"/>
            </w:tcBorders>
            <w:noWrap w:val="0"/>
            <w:vAlign w:val="center"/>
          </w:tcPr>
          <w:p>
            <w:pPr>
              <w:pStyle w:val="4"/>
              <w:rPr>
                <w:rFonts w:cs="宋体"/>
                <w:lang w:val="zh-CN" w:eastAsia="zh-CN"/>
              </w:rPr>
            </w:pPr>
          </w:p>
        </w:tc>
      </w:tr>
    </w:tbl>
    <w:p/>
    <w:p/>
    <w:p/>
    <w:p>
      <w:pPr>
        <w:rPr>
          <w:rFonts w:hint="default" w:ascii="宋体" w:hAnsi="宋体" w:eastAsia="宋体" w:cs="宋体"/>
          <w:sz w:val="24"/>
          <w:szCs w:val="24"/>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D3633"/>
    <w:rsid w:val="0ED32F1A"/>
    <w:rsid w:val="14AE634F"/>
    <w:rsid w:val="17BA15EA"/>
    <w:rsid w:val="2BCA5C23"/>
    <w:rsid w:val="310D3633"/>
    <w:rsid w:val="37095648"/>
    <w:rsid w:val="42902FC0"/>
    <w:rsid w:val="57C0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
    <w:qFormat/>
    <w:uiPriority w:val="0"/>
    <w:pPr>
      <w:spacing w:line="384" w:lineRule="auto"/>
    </w:pPr>
    <w:rPr>
      <w:rFonts w:ascii="宋体" w:hAnsi="宋体" w:eastAsia="宋体" w:cs="Times New Roman"/>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2020-05-07T08:40:00Z</dcterms:created>
  <dc:creator>小漫</dc:creator>
  <cp:lastModifiedBy>小漫</cp:lastModifiedBy>
  <cp:lastPrinted>2020-05-08T08:03:00Z</cp:lastPrinted>
  <dcterms:modified xsi:type="dcterms:W3CDTF">2020-05-14T09:20:49Z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