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浦北县党建引领基层治理项目</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sz w:val="32"/>
          <w:szCs w:val="32"/>
        </w:rPr>
      </w:pPr>
      <w:r>
        <w:rPr>
          <w:rFonts w:hint="eastAsia" w:ascii="方正小标宋简体" w:hAnsi="方正小标宋简体" w:eastAsia="方正小标宋简体" w:cs="方正小标宋简体"/>
          <w:kern w:val="0"/>
          <w:sz w:val="44"/>
          <w:szCs w:val="44"/>
          <w:lang w:eastAsia="zh-CN"/>
        </w:rPr>
        <w:t>政府采购方案</w:t>
      </w:r>
      <w:r>
        <w:rPr>
          <w:rFonts w:hint="eastAsia" w:ascii="宋体" w:hAnsi="宋体"/>
          <w:sz w:val="32"/>
          <w:szCs w:val="32"/>
        </w:rPr>
        <w:t xml:space="preserve"> </w:t>
      </w:r>
    </w:p>
    <w:p>
      <w:pPr>
        <w:keepNext w:val="0"/>
        <w:keepLines w:val="0"/>
        <w:pageBreakBefore w:val="0"/>
        <w:kinsoku/>
        <w:wordWrap/>
        <w:overflowPunct/>
        <w:topLinePunct w:val="0"/>
        <w:autoSpaceDE/>
        <w:autoSpaceDN/>
        <w:bidi w:val="0"/>
        <w:adjustRightInd/>
        <w:snapToGrid/>
        <w:spacing w:before="156" w:beforeLines="50" w:line="600" w:lineRule="exact"/>
        <w:jc w:val="center"/>
        <w:textAlignment w:val="auto"/>
        <w:rPr>
          <w:rFonts w:hint="eastAsia" w:ascii="宋体" w:hAnsi="宋体"/>
          <w:sz w:val="32"/>
          <w:szCs w:val="32"/>
        </w:rPr>
      </w:pPr>
    </w:p>
    <w:p>
      <w:pPr>
        <w:keepNext w:val="0"/>
        <w:keepLines w:val="0"/>
        <w:pageBreakBefore w:val="0"/>
        <w:widowControl/>
        <w:kinsoku/>
        <w:wordWrap/>
        <w:overflowPunct/>
        <w:topLinePunct w:val="0"/>
        <w:autoSpaceDE/>
        <w:autoSpaceDN/>
        <w:bidi w:val="0"/>
        <w:adjustRightInd/>
        <w:snapToGrid/>
        <w:spacing w:before="255" w:after="255" w:line="600" w:lineRule="exact"/>
        <w:textAlignment w:val="auto"/>
        <w:rPr>
          <w:rFonts w:ascii="宋体" w:hAnsi="宋体" w:cs="宋体"/>
          <w:kern w:val="0"/>
          <w:sz w:val="32"/>
          <w:szCs w:val="32"/>
        </w:rPr>
      </w:pPr>
      <w:r>
        <w:rPr>
          <w:rFonts w:hint="eastAsia" w:ascii="宋体" w:hAnsi="宋体" w:cs="宋体"/>
          <w:b/>
          <w:bCs/>
          <w:kern w:val="0"/>
          <w:sz w:val="32"/>
          <w:szCs w:val="32"/>
        </w:rPr>
        <w:t>一、项目基本情况</w:t>
      </w:r>
    </w:p>
    <w:p>
      <w:pPr>
        <w:keepNext w:val="0"/>
        <w:keepLines w:val="0"/>
        <w:pageBreakBefore w:val="0"/>
        <w:widowControl/>
        <w:kinsoku/>
        <w:wordWrap/>
        <w:overflowPunct/>
        <w:topLinePunct w:val="0"/>
        <w:autoSpaceDE/>
        <w:autoSpaceDN/>
        <w:bidi w:val="0"/>
        <w:adjustRightInd/>
        <w:snapToGrid/>
        <w:spacing w:before="75" w:after="75" w:line="600" w:lineRule="exact"/>
        <w:jc w:val="left"/>
        <w:textAlignment w:val="auto"/>
        <w:rPr>
          <w:rFonts w:hint="eastAsia" w:ascii="仿宋_GB2312" w:hAnsi="仿宋_GB2312" w:eastAsia="仿宋_GB2312" w:cs="仿宋_GB2312"/>
          <w:kern w:val="0"/>
          <w:sz w:val="32"/>
          <w:szCs w:val="32"/>
        </w:rPr>
      </w:pPr>
      <w:r>
        <w:rPr>
          <w:rFonts w:ascii="宋体" w:hAnsi="宋体" w:cs="宋体"/>
          <w:kern w:val="0"/>
          <w:sz w:val="32"/>
          <w:szCs w:val="32"/>
        </w:rPr>
        <w:t xml:space="preserve">  </w:t>
      </w:r>
      <w:r>
        <w:rPr>
          <w:rFonts w:hint="eastAsia" w:ascii="仿宋_GB2312" w:hAnsi="仿宋_GB2312" w:eastAsia="仿宋_GB2312" w:cs="仿宋_GB2312"/>
          <w:kern w:val="0"/>
          <w:sz w:val="32"/>
          <w:szCs w:val="32"/>
        </w:rPr>
        <w:t> 项目名称：浦北县党建引领基层治理项目</w:t>
      </w:r>
    </w:p>
    <w:p>
      <w:pPr>
        <w:keepNext w:val="0"/>
        <w:keepLines w:val="0"/>
        <w:pageBreakBefore w:val="0"/>
        <w:widowControl/>
        <w:kinsoku/>
        <w:wordWrap/>
        <w:overflowPunct/>
        <w:topLinePunct w:val="0"/>
        <w:autoSpaceDE/>
        <w:autoSpaceDN/>
        <w:bidi w:val="0"/>
        <w:adjustRightInd/>
        <w:snapToGrid/>
        <w:spacing w:before="75" w:after="75"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采购方式：竞争性磋商 </w:t>
      </w:r>
    </w:p>
    <w:p>
      <w:pPr>
        <w:keepNext w:val="0"/>
        <w:keepLines w:val="0"/>
        <w:pageBreakBefore w:val="0"/>
        <w:widowControl/>
        <w:kinsoku/>
        <w:wordWrap/>
        <w:overflowPunct/>
        <w:topLinePunct w:val="0"/>
        <w:autoSpaceDE/>
        <w:autoSpaceDN/>
        <w:bidi w:val="0"/>
        <w:adjustRightInd/>
        <w:snapToGrid/>
        <w:spacing w:before="75" w:after="75"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预算总金额：</w:t>
      </w:r>
      <w:r>
        <w:rPr>
          <w:rFonts w:hint="eastAsia" w:ascii="仿宋_GB2312" w:hAnsi="仿宋_GB2312" w:eastAsia="仿宋_GB2312" w:cs="仿宋_GB2312"/>
          <w:kern w:val="0"/>
          <w:sz w:val="32"/>
          <w:szCs w:val="32"/>
          <w:lang w:val="en-US" w:eastAsia="zh-CN"/>
        </w:rPr>
        <w:t>967000元。</w:t>
      </w:r>
      <w:r>
        <w:rPr>
          <w:rFonts w:hint="eastAsia" w:ascii="仿宋_GB2312" w:hAnsi="仿宋_GB2312"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75" w:after="75" w:line="60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采购需求：浦北县党建引领基层治理采购1项。如需进一步了解详细内容，详见竞争性磋商文件。</w:t>
      </w:r>
    </w:p>
    <w:p>
      <w:pPr>
        <w:keepNext w:val="0"/>
        <w:keepLines w:val="0"/>
        <w:pageBreakBefore w:val="0"/>
        <w:widowControl/>
        <w:kinsoku/>
        <w:wordWrap/>
        <w:overflowPunct/>
        <w:topLinePunct w:val="0"/>
        <w:autoSpaceDE/>
        <w:autoSpaceDN/>
        <w:bidi w:val="0"/>
        <w:adjustRightInd/>
        <w:snapToGrid/>
        <w:spacing w:before="75" w:after="75" w:line="600" w:lineRule="exact"/>
        <w:ind w:firstLine="960" w:firstLineChars="3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最高限价（如有）：/</w:t>
      </w:r>
    </w:p>
    <w:p>
      <w:pPr>
        <w:keepNext w:val="0"/>
        <w:keepLines w:val="0"/>
        <w:pageBreakBefore w:val="0"/>
        <w:widowControl/>
        <w:kinsoku/>
        <w:wordWrap/>
        <w:overflowPunct/>
        <w:topLinePunct w:val="0"/>
        <w:autoSpaceDE/>
        <w:autoSpaceDN/>
        <w:bidi w:val="0"/>
        <w:adjustRightInd/>
        <w:snapToGrid/>
        <w:spacing w:before="75" w:after="75" w:line="600" w:lineRule="exact"/>
        <w:ind w:firstLine="960" w:firstLineChars="3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合同履约期限：自合同签订之日起1年。</w:t>
      </w:r>
    </w:p>
    <w:p>
      <w:pPr>
        <w:keepNext w:val="0"/>
        <w:keepLines w:val="0"/>
        <w:pageBreakBefore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备注：本项目为线上电子磋商项目，有意向参与本项目的供应商应当做好参与全流程电子招标及磋商交易的充分准备。</w:t>
      </w:r>
    </w:p>
    <w:p>
      <w:pPr>
        <w:pStyle w:val="6"/>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cs="宋体"/>
          <w:kern w:val="0"/>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cs="宋体"/>
          <w:kern w:val="0"/>
          <w:sz w:val="32"/>
          <w:szCs w:val="32"/>
        </w:rPr>
      </w:pPr>
    </w:p>
    <w:p>
      <w:pPr>
        <w:pStyle w:val="6"/>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cs="宋体"/>
          <w:kern w:val="0"/>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cs="宋体"/>
          <w:kern w:val="0"/>
          <w:sz w:val="32"/>
          <w:szCs w:val="32"/>
        </w:rPr>
      </w:pPr>
    </w:p>
    <w:p>
      <w:pPr>
        <w:pStyle w:val="6"/>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cs="宋体"/>
          <w:kern w:val="0"/>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cs="宋体"/>
          <w:kern w:val="0"/>
          <w:sz w:val="32"/>
          <w:szCs w:val="32"/>
        </w:rPr>
      </w:pPr>
    </w:p>
    <w:p>
      <w:pPr>
        <w:pStyle w:val="6"/>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cs="宋体"/>
          <w:kern w:val="0"/>
          <w:sz w:val="32"/>
          <w:szCs w:val="32"/>
        </w:rPr>
      </w:pPr>
    </w:p>
    <w:p>
      <w:pPr>
        <w:pStyle w:val="6"/>
        <w:keepNext w:val="0"/>
        <w:keepLines w:val="0"/>
        <w:pageBreakBefore w:val="0"/>
        <w:kinsoku/>
        <w:wordWrap/>
        <w:overflowPunct/>
        <w:topLinePunct w:val="0"/>
        <w:autoSpaceDE/>
        <w:autoSpaceDN/>
        <w:bidi w:val="0"/>
        <w:adjustRightInd/>
        <w:snapToGrid/>
        <w:spacing w:line="600" w:lineRule="exact"/>
        <w:textAlignment w:val="auto"/>
        <w:rPr>
          <w:rFonts w:hint="eastAsia"/>
        </w:rPr>
      </w:pPr>
    </w:p>
    <w:p>
      <w:pPr>
        <w:spacing w:line="560" w:lineRule="exact"/>
        <w:ind w:firstLine="643"/>
        <w:jc w:val="center"/>
        <w:rPr>
          <w:b/>
          <w:sz w:val="36"/>
          <w:szCs w:val="36"/>
        </w:rPr>
      </w:pPr>
      <w:r>
        <w:rPr>
          <w:rFonts w:hint="eastAsia"/>
          <w:b/>
          <w:sz w:val="36"/>
          <w:szCs w:val="36"/>
        </w:rPr>
        <w:t xml:space="preserve"> 浦北党建引领基层治理项目整体投资估算表</w:t>
      </w:r>
    </w:p>
    <w:p>
      <w:pPr>
        <w:pStyle w:val="2"/>
        <w:spacing w:before="0" w:after="0" w:line="560" w:lineRule="exact"/>
        <w:ind w:firstLine="482"/>
        <w:rPr>
          <w:sz w:val="28"/>
          <w:szCs w:val="28"/>
        </w:rPr>
      </w:pPr>
    </w:p>
    <w:tbl>
      <w:tblPr>
        <w:tblStyle w:val="7"/>
        <w:tblW w:w="5000" w:type="pct"/>
        <w:tblInd w:w="0" w:type="dxa"/>
        <w:tblLayout w:type="fixed"/>
        <w:tblCellMar>
          <w:top w:w="0" w:type="dxa"/>
          <w:left w:w="108" w:type="dxa"/>
          <w:bottom w:w="0" w:type="dxa"/>
          <w:right w:w="108" w:type="dxa"/>
        </w:tblCellMar>
      </w:tblPr>
      <w:tblGrid>
        <w:gridCol w:w="519"/>
        <w:gridCol w:w="789"/>
        <w:gridCol w:w="437"/>
        <w:gridCol w:w="1750"/>
        <w:gridCol w:w="582"/>
        <w:gridCol w:w="729"/>
        <w:gridCol w:w="585"/>
        <w:gridCol w:w="876"/>
        <w:gridCol w:w="2255"/>
      </w:tblGrid>
      <w:tr>
        <w:tblPrEx>
          <w:tblCellMar>
            <w:top w:w="0" w:type="dxa"/>
            <w:left w:w="108" w:type="dxa"/>
            <w:bottom w:w="0" w:type="dxa"/>
            <w:right w:w="108" w:type="dxa"/>
          </w:tblCellMar>
        </w:tblPrEx>
        <w:trPr>
          <w:trHeight w:val="300" w:hRule="atLeast"/>
        </w:trPr>
        <w:tc>
          <w:tcPr>
            <w:tcW w:w="3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4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费用类别</w:t>
            </w:r>
          </w:p>
        </w:tc>
        <w:tc>
          <w:tcPr>
            <w:tcW w:w="2396" w:type="pct"/>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规模容量</w:t>
            </w:r>
          </w:p>
        </w:tc>
        <w:tc>
          <w:tcPr>
            <w:tcW w:w="51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投资估算（万元）</w:t>
            </w:r>
          </w:p>
        </w:tc>
        <w:tc>
          <w:tcPr>
            <w:tcW w:w="132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备注</w:t>
            </w:r>
          </w:p>
        </w:tc>
      </w:tr>
      <w:tr>
        <w:tblPrEx>
          <w:tblCellMar>
            <w:top w:w="0" w:type="dxa"/>
            <w:left w:w="108" w:type="dxa"/>
            <w:bottom w:w="0" w:type="dxa"/>
            <w:right w:w="108" w:type="dxa"/>
          </w:tblCellMar>
        </w:tblPrEx>
        <w:trPr>
          <w:trHeight w:val="1765" w:hRule="atLeast"/>
        </w:trPr>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eastAsia="仿宋" w:cs="宋体"/>
                <w:b/>
                <w:bCs/>
                <w:color w:val="000000"/>
                <w:kern w:val="0"/>
                <w:sz w:val="28"/>
                <w:szCs w:val="28"/>
              </w:rPr>
            </w:pPr>
          </w:p>
        </w:tc>
        <w:tc>
          <w:tcPr>
            <w:tcW w:w="46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eastAsia="仿宋" w:cs="宋体"/>
                <w:b/>
                <w:bCs/>
                <w:color w:val="000000"/>
                <w:kern w:val="0"/>
                <w:sz w:val="28"/>
                <w:szCs w:val="28"/>
              </w:rPr>
            </w:pPr>
          </w:p>
        </w:tc>
        <w:tc>
          <w:tcPr>
            <w:tcW w:w="128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项目名称</w:t>
            </w:r>
          </w:p>
        </w:tc>
        <w:tc>
          <w:tcPr>
            <w:tcW w:w="34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单位</w:t>
            </w: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单价（万元）</w:t>
            </w:r>
          </w:p>
        </w:tc>
        <w:tc>
          <w:tcPr>
            <w:tcW w:w="34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数量</w:t>
            </w:r>
          </w:p>
        </w:tc>
        <w:tc>
          <w:tcPr>
            <w:tcW w:w="51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eastAsia="仿宋" w:cs="宋体"/>
                <w:b/>
                <w:bCs/>
                <w:color w:val="000000"/>
                <w:kern w:val="0"/>
                <w:sz w:val="28"/>
                <w:szCs w:val="28"/>
              </w:rPr>
            </w:pPr>
          </w:p>
        </w:tc>
        <w:tc>
          <w:tcPr>
            <w:tcW w:w="132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eastAsia="仿宋" w:cs="宋体"/>
                <w:b/>
                <w:bCs/>
                <w:color w:val="000000"/>
                <w:kern w:val="0"/>
                <w:sz w:val="28"/>
                <w:szCs w:val="28"/>
              </w:rPr>
            </w:pPr>
          </w:p>
        </w:tc>
      </w:tr>
      <w:tr>
        <w:tblPrEx>
          <w:tblCellMar>
            <w:top w:w="0" w:type="dxa"/>
            <w:left w:w="108" w:type="dxa"/>
            <w:bottom w:w="0" w:type="dxa"/>
            <w:right w:w="108" w:type="dxa"/>
          </w:tblCellMar>
        </w:tblPrEx>
        <w:trPr>
          <w:trHeight w:val="624" w:hRule="atLeast"/>
        </w:trPr>
        <w:tc>
          <w:tcPr>
            <w:tcW w:w="304"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一</w:t>
            </w:r>
          </w:p>
        </w:tc>
        <w:tc>
          <w:tcPr>
            <w:tcW w:w="463"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应用软件费用</w:t>
            </w:r>
          </w:p>
        </w:tc>
        <w:tc>
          <w:tcPr>
            <w:tcW w:w="25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10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基础数据整理及建库服务</w:t>
            </w:r>
          </w:p>
        </w:tc>
        <w:tc>
          <w:tcPr>
            <w:tcW w:w="34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套</w:t>
            </w: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.8</w:t>
            </w:r>
          </w:p>
        </w:tc>
        <w:tc>
          <w:tcPr>
            <w:tcW w:w="34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51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.8</w:t>
            </w:r>
          </w:p>
        </w:tc>
        <w:tc>
          <w:tcPr>
            <w:tcW w:w="1323"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312" w:hRule="atLeast"/>
        </w:trPr>
        <w:tc>
          <w:tcPr>
            <w:tcW w:w="304"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8"/>
                <w:szCs w:val="28"/>
              </w:rPr>
            </w:pPr>
          </w:p>
        </w:tc>
        <w:tc>
          <w:tcPr>
            <w:tcW w:w="463"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8"/>
                <w:szCs w:val="28"/>
              </w:rPr>
            </w:pPr>
          </w:p>
        </w:tc>
        <w:tc>
          <w:tcPr>
            <w:tcW w:w="25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0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居民移动端</w:t>
            </w:r>
          </w:p>
        </w:tc>
        <w:tc>
          <w:tcPr>
            <w:tcW w:w="34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套</w:t>
            </w: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9</w:t>
            </w:r>
          </w:p>
        </w:tc>
        <w:tc>
          <w:tcPr>
            <w:tcW w:w="34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51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9</w:t>
            </w:r>
          </w:p>
        </w:tc>
        <w:tc>
          <w:tcPr>
            <w:tcW w:w="1323"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312" w:hRule="atLeast"/>
        </w:trPr>
        <w:tc>
          <w:tcPr>
            <w:tcW w:w="304"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8"/>
                <w:szCs w:val="28"/>
              </w:rPr>
            </w:pPr>
          </w:p>
        </w:tc>
        <w:tc>
          <w:tcPr>
            <w:tcW w:w="463"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8"/>
                <w:szCs w:val="28"/>
              </w:rPr>
            </w:pPr>
          </w:p>
        </w:tc>
        <w:tc>
          <w:tcPr>
            <w:tcW w:w="25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10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管理员移动工作台</w:t>
            </w:r>
          </w:p>
        </w:tc>
        <w:tc>
          <w:tcPr>
            <w:tcW w:w="34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套</w:t>
            </w: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6</w:t>
            </w:r>
            <w:r>
              <w:rPr>
                <w:rFonts w:hint="eastAsia" w:ascii="仿宋" w:hAnsi="仿宋" w:eastAsia="仿宋" w:cs="宋体"/>
                <w:color w:val="000000"/>
                <w:kern w:val="0"/>
                <w:sz w:val="28"/>
                <w:szCs w:val="28"/>
              </w:rPr>
              <w:t>.2</w:t>
            </w:r>
          </w:p>
        </w:tc>
        <w:tc>
          <w:tcPr>
            <w:tcW w:w="34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51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6</w:t>
            </w:r>
            <w:r>
              <w:rPr>
                <w:rFonts w:hint="eastAsia" w:ascii="仿宋" w:hAnsi="仿宋" w:eastAsia="仿宋" w:cs="宋体"/>
                <w:color w:val="000000"/>
                <w:kern w:val="0"/>
                <w:sz w:val="28"/>
                <w:szCs w:val="28"/>
              </w:rPr>
              <w:t>.2</w:t>
            </w:r>
          </w:p>
        </w:tc>
        <w:tc>
          <w:tcPr>
            <w:tcW w:w="1323"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312" w:hRule="atLeast"/>
        </w:trPr>
        <w:tc>
          <w:tcPr>
            <w:tcW w:w="304"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8"/>
                <w:szCs w:val="28"/>
              </w:rPr>
            </w:pPr>
          </w:p>
        </w:tc>
        <w:tc>
          <w:tcPr>
            <w:tcW w:w="463"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8"/>
                <w:szCs w:val="28"/>
              </w:rPr>
            </w:pPr>
          </w:p>
        </w:tc>
        <w:tc>
          <w:tcPr>
            <w:tcW w:w="25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c>
          <w:tcPr>
            <w:tcW w:w="10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pc管理后台</w:t>
            </w:r>
          </w:p>
        </w:tc>
        <w:tc>
          <w:tcPr>
            <w:tcW w:w="34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套</w:t>
            </w: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ascii="仿宋" w:hAnsi="仿宋" w:eastAsia="仿宋" w:cs="宋体"/>
                <w:color w:val="000000"/>
                <w:kern w:val="0"/>
                <w:sz w:val="28"/>
                <w:szCs w:val="28"/>
              </w:rPr>
              <w:t>19</w:t>
            </w:r>
            <w:r>
              <w:rPr>
                <w:rFonts w:hint="eastAsia" w:ascii="仿宋" w:hAnsi="仿宋" w:eastAsia="仿宋" w:cs="宋体"/>
                <w:color w:val="000000"/>
                <w:kern w:val="0"/>
                <w:sz w:val="28"/>
                <w:szCs w:val="28"/>
              </w:rPr>
              <w:t>.8</w:t>
            </w:r>
          </w:p>
        </w:tc>
        <w:tc>
          <w:tcPr>
            <w:tcW w:w="34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51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ascii="仿宋" w:hAnsi="仿宋" w:eastAsia="仿宋" w:cs="宋体"/>
                <w:color w:val="000000"/>
                <w:kern w:val="0"/>
                <w:sz w:val="28"/>
                <w:szCs w:val="28"/>
              </w:rPr>
              <w:t>19</w:t>
            </w:r>
            <w:r>
              <w:rPr>
                <w:rFonts w:hint="eastAsia" w:ascii="仿宋" w:hAnsi="仿宋" w:eastAsia="仿宋" w:cs="宋体"/>
                <w:color w:val="000000"/>
                <w:kern w:val="0"/>
                <w:sz w:val="28"/>
                <w:szCs w:val="28"/>
              </w:rPr>
              <w:t>.8</w:t>
            </w:r>
          </w:p>
        </w:tc>
        <w:tc>
          <w:tcPr>
            <w:tcW w:w="13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312" w:hRule="atLeast"/>
        </w:trPr>
        <w:tc>
          <w:tcPr>
            <w:tcW w:w="304"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8"/>
                <w:szCs w:val="28"/>
              </w:rPr>
            </w:pPr>
          </w:p>
        </w:tc>
        <w:tc>
          <w:tcPr>
            <w:tcW w:w="463"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8"/>
                <w:szCs w:val="28"/>
              </w:rPr>
            </w:pPr>
          </w:p>
        </w:tc>
        <w:tc>
          <w:tcPr>
            <w:tcW w:w="25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p>
        </w:tc>
        <w:tc>
          <w:tcPr>
            <w:tcW w:w="10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领导驾驶舱</w:t>
            </w:r>
          </w:p>
        </w:tc>
        <w:tc>
          <w:tcPr>
            <w:tcW w:w="34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套</w:t>
            </w: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13</w:t>
            </w:r>
          </w:p>
        </w:tc>
        <w:tc>
          <w:tcPr>
            <w:tcW w:w="34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51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13</w:t>
            </w:r>
          </w:p>
        </w:tc>
        <w:tc>
          <w:tcPr>
            <w:tcW w:w="13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312" w:hRule="atLeast"/>
        </w:trPr>
        <w:tc>
          <w:tcPr>
            <w:tcW w:w="304"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8"/>
                <w:szCs w:val="28"/>
              </w:rPr>
            </w:pPr>
          </w:p>
        </w:tc>
        <w:tc>
          <w:tcPr>
            <w:tcW w:w="463"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cs="宋体"/>
                <w:color w:val="000000"/>
                <w:kern w:val="0"/>
                <w:sz w:val="28"/>
                <w:szCs w:val="28"/>
              </w:rPr>
            </w:pPr>
          </w:p>
        </w:tc>
        <w:tc>
          <w:tcPr>
            <w:tcW w:w="25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c>
          <w:tcPr>
            <w:tcW w:w="10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其他系统对接</w:t>
            </w:r>
          </w:p>
        </w:tc>
        <w:tc>
          <w:tcPr>
            <w:tcW w:w="34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套</w:t>
            </w: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34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51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13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804"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二</w:t>
            </w:r>
          </w:p>
        </w:tc>
        <w:tc>
          <w:tcPr>
            <w:tcW w:w="46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软件配套费用</w:t>
            </w:r>
          </w:p>
        </w:tc>
        <w:tc>
          <w:tcPr>
            <w:tcW w:w="25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10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域名、SSL证书</w:t>
            </w:r>
          </w:p>
        </w:tc>
        <w:tc>
          <w:tcPr>
            <w:tcW w:w="34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个</w:t>
            </w: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0.3</w:t>
            </w:r>
          </w:p>
        </w:tc>
        <w:tc>
          <w:tcPr>
            <w:tcW w:w="34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51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0.6</w:t>
            </w:r>
          </w:p>
        </w:tc>
        <w:tc>
          <w:tcPr>
            <w:tcW w:w="13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1.申请域名1个；</w:t>
            </w:r>
          </w:p>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2.需购买ssl证书1个。</w:t>
            </w:r>
          </w:p>
        </w:tc>
      </w:tr>
      <w:tr>
        <w:tblPrEx>
          <w:tblCellMar>
            <w:top w:w="0" w:type="dxa"/>
            <w:left w:w="108" w:type="dxa"/>
            <w:bottom w:w="0" w:type="dxa"/>
            <w:right w:w="108" w:type="dxa"/>
          </w:tblCellMar>
        </w:tblPrEx>
        <w:trPr>
          <w:trHeight w:val="624"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三</w:t>
            </w:r>
          </w:p>
        </w:tc>
        <w:tc>
          <w:tcPr>
            <w:tcW w:w="46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等保测评费</w:t>
            </w:r>
          </w:p>
        </w:tc>
        <w:tc>
          <w:tcPr>
            <w:tcW w:w="25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10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等保测评</w:t>
            </w:r>
          </w:p>
        </w:tc>
        <w:tc>
          <w:tcPr>
            <w:tcW w:w="34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套</w:t>
            </w: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6.8</w:t>
            </w:r>
          </w:p>
        </w:tc>
        <w:tc>
          <w:tcPr>
            <w:tcW w:w="34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51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6.8</w:t>
            </w:r>
          </w:p>
        </w:tc>
        <w:tc>
          <w:tcPr>
            <w:tcW w:w="132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按照等保2</w:t>
            </w:r>
            <w:r>
              <w:rPr>
                <w:rFonts w:ascii="仿宋" w:hAnsi="仿宋" w:eastAsia="仿宋" w:cs="宋体"/>
                <w:color w:val="000000"/>
                <w:kern w:val="0"/>
                <w:sz w:val="28"/>
                <w:szCs w:val="28"/>
              </w:rPr>
              <w:t>.0</w:t>
            </w:r>
            <w:r>
              <w:rPr>
                <w:rFonts w:hint="eastAsia" w:ascii="仿宋" w:hAnsi="仿宋" w:eastAsia="仿宋" w:cs="宋体"/>
                <w:color w:val="000000"/>
                <w:kern w:val="0"/>
                <w:sz w:val="28"/>
                <w:szCs w:val="28"/>
              </w:rPr>
              <w:t>二级标准</w:t>
            </w:r>
          </w:p>
        </w:tc>
      </w:tr>
      <w:tr>
        <w:tblPrEx>
          <w:tblCellMar>
            <w:top w:w="0" w:type="dxa"/>
            <w:left w:w="108" w:type="dxa"/>
            <w:bottom w:w="0" w:type="dxa"/>
            <w:right w:w="108" w:type="dxa"/>
          </w:tblCellMar>
        </w:tblPrEx>
        <w:trPr>
          <w:trHeight w:val="624" w:hRule="atLeast"/>
        </w:trPr>
        <w:tc>
          <w:tcPr>
            <w:tcW w:w="30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四</w:t>
            </w:r>
          </w:p>
        </w:tc>
        <w:tc>
          <w:tcPr>
            <w:tcW w:w="46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系统上云费用</w:t>
            </w:r>
          </w:p>
        </w:tc>
        <w:tc>
          <w:tcPr>
            <w:tcW w:w="25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10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政务云资源</w:t>
            </w:r>
          </w:p>
        </w:tc>
        <w:tc>
          <w:tcPr>
            <w:tcW w:w="34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套</w:t>
            </w:r>
          </w:p>
        </w:tc>
        <w:tc>
          <w:tcPr>
            <w:tcW w:w="42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.5</w:t>
            </w:r>
          </w:p>
        </w:tc>
        <w:tc>
          <w:tcPr>
            <w:tcW w:w="34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51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.5</w:t>
            </w:r>
          </w:p>
        </w:tc>
        <w:tc>
          <w:tcPr>
            <w:tcW w:w="132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系统部署在钦州市政务云</w:t>
            </w:r>
          </w:p>
        </w:tc>
      </w:tr>
      <w:tr>
        <w:tblPrEx>
          <w:tblCellMar>
            <w:top w:w="0" w:type="dxa"/>
            <w:left w:w="108" w:type="dxa"/>
            <w:bottom w:w="0" w:type="dxa"/>
            <w:right w:w="108" w:type="dxa"/>
          </w:tblCellMar>
        </w:tblPrEx>
        <w:trPr>
          <w:trHeight w:val="312" w:hRule="atLeast"/>
        </w:trPr>
        <w:tc>
          <w:tcPr>
            <w:tcW w:w="3163" w:type="pct"/>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合计：</w:t>
            </w:r>
          </w:p>
        </w:tc>
        <w:tc>
          <w:tcPr>
            <w:tcW w:w="51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ascii="仿宋" w:hAnsi="仿宋" w:eastAsia="仿宋" w:cs="宋体"/>
                <w:b/>
                <w:bCs/>
                <w:color w:val="000000"/>
                <w:kern w:val="0"/>
                <w:sz w:val="28"/>
                <w:szCs w:val="28"/>
              </w:rPr>
            </w:pPr>
            <w:r>
              <w:rPr>
                <w:rFonts w:ascii="仿宋" w:hAnsi="仿宋" w:eastAsia="仿宋" w:cs="宋体"/>
                <w:b/>
                <w:bCs/>
                <w:color w:val="000000"/>
                <w:kern w:val="0"/>
                <w:sz w:val="28"/>
                <w:szCs w:val="28"/>
              </w:rPr>
              <w:t>96</w:t>
            </w:r>
            <w:r>
              <w:rPr>
                <w:rFonts w:hint="eastAsia" w:ascii="仿宋" w:hAnsi="仿宋" w:eastAsia="仿宋" w:cs="宋体"/>
                <w:b/>
                <w:bCs/>
                <w:color w:val="000000"/>
                <w:kern w:val="0"/>
                <w:sz w:val="28"/>
                <w:szCs w:val="28"/>
              </w:rPr>
              <w:t>.7</w:t>
            </w:r>
          </w:p>
        </w:tc>
        <w:tc>
          <w:tcPr>
            <w:tcW w:w="132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bl>
    <w:p>
      <w:pPr>
        <w:ind w:firstLine="0" w:firstLineChars="0"/>
        <w:rPr>
          <w:sz w:val="28"/>
          <w:szCs w:val="28"/>
        </w:rPr>
      </w:pPr>
    </w:p>
    <w:p>
      <w:pPr>
        <w:pStyle w:val="6"/>
        <w:keepNext w:val="0"/>
        <w:keepLines w:val="0"/>
        <w:pageBreakBefore w:val="0"/>
        <w:kinsoku/>
        <w:wordWrap/>
        <w:overflowPunct/>
        <w:topLinePunct w:val="0"/>
        <w:autoSpaceDE/>
        <w:autoSpaceDN/>
        <w:bidi w:val="0"/>
        <w:adjustRightInd/>
        <w:snapToGrid/>
        <w:spacing w:line="600" w:lineRule="exact"/>
        <w:textAlignment w:val="auto"/>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1OTNhMzgxNzdjZWZlMDZhNTIzNmNjYmVjNzcyMTMifQ=="/>
  </w:docVars>
  <w:rsids>
    <w:rsidRoot w:val="457B51DB"/>
    <w:rsid w:val="0094335B"/>
    <w:rsid w:val="00BE0102"/>
    <w:rsid w:val="00FC662D"/>
    <w:rsid w:val="0B8D4DCB"/>
    <w:rsid w:val="16CF4394"/>
    <w:rsid w:val="1FDC7921"/>
    <w:rsid w:val="3A667F7C"/>
    <w:rsid w:val="449D0A3E"/>
    <w:rsid w:val="457B51DB"/>
    <w:rsid w:val="49050CAB"/>
    <w:rsid w:val="4C4A5C66"/>
    <w:rsid w:val="58D70A20"/>
    <w:rsid w:val="62700CE4"/>
    <w:rsid w:val="6B6D1BE8"/>
    <w:rsid w:val="79D45E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szCs w:val="2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qFormat/>
    <w:uiPriority w:val="0"/>
    <w:pPr>
      <w:ind w:leftChars="200" w:hanging="200" w:hangingChars="200"/>
    </w:p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0"/>
    <w:rPr>
      <w:rFonts w:asciiTheme="minorHAnsi" w:hAnsiTheme="minorHAnsi" w:eastAsiaTheme="minorEastAsia" w:cstheme="minorBidi"/>
      <w:kern w:val="2"/>
      <w:sz w:val="18"/>
      <w:szCs w:val="18"/>
    </w:rPr>
  </w:style>
  <w:style w:type="paragraph" w:customStyle="1" w:styleId="11">
    <w:name w:val="1"/>
    <w:basedOn w:val="1"/>
    <w:next w:val="3"/>
    <w:uiPriority w:val="0"/>
    <w:rPr>
      <w:rFonts w:ascii="宋体" w:hAnsi="Courier New"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409</Words>
  <Characters>458</Characters>
  <Lines>1</Lines>
  <Paragraphs>1</Paragraphs>
  <TotalTime>2</TotalTime>
  <ScaleCrop>false</ScaleCrop>
  <LinksUpToDate>false</LinksUpToDate>
  <CharactersWithSpaces>480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2020-08-02T09:28:00Z</dcterms:created>
  <dc:creator>蓝格</dc:creator>
  <cp:lastModifiedBy>Administrator</cp:lastModifiedBy>
  <dcterms:modified xsi:type="dcterms:W3CDTF">2023-02-27T03:08:18Z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4A90B5EB7CB2417FAB1E1959BA272845</vt:lpwstr>
  </property>
</Properties>
</file>