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4"/>
          <w:szCs w:val="44"/>
          <w:highlight w:val="none"/>
        </w:rPr>
      </w:pPr>
      <w:bookmarkStart w:id="0" w:name="_Toc295204420"/>
    </w:p>
    <w:p>
      <w:pPr>
        <w:pStyle w:val="2"/>
        <w:rPr>
          <w:rFonts w:hint="default"/>
          <w:color w:val="auto"/>
          <w:highlight w:val="none"/>
        </w:rPr>
      </w:pPr>
    </w:p>
    <w:p>
      <w:pPr>
        <w:pStyle w:val="2"/>
        <w:rPr>
          <w:rFonts w:hint="default"/>
          <w:color w:val="auto"/>
          <w:highlight w:val="none"/>
        </w:rPr>
      </w:pPr>
    </w:p>
    <w:p>
      <w:pPr>
        <w:spacing w:line="540" w:lineRule="exact"/>
        <w:jc w:val="center"/>
        <w:rPr>
          <w:b/>
          <w:bCs/>
          <w:color w:val="auto"/>
          <w:sz w:val="56"/>
          <w:szCs w:val="56"/>
          <w:highlight w:val="none"/>
        </w:rPr>
      </w:pPr>
      <w:r>
        <w:rPr>
          <w:rFonts w:hint="eastAsia"/>
          <w:b/>
          <w:bCs/>
          <w:color w:val="auto"/>
          <w:sz w:val="56"/>
          <w:szCs w:val="56"/>
          <w:highlight w:val="none"/>
        </w:rPr>
        <w:t>平桂区2022年垃圾治理项目</w:t>
      </w:r>
    </w:p>
    <w:p>
      <w:pPr>
        <w:spacing w:line="540" w:lineRule="exact"/>
        <w:rPr>
          <w:color w:val="auto"/>
          <w:szCs w:val="21"/>
          <w:highlight w:val="none"/>
        </w:rPr>
      </w:pPr>
    </w:p>
    <w:p>
      <w:pPr>
        <w:spacing w:line="540" w:lineRule="exact"/>
        <w:rPr>
          <w:color w:val="auto"/>
          <w:szCs w:val="21"/>
          <w:highlight w:val="none"/>
        </w:rPr>
      </w:pPr>
    </w:p>
    <w:p>
      <w:pPr>
        <w:pStyle w:val="2"/>
        <w:rPr>
          <w:rFonts w:hint="default"/>
          <w:color w:val="auto"/>
          <w:szCs w:val="21"/>
          <w:highlight w:val="none"/>
        </w:rPr>
      </w:pPr>
    </w:p>
    <w:p>
      <w:pPr>
        <w:rPr>
          <w:color w:val="auto"/>
          <w:highlight w:val="none"/>
        </w:rPr>
      </w:pPr>
    </w:p>
    <w:p>
      <w:pPr>
        <w:jc w:val="center"/>
        <w:rPr>
          <w:b/>
          <w:bCs/>
          <w:color w:val="auto"/>
          <w:sz w:val="72"/>
          <w:szCs w:val="72"/>
          <w:highlight w:val="none"/>
        </w:rPr>
      </w:pPr>
      <w:r>
        <w:rPr>
          <w:rFonts w:hAnsi="宋体"/>
          <w:b/>
          <w:bCs/>
          <w:color w:val="auto"/>
          <w:sz w:val="72"/>
          <w:szCs w:val="72"/>
          <w:highlight w:val="none"/>
        </w:rPr>
        <w:t>招</w:t>
      </w:r>
      <w:r>
        <w:rPr>
          <w:b/>
          <w:bCs/>
          <w:color w:val="auto"/>
          <w:sz w:val="72"/>
          <w:szCs w:val="72"/>
          <w:highlight w:val="none"/>
        </w:rPr>
        <w:t xml:space="preserve"> </w:t>
      </w:r>
      <w:r>
        <w:rPr>
          <w:rFonts w:hAnsi="宋体"/>
          <w:b/>
          <w:bCs/>
          <w:color w:val="auto"/>
          <w:sz w:val="72"/>
          <w:szCs w:val="72"/>
          <w:highlight w:val="none"/>
        </w:rPr>
        <w:t>标</w:t>
      </w:r>
      <w:r>
        <w:rPr>
          <w:b/>
          <w:bCs/>
          <w:color w:val="auto"/>
          <w:sz w:val="72"/>
          <w:szCs w:val="72"/>
          <w:highlight w:val="none"/>
        </w:rPr>
        <w:t xml:space="preserve"> </w:t>
      </w:r>
      <w:r>
        <w:rPr>
          <w:rFonts w:hAnsi="宋体"/>
          <w:b/>
          <w:bCs/>
          <w:color w:val="auto"/>
          <w:sz w:val="72"/>
          <w:szCs w:val="72"/>
          <w:highlight w:val="none"/>
        </w:rPr>
        <w:t>文</w:t>
      </w:r>
      <w:r>
        <w:rPr>
          <w:b/>
          <w:bCs/>
          <w:color w:val="auto"/>
          <w:sz w:val="72"/>
          <w:szCs w:val="72"/>
          <w:highlight w:val="none"/>
        </w:rPr>
        <w:t xml:space="preserve"> </w:t>
      </w:r>
      <w:r>
        <w:rPr>
          <w:rFonts w:hAnsi="宋体"/>
          <w:b/>
          <w:bCs/>
          <w:color w:val="auto"/>
          <w:sz w:val="72"/>
          <w:szCs w:val="72"/>
          <w:highlight w:val="none"/>
        </w:rPr>
        <w:t>件</w:t>
      </w:r>
    </w:p>
    <w:p>
      <w:pPr>
        <w:spacing w:line="540" w:lineRule="exact"/>
        <w:ind w:firstLine="437"/>
        <w:rPr>
          <w:b/>
          <w:bCs/>
          <w:color w:val="auto"/>
          <w:szCs w:val="21"/>
          <w:highlight w:val="none"/>
        </w:rPr>
      </w:pPr>
    </w:p>
    <w:p>
      <w:pPr>
        <w:pStyle w:val="2"/>
        <w:ind w:left="0"/>
        <w:rPr>
          <w:rFonts w:hint="default"/>
          <w:color w:val="auto"/>
          <w:highlight w:val="none"/>
        </w:rPr>
      </w:pPr>
    </w:p>
    <w:p>
      <w:pPr>
        <w:spacing w:line="540" w:lineRule="exact"/>
        <w:jc w:val="center"/>
        <w:rPr>
          <w:rFonts w:hAnsi="宋体"/>
          <w:b/>
          <w:bCs/>
          <w:color w:val="auto"/>
          <w:sz w:val="36"/>
          <w:szCs w:val="36"/>
          <w:highlight w:val="none"/>
        </w:rPr>
      </w:pPr>
      <w:r>
        <w:rPr>
          <w:rFonts w:hAnsi="宋体"/>
          <w:b/>
          <w:bCs/>
          <w:color w:val="auto"/>
          <w:sz w:val="36"/>
          <w:szCs w:val="36"/>
          <w:highlight w:val="none"/>
        </w:rPr>
        <w:t>项目编号：</w:t>
      </w:r>
      <w:r>
        <w:rPr>
          <w:rFonts w:hint="eastAsia" w:hAnsi="宋体"/>
          <w:b/>
          <w:bCs/>
          <w:color w:val="auto"/>
          <w:sz w:val="36"/>
          <w:szCs w:val="36"/>
          <w:highlight w:val="none"/>
        </w:rPr>
        <w:t>HZZC2022-G1-030212-GXHY</w:t>
      </w:r>
    </w:p>
    <w:p>
      <w:pPr>
        <w:spacing w:line="540" w:lineRule="exact"/>
        <w:ind w:firstLine="437"/>
        <w:rPr>
          <w:b/>
          <w:bCs/>
          <w:color w:val="auto"/>
          <w:sz w:val="36"/>
          <w:szCs w:val="36"/>
          <w:highlight w:val="none"/>
        </w:rPr>
      </w:pPr>
    </w:p>
    <w:p>
      <w:pPr>
        <w:spacing w:line="540" w:lineRule="exact"/>
        <w:ind w:firstLine="437"/>
        <w:rPr>
          <w:color w:val="auto"/>
          <w:szCs w:val="21"/>
          <w:highlight w:val="none"/>
        </w:rPr>
      </w:pPr>
    </w:p>
    <w:p>
      <w:pPr>
        <w:pStyle w:val="2"/>
        <w:rPr>
          <w:rFonts w:hint="default"/>
          <w:color w:val="auto"/>
          <w:szCs w:val="21"/>
          <w:highlight w:val="none"/>
        </w:rPr>
      </w:pPr>
    </w:p>
    <w:p>
      <w:pPr>
        <w:rPr>
          <w:color w:val="auto"/>
          <w:szCs w:val="21"/>
          <w:highlight w:val="none"/>
        </w:rPr>
      </w:pPr>
    </w:p>
    <w:p>
      <w:pPr>
        <w:pStyle w:val="2"/>
        <w:rPr>
          <w:rFonts w:hint="default"/>
          <w:color w:val="auto"/>
          <w:highlight w:val="none"/>
        </w:rPr>
      </w:pPr>
    </w:p>
    <w:p>
      <w:pPr>
        <w:spacing w:line="540" w:lineRule="exact"/>
        <w:rPr>
          <w:color w:val="auto"/>
          <w:szCs w:val="21"/>
          <w:highlight w:val="none"/>
        </w:rPr>
      </w:pPr>
    </w:p>
    <w:p>
      <w:pPr>
        <w:spacing w:line="540" w:lineRule="exact"/>
        <w:ind w:firstLine="437"/>
        <w:jc w:val="center"/>
        <w:rPr>
          <w:color w:val="auto"/>
          <w:szCs w:val="21"/>
          <w:highlight w:val="none"/>
        </w:rPr>
      </w:pPr>
    </w:p>
    <w:p>
      <w:pPr>
        <w:spacing w:line="540" w:lineRule="exact"/>
        <w:ind w:firstLine="1942" w:firstLineChars="607"/>
        <w:rPr>
          <w:color w:val="auto"/>
          <w:sz w:val="32"/>
          <w:szCs w:val="32"/>
          <w:highlight w:val="none"/>
        </w:rPr>
      </w:pPr>
      <w:r>
        <w:rPr>
          <w:rFonts w:hint="eastAsia" w:hAnsi="宋体"/>
          <w:color w:val="auto"/>
          <w:sz w:val="32"/>
          <w:szCs w:val="32"/>
          <w:highlight w:val="none"/>
        </w:rPr>
        <w:t>采购</w:t>
      </w:r>
      <w:r>
        <w:rPr>
          <w:rFonts w:hAnsi="宋体"/>
          <w:color w:val="auto"/>
          <w:sz w:val="32"/>
          <w:szCs w:val="32"/>
          <w:highlight w:val="none"/>
        </w:rPr>
        <w:t>人：</w:t>
      </w:r>
      <w:r>
        <w:rPr>
          <w:rFonts w:hint="eastAsia"/>
          <w:color w:val="auto"/>
          <w:sz w:val="32"/>
          <w:szCs w:val="32"/>
          <w:highlight w:val="none"/>
        </w:rPr>
        <w:t>贺州市平桂区住房和城乡建设局</w:t>
      </w:r>
    </w:p>
    <w:p>
      <w:pPr>
        <w:spacing w:line="540" w:lineRule="exact"/>
        <w:ind w:firstLine="437"/>
        <w:jc w:val="center"/>
        <w:rPr>
          <w:color w:val="auto"/>
          <w:sz w:val="32"/>
          <w:szCs w:val="32"/>
          <w:highlight w:val="none"/>
        </w:rPr>
      </w:pPr>
    </w:p>
    <w:p>
      <w:pPr>
        <w:spacing w:line="540" w:lineRule="exact"/>
        <w:ind w:firstLine="437"/>
        <w:jc w:val="center"/>
        <w:rPr>
          <w:color w:val="auto"/>
          <w:sz w:val="32"/>
          <w:szCs w:val="32"/>
          <w:highlight w:val="none"/>
        </w:rPr>
      </w:pPr>
      <w:r>
        <w:rPr>
          <w:rFonts w:hint="eastAsia" w:hAnsi="宋体"/>
          <w:color w:val="auto"/>
          <w:sz w:val="32"/>
          <w:szCs w:val="32"/>
          <w:highlight w:val="none"/>
        </w:rPr>
        <w:t>采购</w:t>
      </w:r>
      <w:r>
        <w:rPr>
          <w:rFonts w:hAnsi="宋体"/>
          <w:color w:val="auto"/>
          <w:sz w:val="32"/>
          <w:szCs w:val="32"/>
          <w:highlight w:val="none"/>
        </w:rPr>
        <w:t>代理机构：</w:t>
      </w:r>
      <w:r>
        <w:rPr>
          <w:rFonts w:hint="eastAsia"/>
          <w:color w:val="auto"/>
          <w:sz w:val="32"/>
          <w:szCs w:val="32"/>
          <w:highlight w:val="none"/>
        </w:rPr>
        <w:t>广西华禹工程咨询有限公司</w:t>
      </w:r>
    </w:p>
    <w:p>
      <w:pPr>
        <w:spacing w:line="540" w:lineRule="exact"/>
        <w:ind w:firstLine="437"/>
        <w:jc w:val="center"/>
        <w:rPr>
          <w:color w:val="auto"/>
          <w:sz w:val="32"/>
          <w:szCs w:val="32"/>
          <w:highlight w:val="none"/>
        </w:rPr>
      </w:pPr>
    </w:p>
    <w:p>
      <w:pPr>
        <w:spacing w:line="540" w:lineRule="exact"/>
        <w:ind w:firstLine="1942" w:firstLineChars="607"/>
        <w:rPr>
          <w:color w:val="auto"/>
          <w:sz w:val="32"/>
          <w:szCs w:val="32"/>
          <w:highlight w:val="none"/>
        </w:rPr>
      </w:pPr>
      <w:r>
        <w:rPr>
          <w:rFonts w:hAnsi="宋体"/>
          <w:color w:val="auto"/>
          <w:sz w:val="32"/>
          <w:szCs w:val="32"/>
          <w:highlight w:val="none"/>
        </w:rPr>
        <w:t>日</w:t>
      </w:r>
      <w:r>
        <w:rPr>
          <w:color w:val="auto"/>
          <w:sz w:val="32"/>
          <w:szCs w:val="32"/>
          <w:highlight w:val="none"/>
        </w:rPr>
        <w:t xml:space="preserve">  </w:t>
      </w:r>
      <w:r>
        <w:rPr>
          <w:rFonts w:hint="eastAsia"/>
          <w:color w:val="auto"/>
          <w:sz w:val="32"/>
          <w:szCs w:val="32"/>
          <w:highlight w:val="none"/>
        </w:rPr>
        <w:t xml:space="preserve"> </w:t>
      </w:r>
      <w:r>
        <w:rPr>
          <w:color w:val="auto"/>
          <w:sz w:val="32"/>
          <w:szCs w:val="32"/>
          <w:highlight w:val="none"/>
        </w:rPr>
        <w:t xml:space="preserve"> </w:t>
      </w:r>
      <w:r>
        <w:rPr>
          <w:rFonts w:hAnsi="宋体"/>
          <w:color w:val="auto"/>
          <w:sz w:val="32"/>
          <w:szCs w:val="32"/>
          <w:highlight w:val="none"/>
        </w:rPr>
        <w:t>期：</w:t>
      </w:r>
      <w:r>
        <w:rPr>
          <w:rFonts w:hint="eastAsia"/>
          <w:color w:val="auto"/>
          <w:sz w:val="32"/>
          <w:szCs w:val="32"/>
          <w:highlight w:val="none"/>
        </w:rPr>
        <w:t>2022年10月 17 日</w:t>
      </w:r>
    </w:p>
    <w:p>
      <w:pPr>
        <w:spacing w:before="165" w:beforeLines="50" w:after="165" w:afterLines="50" w:line="336" w:lineRule="auto"/>
        <w:ind w:left="-2" w:leftChars="-1" w:right="25" w:rightChars="12"/>
        <w:jc w:val="center"/>
        <w:rPr>
          <w:rFonts w:hAnsi="宋体" w:cs="宋体"/>
          <w:color w:val="auto"/>
          <w:sz w:val="24"/>
          <w:szCs w:val="24"/>
          <w:highlight w:val="none"/>
        </w:rPr>
      </w:pPr>
      <w:r>
        <w:rPr>
          <w:rFonts w:ascii="黑体" w:eastAsia="黑体"/>
          <w:color w:val="auto"/>
          <w:sz w:val="24"/>
          <w:szCs w:val="24"/>
          <w:highlight w:val="none"/>
        </w:rPr>
        <w:br w:type="page"/>
      </w:r>
      <w:r>
        <w:rPr>
          <w:rFonts w:hint="eastAsia" w:hAnsi="宋体" w:cs="宋体"/>
          <w:b/>
          <w:bCs/>
          <w:color w:val="auto"/>
          <w:sz w:val="36"/>
          <w:szCs w:val="36"/>
          <w:highlight w:val="none"/>
        </w:rPr>
        <w:t>目  录</w:t>
      </w:r>
    </w:p>
    <w:p>
      <w:pPr>
        <w:pStyle w:val="11"/>
        <w:tabs>
          <w:tab w:val="right" w:leader="dot" w:pos="9412"/>
        </w:tabs>
        <w:rPr>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"1-2" \h \z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"_Toc23407" </w:instrText>
      </w:r>
      <w:r>
        <w:rPr>
          <w:color w:val="auto"/>
          <w:highlight w:val="none"/>
        </w:rPr>
        <w:fldChar w:fldCharType="separate"/>
      </w:r>
      <w:r>
        <w:rPr>
          <w:rFonts w:hint="eastAsia" w:ascii="黑体" w:eastAsia="黑体"/>
          <w:color w:val="auto"/>
          <w:sz w:val="24"/>
          <w:szCs w:val="24"/>
          <w:highlight w:val="none"/>
        </w:rPr>
        <w:t>第一章</w:t>
      </w:r>
      <w:r>
        <w:rPr>
          <w:rFonts w:ascii="黑体" w:eastAsia="黑体"/>
          <w:color w:val="auto"/>
          <w:sz w:val="24"/>
          <w:szCs w:val="24"/>
          <w:highlight w:val="none"/>
        </w:rPr>
        <w:t xml:space="preserve">  </w:t>
      </w:r>
      <w:r>
        <w:rPr>
          <w:rFonts w:hint="eastAsia" w:ascii="黑体" w:eastAsia="黑体"/>
          <w:color w:val="auto"/>
          <w:sz w:val="24"/>
          <w:szCs w:val="24"/>
          <w:highlight w:val="none"/>
        </w:rPr>
        <w:t>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_Toc23407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p>
    <w:p>
      <w:pPr>
        <w:pStyle w:val="11"/>
        <w:tabs>
          <w:tab w:val="right" w:leader="dot" w:pos="9412"/>
        </w:tabs>
        <w:rPr>
          <w:color w:val="auto"/>
          <w:sz w:val="24"/>
          <w:szCs w:val="24"/>
          <w:highlight w:val="none"/>
        </w:rPr>
      </w:pPr>
      <w:r>
        <w:rPr>
          <w:color w:val="auto"/>
          <w:highlight w:val="none"/>
        </w:rPr>
        <w:fldChar w:fldCharType="begin"/>
      </w:r>
      <w:r>
        <w:rPr>
          <w:color w:val="auto"/>
          <w:highlight w:val="none"/>
        </w:rPr>
        <w:instrText xml:space="preserve"> HYPERLINK \l "_Toc19202" </w:instrText>
      </w:r>
      <w:r>
        <w:rPr>
          <w:color w:val="auto"/>
          <w:highlight w:val="none"/>
        </w:rPr>
        <w:fldChar w:fldCharType="separate"/>
      </w:r>
      <w:r>
        <w:rPr>
          <w:rFonts w:hint="eastAsia" w:ascii="黑体" w:hAnsi="Verdana" w:eastAsia="黑体"/>
          <w:color w:val="auto"/>
          <w:sz w:val="24"/>
          <w:szCs w:val="24"/>
          <w:highlight w:val="none"/>
        </w:rPr>
        <w:t>第二章</w:t>
      </w:r>
      <w:r>
        <w:rPr>
          <w:rFonts w:ascii="黑体" w:hAnsi="Verdana" w:eastAsia="黑体"/>
          <w:color w:val="auto"/>
          <w:sz w:val="24"/>
          <w:szCs w:val="24"/>
          <w:highlight w:val="none"/>
        </w:rPr>
        <w:t xml:space="preserve">  </w:t>
      </w:r>
      <w:r>
        <w:rPr>
          <w:rFonts w:hint="eastAsia" w:ascii="黑体" w:hAnsi="Verdana" w:eastAsia="黑体"/>
          <w:color w:val="auto"/>
          <w:sz w:val="24"/>
          <w:szCs w:val="24"/>
          <w:highlight w:val="none"/>
        </w:rPr>
        <w:t>投标人须知及前附表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_Toc19202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pPr>
        <w:pStyle w:val="14"/>
        <w:tabs>
          <w:tab w:val="right" w:leader="dot" w:pos="9412"/>
        </w:tabs>
        <w:rPr>
          <w:color w:val="auto"/>
          <w:sz w:val="24"/>
          <w:szCs w:val="24"/>
          <w:highlight w:val="none"/>
        </w:rPr>
      </w:pPr>
      <w:r>
        <w:rPr>
          <w:color w:val="auto"/>
          <w:highlight w:val="none"/>
        </w:rPr>
        <w:fldChar w:fldCharType="begin"/>
      </w:r>
      <w:r>
        <w:rPr>
          <w:color w:val="auto"/>
          <w:highlight w:val="none"/>
        </w:rPr>
        <w:instrText xml:space="preserve"> HYPERLINK \l "_Toc21319" </w:instrText>
      </w:r>
      <w:r>
        <w:rPr>
          <w:color w:val="auto"/>
          <w:highlight w:val="none"/>
        </w:rPr>
        <w:fldChar w:fldCharType="separate"/>
      </w:r>
      <w:r>
        <w:rPr>
          <w:rFonts w:hint="eastAsia" w:ascii="黑体" w:hAnsi="Verdana" w:eastAsia="黑体"/>
          <w:color w:val="auto"/>
          <w:sz w:val="24"/>
          <w:szCs w:val="24"/>
          <w:highlight w:val="none"/>
          <w:lang w:eastAsia="en-US"/>
        </w:rPr>
        <w:t>投标人须知前附表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_Toc21319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pPr>
        <w:pStyle w:val="14"/>
        <w:tabs>
          <w:tab w:val="right" w:leader="dot" w:pos="9412"/>
        </w:tabs>
        <w:rPr>
          <w:color w:val="auto"/>
          <w:sz w:val="24"/>
          <w:szCs w:val="24"/>
          <w:highlight w:val="none"/>
        </w:rPr>
      </w:pPr>
      <w:r>
        <w:rPr>
          <w:color w:val="auto"/>
          <w:highlight w:val="none"/>
        </w:rPr>
        <w:fldChar w:fldCharType="begin"/>
      </w:r>
      <w:r>
        <w:rPr>
          <w:color w:val="auto"/>
          <w:highlight w:val="none"/>
        </w:rPr>
        <w:instrText xml:space="preserve"> HYPERLINK \l "_Toc10987" </w:instrText>
      </w:r>
      <w:r>
        <w:rPr>
          <w:color w:val="auto"/>
          <w:highlight w:val="none"/>
        </w:rPr>
        <w:fldChar w:fldCharType="separate"/>
      </w:r>
      <w:r>
        <w:rPr>
          <w:rFonts w:hint="eastAsia" w:ascii="黑体" w:hAnsi="Verdana" w:eastAsia="黑体"/>
          <w:color w:val="auto"/>
          <w:sz w:val="24"/>
          <w:szCs w:val="24"/>
          <w:highlight w:val="none"/>
        </w:rPr>
        <w:t>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_Toc10987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color w:val="auto"/>
          <w:sz w:val="24"/>
          <w:szCs w:val="24"/>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"_Toc12882" </w:instrText>
      </w:r>
      <w:r>
        <w:rPr>
          <w:color w:val="auto"/>
          <w:highlight w:val="none"/>
        </w:rPr>
        <w:fldChar w:fldCharType="separate"/>
      </w:r>
      <w:r>
        <w:rPr>
          <w:rFonts w:asciiTheme="minorEastAsia" w:hAnsiTheme="minorEastAsia" w:eastAsiaTheme="minorEastAsia"/>
          <w:color w:val="auto"/>
          <w:sz w:val="22"/>
          <w:szCs w:val="22"/>
          <w:highlight w:val="none"/>
        </w:rPr>
        <w:t>1.</w:t>
      </w:r>
      <w:r>
        <w:rPr>
          <w:rFonts w:hint="eastAsia" w:asciiTheme="minorEastAsia" w:hAnsiTheme="minorEastAsia" w:eastAsiaTheme="minorEastAsia"/>
          <w:color w:val="auto"/>
          <w:sz w:val="22"/>
          <w:szCs w:val="22"/>
          <w:highlight w:val="none"/>
        </w:rPr>
        <w:t>总则</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_Toc12882 \h </w:instrText>
      </w:r>
      <w:r>
        <w:rPr>
          <w:color w:val="auto"/>
          <w:sz w:val="22"/>
          <w:szCs w:val="22"/>
          <w:highlight w:val="none"/>
        </w:rPr>
        <w:fldChar w:fldCharType="separate"/>
      </w:r>
      <w:r>
        <w:rPr>
          <w:color w:val="auto"/>
          <w:sz w:val="22"/>
          <w:szCs w:val="22"/>
          <w:highlight w:val="none"/>
        </w:rPr>
        <w:t>10</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"_Toc4627" </w:instrText>
      </w:r>
      <w:r>
        <w:rPr>
          <w:color w:val="auto"/>
          <w:highlight w:val="none"/>
        </w:rPr>
        <w:fldChar w:fldCharType="separate"/>
      </w:r>
      <w:r>
        <w:rPr>
          <w:rFonts w:asciiTheme="minorEastAsia" w:hAnsiTheme="minorEastAsia" w:eastAsiaTheme="minorEastAsia"/>
          <w:color w:val="auto"/>
          <w:sz w:val="22"/>
          <w:szCs w:val="22"/>
          <w:highlight w:val="none"/>
        </w:rPr>
        <w:t>2.</w:t>
      </w:r>
      <w:r>
        <w:rPr>
          <w:rFonts w:hint="eastAsia" w:asciiTheme="minorEastAsia" w:hAnsiTheme="minorEastAsia" w:eastAsiaTheme="minorEastAsia"/>
          <w:color w:val="auto"/>
          <w:sz w:val="22"/>
          <w:szCs w:val="22"/>
          <w:highlight w:val="none"/>
        </w:rPr>
        <w:t>资金来源</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_Toc4627 \h </w:instrText>
      </w:r>
      <w:r>
        <w:rPr>
          <w:color w:val="auto"/>
          <w:sz w:val="22"/>
          <w:szCs w:val="22"/>
          <w:highlight w:val="none"/>
        </w:rPr>
        <w:fldChar w:fldCharType="separate"/>
      </w:r>
      <w:r>
        <w:rPr>
          <w:color w:val="auto"/>
          <w:sz w:val="22"/>
          <w:szCs w:val="22"/>
          <w:highlight w:val="none"/>
        </w:rPr>
        <w:t>10</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"_Toc28193" </w:instrText>
      </w:r>
      <w:r>
        <w:rPr>
          <w:color w:val="auto"/>
          <w:highlight w:val="none"/>
        </w:rPr>
        <w:fldChar w:fldCharType="separate"/>
      </w:r>
      <w:r>
        <w:rPr>
          <w:rFonts w:asciiTheme="minorEastAsia" w:hAnsiTheme="minorEastAsia" w:eastAsiaTheme="minorEastAsia"/>
          <w:color w:val="auto"/>
          <w:sz w:val="22"/>
          <w:szCs w:val="22"/>
          <w:highlight w:val="none"/>
        </w:rPr>
        <w:t>3.</w:t>
      </w:r>
      <w:r>
        <w:rPr>
          <w:rFonts w:hint="eastAsia" w:asciiTheme="minorEastAsia" w:hAnsiTheme="minorEastAsia" w:eastAsiaTheme="minorEastAsia"/>
          <w:color w:val="auto"/>
          <w:kern w:val="20"/>
          <w:sz w:val="22"/>
          <w:szCs w:val="22"/>
          <w:highlight w:val="none"/>
        </w:rPr>
        <w:t>投标人资格条件</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_Toc28193 \h </w:instrText>
      </w:r>
      <w:r>
        <w:rPr>
          <w:color w:val="auto"/>
          <w:sz w:val="22"/>
          <w:szCs w:val="22"/>
          <w:highlight w:val="none"/>
        </w:rPr>
        <w:fldChar w:fldCharType="separate"/>
      </w:r>
      <w:r>
        <w:rPr>
          <w:color w:val="auto"/>
          <w:sz w:val="22"/>
          <w:szCs w:val="22"/>
          <w:highlight w:val="none"/>
        </w:rPr>
        <w:t>10</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"_Toc4217" </w:instrText>
      </w:r>
      <w:r>
        <w:rPr>
          <w:color w:val="auto"/>
          <w:highlight w:val="none"/>
        </w:rPr>
        <w:fldChar w:fldCharType="separate"/>
      </w:r>
      <w:r>
        <w:rPr>
          <w:rFonts w:asciiTheme="minorEastAsia" w:hAnsiTheme="minorEastAsia" w:eastAsiaTheme="minorEastAsia"/>
          <w:color w:val="auto"/>
          <w:sz w:val="22"/>
          <w:szCs w:val="22"/>
          <w:highlight w:val="none"/>
        </w:rPr>
        <w:t>4.</w:t>
      </w:r>
      <w:r>
        <w:rPr>
          <w:rFonts w:hint="eastAsia" w:asciiTheme="minorEastAsia" w:hAnsiTheme="minorEastAsia" w:eastAsiaTheme="minorEastAsia"/>
          <w:color w:val="auto"/>
          <w:sz w:val="22"/>
          <w:szCs w:val="22"/>
          <w:highlight w:val="none"/>
        </w:rPr>
        <w:t>投标费用</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_Toc4217 \h </w:instrText>
      </w:r>
      <w:r>
        <w:rPr>
          <w:color w:val="auto"/>
          <w:sz w:val="22"/>
          <w:szCs w:val="22"/>
          <w:highlight w:val="none"/>
        </w:rPr>
        <w:fldChar w:fldCharType="separate"/>
      </w:r>
      <w:r>
        <w:rPr>
          <w:color w:val="auto"/>
          <w:sz w:val="22"/>
          <w:szCs w:val="22"/>
          <w:highlight w:val="none"/>
        </w:rPr>
        <w:t>10</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"_Toc19611" </w:instrText>
      </w:r>
      <w:r>
        <w:rPr>
          <w:color w:val="auto"/>
          <w:highlight w:val="none"/>
        </w:rPr>
        <w:fldChar w:fldCharType="separate"/>
      </w:r>
      <w:r>
        <w:rPr>
          <w:rFonts w:asciiTheme="minorEastAsia" w:hAnsiTheme="minorEastAsia" w:eastAsiaTheme="minorEastAsia"/>
          <w:color w:val="auto"/>
          <w:sz w:val="22"/>
          <w:szCs w:val="22"/>
          <w:highlight w:val="none"/>
        </w:rPr>
        <w:t>5.</w:t>
      </w:r>
      <w:r>
        <w:rPr>
          <w:rFonts w:hint="eastAsia" w:asciiTheme="minorEastAsia" w:hAnsiTheme="minorEastAsia" w:eastAsiaTheme="minorEastAsia"/>
          <w:color w:val="auto"/>
          <w:sz w:val="22"/>
          <w:szCs w:val="22"/>
          <w:highlight w:val="none"/>
        </w:rPr>
        <w:t>招标文件的组成</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_Toc19611 \h </w:instrText>
      </w:r>
      <w:r>
        <w:rPr>
          <w:color w:val="auto"/>
          <w:sz w:val="22"/>
          <w:szCs w:val="22"/>
          <w:highlight w:val="none"/>
        </w:rPr>
        <w:fldChar w:fldCharType="separate"/>
      </w:r>
      <w:r>
        <w:rPr>
          <w:color w:val="auto"/>
          <w:sz w:val="22"/>
          <w:szCs w:val="22"/>
          <w:highlight w:val="none"/>
        </w:rPr>
        <w:t>10</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"_Toc6821" </w:instrText>
      </w:r>
      <w:r>
        <w:rPr>
          <w:color w:val="auto"/>
          <w:highlight w:val="none"/>
        </w:rPr>
        <w:fldChar w:fldCharType="separate"/>
      </w:r>
      <w:r>
        <w:rPr>
          <w:rFonts w:asciiTheme="minorEastAsia" w:hAnsiTheme="minorEastAsia" w:eastAsiaTheme="minorEastAsia"/>
          <w:color w:val="auto"/>
          <w:sz w:val="22"/>
          <w:szCs w:val="22"/>
          <w:highlight w:val="none"/>
        </w:rPr>
        <w:t>6.</w:t>
      </w:r>
      <w:r>
        <w:rPr>
          <w:rFonts w:hint="eastAsia" w:asciiTheme="minorEastAsia" w:hAnsiTheme="minorEastAsia" w:eastAsiaTheme="minorEastAsia"/>
          <w:color w:val="auto"/>
          <w:sz w:val="22"/>
          <w:szCs w:val="22"/>
          <w:highlight w:val="none"/>
        </w:rPr>
        <w:t>招标文件的澄清和修改</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_Toc6821 \h </w:instrText>
      </w:r>
      <w:r>
        <w:rPr>
          <w:color w:val="auto"/>
          <w:sz w:val="22"/>
          <w:szCs w:val="22"/>
          <w:highlight w:val="none"/>
        </w:rPr>
        <w:fldChar w:fldCharType="separate"/>
      </w:r>
      <w:r>
        <w:rPr>
          <w:color w:val="auto"/>
          <w:sz w:val="22"/>
          <w:szCs w:val="22"/>
          <w:highlight w:val="none"/>
        </w:rPr>
        <w:t>10</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"_Toc9571" </w:instrText>
      </w:r>
      <w:r>
        <w:rPr>
          <w:color w:val="auto"/>
          <w:highlight w:val="none"/>
        </w:rPr>
        <w:fldChar w:fldCharType="separate"/>
      </w:r>
      <w:r>
        <w:rPr>
          <w:rFonts w:asciiTheme="minorEastAsia" w:hAnsiTheme="minorEastAsia" w:eastAsiaTheme="minorEastAsia"/>
          <w:color w:val="auto"/>
          <w:sz w:val="22"/>
          <w:szCs w:val="22"/>
          <w:highlight w:val="none"/>
        </w:rPr>
        <w:t>7.</w:t>
      </w:r>
      <w:r>
        <w:rPr>
          <w:rFonts w:hint="eastAsia" w:asciiTheme="minorEastAsia" w:hAnsiTheme="minorEastAsia" w:eastAsiaTheme="minorEastAsia"/>
          <w:color w:val="auto"/>
          <w:sz w:val="22"/>
          <w:szCs w:val="22"/>
          <w:highlight w:val="none"/>
        </w:rPr>
        <w:t>投标价格</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_Toc9571 \h </w:instrText>
      </w:r>
      <w:r>
        <w:rPr>
          <w:color w:val="auto"/>
          <w:sz w:val="22"/>
          <w:szCs w:val="22"/>
          <w:highlight w:val="none"/>
        </w:rPr>
        <w:fldChar w:fldCharType="separate"/>
      </w:r>
      <w:r>
        <w:rPr>
          <w:color w:val="auto"/>
          <w:sz w:val="22"/>
          <w:szCs w:val="22"/>
          <w:highlight w:val="none"/>
        </w:rPr>
        <w:t>10</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"_Toc29188" </w:instrText>
      </w:r>
      <w:r>
        <w:rPr>
          <w:color w:val="auto"/>
          <w:highlight w:val="none"/>
        </w:rPr>
        <w:fldChar w:fldCharType="separate"/>
      </w:r>
      <w:r>
        <w:rPr>
          <w:rFonts w:asciiTheme="minorEastAsia" w:hAnsiTheme="minorEastAsia" w:eastAsiaTheme="minorEastAsia"/>
          <w:color w:val="auto"/>
          <w:sz w:val="22"/>
          <w:szCs w:val="22"/>
          <w:highlight w:val="none"/>
        </w:rPr>
        <w:t>8.</w:t>
      </w:r>
      <w:r>
        <w:rPr>
          <w:rFonts w:hint="eastAsia" w:asciiTheme="minorEastAsia" w:hAnsiTheme="minorEastAsia" w:eastAsiaTheme="minorEastAsia"/>
          <w:color w:val="auto"/>
          <w:sz w:val="22"/>
          <w:szCs w:val="22"/>
          <w:highlight w:val="none"/>
        </w:rPr>
        <w:t>投标文件编写注意事项</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_Toc29188 \h </w:instrText>
      </w:r>
      <w:r>
        <w:rPr>
          <w:color w:val="auto"/>
          <w:sz w:val="22"/>
          <w:szCs w:val="22"/>
          <w:highlight w:val="none"/>
        </w:rPr>
        <w:fldChar w:fldCharType="separate"/>
      </w:r>
      <w:r>
        <w:rPr>
          <w:color w:val="auto"/>
          <w:sz w:val="22"/>
          <w:szCs w:val="22"/>
          <w:highlight w:val="none"/>
        </w:rPr>
        <w:t>11</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"_Toc9023" </w:instrText>
      </w:r>
      <w:r>
        <w:rPr>
          <w:color w:val="auto"/>
          <w:highlight w:val="none"/>
        </w:rPr>
        <w:fldChar w:fldCharType="separate"/>
      </w:r>
      <w:r>
        <w:rPr>
          <w:rFonts w:asciiTheme="minorEastAsia" w:hAnsiTheme="minorEastAsia" w:eastAsiaTheme="minorEastAsia"/>
          <w:color w:val="auto"/>
          <w:sz w:val="22"/>
          <w:szCs w:val="22"/>
          <w:highlight w:val="none"/>
        </w:rPr>
        <w:t>9.</w:t>
      </w:r>
      <w:r>
        <w:rPr>
          <w:rFonts w:hint="eastAsia" w:asciiTheme="minorEastAsia" w:hAnsiTheme="minorEastAsia" w:eastAsiaTheme="minorEastAsia"/>
          <w:color w:val="auto"/>
          <w:sz w:val="22"/>
          <w:szCs w:val="22"/>
          <w:highlight w:val="none"/>
        </w:rPr>
        <w:t>投标文件的组成</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_Toc9023 \h </w:instrText>
      </w:r>
      <w:r>
        <w:rPr>
          <w:color w:val="auto"/>
          <w:sz w:val="22"/>
          <w:szCs w:val="22"/>
          <w:highlight w:val="none"/>
        </w:rPr>
        <w:fldChar w:fldCharType="separate"/>
      </w:r>
      <w:r>
        <w:rPr>
          <w:color w:val="auto"/>
          <w:sz w:val="22"/>
          <w:szCs w:val="22"/>
          <w:highlight w:val="none"/>
        </w:rPr>
        <w:t>11</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"_Toc28968" </w:instrText>
      </w:r>
      <w:r>
        <w:rPr>
          <w:color w:val="auto"/>
          <w:highlight w:val="none"/>
        </w:rPr>
        <w:fldChar w:fldCharType="separate"/>
      </w:r>
      <w:r>
        <w:rPr>
          <w:rFonts w:asciiTheme="minorEastAsia" w:hAnsiTheme="minorEastAsia" w:eastAsiaTheme="minorEastAsia"/>
          <w:color w:val="auto"/>
          <w:sz w:val="22"/>
          <w:szCs w:val="22"/>
          <w:highlight w:val="none"/>
        </w:rPr>
        <w:t>10.</w:t>
      </w:r>
      <w:r>
        <w:rPr>
          <w:rFonts w:hint="eastAsia" w:asciiTheme="minorEastAsia" w:hAnsiTheme="minorEastAsia" w:eastAsiaTheme="minorEastAsia"/>
          <w:color w:val="auto"/>
          <w:sz w:val="22"/>
          <w:szCs w:val="22"/>
          <w:highlight w:val="none"/>
        </w:rPr>
        <w:t>投标有效期</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_Toc28968 \h </w:instrText>
      </w:r>
      <w:r>
        <w:rPr>
          <w:color w:val="auto"/>
          <w:sz w:val="22"/>
          <w:szCs w:val="22"/>
          <w:highlight w:val="none"/>
        </w:rPr>
        <w:fldChar w:fldCharType="separate"/>
      </w:r>
      <w:r>
        <w:rPr>
          <w:color w:val="auto"/>
          <w:sz w:val="22"/>
          <w:szCs w:val="22"/>
          <w:highlight w:val="none"/>
        </w:rPr>
        <w:t>11</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"_Toc11729" </w:instrText>
      </w:r>
      <w:r>
        <w:rPr>
          <w:color w:val="auto"/>
          <w:highlight w:val="none"/>
        </w:rPr>
        <w:fldChar w:fldCharType="separate"/>
      </w:r>
      <w:r>
        <w:rPr>
          <w:rFonts w:asciiTheme="minorEastAsia" w:hAnsiTheme="minorEastAsia" w:eastAsiaTheme="minorEastAsia"/>
          <w:color w:val="auto"/>
          <w:sz w:val="22"/>
          <w:szCs w:val="22"/>
          <w:highlight w:val="none"/>
        </w:rPr>
        <w:t>11.</w:t>
      </w:r>
      <w:r>
        <w:rPr>
          <w:rFonts w:hint="eastAsia" w:asciiTheme="minorEastAsia" w:hAnsiTheme="minorEastAsia" w:eastAsiaTheme="minorEastAsia"/>
          <w:color w:val="auto"/>
          <w:sz w:val="22"/>
          <w:szCs w:val="22"/>
          <w:highlight w:val="none"/>
        </w:rPr>
        <w:t>投标保证金</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_Toc11729 \h </w:instrText>
      </w:r>
      <w:r>
        <w:rPr>
          <w:color w:val="auto"/>
          <w:sz w:val="22"/>
          <w:szCs w:val="22"/>
          <w:highlight w:val="none"/>
        </w:rPr>
        <w:fldChar w:fldCharType="separate"/>
      </w:r>
      <w:r>
        <w:rPr>
          <w:color w:val="auto"/>
          <w:sz w:val="22"/>
          <w:szCs w:val="22"/>
          <w:highlight w:val="none"/>
        </w:rPr>
        <w:t>12</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"_Toc25367" </w:instrText>
      </w:r>
      <w:r>
        <w:rPr>
          <w:color w:val="auto"/>
          <w:highlight w:val="none"/>
        </w:rPr>
        <w:fldChar w:fldCharType="separate"/>
      </w:r>
      <w:r>
        <w:rPr>
          <w:rFonts w:asciiTheme="minorEastAsia" w:hAnsiTheme="minorEastAsia" w:eastAsiaTheme="minorEastAsia"/>
          <w:color w:val="auto"/>
          <w:sz w:val="22"/>
          <w:szCs w:val="22"/>
          <w:highlight w:val="none"/>
        </w:rPr>
        <w:t>12.</w:t>
      </w:r>
      <w:r>
        <w:rPr>
          <w:rFonts w:hint="eastAsia" w:asciiTheme="minorEastAsia" w:hAnsiTheme="minorEastAsia" w:eastAsiaTheme="minorEastAsia"/>
          <w:color w:val="auto"/>
          <w:sz w:val="22"/>
          <w:szCs w:val="22"/>
          <w:highlight w:val="none"/>
        </w:rPr>
        <w:t>勘察现场和投标答疑</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_Toc25367 \h </w:instrText>
      </w:r>
      <w:r>
        <w:rPr>
          <w:color w:val="auto"/>
          <w:sz w:val="22"/>
          <w:szCs w:val="22"/>
          <w:highlight w:val="none"/>
        </w:rPr>
        <w:fldChar w:fldCharType="separate"/>
      </w:r>
      <w:r>
        <w:rPr>
          <w:color w:val="auto"/>
          <w:sz w:val="22"/>
          <w:szCs w:val="22"/>
          <w:highlight w:val="none"/>
        </w:rPr>
        <w:t>12</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"_Toc9777" </w:instrText>
      </w:r>
      <w:r>
        <w:rPr>
          <w:color w:val="auto"/>
          <w:highlight w:val="none"/>
        </w:rPr>
        <w:fldChar w:fldCharType="separate"/>
      </w:r>
      <w:r>
        <w:rPr>
          <w:rFonts w:asciiTheme="minorEastAsia" w:hAnsiTheme="minorEastAsia" w:eastAsiaTheme="minorEastAsia"/>
          <w:color w:val="auto"/>
          <w:sz w:val="22"/>
          <w:szCs w:val="22"/>
          <w:highlight w:val="none"/>
        </w:rPr>
        <w:t>13.</w:t>
      </w:r>
      <w:r>
        <w:rPr>
          <w:rFonts w:hint="eastAsia" w:asciiTheme="minorEastAsia" w:hAnsiTheme="minorEastAsia" w:eastAsiaTheme="minorEastAsia"/>
          <w:color w:val="auto"/>
          <w:sz w:val="22"/>
          <w:szCs w:val="22"/>
          <w:highlight w:val="none"/>
        </w:rPr>
        <w:t>投标文件的份数和签署</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_Toc9777 \h </w:instrText>
      </w:r>
      <w:r>
        <w:rPr>
          <w:color w:val="auto"/>
          <w:sz w:val="22"/>
          <w:szCs w:val="22"/>
          <w:highlight w:val="none"/>
        </w:rPr>
        <w:fldChar w:fldCharType="separate"/>
      </w:r>
      <w:r>
        <w:rPr>
          <w:color w:val="auto"/>
          <w:sz w:val="22"/>
          <w:szCs w:val="22"/>
          <w:highlight w:val="none"/>
        </w:rPr>
        <w:t>12</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"_Toc1552" </w:instrText>
      </w:r>
      <w:r>
        <w:rPr>
          <w:color w:val="auto"/>
          <w:highlight w:val="none"/>
        </w:rPr>
        <w:fldChar w:fldCharType="separate"/>
      </w:r>
      <w:r>
        <w:rPr>
          <w:rFonts w:asciiTheme="minorEastAsia" w:hAnsiTheme="minorEastAsia" w:eastAsiaTheme="minorEastAsia"/>
          <w:color w:val="auto"/>
          <w:sz w:val="22"/>
          <w:szCs w:val="22"/>
          <w:highlight w:val="none"/>
        </w:rPr>
        <w:t>14.</w:t>
      </w:r>
      <w:r>
        <w:rPr>
          <w:rFonts w:hint="eastAsia" w:asciiTheme="minorEastAsia" w:hAnsiTheme="minorEastAsia" w:eastAsiaTheme="minorEastAsia"/>
          <w:color w:val="auto"/>
          <w:sz w:val="22"/>
          <w:szCs w:val="22"/>
          <w:highlight w:val="none"/>
        </w:rPr>
        <w:t>投标文件的提交</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_Toc1552 \h </w:instrText>
      </w:r>
      <w:r>
        <w:rPr>
          <w:color w:val="auto"/>
          <w:sz w:val="22"/>
          <w:szCs w:val="22"/>
          <w:highlight w:val="none"/>
        </w:rPr>
        <w:fldChar w:fldCharType="separate"/>
      </w:r>
      <w:r>
        <w:rPr>
          <w:color w:val="auto"/>
          <w:sz w:val="22"/>
          <w:szCs w:val="22"/>
          <w:highlight w:val="none"/>
        </w:rPr>
        <w:t>12</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"_Toc13597" </w:instrText>
      </w:r>
      <w:r>
        <w:rPr>
          <w:color w:val="auto"/>
          <w:highlight w:val="none"/>
        </w:rPr>
        <w:fldChar w:fldCharType="separate"/>
      </w:r>
      <w:r>
        <w:rPr>
          <w:rFonts w:asciiTheme="minorEastAsia" w:hAnsiTheme="minorEastAsia" w:eastAsiaTheme="minorEastAsia"/>
          <w:color w:val="auto"/>
          <w:sz w:val="22"/>
          <w:szCs w:val="22"/>
          <w:highlight w:val="none"/>
        </w:rPr>
        <w:t>15</w:t>
      </w:r>
      <w:r>
        <w:rPr>
          <w:rFonts w:hint="eastAsia" w:asciiTheme="minorEastAsia" w:hAnsiTheme="minorEastAsia" w:eastAsiaTheme="minorEastAsia"/>
          <w:color w:val="auto"/>
          <w:sz w:val="22"/>
          <w:szCs w:val="22"/>
          <w:highlight w:val="none"/>
        </w:rPr>
        <w:t>．投标截止期</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_Toc13597 \h </w:instrText>
      </w:r>
      <w:r>
        <w:rPr>
          <w:color w:val="auto"/>
          <w:sz w:val="22"/>
          <w:szCs w:val="22"/>
          <w:highlight w:val="none"/>
        </w:rPr>
        <w:fldChar w:fldCharType="separate"/>
      </w:r>
      <w:r>
        <w:rPr>
          <w:color w:val="auto"/>
          <w:sz w:val="22"/>
          <w:szCs w:val="22"/>
          <w:highlight w:val="none"/>
        </w:rPr>
        <w:t>13</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"_Toc7530" </w:instrText>
      </w:r>
      <w:r>
        <w:rPr>
          <w:color w:val="auto"/>
          <w:highlight w:val="none"/>
        </w:rPr>
        <w:fldChar w:fldCharType="separate"/>
      </w:r>
      <w:r>
        <w:rPr>
          <w:rFonts w:asciiTheme="minorEastAsia" w:hAnsiTheme="minorEastAsia" w:eastAsiaTheme="minorEastAsia"/>
          <w:color w:val="auto"/>
          <w:sz w:val="22"/>
          <w:szCs w:val="22"/>
          <w:highlight w:val="none"/>
        </w:rPr>
        <w:t>16.</w:t>
      </w:r>
      <w:r>
        <w:rPr>
          <w:rFonts w:hint="eastAsia" w:asciiTheme="minorEastAsia" w:hAnsiTheme="minorEastAsia" w:eastAsiaTheme="minorEastAsia"/>
          <w:color w:val="auto"/>
          <w:sz w:val="22"/>
          <w:szCs w:val="22"/>
          <w:highlight w:val="none"/>
        </w:rPr>
        <w:t>投标文件的修改与撤回</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_Toc7530 \h </w:instrText>
      </w:r>
      <w:r>
        <w:rPr>
          <w:color w:val="auto"/>
          <w:sz w:val="22"/>
          <w:szCs w:val="22"/>
          <w:highlight w:val="none"/>
        </w:rPr>
        <w:fldChar w:fldCharType="separate"/>
      </w:r>
      <w:r>
        <w:rPr>
          <w:color w:val="auto"/>
          <w:sz w:val="22"/>
          <w:szCs w:val="22"/>
          <w:highlight w:val="none"/>
        </w:rPr>
        <w:t>13</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"_Toc8152" </w:instrText>
      </w:r>
      <w:r>
        <w:rPr>
          <w:color w:val="auto"/>
          <w:highlight w:val="none"/>
        </w:rPr>
        <w:fldChar w:fldCharType="separate"/>
      </w:r>
      <w:r>
        <w:rPr>
          <w:rFonts w:asciiTheme="minorEastAsia" w:hAnsiTheme="minorEastAsia" w:eastAsiaTheme="minorEastAsia"/>
          <w:color w:val="auto"/>
          <w:sz w:val="22"/>
          <w:szCs w:val="22"/>
          <w:highlight w:val="none"/>
        </w:rPr>
        <w:t>17.</w:t>
      </w:r>
      <w:r>
        <w:rPr>
          <w:rFonts w:hint="eastAsia" w:asciiTheme="minorEastAsia" w:hAnsiTheme="minorEastAsia" w:eastAsiaTheme="minorEastAsia"/>
          <w:color w:val="auto"/>
          <w:sz w:val="22"/>
          <w:szCs w:val="22"/>
          <w:highlight w:val="none"/>
        </w:rPr>
        <w:t>开标</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_Toc8152 \h </w:instrText>
      </w:r>
      <w:r>
        <w:rPr>
          <w:color w:val="auto"/>
          <w:sz w:val="22"/>
          <w:szCs w:val="22"/>
          <w:highlight w:val="none"/>
        </w:rPr>
        <w:fldChar w:fldCharType="separate"/>
      </w:r>
      <w:r>
        <w:rPr>
          <w:color w:val="auto"/>
          <w:sz w:val="22"/>
          <w:szCs w:val="22"/>
          <w:highlight w:val="none"/>
        </w:rPr>
        <w:t>13</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"_Toc21371" </w:instrText>
      </w:r>
      <w:r>
        <w:rPr>
          <w:color w:val="auto"/>
          <w:highlight w:val="none"/>
        </w:rPr>
        <w:fldChar w:fldCharType="separate"/>
      </w:r>
      <w:r>
        <w:rPr>
          <w:rFonts w:asciiTheme="minorEastAsia" w:hAnsiTheme="minorEastAsia" w:eastAsiaTheme="minorEastAsia"/>
          <w:color w:val="auto"/>
          <w:sz w:val="22"/>
          <w:szCs w:val="22"/>
          <w:highlight w:val="none"/>
        </w:rPr>
        <w:t>18.</w:t>
      </w:r>
      <w:r>
        <w:rPr>
          <w:rFonts w:hint="eastAsia" w:asciiTheme="minorEastAsia" w:hAnsiTheme="minorEastAsia" w:eastAsiaTheme="minorEastAsia"/>
          <w:color w:val="auto"/>
          <w:sz w:val="22"/>
          <w:szCs w:val="22"/>
          <w:highlight w:val="none"/>
        </w:rPr>
        <w:t>评标机构</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_Toc21371 \h </w:instrText>
      </w:r>
      <w:r>
        <w:rPr>
          <w:color w:val="auto"/>
          <w:sz w:val="22"/>
          <w:szCs w:val="22"/>
          <w:highlight w:val="none"/>
        </w:rPr>
        <w:fldChar w:fldCharType="separate"/>
      </w:r>
      <w:r>
        <w:rPr>
          <w:color w:val="auto"/>
          <w:sz w:val="22"/>
          <w:szCs w:val="22"/>
          <w:highlight w:val="none"/>
        </w:rPr>
        <w:t>14</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"_Toc252" </w:instrText>
      </w:r>
      <w:r>
        <w:rPr>
          <w:color w:val="auto"/>
          <w:highlight w:val="none"/>
        </w:rPr>
        <w:fldChar w:fldCharType="separate"/>
      </w:r>
      <w:r>
        <w:rPr>
          <w:rFonts w:asciiTheme="minorEastAsia" w:hAnsiTheme="minorEastAsia" w:eastAsiaTheme="minorEastAsia"/>
          <w:color w:val="auto"/>
          <w:sz w:val="22"/>
          <w:szCs w:val="22"/>
          <w:highlight w:val="none"/>
        </w:rPr>
        <w:t>19.</w:t>
      </w:r>
      <w:r>
        <w:rPr>
          <w:rFonts w:hint="eastAsia" w:asciiTheme="minorEastAsia" w:hAnsiTheme="minorEastAsia" w:eastAsiaTheme="minorEastAsia"/>
          <w:color w:val="auto"/>
          <w:sz w:val="22"/>
          <w:szCs w:val="22"/>
          <w:highlight w:val="none"/>
        </w:rPr>
        <w:t>评标保密</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_Toc252 \h </w:instrText>
      </w:r>
      <w:r>
        <w:rPr>
          <w:color w:val="auto"/>
          <w:sz w:val="22"/>
          <w:szCs w:val="22"/>
          <w:highlight w:val="none"/>
        </w:rPr>
        <w:fldChar w:fldCharType="separate"/>
      </w:r>
      <w:r>
        <w:rPr>
          <w:color w:val="auto"/>
          <w:sz w:val="22"/>
          <w:szCs w:val="22"/>
          <w:highlight w:val="none"/>
        </w:rPr>
        <w:t>14</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"_Toc29609" </w:instrText>
      </w:r>
      <w:r>
        <w:rPr>
          <w:color w:val="auto"/>
          <w:highlight w:val="none"/>
        </w:rPr>
        <w:fldChar w:fldCharType="separate"/>
      </w:r>
      <w:r>
        <w:rPr>
          <w:rFonts w:asciiTheme="minorEastAsia" w:hAnsiTheme="minorEastAsia" w:eastAsiaTheme="minorEastAsia"/>
          <w:color w:val="auto"/>
          <w:sz w:val="22"/>
          <w:szCs w:val="22"/>
          <w:highlight w:val="none"/>
        </w:rPr>
        <w:t>20.</w:t>
      </w:r>
      <w:r>
        <w:rPr>
          <w:rFonts w:hint="eastAsia" w:asciiTheme="minorEastAsia" w:hAnsiTheme="minorEastAsia" w:eastAsiaTheme="minorEastAsia"/>
          <w:color w:val="auto"/>
          <w:sz w:val="22"/>
          <w:szCs w:val="22"/>
          <w:highlight w:val="none"/>
        </w:rPr>
        <w:t>评标办法</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_Toc29609 \h </w:instrText>
      </w:r>
      <w:r>
        <w:rPr>
          <w:color w:val="auto"/>
          <w:sz w:val="22"/>
          <w:szCs w:val="22"/>
          <w:highlight w:val="none"/>
        </w:rPr>
        <w:fldChar w:fldCharType="separate"/>
      </w:r>
      <w:r>
        <w:rPr>
          <w:color w:val="auto"/>
          <w:sz w:val="22"/>
          <w:szCs w:val="22"/>
          <w:highlight w:val="none"/>
        </w:rPr>
        <w:t>14</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"_Toc27840" </w:instrText>
      </w:r>
      <w:r>
        <w:rPr>
          <w:color w:val="auto"/>
          <w:highlight w:val="none"/>
        </w:rPr>
        <w:fldChar w:fldCharType="separate"/>
      </w:r>
      <w:r>
        <w:rPr>
          <w:rFonts w:asciiTheme="minorEastAsia" w:hAnsiTheme="minorEastAsia" w:eastAsiaTheme="minorEastAsia"/>
          <w:color w:val="auto"/>
          <w:sz w:val="22"/>
          <w:szCs w:val="22"/>
          <w:highlight w:val="none"/>
        </w:rPr>
        <w:t>21.</w:t>
      </w:r>
      <w:r>
        <w:rPr>
          <w:rFonts w:hint="eastAsia" w:asciiTheme="minorEastAsia" w:hAnsiTheme="minorEastAsia" w:eastAsiaTheme="minorEastAsia"/>
          <w:color w:val="auto"/>
          <w:sz w:val="22"/>
          <w:szCs w:val="22"/>
          <w:highlight w:val="none"/>
        </w:rPr>
        <w:t>评标结果公示</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_Toc27840 \h </w:instrText>
      </w:r>
      <w:r>
        <w:rPr>
          <w:color w:val="auto"/>
          <w:sz w:val="22"/>
          <w:szCs w:val="22"/>
          <w:highlight w:val="none"/>
        </w:rPr>
        <w:fldChar w:fldCharType="separate"/>
      </w:r>
      <w:r>
        <w:rPr>
          <w:color w:val="auto"/>
          <w:sz w:val="22"/>
          <w:szCs w:val="22"/>
          <w:highlight w:val="none"/>
        </w:rPr>
        <w:t>14</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"_Toc1556" </w:instrText>
      </w:r>
      <w:r>
        <w:rPr>
          <w:color w:val="auto"/>
          <w:highlight w:val="none"/>
        </w:rPr>
        <w:fldChar w:fldCharType="separate"/>
      </w:r>
      <w:r>
        <w:rPr>
          <w:rFonts w:asciiTheme="minorEastAsia" w:hAnsiTheme="minorEastAsia" w:eastAsiaTheme="minorEastAsia"/>
          <w:color w:val="auto"/>
          <w:sz w:val="22"/>
          <w:szCs w:val="22"/>
          <w:highlight w:val="none"/>
        </w:rPr>
        <w:t>22.</w:t>
      </w:r>
      <w:r>
        <w:rPr>
          <w:rFonts w:hint="eastAsia" w:asciiTheme="minorEastAsia" w:hAnsiTheme="minorEastAsia" w:eastAsiaTheme="minorEastAsia"/>
          <w:color w:val="auto"/>
          <w:sz w:val="22"/>
          <w:szCs w:val="22"/>
          <w:highlight w:val="none"/>
        </w:rPr>
        <w:t>中标通知书</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_Toc1556 \h </w:instrText>
      </w:r>
      <w:r>
        <w:rPr>
          <w:color w:val="auto"/>
          <w:sz w:val="22"/>
          <w:szCs w:val="22"/>
          <w:highlight w:val="none"/>
        </w:rPr>
        <w:fldChar w:fldCharType="separate"/>
      </w:r>
      <w:r>
        <w:rPr>
          <w:color w:val="auto"/>
          <w:sz w:val="22"/>
          <w:szCs w:val="22"/>
          <w:highlight w:val="none"/>
        </w:rPr>
        <w:t>15</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"_Toc1151" </w:instrText>
      </w:r>
      <w:r>
        <w:rPr>
          <w:color w:val="auto"/>
          <w:highlight w:val="none"/>
        </w:rPr>
        <w:fldChar w:fldCharType="separate"/>
      </w:r>
      <w:r>
        <w:rPr>
          <w:rFonts w:asciiTheme="minorEastAsia" w:hAnsiTheme="minorEastAsia" w:eastAsiaTheme="minorEastAsia"/>
          <w:color w:val="auto"/>
          <w:sz w:val="22"/>
          <w:szCs w:val="22"/>
          <w:highlight w:val="none"/>
        </w:rPr>
        <w:t>23.</w:t>
      </w:r>
      <w:r>
        <w:rPr>
          <w:rFonts w:hint="eastAsia" w:asciiTheme="minorEastAsia" w:hAnsiTheme="minorEastAsia" w:eastAsiaTheme="minorEastAsia"/>
          <w:color w:val="auto"/>
          <w:sz w:val="22"/>
          <w:szCs w:val="22"/>
          <w:highlight w:val="none"/>
        </w:rPr>
        <w:t>合同协议书的签署</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_Toc1151 \h </w:instrText>
      </w:r>
      <w:r>
        <w:rPr>
          <w:color w:val="auto"/>
          <w:sz w:val="22"/>
          <w:szCs w:val="22"/>
          <w:highlight w:val="none"/>
        </w:rPr>
        <w:fldChar w:fldCharType="separate"/>
      </w:r>
      <w:r>
        <w:rPr>
          <w:color w:val="auto"/>
          <w:sz w:val="22"/>
          <w:szCs w:val="22"/>
          <w:highlight w:val="none"/>
        </w:rPr>
        <w:t>15</w:t>
      </w:r>
      <w:r>
        <w:rPr>
          <w:color w:val="auto"/>
          <w:sz w:val="22"/>
          <w:szCs w:val="22"/>
          <w:highlight w:val="none"/>
        </w:rPr>
        <w:fldChar w:fldCharType="end"/>
      </w:r>
      <w:r>
        <w:rPr>
          <w:color w:val="auto"/>
          <w:sz w:val="22"/>
          <w:szCs w:val="22"/>
          <w:highlight w:val="none"/>
        </w:rPr>
        <w:fldChar w:fldCharType="end"/>
      </w:r>
      <w:bookmarkStart w:id="211" w:name="_GoBack"/>
      <w:bookmarkEnd w:id="211"/>
    </w:p>
    <w:p>
      <w:pPr>
        <w:pStyle w:val="14"/>
        <w:tabs>
          <w:tab w:val="right" w:leader="dot" w:pos="9412"/>
        </w:tabs>
        <w:rPr>
          <w:color w:val="auto"/>
          <w:sz w:val="22"/>
          <w:szCs w:val="22"/>
          <w:highlight w:val="none"/>
        </w:rPr>
      </w:pPr>
      <w:r>
        <w:rPr>
          <w:color w:val="auto"/>
          <w:highlight w:val="none"/>
        </w:rPr>
        <w:fldChar w:fldCharType="begin"/>
      </w:r>
      <w:r>
        <w:rPr>
          <w:color w:val="auto"/>
          <w:highlight w:val="none"/>
        </w:rPr>
        <w:instrText xml:space="preserve"> HYPERLINK \l "_Toc24951" </w:instrText>
      </w:r>
      <w:r>
        <w:rPr>
          <w:color w:val="auto"/>
          <w:highlight w:val="none"/>
        </w:rPr>
        <w:fldChar w:fldCharType="separate"/>
      </w:r>
      <w:r>
        <w:rPr>
          <w:rFonts w:asciiTheme="minorEastAsia" w:hAnsiTheme="minorEastAsia" w:eastAsiaTheme="minorEastAsia"/>
          <w:color w:val="auto"/>
          <w:sz w:val="22"/>
          <w:szCs w:val="22"/>
          <w:highlight w:val="none"/>
        </w:rPr>
        <w:t>24.</w:t>
      </w:r>
      <w:r>
        <w:rPr>
          <w:rFonts w:hint="eastAsia" w:asciiTheme="minorEastAsia" w:hAnsiTheme="minorEastAsia" w:eastAsiaTheme="minorEastAsia"/>
          <w:color w:val="auto"/>
          <w:sz w:val="22"/>
          <w:szCs w:val="22"/>
          <w:highlight w:val="none"/>
        </w:rPr>
        <w:t>履约担保</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_Toc24951 \h </w:instrText>
      </w:r>
      <w:r>
        <w:rPr>
          <w:color w:val="auto"/>
          <w:sz w:val="22"/>
          <w:szCs w:val="22"/>
          <w:highlight w:val="none"/>
        </w:rPr>
        <w:fldChar w:fldCharType="separate"/>
      </w:r>
      <w:r>
        <w:rPr>
          <w:color w:val="auto"/>
          <w:sz w:val="22"/>
          <w:szCs w:val="22"/>
          <w:highlight w:val="none"/>
        </w:rPr>
        <w:t>15</w:t>
      </w:r>
      <w:r>
        <w:rPr>
          <w:color w:val="auto"/>
          <w:sz w:val="22"/>
          <w:szCs w:val="22"/>
          <w:highlight w:val="none"/>
        </w:rPr>
        <w:fldChar w:fldCharType="end"/>
      </w:r>
      <w:r>
        <w:rPr>
          <w:color w:val="auto"/>
          <w:sz w:val="22"/>
          <w:szCs w:val="22"/>
          <w:highlight w:val="none"/>
        </w:rPr>
        <w:fldChar w:fldCharType="end"/>
      </w:r>
    </w:p>
    <w:p>
      <w:pPr>
        <w:pStyle w:val="14"/>
        <w:tabs>
          <w:tab w:val="right" w:leader="dot" w:pos="9412"/>
        </w:tabs>
        <w:rPr>
          <w:color w:val="auto"/>
          <w:sz w:val="24"/>
          <w:szCs w:val="24"/>
          <w:highlight w:val="none"/>
        </w:rPr>
      </w:pPr>
      <w:r>
        <w:rPr>
          <w:color w:val="auto"/>
          <w:highlight w:val="none"/>
        </w:rPr>
        <w:fldChar w:fldCharType="begin"/>
      </w:r>
      <w:r>
        <w:rPr>
          <w:color w:val="auto"/>
          <w:highlight w:val="none"/>
        </w:rPr>
        <w:instrText xml:space="preserve"> HYPERLINK \l "_Toc23440" </w:instrText>
      </w:r>
      <w:r>
        <w:rPr>
          <w:color w:val="auto"/>
          <w:highlight w:val="none"/>
        </w:rPr>
        <w:fldChar w:fldCharType="separate"/>
      </w:r>
      <w:r>
        <w:rPr>
          <w:rFonts w:asciiTheme="minorEastAsia" w:hAnsiTheme="minorEastAsia" w:eastAsiaTheme="minorEastAsia"/>
          <w:color w:val="auto"/>
          <w:sz w:val="22"/>
          <w:szCs w:val="22"/>
          <w:highlight w:val="none"/>
        </w:rPr>
        <w:t>25.</w:t>
      </w:r>
      <w:r>
        <w:rPr>
          <w:rFonts w:hint="eastAsia" w:asciiTheme="minorEastAsia" w:hAnsiTheme="minorEastAsia" w:eastAsiaTheme="minorEastAsia"/>
          <w:color w:val="auto"/>
          <w:sz w:val="22"/>
          <w:szCs w:val="22"/>
          <w:highlight w:val="none"/>
        </w:rPr>
        <w:t>其他</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_Toc23440 \h </w:instrText>
      </w:r>
      <w:r>
        <w:rPr>
          <w:color w:val="auto"/>
          <w:sz w:val="22"/>
          <w:szCs w:val="22"/>
          <w:highlight w:val="none"/>
        </w:rPr>
        <w:fldChar w:fldCharType="separate"/>
      </w:r>
      <w:r>
        <w:rPr>
          <w:color w:val="auto"/>
          <w:sz w:val="22"/>
          <w:szCs w:val="22"/>
          <w:highlight w:val="none"/>
        </w:rPr>
        <w:t>15</w:t>
      </w:r>
      <w:r>
        <w:rPr>
          <w:color w:val="auto"/>
          <w:sz w:val="22"/>
          <w:szCs w:val="22"/>
          <w:highlight w:val="none"/>
        </w:rPr>
        <w:fldChar w:fldCharType="end"/>
      </w:r>
      <w:r>
        <w:rPr>
          <w:color w:val="auto"/>
          <w:sz w:val="22"/>
          <w:szCs w:val="22"/>
          <w:highlight w:val="none"/>
        </w:rPr>
        <w:fldChar w:fldCharType="end"/>
      </w:r>
    </w:p>
    <w:p>
      <w:pPr>
        <w:pStyle w:val="11"/>
        <w:tabs>
          <w:tab w:val="right" w:leader="dot" w:pos="9412"/>
        </w:tabs>
        <w:rPr>
          <w:color w:val="auto"/>
          <w:sz w:val="24"/>
          <w:szCs w:val="24"/>
          <w:highlight w:val="none"/>
        </w:rPr>
      </w:pPr>
      <w:r>
        <w:rPr>
          <w:color w:val="auto"/>
          <w:highlight w:val="none"/>
        </w:rPr>
        <w:fldChar w:fldCharType="begin"/>
      </w:r>
      <w:r>
        <w:rPr>
          <w:color w:val="auto"/>
          <w:highlight w:val="none"/>
        </w:rPr>
        <w:instrText xml:space="preserve"> HYPERLINK \l "_Toc24481" </w:instrText>
      </w:r>
      <w:r>
        <w:rPr>
          <w:color w:val="auto"/>
          <w:highlight w:val="none"/>
        </w:rPr>
        <w:fldChar w:fldCharType="separate"/>
      </w:r>
      <w:r>
        <w:rPr>
          <w:rFonts w:hint="eastAsia" w:ascii="黑体" w:eastAsia="黑体"/>
          <w:color w:val="auto"/>
          <w:sz w:val="24"/>
          <w:szCs w:val="24"/>
          <w:highlight w:val="none"/>
        </w:rPr>
        <w:t>第四章</w:t>
      </w:r>
      <w:r>
        <w:rPr>
          <w:rFonts w:ascii="黑体" w:eastAsia="黑体"/>
          <w:color w:val="auto"/>
          <w:sz w:val="24"/>
          <w:szCs w:val="24"/>
          <w:highlight w:val="none"/>
        </w:rPr>
        <w:t xml:space="preserve">  </w:t>
      </w:r>
      <w:r>
        <w:rPr>
          <w:rFonts w:hint="eastAsia" w:ascii="黑体" w:eastAsia="黑体"/>
          <w:color w:val="auto"/>
          <w:sz w:val="24"/>
          <w:szCs w:val="24"/>
          <w:highlight w:val="none"/>
        </w:rPr>
        <w:t>合同书（格式）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_Toc24481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color w:val="auto"/>
          <w:sz w:val="24"/>
          <w:szCs w:val="24"/>
          <w:highlight w:val="none"/>
        </w:rPr>
        <w:fldChar w:fldCharType="end"/>
      </w:r>
    </w:p>
    <w:p>
      <w:pPr>
        <w:pStyle w:val="11"/>
        <w:tabs>
          <w:tab w:val="right" w:leader="dot" w:pos="9412"/>
        </w:tabs>
        <w:rPr>
          <w:color w:val="auto"/>
          <w:sz w:val="24"/>
          <w:szCs w:val="24"/>
          <w:highlight w:val="none"/>
        </w:rPr>
      </w:pPr>
      <w:r>
        <w:rPr>
          <w:color w:val="auto"/>
          <w:highlight w:val="none"/>
        </w:rPr>
        <w:fldChar w:fldCharType="begin"/>
      </w:r>
      <w:r>
        <w:rPr>
          <w:color w:val="auto"/>
          <w:highlight w:val="none"/>
        </w:rPr>
        <w:instrText xml:space="preserve"> HYPERLINK \l "_Toc23731" </w:instrText>
      </w:r>
      <w:r>
        <w:rPr>
          <w:color w:val="auto"/>
          <w:highlight w:val="none"/>
        </w:rPr>
        <w:fldChar w:fldCharType="separate"/>
      </w:r>
      <w:r>
        <w:rPr>
          <w:rFonts w:hint="eastAsia" w:ascii="黑体" w:hAnsi="Verdana" w:eastAsia="黑体"/>
          <w:color w:val="auto"/>
          <w:sz w:val="24"/>
          <w:szCs w:val="24"/>
          <w:highlight w:val="none"/>
        </w:rPr>
        <w:t>第五章</w:t>
      </w:r>
      <w:r>
        <w:rPr>
          <w:rFonts w:ascii="黑体" w:hAnsi="Verdana" w:eastAsia="黑体"/>
          <w:color w:val="auto"/>
          <w:sz w:val="24"/>
          <w:szCs w:val="24"/>
          <w:highlight w:val="none"/>
        </w:rPr>
        <w:t xml:space="preserve">  </w:t>
      </w:r>
      <w:r>
        <w:rPr>
          <w:rFonts w:hint="eastAsia" w:ascii="黑体" w:hAnsi="Verdana" w:eastAsia="黑体"/>
          <w:color w:val="auto"/>
          <w:sz w:val="24"/>
          <w:szCs w:val="24"/>
          <w:highlight w:val="none"/>
        </w:rPr>
        <w:t>投标文件</w:t>
      </w:r>
      <w:r>
        <w:rPr>
          <w:rFonts w:ascii="黑体" w:hAnsi="Verdana" w:eastAsia="黑体"/>
          <w:color w:val="auto"/>
          <w:sz w:val="24"/>
          <w:szCs w:val="24"/>
          <w:highlight w:val="none"/>
        </w:rPr>
        <w:t>(</w:t>
      </w:r>
      <w:r>
        <w:rPr>
          <w:rFonts w:hint="eastAsia" w:ascii="黑体" w:hAnsi="Verdana" w:eastAsia="黑体"/>
          <w:color w:val="auto"/>
          <w:sz w:val="24"/>
          <w:szCs w:val="24"/>
          <w:highlight w:val="none"/>
        </w:rPr>
        <w:t>格式</w:t>
      </w:r>
      <w:r>
        <w:rPr>
          <w:rFonts w:ascii="黑体" w:hAnsi="Verdana" w:eastAsia="黑体"/>
          <w:color w:val="auto"/>
          <w:sz w:val="24"/>
          <w:szCs w:val="24"/>
          <w:highlight w:val="none"/>
        </w:rPr>
        <w:t>)</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_Toc23731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color w:val="auto"/>
          <w:sz w:val="24"/>
          <w:szCs w:val="24"/>
          <w:highlight w:val="none"/>
        </w:rPr>
        <w:fldChar w:fldCharType="end"/>
      </w:r>
    </w:p>
    <w:p>
      <w:pPr>
        <w:pStyle w:val="11"/>
        <w:tabs>
          <w:tab w:val="right" w:leader="dot" w:pos="9412"/>
        </w:tabs>
        <w:rPr>
          <w:color w:val="auto"/>
          <w:sz w:val="24"/>
          <w:szCs w:val="24"/>
          <w:highlight w:val="none"/>
        </w:rPr>
      </w:pPr>
      <w:r>
        <w:rPr>
          <w:color w:val="auto"/>
          <w:highlight w:val="none"/>
        </w:rPr>
        <w:fldChar w:fldCharType="begin"/>
      </w:r>
      <w:r>
        <w:rPr>
          <w:color w:val="auto"/>
          <w:highlight w:val="none"/>
        </w:rPr>
        <w:instrText xml:space="preserve"> HYPERLINK \l "_Toc18748" </w:instrText>
      </w:r>
      <w:r>
        <w:rPr>
          <w:color w:val="auto"/>
          <w:highlight w:val="none"/>
        </w:rPr>
        <w:fldChar w:fldCharType="separate"/>
      </w:r>
      <w:r>
        <w:rPr>
          <w:rFonts w:hint="eastAsia" w:ascii="黑体" w:hAnsi="Verdana" w:eastAsia="黑体"/>
          <w:color w:val="auto"/>
          <w:sz w:val="24"/>
          <w:szCs w:val="24"/>
          <w:highlight w:val="none"/>
        </w:rPr>
        <w:t>第六章  评标办法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_Toc18748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r>
        <w:rPr>
          <w:color w:val="auto"/>
          <w:sz w:val="24"/>
          <w:szCs w:val="24"/>
          <w:highlight w:val="none"/>
        </w:rPr>
        <w:fldChar w:fldCharType="end"/>
      </w:r>
    </w:p>
    <w:p>
      <w:pPr>
        <w:pStyle w:val="14"/>
        <w:tabs>
          <w:tab w:val="right" w:leader="dot" w:pos="9412"/>
        </w:tabs>
        <w:rPr>
          <w:color w:val="auto"/>
          <w:highlight w:val="none"/>
        </w:rPr>
      </w:pPr>
    </w:p>
    <w:p>
      <w:pPr>
        <w:pStyle w:val="3"/>
        <w:spacing w:before="331" w:beforeLines="100"/>
        <w:jc w:val="center"/>
        <w:rPr>
          <w:rFonts w:ascii="黑体" w:eastAsia="黑体"/>
          <w:b/>
          <w:color w:val="auto"/>
          <w:sz w:val="32"/>
          <w:szCs w:val="32"/>
          <w:highlight w:val="none"/>
          <w:u w:val="none"/>
        </w:rPr>
      </w:pPr>
      <w:r>
        <w:rPr>
          <w:rFonts w:hint="eastAsia" w:ascii="宋体" w:cs="宋体"/>
          <w:color w:val="auto"/>
          <w:highlight w:val="none"/>
        </w:rPr>
        <w:fldChar w:fldCharType="end"/>
      </w:r>
      <w:bookmarkStart w:id="1" w:name="_Toc23407"/>
      <w:r>
        <w:rPr>
          <w:rFonts w:ascii="宋体"/>
          <w:b/>
          <w:color w:val="auto"/>
          <w:szCs w:val="21"/>
          <w:highlight w:val="none"/>
        </w:rPr>
        <w:br w:type="page"/>
      </w:r>
      <w:bookmarkStart w:id="2" w:name="_Toc78441037"/>
      <w:r>
        <w:rPr>
          <w:rFonts w:hint="eastAsia" w:ascii="黑体" w:eastAsia="黑体"/>
          <w:b/>
          <w:color w:val="auto"/>
          <w:sz w:val="32"/>
          <w:szCs w:val="32"/>
          <w:highlight w:val="none"/>
          <w:u w:val="none"/>
        </w:rPr>
        <w:t>第一章</w:t>
      </w:r>
      <w:r>
        <w:rPr>
          <w:rFonts w:ascii="黑体" w:eastAsia="黑体"/>
          <w:b/>
          <w:color w:val="auto"/>
          <w:sz w:val="32"/>
          <w:szCs w:val="32"/>
          <w:highlight w:val="none"/>
          <w:u w:val="none"/>
        </w:rPr>
        <w:t xml:space="preserve">  </w:t>
      </w:r>
      <w:r>
        <w:rPr>
          <w:rFonts w:hint="eastAsia" w:ascii="黑体" w:eastAsia="黑体"/>
          <w:b/>
          <w:color w:val="auto"/>
          <w:sz w:val="32"/>
          <w:szCs w:val="32"/>
          <w:highlight w:val="none"/>
          <w:u w:val="none"/>
        </w:rPr>
        <w:t>招标公告</w:t>
      </w:r>
      <w:bookmarkEnd w:id="0"/>
      <w:bookmarkEnd w:id="1"/>
      <w:bookmarkEnd w:id="2"/>
    </w:p>
    <w:p>
      <w:pPr>
        <w:spacing w:line="350" w:lineRule="exact"/>
        <w:jc w:val="center"/>
        <w:rPr>
          <w:rFonts w:hAnsi="宋体"/>
          <w:b/>
          <w:color w:val="auto"/>
          <w:sz w:val="24"/>
          <w:szCs w:val="24"/>
          <w:highlight w:val="none"/>
        </w:rPr>
      </w:pPr>
      <w:bookmarkStart w:id="3" w:name="_Toc295204421"/>
      <w:r>
        <w:rPr>
          <w:rFonts w:hint="eastAsia" w:hAnsi="宋体"/>
          <w:b/>
          <w:color w:val="auto"/>
          <w:sz w:val="24"/>
          <w:szCs w:val="24"/>
          <w:highlight w:val="none"/>
        </w:rPr>
        <w:t>广西华禹工程咨询有限公司关于平桂区2022年垃圾治理项目（采购项目编号：HZZC2022-G1-030212-GXHY）公开招标公告</w:t>
      </w:r>
    </w:p>
    <w:p>
      <w:pPr>
        <w:spacing w:line="350" w:lineRule="exact"/>
        <w:jc w:val="center"/>
        <w:rPr>
          <w:rFonts w:hAnsi="宋体"/>
          <w:b/>
          <w:color w:val="auto"/>
          <w:sz w:val="24"/>
          <w:szCs w:val="24"/>
          <w:highlight w:val="none"/>
        </w:rPr>
      </w:pPr>
      <w:bookmarkStart w:id="4" w:name="OLE_LINK1"/>
    </w:p>
    <w:p>
      <w:pPr>
        <w:pBdr>
          <w:top w:val="single" w:color="auto" w:sz="4" w:space="1"/>
          <w:left w:val="single" w:color="auto" w:sz="4" w:space="4"/>
          <w:bottom w:val="single" w:color="auto" w:sz="4" w:space="1"/>
          <w:right w:val="single" w:color="auto" w:sz="4" w:space="4"/>
        </w:pBdr>
        <w:spacing w:line="360" w:lineRule="auto"/>
        <w:ind w:firstLine="420" w:firstLineChars="200"/>
        <w:rPr>
          <w:rFonts w:hAnsi="宋体"/>
          <w:color w:val="auto"/>
          <w:szCs w:val="21"/>
          <w:highlight w:val="none"/>
        </w:rPr>
      </w:pPr>
      <w:r>
        <w:rPr>
          <w:rFonts w:hint="eastAsia"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仿宋" w:hAnsi="仿宋" w:eastAsia="仿宋"/>
          <w:color w:val="auto"/>
          <w:sz w:val="28"/>
          <w:szCs w:val="28"/>
          <w:highlight w:val="none"/>
        </w:rPr>
      </w:pPr>
      <w:r>
        <w:rPr>
          <w:rFonts w:hint="eastAsia"/>
          <w:b/>
          <w:bCs/>
          <w:color w:val="auto"/>
          <w:szCs w:val="21"/>
          <w:highlight w:val="none"/>
          <w:u w:val="single"/>
        </w:rPr>
        <w:t xml:space="preserve">平桂区2022年垃圾治理项目 </w:t>
      </w:r>
      <w:r>
        <w:rPr>
          <w:rFonts w:hint="eastAsia" w:hAnsi="宋体"/>
          <w:color w:val="auto"/>
          <w:szCs w:val="21"/>
          <w:highlight w:val="none"/>
        </w:rPr>
        <w:t>招标项目的潜在投标人应在</w:t>
      </w:r>
      <w:r>
        <w:rPr>
          <w:rFonts w:hint="eastAsia"/>
          <w:color w:val="auto"/>
          <w:szCs w:val="21"/>
          <w:highlight w:val="none"/>
        </w:rPr>
        <w:t>“政采云”平台</w:t>
      </w:r>
      <w:r>
        <w:rPr>
          <w:rFonts w:hint="eastAsia" w:hAnsi="宋体"/>
          <w:color w:val="auto"/>
          <w:szCs w:val="21"/>
          <w:highlight w:val="none"/>
        </w:rPr>
        <w:t>（</w:t>
      </w:r>
      <w:r>
        <w:rPr>
          <w:color w:val="auto"/>
          <w:highlight w:val="none"/>
        </w:rPr>
        <w:fldChar w:fldCharType="begin"/>
      </w:r>
      <w:r>
        <w:rPr>
          <w:color w:val="auto"/>
          <w:highlight w:val="none"/>
        </w:rPr>
        <w:instrText xml:space="preserve"> HYPERLINK "https://www.zcygov.cn/）获取招标文件，并于2022年" </w:instrText>
      </w:r>
      <w:r>
        <w:rPr>
          <w:color w:val="auto"/>
          <w:highlight w:val="none"/>
        </w:rPr>
        <w:fldChar w:fldCharType="separate"/>
      </w:r>
      <w:r>
        <w:rPr>
          <w:rFonts w:hint="eastAsia" w:hAnsi="宋体"/>
          <w:color w:val="auto"/>
          <w:szCs w:val="21"/>
          <w:highlight w:val="none"/>
        </w:rPr>
        <w:t>https://www.zcygov.cn/）获取招标文件，并于2022年</w:t>
      </w:r>
      <w:r>
        <w:rPr>
          <w:rFonts w:hint="eastAsia" w:hAnsi="宋体"/>
          <w:color w:val="auto"/>
          <w:szCs w:val="21"/>
          <w:highlight w:val="none"/>
        </w:rPr>
        <w:fldChar w:fldCharType="end"/>
      </w:r>
      <w:r>
        <w:rPr>
          <w:rFonts w:hint="eastAsia" w:hAnsi="宋体"/>
          <w:color w:val="auto"/>
          <w:szCs w:val="21"/>
          <w:highlight w:val="none"/>
        </w:rPr>
        <w:t>11月</w:t>
      </w:r>
      <w:r>
        <w:rPr>
          <w:rFonts w:hint="eastAsia" w:hAnsi="宋体"/>
          <w:color w:val="auto"/>
          <w:szCs w:val="21"/>
          <w:highlight w:val="none"/>
          <w:lang w:eastAsia="zh-CN"/>
        </w:rPr>
        <w:t>21日</w:t>
      </w:r>
      <w:r>
        <w:rPr>
          <w:rFonts w:hint="eastAsia" w:hAnsi="宋体"/>
          <w:color w:val="auto"/>
          <w:szCs w:val="21"/>
          <w:highlight w:val="none"/>
        </w:rPr>
        <w:t xml:space="preserve"> 9 时 00 分（北京时间）前递交投标文件。</w:t>
      </w:r>
    </w:p>
    <w:p>
      <w:pPr>
        <w:spacing w:line="440" w:lineRule="exact"/>
        <w:rPr>
          <w:rFonts w:hAnsi="宋体"/>
          <w:b/>
          <w:color w:val="auto"/>
          <w:szCs w:val="21"/>
          <w:highlight w:val="none"/>
        </w:rPr>
      </w:pPr>
      <w:bookmarkStart w:id="5" w:name="_Toc28359002"/>
      <w:bookmarkStart w:id="6" w:name="_Toc28359079"/>
      <w:bookmarkStart w:id="7" w:name="_Toc35393790"/>
      <w:bookmarkStart w:id="8" w:name="_Toc35393621"/>
      <w:bookmarkStart w:id="9" w:name="_Hlk24379207"/>
      <w:r>
        <w:rPr>
          <w:rFonts w:hint="eastAsia" w:ascii="黑体" w:hAnsi="黑体" w:cs="宋体"/>
          <w:b/>
          <w:color w:val="auto"/>
          <w:sz w:val="28"/>
          <w:szCs w:val="28"/>
          <w:highlight w:val="none"/>
        </w:rPr>
        <w:t>一、</w:t>
      </w:r>
      <w:r>
        <w:rPr>
          <w:rFonts w:hint="eastAsia" w:hAnsi="宋体"/>
          <w:b/>
          <w:color w:val="auto"/>
          <w:szCs w:val="21"/>
          <w:highlight w:val="none"/>
        </w:rPr>
        <w:t>项目基本情况</w:t>
      </w:r>
      <w:bookmarkEnd w:id="5"/>
      <w:bookmarkEnd w:id="6"/>
      <w:bookmarkEnd w:id="7"/>
      <w:bookmarkEnd w:id="8"/>
    </w:p>
    <w:p>
      <w:pPr>
        <w:spacing w:line="440" w:lineRule="exact"/>
        <w:ind w:firstLine="420" w:firstLineChars="200"/>
        <w:rPr>
          <w:rFonts w:hAnsi="宋体"/>
          <w:color w:val="auto"/>
          <w:szCs w:val="21"/>
          <w:highlight w:val="none"/>
        </w:rPr>
      </w:pPr>
      <w:r>
        <w:rPr>
          <w:rFonts w:hint="eastAsia" w:hAnsi="宋体"/>
          <w:color w:val="auto"/>
          <w:szCs w:val="21"/>
          <w:highlight w:val="none"/>
        </w:rPr>
        <w:t>项目编号：HZZC2022-G1-030212-GXHY</w:t>
      </w:r>
    </w:p>
    <w:p>
      <w:pPr>
        <w:spacing w:line="440" w:lineRule="exact"/>
        <w:ind w:firstLine="420" w:firstLineChars="200"/>
        <w:rPr>
          <w:color w:val="auto"/>
          <w:szCs w:val="21"/>
          <w:highlight w:val="none"/>
        </w:rPr>
      </w:pPr>
      <w:r>
        <w:rPr>
          <w:rFonts w:hint="eastAsia" w:hAnsi="宋体"/>
          <w:color w:val="auto"/>
          <w:szCs w:val="21"/>
          <w:highlight w:val="none"/>
        </w:rPr>
        <w:t>项目名称：</w:t>
      </w:r>
      <w:bookmarkEnd w:id="9"/>
      <w:r>
        <w:rPr>
          <w:rFonts w:hint="eastAsia"/>
          <w:color w:val="auto"/>
          <w:szCs w:val="21"/>
          <w:highlight w:val="none"/>
        </w:rPr>
        <w:t>平桂区2022年垃圾治理项目</w:t>
      </w:r>
    </w:p>
    <w:p>
      <w:pPr>
        <w:spacing w:line="440" w:lineRule="exact"/>
        <w:ind w:firstLine="420" w:firstLineChars="200"/>
        <w:rPr>
          <w:color w:val="auto"/>
          <w:szCs w:val="21"/>
          <w:highlight w:val="none"/>
        </w:rPr>
      </w:pPr>
      <w:r>
        <w:rPr>
          <w:rFonts w:hint="eastAsia"/>
          <w:color w:val="auto"/>
          <w:szCs w:val="21"/>
          <w:highlight w:val="none"/>
        </w:rPr>
        <w:t>预算金额：510.44万元。</w:t>
      </w:r>
    </w:p>
    <w:p>
      <w:pPr>
        <w:spacing w:line="440" w:lineRule="exact"/>
        <w:ind w:firstLine="420" w:firstLineChars="200"/>
        <w:rPr>
          <w:color w:val="auto"/>
          <w:szCs w:val="21"/>
          <w:highlight w:val="none"/>
        </w:rPr>
      </w:pPr>
      <w:r>
        <w:rPr>
          <w:rFonts w:hint="eastAsia"/>
          <w:color w:val="auto"/>
          <w:szCs w:val="21"/>
          <w:highlight w:val="none"/>
        </w:rPr>
        <w:t>最高限价：510.44万元。</w:t>
      </w:r>
    </w:p>
    <w:p>
      <w:pPr>
        <w:spacing w:line="400" w:lineRule="exact"/>
        <w:ind w:firstLine="420" w:firstLineChars="200"/>
        <w:rPr>
          <w:rFonts w:hAnsi="宋体"/>
          <w:color w:val="auto"/>
          <w:szCs w:val="21"/>
          <w:highlight w:val="none"/>
        </w:rPr>
      </w:pPr>
      <w:r>
        <w:rPr>
          <w:rFonts w:hint="eastAsia" w:hAnsi="宋体"/>
          <w:color w:val="auto"/>
          <w:szCs w:val="21"/>
          <w:highlight w:val="none"/>
        </w:rPr>
        <w:t>采购需求：</w:t>
      </w:r>
      <w:r>
        <w:rPr>
          <w:rFonts w:hint="eastAsia" w:hAnsi="宋体" w:cs="宋体"/>
          <w:color w:val="auto"/>
          <w:spacing w:val="-2"/>
          <w:highlight w:val="none"/>
        </w:rPr>
        <w:t>平桂区2022年垃圾治理项目一批</w:t>
      </w:r>
      <w:r>
        <w:rPr>
          <w:rFonts w:hAnsi="宋体" w:cs="宋体"/>
          <w:color w:val="auto"/>
          <w:highlight w:val="none"/>
        </w:rPr>
        <w:t>，</w:t>
      </w:r>
      <w:r>
        <w:rPr>
          <w:rFonts w:hint="eastAsia" w:hAnsi="宋体" w:cs="宋体"/>
          <w:color w:val="auto"/>
          <w:highlight w:val="none"/>
        </w:rPr>
        <w:t>包含</w:t>
      </w:r>
      <w:r>
        <w:rPr>
          <w:rFonts w:hint="eastAsia" w:hAnsi="宋体"/>
          <w:color w:val="auto"/>
          <w:szCs w:val="21"/>
          <w:highlight w:val="none"/>
        </w:rPr>
        <w:t>公会镇、大平瑶族乡、羊头镇、望高镇、鹅塘镇垃圾治理项目采购，如需进一步了解详细内容，详见招标文件。</w:t>
      </w:r>
    </w:p>
    <w:p>
      <w:pPr>
        <w:spacing w:line="440" w:lineRule="exact"/>
        <w:ind w:firstLine="420" w:firstLineChars="200"/>
        <w:rPr>
          <w:color w:val="auto"/>
          <w:highlight w:val="none"/>
        </w:rPr>
      </w:pPr>
      <w:r>
        <w:rPr>
          <w:rFonts w:hint="eastAsia" w:hAnsi="宋体"/>
          <w:color w:val="auto"/>
          <w:szCs w:val="21"/>
          <w:highlight w:val="none"/>
        </w:rPr>
        <w:t>合同履行期限：供货期为自合同签订之日起35日历日内完成交货，并验收合格后交付使用；质保期不少于1年（从安装、验收合格并交付使用之日算起）。</w:t>
      </w:r>
    </w:p>
    <w:p>
      <w:pPr>
        <w:spacing w:line="440" w:lineRule="exact"/>
        <w:ind w:firstLine="420" w:firstLineChars="200"/>
        <w:rPr>
          <w:rFonts w:hAnsi="宋体"/>
          <w:color w:val="auto"/>
          <w:szCs w:val="21"/>
          <w:highlight w:val="none"/>
        </w:rPr>
      </w:pPr>
      <w:r>
        <w:rPr>
          <w:rFonts w:hint="eastAsia" w:hAnsi="宋体"/>
          <w:color w:val="auto"/>
          <w:szCs w:val="21"/>
          <w:highlight w:val="none"/>
        </w:rPr>
        <w:t>本项目不接受联合体投标。</w:t>
      </w:r>
    </w:p>
    <w:p>
      <w:pPr>
        <w:spacing w:line="440" w:lineRule="exact"/>
        <w:rPr>
          <w:rFonts w:hAnsi="宋体"/>
          <w:b/>
          <w:color w:val="auto"/>
          <w:szCs w:val="21"/>
          <w:highlight w:val="none"/>
        </w:rPr>
      </w:pPr>
      <w:bookmarkStart w:id="10" w:name="_Toc28359003"/>
      <w:bookmarkStart w:id="11" w:name="_Toc28359080"/>
      <w:bookmarkStart w:id="12" w:name="_Toc35393791"/>
      <w:bookmarkStart w:id="13" w:name="_Toc35393622"/>
      <w:r>
        <w:rPr>
          <w:rFonts w:hint="eastAsia" w:hAnsi="宋体"/>
          <w:b/>
          <w:color w:val="auto"/>
          <w:szCs w:val="21"/>
          <w:highlight w:val="none"/>
        </w:rPr>
        <w:t>二、申请人的资格要求：</w:t>
      </w:r>
      <w:bookmarkEnd w:id="10"/>
      <w:bookmarkEnd w:id="11"/>
      <w:bookmarkEnd w:id="12"/>
      <w:bookmarkEnd w:id="13"/>
    </w:p>
    <w:p>
      <w:pPr>
        <w:spacing w:line="440" w:lineRule="exact"/>
        <w:ind w:firstLine="420" w:firstLineChars="200"/>
        <w:rPr>
          <w:rFonts w:hAnsi="宋体"/>
          <w:color w:val="auto"/>
          <w:szCs w:val="21"/>
          <w:highlight w:val="none"/>
        </w:rPr>
      </w:pPr>
      <w:r>
        <w:rPr>
          <w:rFonts w:hint="eastAsia" w:hAnsi="宋体"/>
          <w:color w:val="auto"/>
          <w:szCs w:val="21"/>
          <w:highlight w:val="none"/>
        </w:rPr>
        <w:t>1.满足《中华人民共和国政府采购法》第二十二条规定；</w:t>
      </w:r>
    </w:p>
    <w:p>
      <w:pPr>
        <w:spacing w:line="440" w:lineRule="exact"/>
        <w:ind w:firstLine="420" w:firstLineChars="200"/>
        <w:rPr>
          <w:rFonts w:hAnsi="宋体"/>
          <w:color w:val="auto"/>
          <w:szCs w:val="21"/>
          <w:highlight w:val="none"/>
        </w:rPr>
      </w:pPr>
      <w:bookmarkStart w:id="14" w:name="_Toc28359081"/>
      <w:bookmarkStart w:id="15" w:name="_Toc28359004"/>
      <w:r>
        <w:rPr>
          <w:rFonts w:hint="eastAsia" w:hAnsi="宋体"/>
          <w:color w:val="auto"/>
          <w:szCs w:val="21"/>
          <w:highlight w:val="none"/>
        </w:rPr>
        <w:t>2.落实政府采购政策需满足的资格要求：本项目为专门面向中小企业采购的项目（供应商应为中小微企业、监狱企业、残疾人福利性单位)；</w:t>
      </w:r>
    </w:p>
    <w:p>
      <w:pPr>
        <w:spacing w:line="440" w:lineRule="exact"/>
        <w:ind w:firstLine="420" w:firstLineChars="200"/>
        <w:rPr>
          <w:rFonts w:hAnsi="宋体"/>
          <w:color w:val="auto"/>
          <w:szCs w:val="21"/>
          <w:highlight w:val="none"/>
        </w:rPr>
      </w:pPr>
      <w:r>
        <w:rPr>
          <w:rFonts w:hint="eastAsia" w:hAnsi="宋体"/>
          <w:color w:val="auto"/>
          <w:szCs w:val="21"/>
          <w:highlight w:val="none"/>
        </w:rPr>
        <w:t>3.本项目的特定资格要求：无。</w:t>
      </w:r>
    </w:p>
    <w:p>
      <w:pPr>
        <w:spacing w:line="440" w:lineRule="exact"/>
        <w:rPr>
          <w:rFonts w:hAnsi="宋体"/>
          <w:b/>
          <w:color w:val="auto"/>
          <w:szCs w:val="21"/>
          <w:highlight w:val="none"/>
        </w:rPr>
      </w:pPr>
      <w:bookmarkStart w:id="16" w:name="_Toc35393792"/>
      <w:bookmarkStart w:id="17" w:name="_Toc35393623"/>
      <w:r>
        <w:rPr>
          <w:rFonts w:hint="eastAsia" w:hAnsi="宋体"/>
          <w:b/>
          <w:color w:val="auto"/>
          <w:szCs w:val="21"/>
          <w:highlight w:val="none"/>
        </w:rPr>
        <w:t>三、获取招标文件</w:t>
      </w:r>
      <w:bookmarkEnd w:id="14"/>
      <w:bookmarkEnd w:id="15"/>
      <w:bookmarkEnd w:id="16"/>
      <w:bookmarkEnd w:id="17"/>
    </w:p>
    <w:p>
      <w:pPr>
        <w:spacing w:line="440" w:lineRule="exact"/>
        <w:ind w:firstLine="420" w:firstLineChars="200"/>
        <w:rPr>
          <w:rFonts w:hAnsi="宋体"/>
          <w:color w:val="auto"/>
          <w:szCs w:val="21"/>
          <w:highlight w:val="none"/>
        </w:rPr>
      </w:pPr>
      <w:r>
        <w:rPr>
          <w:rFonts w:hint="eastAsia" w:hAnsi="宋体"/>
          <w:color w:val="auto"/>
          <w:szCs w:val="21"/>
          <w:highlight w:val="none"/>
        </w:rPr>
        <w:t>时间：2022年</w:t>
      </w:r>
      <w:r>
        <w:rPr>
          <w:rFonts w:hint="eastAsia" w:hAnsi="宋体"/>
          <w:color w:val="auto"/>
          <w:szCs w:val="21"/>
          <w:highlight w:val="none"/>
          <w:u w:val="single"/>
        </w:rPr>
        <w:t xml:space="preserve"> 10 </w:t>
      </w:r>
      <w:r>
        <w:rPr>
          <w:rFonts w:hint="eastAsia" w:hAnsi="宋体"/>
          <w:color w:val="auto"/>
          <w:szCs w:val="21"/>
          <w:highlight w:val="none"/>
        </w:rPr>
        <w:t>月</w:t>
      </w:r>
      <w:r>
        <w:rPr>
          <w:rFonts w:hint="eastAsia" w:hAnsi="宋体"/>
          <w:color w:val="auto"/>
          <w:szCs w:val="21"/>
          <w:highlight w:val="none"/>
          <w:u w:val="single"/>
        </w:rPr>
        <w:t xml:space="preserve"> 17 </w:t>
      </w:r>
      <w:r>
        <w:rPr>
          <w:rFonts w:hint="eastAsia" w:hAnsi="宋体"/>
          <w:color w:val="auto"/>
          <w:szCs w:val="21"/>
          <w:highlight w:val="none"/>
        </w:rPr>
        <w:t>日至202</w:t>
      </w:r>
      <w:r>
        <w:rPr>
          <w:rFonts w:hAnsi="宋体"/>
          <w:color w:val="auto"/>
          <w:szCs w:val="21"/>
          <w:highlight w:val="none"/>
        </w:rPr>
        <w:t>2</w:t>
      </w:r>
      <w:r>
        <w:rPr>
          <w:rFonts w:hint="eastAsia" w:hAnsi="宋体"/>
          <w:color w:val="auto"/>
          <w:szCs w:val="21"/>
          <w:highlight w:val="none"/>
        </w:rPr>
        <w:t>年</w:t>
      </w:r>
      <w:r>
        <w:rPr>
          <w:rFonts w:hint="eastAsia" w:hAnsi="宋体"/>
          <w:color w:val="auto"/>
          <w:szCs w:val="21"/>
          <w:highlight w:val="none"/>
          <w:u w:val="single"/>
        </w:rPr>
        <w:t xml:space="preserve"> 10</w:t>
      </w:r>
      <w:r>
        <w:rPr>
          <w:rFonts w:hint="eastAsia" w:hAnsi="宋体"/>
          <w:color w:val="auto"/>
          <w:szCs w:val="21"/>
          <w:highlight w:val="none"/>
        </w:rPr>
        <w:t>月</w:t>
      </w:r>
      <w:r>
        <w:rPr>
          <w:rFonts w:hint="eastAsia" w:hAnsi="宋体"/>
          <w:color w:val="auto"/>
          <w:szCs w:val="21"/>
          <w:highlight w:val="none"/>
          <w:u w:val="single"/>
        </w:rPr>
        <w:t xml:space="preserve"> 24 </w:t>
      </w:r>
      <w:r>
        <w:rPr>
          <w:rFonts w:hint="eastAsia" w:hAnsi="宋体"/>
          <w:color w:val="auto"/>
          <w:szCs w:val="21"/>
          <w:highlight w:val="none"/>
        </w:rPr>
        <w:t>日，每天上午08:00至1</w:t>
      </w:r>
      <w:r>
        <w:rPr>
          <w:rFonts w:hAnsi="宋体"/>
          <w:color w:val="auto"/>
          <w:szCs w:val="21"/>
          <w:highlight w:val="none"/>
        </w:rPr>
        <w:t>2</w:t>
      </w:r>
      <w:r>
        <w:rPr>
          <w:rFonts w:hint="eastAsia" w:hAnsi="宋体"/>
          <w:color w:val="auto"/>
          <w:szCs w:val="21"/>
          <w:highlight w:val="none"/>
        </w:rPr>
        <w:t>:</w:t>
      </w:r>
      <w:r>
        <w:rPr>
          <w:rFonts w:hAnsi="宋体"/>
          <w:color w:val="auto"/>
          <w:szCs w:val="21"/>
          <w:highlight w:val="none"/>
        </w:rPr>
        <w:t>0</w:t>
      </w:r>
      <w:r>
        <w:rPr>
          <w:rFonts w:hint="eastAsia" w:hAnsi="宋体"/>
          <w:color w:val="auto"/>
          <w:szCs w:val="21"/>
          <w:highlight w:val="none"/>
        </w:rPr>
        <w:t>0 ，下午15:00至18:00（北京时间，法定节假日除外）</w:t>
      </w:r>
    </w:p>
    <w:p>
      <w:pPr>
        <w:spacing w:line="440" w:lineRule="exact"/>
        <w:ind w:firstLine="420" w:firstLineChars="200"/>
        <w:rPr>
          <w:rFonts w:hAnsi="宋体"/>
          <w:color w:val="auto"/>
          <w:szCs w:val="21"/>
          <w:highlight w:val="none"/>
        </w:rPr>
      </w:pPr>
      <w:r>
        <w:rPr>
          <w:rFonts w:hint="eastAsia" w:hAnsi="宋体"/>
          <w:color w:val="auto"/>
          <w:szCs w:val="21"/>
          <w:highlight w:val="none"/>
        </w:rPr>
        <w:t>地点：</w:t>
      </w:r>
      <w:r>
        <w:rPr>
          <w:rFonts w:hint="eastAsia"/>
          <w:color w:val="auto"/>
          <w:szCs w:val="21"/>
          <w:highlight w:val="none"/>
        </w:rPr>
        <w:t>“政采云”平台（</w:t>
      </w:r>
      <w:r>
        <w:rPr>
          <w:rFonts w:hint="eastAsia" w:ascii="仿宋" w:hAnsi="仿宋" w:eastAsia="仿宋"/>
          <w:color w:val="auto"/>
          <w:szCs w:val="21"/>
          <w:highlight w:val="none"/>
        </w:rPr>
        <w:t>https://www.zcygov.cn/</w:t>
      </w:r>
      <w:r>
        <w:rPr>
          <w:rFonts w:hint="eastAsia"/>
          <w:color w:val="auto"/>
          <w:szCs w:val="21"/>
          <w:highlight w:val="none"/>
        </w:rPr>
        <w:t>）</w:t>
      </w:r>
    </w:p>
    <w:p>
      <w:pPr>
        <w:spacing w:line="440" w:lineRule="exact"/>
        <w:ind w:firstLine="420" w:firstLineChars="200"/>
        <w:rPr>
          <w:rFonts w:hAnsi="宋体"/>
          <w:color w:val="auto"/>
          <w:szCs w:val="21"/>
          <w:highlight w:val="none"/>
        </w:rPr>
      </w:pPr>
      <w:r>
        <w:rPr>
          <w:rFonts w:hAnsi="宋体"/>
          <w:color w:val="auto"/>
          <w:szCs w:val="21"/>
          <w:highlight w:val="none"/>
        </w:rPr>
        <w:t>方式：</w:t>
      </w:r>
      <w:r>
        <w:rPr>
          <w:rFonts w:hint="eastAsia" w:hAnsi="宋体"/>
          <w:color w:val="auto"/>
          <w:szCs w:val="21"/>
          <w:highlight w:val="none"/>
        </w:rPr>
        <w:t>凡有意参加本项投标的供应商，请自行登录</w:t>
      </w:r>
      <w:r>
        <w:rPr>
          <w:rFonts w:hint="eastAsia"/>
          <w:color w:val="auto"/>
          <w:szCs w:val="21"/>
          <w:highlight w:val="none"/>
        </w:rPr>
        <w:t>“政采云”平台（</w:t>
      </w:r>
      <w:r>
        <w:rPr>
          <w:rFonts w:hint="eastAsia" w:ascii="仿宋" w:hAnsi="仿宋" w:eastAsia="仿宋"/>
          <w:color w:val="auto"/>
          <w:szCs w:val="21"/>
          <w:highlight w:val="none"/>
        </w:rPr>
        <w:t>https://www.zcygov.cn/</w:t>
      </w:r>
      <w:r>
        <w:rPr>
          <w:rFonts w:hint="eastAsia"/>
          <w:color w:val="auto"/>
          <w:szCs w:val="21"/>
          <w:highlight w:val="none"/>
        </w:rPr>
        <w:t>）</w:t>
      </w:r>
      <w:r>
        <w:rPr>
          <w:rFonts w:hint="eastAsia" w:hAnsi="宋体"/>
          <w:color w:val="auto"/>
          <w:szCs w:val="21"/>
          <w:highlight w:val="none"/>
        </w:rPr>
        <w:t>下载《招标文件》。尚未注册的供应商可在政采云平台完成注册后在线获取采购文件（政采云平台-商家入驻-注册）。</w:t>
      </w:r>
    </w:p>
    <w:p>
      <w:pPr>
        <w:spacing w:line="440" w:lineRule="exact"/>
        <w:ind w:firstLine="420" w:firstLineChars="200"/>
        <w:rPr>
          <w:rFonts w:hAnsi="宋体"/>
          <w:color w:val="auto"/>
          <w:szCs w:val="21"/>
          <w:highlight w:val="none"/>
        </w:rPr>
      </w:pPr>
      <w:r>
        <w:rPr>
          <w:rFonts w:hAnsi="宋体"/>
          <w:color w:val="auto"/>
          <w:szCs w:val="21"/>
          <w:highlight w:val="none"/>
        </w:rPr>
        <w:t>售价</w:t>
      </w:r>
      <w:r>
        <w:rPr>
          <w:rFonts w:hint="eastAsia" w:hAnsi="宋体"/>
          <w:color w:val="auto"/>
          <w:szCs w:val="21"/>
          <w:highlight w:val="none"/>
        </w:rPr>
        <w:t>（元）：0。</w:t>
      </w:r>
    </w:p>
    <w:p>
      <w:pPr>
        <w:spacing w:line="440" w:lineRule="exact"/>
        <w:rPr>
          <w:rFonts w:hAnsi="宋体"/>
          <w:b/>
          <w:color w:val="auto"/>
          <w:szCs w:val="21"/>
          <w:highlight w:val="none"/>
        </w:rPr>
      </w:pPr>
      <w:bookmarkStart w:id="18" w:name="_Toc28359005"/>
      <w:bookmarkStart w:id="19" w:name="_Toc28359082"/>
      <w:bookmarkStart w:id="20" w:name="_Toc35393793"/>
      <w:bookmarkStart w:id="21" w:name="_Toc35393624"/>
    </w:p>
    <w:p>
      <w:pPr>
        <w:spacing w:line="440" w:lineRule="exact"/>
        <w:rPr>
          <w:rFonts w:hAnsi="宋体"/>
          <w:b/>
          <w:color w:val="auto"/>
          <w:szCs w:val="21"/>
          <w:highlight w:val="none"/>
        </w:rPr>
      </w:pPr>
      <w:r>
        <w:rPr>
          <w:rFonts w:hint="eastAsia" w:hAnsi="宋体"/>
          <w:b/>
          <w:color w:val="auto"/>
          <w:szCs w:val="21"/>
          <w:highlight w:val="none"/>
        </w:rPr>
        <w:t>四、提交投标文件</w:t>
      </w:r>
      <w:bookmarkEnd w:id="18"/>
      <w:bookmarkEnd w:id="19"/>
      <w:r>
        <w:rPr>
          <w:rFonts w:hint="eastAsia" w:hAnsi="宋体"/>
          <w:b/>
          <w:color w:val="auto"/>
          <w:szCs w:val="21"/>
          <w:highlight w:val="none"/>
        </w:rPr>
        <w:t>截止时间、开标时间和地点</w:t>
      </w:r>
      <w:bookmarkEnd w:id="20"/>
      <w:bookmarkEnd w:id="21"/>
    </w:p>
    <w:p>
      <w:pPr>
        <w:spacing w:line="440" w:lineRule="exact"/>
        <w:ind w:firstLine="420" w:firstLineChars="200"/>
        <w:rPr>
          <w:rFonts w:hAnsi="宋体"/>
          <w:color w:val="auto"/>
          <w:szCs w:val="21"/>
          <w:highlight w:val="none"/>
        </w:rPr>
      </w:pPr>
      <w:r>
        <w:rPr>
          <w:rFonts w:hint="eastAsia" w:hAnsi="宋体"/>
          <w:color w:val="auto"/>
          <w:szCs w:val="21"/>
          <w:highlight w:val="none"/>
        </w:rPr>
        <w:t>提交投标文件截止时间：</w:t>
      </w:r>
      <w:r>
        <w:rPr>
          <w:rFonts w:hint="eastAsia" w:hAnsi="宋体"/>
          <w:color w:val="auto"/>
          <w:szCs w:val="21"/>
          <w:highlight w:val="none"/>
          <w:lang w:eastAsia="zh-CN"/>
        </w:rPr>
        <w:t>2022年11月21日9时00分</w:t>
      </w:r>
      <w:r>
        <w:rPr>
          <w:rFonts w:hint="eastAsia" w:hAnsi="宋体"/>
          <w:color w:val="auto"/>
          <w:szCs w:val="21"/>
          <w:highlight w:val="none"/>
        </w:rPr>
        <w:t>（北京时间）；</w:t>
      </w:r>
    </w:p>
    <w:p>
      <w:pPr>
        <w:spacing w:line="440" w:lineRule="exact"/>
        <w:ind w:firstLine="420" w:firstLineChars="200"/>
        <w:rPr>
          <w:rFonts w:hAnsi="宋体"/>
          <w:color w:val="auto"/>
          <w:szCs w:val="21"/>
          <w:highlight w:val="none"/>
        </w:rPr>
      </w:pPr>
      <w:r>
        <w:rPr>
          <w:rFonts w:hint="eastAsia" w:hAnsi="宋体"/>
          <w:color w:val="auto"/>
          <w:szCs w:val="21"/>
          <w:highlight w:val="none"/>
        </w:rPr>
        <w:t>投标地点（网址）：本项目为贺州市全流程电子化项目，通过“政采云”平台（https：//www.zcygov.cn/）实行在线电子投标，供应商应先安装“政采云电子交易客户端”，并按照本项目招标文件和“政采云”平台的要求编制、加密后在投标截止时间前通过网络上传至贺州市本级“政采云”平台，供应商在“政采云”平台提交电子版投标文件时，请填写参加远程开标活动经办人联系方式。</w:t>
      </w:r>
    </w:p>
    <w:p>
      <w:pPr>
        <w:spacing w:line="440" w:lineRule="exact"/>
        <w:ind w:firstLine="420" w:firstLineChars="200"/>
        <w:rPr>
          <w:rFonts w:hint="eastAsia" w:hAnsi="宋体" w:eastAsia="宋体"/>
          <w:color w:val="auto"/>
          <w:szCs w:val="21"/>
          <w:highlight w:val="none"/>
          <w:lang w:eastAsia="zh-CN"/>
        </w:rPr>
      </w:pPr>
      <w:r>
        <w:rPr>
          <w:rFonts w:hint="eastAsia" w:hAnsi="宋体"/>
          <w:color w:val="auto"/>
          <w:szCs w:val="21"/>
          <w:highlight w:val="none"/>
        </w:rPr>
        <w:t>开标时间：</w:t>
      </w:r>
      <w:r>
        <w:rPr>
          <w:rFonts w:hint="eastAsia" w:hAnsi="宋体"/>
          <w:color w:val="auto"/>
          <w:szCs w:val="21"/>
          <w:highlight w:val="none"/>
          <w:lang w:eastAsia="zh-CN"/>
        </w:rPr>
        <w:t>2022年11月21日9时00分</w:t>
      </w:r>
    </w:p>
    <w:p>
      <w:pPr>
        <w:spacing w:line="440" w:lineRule="exact"/>
        <w:ind w:firstLine="420" w:firstLineChars="200"/>
        <w:rPr>
          <w:rFonts w:hAnsi="宋体"/>
          <w:color w:val="auto"/>
          <w:szCs w:val="21"/>
          <w:highlight w:val="none"/>
        </w:rPr>
      </w:pPr>
      <w:r>
        <w:rPr>
          <w:rFonts w:hint="eastAsia" w:hAnsi="宋体"/>
          <w:color w:val="auto"/>
          <w:szCs w:val="21"/>
          <w:highlight w:val="none"/>
        </w:rPr>
        <w:t>开标地点：在“政采云”平台电子开标大厅开标。</w:t>
      </w:r>
    </w:p>
    <w:p>
      <w:pPr>
        <w:spacing w:line="440" w:lineRule="exact"/>
        <w:rPr>
          <w:rFonts w:hAnsi="宋体"/>
          <w:b/>
          <w:color w:val="auto"/>
          <w:szCs w:val="21"/>
          <w:highlight w:val="none"/>
        </w:rPr>
      </w:pPr>
      <w:bookmarkStart w:id="22" w:name="_Toc35393625"/>
      <w:bookmarkStart w:id="23" w:name="_Toc28359007"/>
      <w:bookmarkStart w:id="24" w:name="_Toc28359084"/>
      <w:bookmarkStart w:id="25" w:name="_Toc35393794"/>
      <w:r>
        <w:rPr>
          <w:rFonts w:hint="eastAsia" w:hAnsi="宋体"/>
          <w:b/>
          <w:color w:val="auto"/>
          <w:szCs w:val="21"/>
          <w:highlight w:val="none"/>
        </w:rPr>
        <w:t>五、公告期限</w:t>
      </w:r>
      <w:bookmarkEnd w:id="22"/>
      <w:bookmarkEnd w:id="23"/>
      <w:bookmarkEnd w:id="24"/>
      <w:bookmarkEnd w:id="25"/>
    </w:p>
    <w:p>
      <w:pPr>
        <w:spacing w:line="440" w:lineRule="exact"/>
        <w:ind w:firstLine="420" w:firstLineChars="200"/>
        <w:rPr>
          <w:rFonts w:hAnsi="宋体"/>
          <w:color w:val="auto"/>
          <w:szCs w:val="21"/>
          <w:highlight w:val="none"/>
        </w:rPr>
      </w:pPr>
      <w:r>
        <w:rPr>
          <w:rFonts w:hint="eastAsia" w:hAnsi="宋体"/>
          <w:color w:val="auto"/>
          <w:szCs w:val="21"/>
          <w:highlight w:val="none"/>
        </w:rPr>
        <w:t>自本公告发布之日起5个工作日。</w:t>
      </w:r>
    </w:p>
    <w:p>
      <w:pPr>
        <w:spacing w:line="440" w:lineRule="exact"/>
        <w:rPr>
          <w:rFonts w:hAnsi="宋体"/>
          <w:b/>
          <w:color w:val="auto"/>
          <w:szCs w:val="21"/>
          <w:highlight w:val="none"/>
        </w:rPr>
      </w:pPr>
      <w:bookmarkStart w:id="26" w:name="_Toc35393626"/>
      <w:bookmarkStart w:id="27" w:name="_Toc35393795"/>
      <w:r>
        <w:rPr>
          <w:rFonts w:hint="eastAsia" w:hAnsi="宋体"/>
          <w:b/>
          <w:color w:val="auto"/>
          <w:szCs w:val="21"/>
          <w:highlight w:val="none"/>
        </w:rPr>
        <w:t>六、其他补充事宜</w:t>
      </w:r>
      <w:bookmarkEnd w:id="26"/>
      <w:bookmarkEnd w:id="27"/>
    </w:p>
    <w:p>
      <w:pPr>
        <w:spacing w:line="440" w:lineRule="exact"/>
        <w:ind w:firstLine="420" w:firstLineChars="200"/>
        <w:rPr>
          <w:rFonts w:hAnsi="宋体"/>
          <w:color w:val="auto"/>
          <w:szCs w:val="21"/>
          <w:highlight w:val="none"/>
        </w:rPr>
      </w:pPr>
      <w:r>
        <w:rPr>
          <w:rFonts w:hint="eastAsia" w:hAnsi="宋体"/>
          <w:color w:val="auto"/>
          <w:szCs w:val="21"/>
          <w:highlight w:val="none"/>
        </w:rPr>
        <w:t>1.本项目需要落实的政府采购政策：</w:t>
      </w:r>
      <w:r>
        <w:rPr>
          <w:rFonts w:hint="eastAsia" w:hAnsi="宋体" w:cs="宋体"/>
          <w:color w:val="auto"/>
          <w:szCs w:val="21"/>
          <w:highlight w:val="none"/>
        </w:rPr>
        <w:t>《中华人民共和国政府采购法》、《中华人民共和国政府采购法实施条例》、《政府采购促进中小企业发展管理办法》（财库〔2020〕46号）、《关于政府采购支持监狱企业发展有关问题的通知》（财库[2014]68号）、《关于促进残疾人就业政府采购政策的通知》（财库〔2017〕141号）、强制采购、优先采购节能（节水）产品、环境标志产品等相关法律法规</w:t>
      </w:r>
      <w:r>
        <w:rPr>
          <w:rFonts w:hint="eastAsia" w:hAnsi="宋体"/>
          <w:color w:val="auto"/>
          <w:szCs w:val="21"/>
          <w:highlight w:val="none"/>
        </w:rPr>
        <w:t>。</w:t>
      </w:r>
    </w:p>
    <w:p>
      <w:pPr>
        <w:spacing w:line="440" w:lineRule="exact"/>
        <w:ind w:firstLine="420" w:firstLineChars="200"/>
        <w:rPr>
          <w:rFonts w:hAnsi="宋体"/>
          <w:color w:val="auto"/>
          <w:szCs w:val="21"/>
          <w:highlight w:val="none"/>
        </w:rPr>
      </w:pPr>
      <w:r>
        <w:rPr>
          <w:rFonts w:hint="eastAsia" w:hAnsi="宋体"/>
          <w:color w:val="auto"/>
          <w:szCs w:val="21"/>
          <w:highlight w:val="none"/>
        </w:rPr>
        <w:t>2.发布公告的媒介：中国政府采购网、广西壮族自治区政府采购网及全国公共资源交易平台（广西贺州）。</w:t>
      </w:r>
    </w:p>
    <w:p>
      <w:pPr>
        <w:spacing w:line="440" w:lineRule="exact"/>
        <w:ind w:firstLine="420" w:firstLineChars="200"/>
        <w:rPr>
          <w:rFonts w:hAnsi="宋体"/>
          <w:color w:val="auto"/>
          <w:szCs w:val="21"/>
          <w:highlight w:val="none"/>
        </w:rPr>
      </w:pPr>
      <w:r>
        <w:rPr>
          <w:rFonts w:hint="eastAsia" w:hAnsi="宋体"/>
          <w:color w:val="auto"/>
          <w:szCs w:val="21"/>
          <w:highlight w:val="none"/>
        </w:rPr>
        <w:t>3.监督部门:</w:t>
      </w:r>
      <w:bookmarkStart w:id="28" w:name="PO_3000001866_PM036"/>
      <w:r>
        <w:rPr>
          <w:rFonts w:hint="eastAsia" w:hAnsi="宋体"/>
          <w:color w:val="auto"/>
          <w:highlight w:val="none"/>
        </w:rPr>
        <w:t xml:space="preserve"> </w:t>
      </w:r>
      <w:bookmarkEnd w:id="28"/>
      <w:r>
        <w:rPr>
          <w:rFonts w:hint="eastAsia" w:hAnsi="宋体"/>
          <w:color w:val="auto"/>
          <w:highlight w:val="none"/>
        </w:rPr>
        <w:t>贺州市平桂区政府采购管理办公室</w:t>
      </w:r>
    </w:p>
    <w:p>
      <w:pPr>
        <w:spacing w:line="440" w:lineRule="exact"/>
        <w:ind w:firstLine="630" w:firstLineChars="300"/>
        <w:rPr>
          <w:rFonts w:hAnsi="宋体"/>
          <w:color w:val="auto"/>
          <w:szCs w:val="21"/>
          <w:highlight w:val="none"/>
        </w:rPr>
      </w:pPr>
      <w:r>
        <w:rPr>
          <w:rFonts w:hint="eastAsia" w:hAnsi="宋体"/>
          <w:color w:val="auto"/>
          <w:szCs w:val="21"/>
          <w:highlight w:val="none"/>
        </w:rPr>
        <w:t>联系电话:0774-8832896</w:t>
      </w:r>
    </w:p>
    <w:p>
      <w:pPr>
        <w:numPr>
          <w:ilvl w:val="0"/>
          <w:numId w:val="1"/>
        </w:numPr>
        <w:spacing w:line="440" w:lineRule="exact"/>
        <w:ind w:firstLine="420" w:firstLineChars="200"/>
        <w:rPr>
          <w:rFonts w:hAnsi="宋体"/>
          <w:color w:val="auto"/>
          <w:szCs w:val="21"/>
          <w:highlight w:val="none"/>
        </w:rPr>
      </w:pPr>
      <w:r>
        <w:rPr>
          <w:rFonts w:hint="eastAsia" w:hAnsi="宋体"/>
          <w:color w:val="auto"/>
          <w:szCs w:val="21"/>
          <w:highlight w:val="none"/>
        </w:rPr>
        <w:t>投标保证金：中小微企业无需提交投标保证金（提供有效的《中小企业申明函》）。</w:t>
      </w:r>
    </w:p>
    <w:p>
      <w:pPr>
        <w:spacing w:line="440" w:lineRule="exact"/>
        <w:ind w:firstLine="420" w:firstLineChars="200"/>
        <w:rPr>
          <w:rFonts w:hAnsi="宋体"/>
          <w:color w:val="auto"/>
          <w:szCs w:val="21"/>
          <w:highlight w:val="none"/>
        </w:rPr>
      </w:pPr>
      <w:r>
        <w:rPr>
          <w:rFonts w:hAnsi="宋体"/>
          <w:color w:val="auto"/>
          <w:szCs w:val="21"/>
          <w:highlight w:val="none"/>
        </w:rPr>
        <w:t>5.</w:t>
      </w:r>
      <w:r>
        <w:rPr>
          <w:rFonts w:hint="eastAsia"/>
          <w:color w:val="auto"/>
          <w:highlight w:val="none"/>
        </w:rPr>
        <w:t xml:space="preserve"> </w:t>
      </w:r>
      <w:r>
        <w:rPr>
          <w:rFonts w:hint="eastAsia" w:hAnsi="宋体"/>
          <w:color w:val="auto"/>
          <w:szCs w:val="21"/>
          <w:highlight w:val="none"/>
        </w:rPr>
        <w:t>在线投标响应（电子投标）说明：</w:t>
      </w:r>
    </w:p>
    <w:p>
      <w:pPr>
        <w:spacing w:line="44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）供应商应为政采云平台正式入驻供应商，并在投标前完成CA数字证书办理；</w:t>
      </w:r>
    </w:p>
    <w:p>
      <w:pPr>
        <w:spacing w:line="44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）供应商应安装“政采云投标客户端”；</w:t>
      </w:r>
    </w:p>
    <w:p>
      <w:pPr>
        <w:spacing w:line="44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电子交易具体流程详见操作指南：以供应商身份登录政采云平台，通过政采云页面右侧的采小蜜-帮助文档，搜索条内搜索“政府采购项目电子交易管理操作指南-供应商”，或者进入项目采购模块-操作流程-电子招投标，点击查看“政府采购项目电子交易管理操作指南-供应商”进行全流程学习；</w:t>
      </w:r>
    </w:p>
    <w:p>
      <w:pPr>
        <w:spacing w:line="44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）如有疑问，可致电政府采购云平台技术支持热线咨询，联系方式：400-881-7190；</w:t>
      </w:r>
    </w:p>
    <w:p>
      <w:pPr>
        <w:spacing w:line="440" w:lineRule="exact"/>
        <w:ind w:firstLine="420" w:firstLineChars="200"/>
        <w:rPr>
          <w:rFonts w:hAnsi="宋体"/>
          <w:color w:val="auto"/>
          <w:szCs w:val="21"/>
          <w:highlight w:val="none"/>
        </w:rPr>
      </w:pPr>
      <w:r>
        <w:rPr>
          <w:rFonts w:hint="eastAsia" w:hAnsi="宋体"/>
          <w:color w:val="auto"/>
          <w:szCs w:val="21"/>
          <w:highlight w:val="none"/>
        </w:rPr>
        <w:t>6.单位负责人为同一人或者存在直接控股、管理关系的不同投标人，不得参加同一合同项下的采购活动。除单一来源采购项目外，为采购项目提供整体设计、规范编制或者项目管理、监理、检测等服务的投标人，不得再参加该采购项目的其他采购活动。</w:t>
      </w:r>
    </w:p>
    <w:p>
      <w:pPr>
        <w:spacing w:line="440" w:lineRule="exact"/>
        <w:ind w:firstLine="420" w:firstLineChars="200"/>
        <w:rPr>
          <w:rFonts w:hAnsi="宋体"/>
          <w:color w:val="auto"/>
          <w:szCs w:val="21"/>
          <w:highlight w:val="none"/>
        </w:rPr>
      </w:pPr>
      <w:r>
        <w:rPr>
          <w:rFonts w:hint="eastAsia" w:hAnsi="宋体"/>
          <w:color w:val="auto"/>
          <w:szCs w:val="21"/>
          <w:highlight w:val="none"/>
        </w:rPr>
        <w:t>7.在“信用中国”网站(www.creditchina.gov.cn)、中国政府采购网(www.ccgp.gov.cn)等网站被列入失信被执行人、重大税收违法失信主体、政府采购严重违法失信行为记录名单或其他不符合《中华人民共和国政府采购法》第二十二条规定条件的供应商，不得参与政府采购活动（以评标阶段通过“信用中国”、“中国政府采购网”网站查询的结果为准）；</w:t>
      </w:r>
    </w:p>
    <w:p>
      <w:pPr>
        <w:spacing w:line="440" w:lineRule="exact"/>
        <w:rPr>
          <w:rFonts w:hAnsi="宋体"/>
          <w:b/>
          <w:color w:val="auto"/>
          <w:szCs w:val="21"/>
          <w:highlight w:val="none"/>
        </w:rPr>
      </w:pPr>
      <w:bookmarkStart w:id="29" w:name="_Toc35393627"/>
      <w:bookmarkStart w:id="30" w:name="_Toc28359085"/>
      <w:bookmarkStart w:id="31" w:name="_Toc35393796"/>
      <w:bookmarkStart w:id="32" w:name="_Toc28359008"/>
      <w:r>
        <w:rPr>
          <w:rFonts w:hint="eastAsia" w:hAnsi="宋体"/>
          <w:b/>
          <w:color w:val="auto"/>
          <w:szCs w:val="21"/>
          <w:highlight w:val="none"/>
        </w:rPr>
        <w:t>七、对本次招标提出询问，请按以下方式联系。</w:t>
      </w:r>
      <w:bookmarkEnd w:id="29"/>
      <w:bookmarkEnd w:id="30"/>
      <w:bookmarkEnd w:id="31"/>
      <w:bookmarkEnd w:id="32"/>
    </w:p>
    <w:p>
      <w:pPr>
        <w:spacing w:line="440" w:lineRule="exact"/>
        <w:ind w:firstLine="420" w:firstLineChars="200"/>
        <w:rPr>
          <w:rFonts w:hAnsi="宋体"/>
          <w:color w:val="auto"/>
          <w:szCs w:val="21"/>
          <w:highlight w:val="none"/>
        </w:rPr>
      </w:pPr>
      <w:r>
        <w:rPr>
          <w:rFonts w:hint="eastAsia" w:hAnsi="宋体"/>
          <w:color w:val="auto"/>
          <w:szCs w:val="21"/>
          <w:highlight w:val="none"/>
        </w:rPr>
        <w:t>1.采购人信息</w:t>
      </w:r>
    </w:p>
    <w:p>
      <w:pPr>
        <w:spacing w:line="440" w:lineRule="exact"/>
        <w:ind w:firstLine="420" w:firstLineChars="200"/>
        <w:rPr>
          <w:rFonts w:hAnsi="宋体"/>
          <w:color w:val="auto"/>
          <w:szCs w:val="21"/>
          <w:highlight w:val="none"/>
        </w:rPr>
      </w:pPr>
      <w:r>
        <w:rPr>
          <w:rFonts w:hint="eastAsia" w:hAnsi="宋体"/>
          <w:color w:val="auto"/>
          <w:szCs w:val="21"/>
          <w:highlight w:val="none"/>
        </w:rPr>
        <w:t>名 称：</w:t>
      </w:r>
      <w:bookmarkStart w:id="33" w:name="_Toc28359009"/>
      <w:bookmarkStart w:id="34" w:name="_Toc28359086"/>
      <w:r>
        <w:rPr>
          <w:rFonts w:hint="eastAsia" w:hAnsi="宋体"/>
          <w:color w:val="auto"/>
          <w:szCs w:val="21"/>
          <w:highlight w:val="none"/>
        </w:rPr>
        <w:t>贺州市平桂区住房和城乡建设局</w:t>
      </w:r>
    </w:p>
    <w:p>
      <w:pPr>
        <w:spacing w:line="440" w:lineRule="exact"/>
        <w:ind w:firstLine="420" w:firstLineChars="200"/>
        <w:rPr>
          <w:rFonts w:hAnsi="宋体"/>
          <w:color w:val="auto"/>
          <w:szCs w:val="21"/>
          <w:highlight w:val="none"/>
        </w:rPr>
      </w:pPr>
      <w:r>
        <w:rPr>
          <w:rFonts w:hint="eastAsia" w:hAnsi="宋体"/>
          <w:color w:val="auto"/>
          <w:szCs w:val="21"/>
          <w:highlight w:val="none"/>
        </w:rPr>
        <w:t xml:space="preserve">地址：贺州市平桂区平桂大道E座 </w:t>
      </w:r>
    </w:p>
    <w:p>
      <w:pPr>
        <w:spacing w:line="440" w:lineRule="exact"/>
        <w:ind w:firstLine="420" w:firstLineChars="200"/>
        <w:rPr>
          <w:rFonts w:hAnsi="宋体"/>
          <w:color w:val="auto"/>
          <w:szCs w:val="21"/>
          <w:highlight w:val="none"/>
        </w:rPr>
      </w:pPr>
      <w:r>
        <w:rPr>
          <w:rFonts w:hint="eastAsia" w:hAnsi="宋体"/>
          <w:color w:val="auto"/>
          <w:szCs w:val="21"/>
          <w:highlight w:val="none"/>
        </w:rPr>
        <w:t>联系方式：黄工    0774-8834001</w:t>
      </w:r>
    </w:p>
    <w:p>
      <w:pPr>
        <w:spacing w:line="440" w:lineRule="exact"/>
        <w:ind w:firstLine="420" w:firstLineChars="200"/>
        <w:rPr>
          <w:rFonts w:hAnsi="宋体"/>
          <w:color w:val="auto"/>
          <w:szCs w:val="21"/>
          <w:highlight w:val="none"/>
        </w:rPr>
      </w:pPr>
      <w:r>
        <w:rPr>
          <w:rFonts w:hint="eastAsia" w:hAnsi="宋体"/>
          <w:color w:val="auto"/>
          <w:szCs w:val="21"/>
          <w:highlight w:val="none"/>
        </w:rPr>
        <w:t>2.采购代理机构信息</w:t>
      </w:r>
      <w:bookmarkEnd w:id="33"/>
      <w:bookmarkEnd w:id="34"/>
    </w:p>
    <w:p>
      <w:pPr>
        <w:spacing w:line="440" w:lineRule="exact"/>
        <w:ind w:firstLine="420" w:firstLineChars="200"/>
        <w:rPr>
          <w:rFonts w:hAnsi="宋体"/>
          <w:color w:val="auto"/>
          <w:szCs w:val="21"/>
          <w:highlight w:val="none"/>
        </w:rPr>
      </w:pPr>
      <w:r>
        <w:rPr>
          <w:rFonts w:hint="eastAsia" w:hAnsi="宋体"/>
          <w:color w:val="auto"/>
          <w:szCs w:val="21"/>
          <w:highlight w:val="none"/>
        </w:rPr>
        <w:t>名 称：广西华禹工程咨询有限公司</w:t>
      </w:r>
    </w:p>
    <w:p>
      <w:pPr>
        <w:spacing w:line="440" w:lineRule="exact"/>
        <w:ind w:firstLine="420" w:firstLineChars="200"/>
        <w:rPr>
          <w:rFonts w:hAnsi="宋体"/>
          <w:color w:val="auto"/>
          <w:szCs w:val="21"/>
          <w:highlight w:val="none"/>
        </w:rPr>
      </w:pPr>
      <w:r>
        <w:rPr>
          <w:rFonts w:hint="eastAsia" w:hAnsi="宋体"/>
          <w:color w:val="auto"/>
          <w:szCs w:val="21"/>
          <w:highlight w:val="none"/>
        </w:rPr>
        <w:t>地址：贺州市八步区太原街37号</w:t>
      </w:r>
    </w:p>
    <w:p>
      <w:pPr>
        <w:spacing w:line="440" w:lineRule="exact"/>
        <w:ind w:firstLine="420" w:firstLineChars="200"/>
        <w:rPr>
          <w:rFonts w:hAnsi="宋体"/>
          <w:color w:val="auto"/>
          <w:szCs w:val="21"/>
          <w:highlight w:val="none"/>
        </w:rPr>
      </w:pPr>
      <w:bookmarkStart w:id="35" w:name="_Toc28359087"/>
      <w:bookmarkStart w:id="36" w:name="_Toc28359010"/>
      <w:r>
        <w:rPr>
          <w:rFonts w:hint="eastAsia" w:hAnsi="宋体"/>
          <w:color w:val="auto"/>
          <w:szCs w:val="21"/>
          <w:highlight w:val="none"/>
        </w:rPr>
        <w:t>联系人及电话:莫玉萍，0774-5669983</w:t>
      </w:r>
    </w:p>
    <w:p>
      <w:pPr>
        <w:spacing w:line="440" w:lineRule="exact"/>
        <w:ind w:firstLine="420" w:firstLineChars="200"/>
        <w:rPr>
          <w:rFonts w:hAnsi="宋体"/>
          <w:color w:val="auto"/>
          <w:szCs w:val="21"/>
          <w:highlight w:val="none"/>
        </w:rPr>
      </w:pPr>
      <w:r>
        <w:rPr>
          <w:rFonts w:hint="eastAsia" w:hAnsi="宋体"/>
          <w:color w:val="auto"/>
          <w:szCs w:val="21"/>
          <w:highlight w:val="none"/>
        </w:rPr>
        <w:t>3.项目联系方式</w:t>
      </w:r>
      <w:bookmarkEnd w:id="35"/>
      <w:bookmarkEnd w:id="36"/>
    </w:p>
    <w:p>
      <w:pPr>
        <w:spacing w:line="440" w:lineRule="exact"/>
        <w:ind w:firstLine="420" w:firstLineChars="200"/>
        <w:rPr>
          <w:rFonts w:hAnsi="宋体"/>
          <w:color w:val="auto"/>
          <w:szCs w:val="21"/>
          <w:highlight w:val="none"/>
        </w:rPr>
      </w:pPr>
      <w:r>
        <w:rPr>
          <w:rFonts w:hint="eastAsia" w:hAnsi="宋体"/>
          <w:color w:val="auto"/>
          <w:szCs w:val="21"/>
          <w:highlight w:val="none"/>
        </w:rPr>
        <w:t>项目联系人：莫玉萍</w:t>
      </w:r>
    </w:p>
    <w:p>
      <w:pPr>
        <w:spacing w:line="440" w:lineRule="exact"/>
        <w:ind w:firstLine="420" w:firstLineChars="200"/>
        <w:rPr>
          <w:rFonts w:hAnsi="宋体"/>
          <w:color w:val="auto"/>
          <w:szCs w:val="21"/>
          <w:highlight w:val="none"/>
        </w:rPr>
      </w:pPr>
      <w:r>
        <w:rPr>
          <w:rFonts w:hint="eastAsia" w:hAnsi="宋体"/>
          <w:color w:val="auto"/>
          <w:szCs w:val="21"/>
          <w:highlight w:val="none"/>
        </w:rPr>
        <w:t>电话：0774-5669983</w:t>
      </w:r>
    </w:p>
    <w:p>
      <w:pPr>
        <w:widowControl/>
        <w:spacing w:line="400" w:lineRule="exact"/>
        <w:jc w:val="right"/>
        <w:rPr>
          <w:rFonts w:hAnsi="宋体"/>
          <w:color w:val="auto"/>
          <w:szCs w:val="21"/>
          <w:highlight w:val="none"/>
        </w:rPr>
      </w:pPr>
    </w:p>
    <w:p>
      <w:pPr>
        <w:widowControl/>
        <w:spacing w:line="400" w:lineRule="exact"/>
        <w:jc w:val="right"/>
        <w:rPr>
          <w:rFonts w:hAnsi="宋体"/>
          <w:color w:val="auto"/>
          <w:szCs w:val="21"/>
          <w:highlight w:val="none"/>
        </w:rPr>
      </w:pPr>
      <w:r>
        <w:rPr>
          <w:rFonts w:hint="eastAsia" w:hAnsi="宋体"/>
          <w:color w:val="auto"/>
          <w:szCs w:val="21"/>
          <w:highlight w:val="none"/>
        </w:rPr>
        <w:t>采购人：贺州市平桂区住房和城乡建设局</w:t>
      </w:r>
    </w:p>
    <w:p>
      <w:pPr>
        <w:widowControl/>
        <w:spacing w:line="400" w:lineRule="exact"/>
        <w:jc w:val="right"/>
        <w:rPr>
          <w:rFonts w:hAnsi="宋体"/>
          <w:color w:val="auto"/>
          <w:szCs w:val="21"/>
          <w:highlight w:val="none"/>
        </w:rPr>
      </w:pPr>
    </w:p>
    <w:p>
      <w:pPr>
        <w:widowControl/>
        <w:spacing w:line="400" w:lineRule="exact"/>
        <w:jc w:val="right"/>
        <w:rPr>
          <w:rFonts w:hAnsi="宋体"/>
          <w:color w:val="auto"/>
          <w:szCs w:val="21"/>
          <w:highlight w:val="none"/>
        </w:rPr>
      </w:pPr>
      <w:r>
        <w:rPr>
          <w:rFonts w:hint="eastAsia" w:hAnsi="宋体"/>
          <w:color w:val="auto"/>
          <w:szCs w:val="21"/>
          <w:highlight w:val="none"/>
        </w:rPr>
        <w:t>采购代理机构：广西华禹工程咨询有限公司</w:t>
      </w:r>
    </w:p>
    <w:p>
      <w:pPr>
        <w:widowControl/>
        <w:spacing w:line="400" w:lineRule="exact"/>
        <w:ind w:right="420" w:firstLine="5565" w:firstLineChars="2650"/>
        <w:rPr>
          <w:rFonts w:hAnsi="宋体"/>
          <w:color w:val="auto"/>
          <w:szCs w:val="21"/>
          <w:highlight w:val="none"/>
        </w:rPr>
      </w:pPr>
      <w:r>
        <w:rPr>
          <w:rFonts w:hint="eastAsia" w:hAnsi="宋体"/>
          <w:color w:val="auto"/>
          <w:szCs w:val="21"/>
          <w:highlight w:val="none"/>
        </w:rPr>
        <w:t xml:space="preserve">                 </w:t>
      </w:r>
      <w:r>
        <w:rPr>
          <w:rFonts w:hAnsi="宋体"/>
          <w:color w:val="auto"/>
          <w:szCs w:val="21"/>
          <w:highlight w:val="none"/>
        </w:rPr>
        <w:t xml:space="preserve">  </w:t>
      </w:r>
      <w:r>
        <w:rPr>
          <w:rFonts w:hint="eastAsia" w:hAnsi="宋体"/>
          <w:color w:val="auto"/>
          <w:szCs w:val="21"/>
          <w:highlight w:val="none"/>
        </w:rPr>
        <w:t xml:space="preserve"> </w:t>
      </w:r>
    </w:p>
    <w:p>
      <w:pPr>
        <w:jc w:val="right"/>
        <w:rPr>
          <w:color w:val="auto"/>
          <w:szCs w:val="21"/>
          <w:highlight w:val="none"/>
        </w:rPr>
      </w:pPr>
      <w:r>
        <w:rPr>
          <w:rFonts w:hint="eastAsia"/>
          <w:color w:val="auto"/>
          <w:szCs w:val="21"/>
          <w:highlight w:val="none"/>
        </w:rPr>
        <w:t>2022年</w:t>
      </w:r>
      <w:r>
        <w:rPr>
          <w:rFonts w:hint="eastAsia"/>
          <w:color w:val="auto"/>
          <w:szCs w:val="21"/>
          <w:highlight w:val="none"/>
          <w:u w:val="single"/>
        </w:rPr>
        <w:t xml:space="preserve"> 10 </w:t>
      </w:r>
      <w:r>
        <w:rPr>
          <w:rFonts w:hint="eastAsia"/>
          <w:color w:val="auto"/>
          <w:szCs w:val="21"/>
          <w:highlight w:val="none"/>
        </w:rPr>
        <w:t>月</w:t>
      </w:r>
      <w:r>
        <w:rPr>
          <w:rFonts w:hint="eastAsia"/>
          <w:color w:val="auto"/>
          <w:szCs w:val="21"/>
          <w:highlight w:val="none"/>
          <w:u w:val="single"/>
        </w:rPr>
        <w:t xml:space="preserve"> 17  </w:t>
      </w:r>
      <w:r>
        <w:rPr>
          <w:rFonts w:hint="eastAsia"/>
          <w:color w:val="auto"/>
          <w:szCs w:val="21"/>
          <w:highlight w:val="none"/>
        </w:rPr>
        <w:t>日</w:t>
      </w:r>
      <w:bookmarkEnd w:id="4"/>
    </w:p>
    <w:p>
      <w:pPr>
        <w:pStyle w:val="3"/>
        <w:spacing w:before="165" w:beforeLines="50"/>
        <w:jc w:val="center"/>
        <w:rPr>
          <w:rFonts w:ascii="黑体" w:hAnsi="Verdana" w:eastAsia="黑体"/>
          <w:b/>
          <w:color w:val="auto"/>
          <w:sz w:val="28"/>
          <w:szCs w:val="28"/>
          <w:highlight w:val="none"/>
          <w:u w:val="none"/>
        </w:rPr>
      </w:pPr>
      <w:r>
        <w:rPr>
          <w:color w:val="auto"/>
          <w:szCs w:val="21"/>
          <w:highlight w:val="none"/>
        </w:rPr>
        <w:br w:type="page"/>
      </w:r>
      <w:bookmarkStart w:id="37" w:name="_Toc19202"/>
      <w:bookmarkStart w:id="38" w:name="_Toc78441038"/>
      <w:r>
        <w:rPr>
          <w:rFonts w:hint="eastAsia" w:ascii="黑体" w:hAnsi="Verdana" w:eastAsia="黑体"/>
          <w:b/>
          <w:color w:val="auto"/>
          <w:sz w:val="28"/>
          <w:szCs w:val="28"/>
          <w:highlight w:val="none"/>
          <w:u w:val="none"/>
        </w:rPr>
        <w:t>第二章</w:t>
      </w:r>
      <w:r>
        <w:rPr>
          <w:rFonts w:ascii="黑体" w:hAnsi="Verdana" w:eastAsia="黑体"/>
          <w:b/>
          <w:color w:val="auto"/>
          <w:sz w:val="28"/>
          <w:szCs w:val="28"/>
          <w:highlight w:val="none"/>
          <w:u w:val="none"/>
        </w:rPr>
        <w:t xml:space="preserve">  </w:t>
      </w:r>
      <w:r>
        <w:rPr>
          <w:rFonts w:hint="eastAsia" w:ascii="黑体" w:hAnsi="Verdana" w:eastAsia="黑体"/>
          <w:b/>
          <w:color w:val="auto"/>
          <w:sz w:val="28"/>
          <w:szCs w:val="28"/>
          <w:highlight w:val="none"/>
          <w:u w:val="none"/>
        </w:rPr>
        <w:t>投标人须知及前附表</w:t>
      </w:r>
      <w:bookmarkEnd w:id="3"/>
      <w:bookmarkEnd w:id="37"/>
      <w:bookmarkEnd w:id="38"/>
    </w:p>
    <w:p>
      <w:pPr>
        <w:spacing w:line="400" w:lineRule="exact"/>
        <w:outlineLvl w:val="1"/>
        <w:rPr>
          <w:rFonts w:ascii="黑体" w:hAnsi="Verdana" w:eastAsia="黑体"/>
          <w:b/>
          <w:color w:val="auto"/>
          <w:sz w:val="24"/>
          <w:szCs w:val="24"/>
          <w:highlight w:val="none"/>
        </w:rPr>
      </w:pPr>
      <w:bookmarkStart w:id="39" w:name="_Toc295204422"/>
      <w:bookmarkStart w:id="40" w:name="_Toc21319"/>
      <w:bookmarkStart w:id="41" w:name="_Toc78441039"/>
      <w:r>
        <w:rPr>
          <w:rFonts w:hint="eastAsia" w:ascii="黑体" w:hAnsi="Verdana" w:eastAsia="黑体"/>
          <w:b/>
          <w:color w:val="auto"/>
          <w:sz w:val="24"/>
          <w:szCs w:val="24"/>
          <w:highlight w:val="none"/>
          <w:lang w:eastAsia="en-US"/>
        </w:rPr>
        <w:t>投标人须知前附表</w:t>
      </w:r>
      <w:bookmarkEnd w:id="39"/>
      <w:bookmarkEnd w:id="40"/>
      <w:bookmarkEnd w:id="41"/>
    </w:p>
    <w:tbl>
      <w:tblPr>
        <w:tblStyle w:val="17"/>
        <w:tblW w:w="94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
        <w:gridCol w:w="941"/>
        <w:gridCol w:w="1620"/>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hint="eastAsia" w:asciiTheme="minorEastAsia" w:hAnsiTheme="minorEastAsia" w:eastAsiaTheme="minorEastAsia"/>
                <w:b/>
                <w:color w:val="auto"/>
                <w:szCs w:val="21"/>
                <w:highlight w:val="none"/>
              </w:rPr>
              <w:t>项号</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条款名称</w:t>
            </w:r>
          </w:p>
        </w:tc>
        <w:tc>
          <w:tcPr>
            <w:tcW w:w="6234" w:type="dxa"/>
            <w:tcBorders>
              <w:top w:val="single" w:color="auto" w:sz="4" w:space="0"/>
              <w:left w:val="single" w:color="auto" w:sz="4" w:space="0"/>
              <w:bottom w:val="single" w:color="auto" w:sz="4" w:space="0"/>
            </w:tcBorders>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采购人名称：贺州市平桂区住房和城乡建设局</w:t>
            </w:r>
            <w:r>
              <w:rPr>
                <w:rFonts w:asciiTheme="minorEastAsia" w:hAnsiTheme="minorEastAsia" w:eastAsiaTheme="minorEastAsia"/>
                <w:color w:val="auto"/>
                <w:szCs w:val="21"/>
                <w:highlight w:val="none"/>
              </w:rPr>
              <w:t xml:space="preserve"> </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地址：贺州市平桂区平桂大道E座 </w:t>
            </w:r>
          </w:p>
          <w:p>
            <w:pPr>
              <w:spacing w:line="440" w:lineRule="exact"/>
              <w:rPr>
                <w:rFonts w:hAnsi="宋体" w:eastAsiaTheme="minorEastAsia"/>
                <w:color w:val="auto"/>
                <w:szCs w:val="21"/>
                <w:highlight w:val="none"/>
              </w:rPr>
            </w:pPr>
            <w:r>
              <w:rPr>
                <w:rFonts w:hint="eastAsia" w:asciiTheme="minorEastAsia" w:hAnsiTheme="minorEastAsia" w:eastAsiaTheme="minorEastAsia"/>
                <w:color w:val="auto"/>
                <w:szCs w:val="21"/>
                <w:highlight w:val="none"/>
              </w:rPr>
              <w:t>联系方式：黄工    0774-8834001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2</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采购代理机构</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采购代理机构：广西华禹工程咨询有限公司</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址：贺州市八步区太原街37号</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邮</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编：</w:t>
            </w:r>
            <w:r>
              <w:rPr>
                <w:rFonts w:asciiTheme="minorEastAsia" w:hAnsiTheme="minorEastAsia" w:eastAsiaTheme="minorEastAsia"/>
                <w:color w:val="auto"/>
                <w:szCs w:val="21"/>
                <w:highlight w:val="none"/>
              </w:rPr>
              <w:t xml:space="preserve">542899                    </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联系人及电话</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莫玉萍，0774-5669983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3</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kern w:val="20"/>
                <w:szCs w:val="21"/>
                <w:highlight w:val="none"/>
              </w:rPr>
              <w:t>项目名称</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b/>
                <w:color w:val="auto"/>
                <w:szCs w:val="21"/>
                <w:highlight w:val="none"/>
                <w:u w:val="single"/>
              </w:rPr>
            </w:pPr>
            <w:r>
              <w:rPr>
                <w:rFonts w:hint="eastAsia" w:asciiTheme="minorEastAsia" w:hAnsiTheme="minorEastAsia" w:eastAsiaTheme="minorEastAsia"/>
                <w:color w:val="auto"/>
                <w:szCs w:val="21"/>
                <w:highlight w:val="none"/>
              </w:rPr>
              <w:t>平桂区2022年垃圾治理项目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4</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kern w:val="20"/>
                <w:szCs w:val="21"/>
                <w:highlight w:val="none"/>
              </w:rPr>
              <w:t>项目概况</w:t>
            </w:r>
          </w:p>
        </w:tc>
        <w:tc>
          <w:tcPr>
            <w:tcW w:w="6234" w:type="dxa"/>
            <w:tcBorders>
              <w:top w:val="single" w:color="auto" w:sz="4" w:space="0"/>
              <w:left w:val="single" w:color="auto" w:sz="4" w:space="0"/>
              <w:bottom w:val="single" w:color="auto" w:sz="4" w:space="0"/>
            </w:tcBorders>
            <w:vAlign w:val="center"/>
          </w:tcPr>
          <w:p>
            <w:pPr>
              <w:tabs>
                <w:tab w:val="left" w:pos="1287"/>
              </w:tabs>
              <w:spacing w:line="360" w:lineRule="auto"/>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szCs w:val="21"/>
                <w:highlight w:val="none"/>
              </w:rPr>
              <w:t>详见招标文件第三章。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5</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kern w:val="20"/>
                <w:szCs w:val="21"/>
                <w:highlight w:val="none"/>
              </w:rPr>
              <w:t>质量标准</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kern w:val="20"/>
                <w:szCs w:val="21"/>
                <w:highlight w:val="none"/>
              </w:rPr>
              <w:t>产品符合国家质量标准</w:t>
            </w:r>
            <w:r>
              <w:rPr>
                <w:rFonts w:hint="eastAsia"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6</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kern w:val="20"/>
                <w:szCs w:val="21"/>
                <w:highlight w:val="none"/>
              </w:rPr>
              <w:t>招标范围</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b/>
                <w:color w:val="auto"/>
                <w:szCs w:val="21"/>
                <w:highlight w:val="none"/>
              </w:rPr>
            </w:pPr>
            <w:r>
              <w:rPr>
                <w:rFonts w:hint="eastAsia" w:hAnsi="宋体"/>
                <w:color w:val="auto"/>
                <w:szCs w:val="21"/>
                <w:highlight w:val="none"/>
              </w:rPr>
              <w:t>公会镇、大平瑶族乡、羊头镇、望高镇、鹅塘镇垃圾治理项目；如需进一步了解详细内容，</w:t>
            </w:r>
            <w:r>
              <w:rPr>
                <w:rFonts w:hint="eastAsia" w:asciiTheme="minorEastAsia" w:hAnsiTheme="minorEastAsia" w:eastAsiaTheme="minorEastAsia"/>
                <w:color w:val="auto"/>
                <w:szCs w:val="21"/>
                <w:highlight w:val="none"/>
              </w:rPr>
              <w:t>详见招标文件第三章。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7</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ind w:leftChars="-43" w:right="-109" w:rightChars="-52" w:hanging="90" w:hangingChars="43"/>
              <w:jc w:val="center"/>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szCs w:val="21"/>
                <w:highlight w:val="none"/>
              </w:rPr>
              <w:t>合同履行期限</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供货期为自合同签订之日起35日历日内完成交货，并验收合格后交付使用；质保期不少于1年（从安装、验收合格并交付使用之日算起）。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8</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2</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kern w:val="20"/>
                <w:szCs w:val="21"/>
                <w:highlight w:val="none"/>
              </w:rPr>
              <w:t>资金来源</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szCs w:val="21"/>
                <w:highlight w:val="none"/>
              </w:rPr>
              <w:t>一般债劵。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9</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3.1</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kern w:val="20"/>
                <w:szCs w:val="21"/>
                <w:highlight w:val="none"/>
              </w:rPr>
              <w:t>投标人资格条件</w:t>
            </w:r>
          </w:p>
        </w:tc>
        <w:tc>
          <w:tcPr>
            <w:tcW w:w="6234" w:type="dxa"/>
            <w:tcBorders>
              <w:top w:val="single" w:color="auto" w:sz="4" w:space="0"/>
              <w:left w:val="single" w:color="auto" w:sz="4" w:space="0"/>
              <w:bottom w:val="single" w:color="auto" w:sz="4" w:space="0"/>
            </w:tcBorders>
            <w:vAlign w:val="center"/>
          </w:tcPr>
          <w:p>
            <w:pPr>
              <w:spacing w:line="440" w:lineRule="exact"/>
              <w:rPr>
                <w:rFonts w:hAnsi="宋体"/>
                <w:color w:val="auto"/>
                <w:szCs w:val="21"/>
                <w:highlight w:val="none"/>
              </w:rPr>
            </w:pPr>
            <w:r>
              <w:rPr>
                <w:rFonts w:hint="eastAsia" w:hAnsi="宋体"/>
                <w:color w:val="auto"/>
                <w:szCs w:val="21"/>
                <w:highlight w:val="none"/>
              </w:rPr>
              <w:t>1.满足《中华人民共和国政府采购法》第二十二条规定；</w:t>
            </w:r>
          </w:p>
          <w:p>
            <w:pPr>
              <w:spacing w:line="440" w:lineRule="exact"/>
              <w:rPr>
                <w:rFonts w:hAnsi="宋体"/>
                <w:color w:val="auto"/>
                <w:szCs w:val="21"/>
                <w:highlight w:val="none"/>
              </w:rPr>
            </w:pPr>
            <w:r>
              <w:rPr>
                <w:rFonts w:hint="eastAsia" w:hAnsi="宋体"/>
                <w:color w:val="auto"/>
                <w:szCs w:val="21"/>
                <w:highlight w:val="none"/>
              </w:rPr>
              <w:t>2.落实政府采购政策需满足的资格要求：本项目为专门面向中小企业采购的项目（供应商应为中小微企业、监狱企业、残疾人福利性单位)；</w:t>
            </w:r>
          </w:p>
          <w:p>
            <w:pPr>
              <w:spacing w:line="440" w:lineRule="exact"/>
              <w:rPr>
                <w:rFonts w:hAnsi="宋体"/>
                <w:color w:val="auto"/>
                <w:szCs w:val="21"/>
                <w:highlight w:val="none"/>
              </w:rPr>
            </w:pPr>
            <w:r>
              <w:rPr>
                <w:rFonts w:hint="eastAsia" w:hAnsi="宋体"/>
                <w:color w:val="auto"/>
                <w:szCs w:val="21"/>
                <w:highlight w:val="none"/>
              </w:rPr>
              <w:t>3.本项目的特定资格要求：无。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10</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20.1</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kern w:val="20"/>
                <w:szCs w:val="21"/>
                <w:highlight w:val="none"/>
              </w:rPr>
              <w:t>资格审查方式</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kern w:val="20"/>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11</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12.1</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kern w:val="20"/>
                <w:szCs w:val="21"/>
                <w:highlight w:val="none"/>
              </w:rPr>
              <w:t>踏勘现场</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kern w:val="20"/>
                <w:szCs w:val="21"/>
                <w:highlight w:val="none"/>
              </w:rPr>
              <w:t>投标人自行组织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12</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6</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kern w:val="20"/>
                <w:szCs w:val="21"/>
                <w:highlight w:val="none"/>
              </w:rPr>
              <w:t>澄清与答疑</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招标文件澄清发布方式：在招标公告发布的同一媒介上发布；</w:t>
            </w:r>
          </w:p>
          <w:p>
            <w:pPr>
              <w:spacing w:line="360" w:lineRule="auto"/>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szCs w:val="21"/>
                <w:highlight w:val="none"/>
              </w:rPr>
              <w:t>投标人确认收到澄清或者修改的方式：澄清文件在发布之日起，视为投标人已收到该澄清。投标人未及时关注采购人在网站上发布的澄清文件造成的损失，由投标人自行负责。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13</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9.1</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szCs w:val="21"/>
                <w:highlight w:val="none"/>
              </w:rPr>
              <w:t>构成投标文件的材料</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投标文件的组成部分：</w:t>
            </w:r>
            <w:r>
              <w:rPr>
                <w:rFonts w:hint="eastAsia" w:asciiTheme="minorEastAsia" w:hAnsiTheme="minorEastAsia" w:eastAsiaTheme="minorEastAsia"/>
                <w:color w:val="auto"/>
                <w:szCs w:val="21"/>
                <w:highlight w:val="none"/>
                <w:u w:val="single"/>
              </w:rPr>
              <w:t>资格审查部分、商务标部分、技术标部分</w:t>
            </w:r>
            <w:r>
              <w:rPr>
                <w:rFonts w:hint="eastAsia" w:asciiTheme="minorEastAsia" w:hAnsiTheme="minorEastAsia" w:eastAsiaTheme="minorEastAsia"/>
                <w:color w:val="auto"/>
                <w:szCs w:val="21"/>
                <w:highlight w:val="none"/>
              </w:rPr>
              <w:t>。</w:t>
            </w:r>
          </w:p>
          <w:p>
            <w:pPr>
              <w:spacing w:line="360" w:lineRule="auto"/>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一、资格审查部分：</w:t>
            </w:r>
          </w:p>
          <w:p>
            <w:pPr>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）法定代表人身份证明书原件（</w:t>
            </w:r>
            <w:r>
              <w:rPr>
                <w:rFonts w:hint="eastAsia" w:asciiTheme="minorEastAsia" w:hAnsiTheme="minorEastAsia" w:eastAsiaTheme="minorEastAsia"/>
                <w:b/>
                <w:color w:val="auto"/>
                <w:szCs w:val="21"/>
                <w:highlight w:val="none"/>
              </w:rPr>
              <w:t>必须提供</w:t>
            </w:r>
            <w:r>
              <w:rPr>
                <w:rFonts w:hint="eastAsia" w:asciiTheme="minorEastAsia" w:hAnsiTheme="minorEastAsia" w:eastAsiaTheme="minorEastAsia"/>
                <w:color w:val="auto"/>
                <w:szCs w:val="21"/>
                <w:highlight w:val="none"/>
              </w:rPr>
              <w:t>）；</w:t>
            </w:r>
          </w:p>
          <w:p>
            <w:pPr>
              <w:tabs>
                <w:tab w:val="left" w:pos="1305"/>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）法定代表人授权委托书原件</w:t>
            </w:r>
            <w:r>
              <w:rPr>
                <w:rFonts w:hint="eastAsia" w:asciiTheme="minorEastAsia" w:hAnsiTheme="minorEastAsia" w:eastAsiaTheme="minorEastAsia"/>
                <w:b/>
                <w:color w:val="auto"/>
                <w:szCs w:val="21"/>
                <w:highlight w:val="none"/>
              </w:rPr>
              <w:t>（委托代理时必须提供）</w:t>
            </w:r>
            <w:r>
              <w:rPr>
                <w:rFonts w:hint="eastAsia" w:asciiTheme="minorEastAsia" w:hAnsiTheme="minorEastAsia" w:eastAsiaTheme="minorEastAsia"/>
                <w:color w:val="auto"/>
                <w:szCs w:val="21"/>
                <w:highlight w:val="none"/>
              </w:rPr>
              <w:t>；</w:t>
            </w:r>
          </w:p>
          <w:p>
            <w:pPr>
              <w:tabs>
                <w:tab w:val="left" w:pos="1305"/>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）投标人参加此次政府采购活动前</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年内在经营活动中没有重大违法记录的书面声明</w:t>
            </w:r>
            <w:r>
              <w:rPr>
                <w:rFonts w:hint="eastAsia" w:asciiTheme="minorEastAsia" w:hAnsiTheme="minorEastAsia" w:eastAsiaTheme="minorEastAsia"/>
                <w:b/>
                <w:color w:val="auto"/>
                <w:szCs w:val="21"/>
                <w:highlight w:val="none"/>
              </w:rPr>
              <w:t>（必须提供</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并加盖投标人单位电子签章）</w:t>
            </w:r>
            <w:r>
              <w:rPr>
                <w:rFonts w:hint="eastAsia" w:asciiTheme="minorEastAsia" w:hAnsiTheme="minorEastAsia" w:eastAsiaTheme="minorEastAsia"/>
                <w:color w:val="auto"/>
                <w:szCs w:val="21"/>
                <w:highlight w:val="none"/>
              </w:rPr>
              <w:t>；</w:t>
            </w:r>
          </w:p>
          <w:p>
            <w:pPr>
              <w:tabs>
                <w:tab w:val="left" w:pos="1305"/>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）投标保证金证明材料（附：①金融机构、担保机构出具的保函（担保）或投标保证金银行转账（电汇）底单扫描件</w:t>
            </w:r>
            <w:r>
              <w:rPr>
                <w:rFonts w:hint="eastAsia"/>
                <w:b/>
                <w:color w:val="auto"/>
                <w:szCs w:val="22"/>
                <w:highlight w:val="none"/>
              </w:rPr>
              <w:t>，中小微企业只需提供</w:t>
            </w:r>
            <w:r>
              <w:rPr>
                <w:rFonts w:hint="eastAsia"/>
                <w:b/>
                <w:color w:val="auto"/>
                <w:highlight w:val="none"/>
              </w:rPr>
              <w:t>《中小企业申明函》</w:t>
            </w:r>
            <w:r>
              <w:rPr>
                <w:rFonts w:hint="eastAsia" w:asciiTheme="minorEastAsia" w:hAnsiTheme="minorEastAsia" w:eastAsiaTheme="minorEastAsia"/>
                <w:color w:val="auto"/>
                <w:szCs w:val="21"/>
                <w:highlight w:val="none"/>
              </w:rPr>
              <w:t>，②投标人基本账户开户许可证或《基本存款账户信息》凭证扫描件</w:t>
            </w:r>
            <w:r>
              <w:rPr>
                <w:rFonts w:hint="eastAsia" w:asciiTheme="minorEastAsia" w:hAnsiTheme="minorEastAsia" w:eastAsiaTheme="minorEastAsia"/>
                <w:b/>
                <w:color w:val="auto"/>
                <w:szCs w:val="21"/>
                <w:highlight w:val="none"/>
              </w:rPr>
              <w:t>（必须提供</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并加盖投标人单位电子签章）</w:t>
            </w:r>
            <w:r>
              <w:rPr>
                <w:rFonts w:hint="eastAsia" w:asciiTheme="minorEastAsia" w:hAnsiTheme="minorEastAsia" w:eastAsiaTheme="minorEastAsia"/>
                <w:color w:val="auto"/>
                <w:szCs w:val="21"/>
                <w:highlight w:val="none"/>
              </w:rPr>
              <w:t>；</w:t>
            </w:r>
          </w:p>
          <w:p>
            <w:pPr>
              <w:tabs>
                <w:tab w:val="left" w:pos="1305"/>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）投标人有效的法人营业执照副本扫描件</w:t>
            </w:r>
            <w:r>
              <w:rPr>
                <w:rFonts w:hint="eastAsia" w:asciiTheme="minorEastAsia" w:hAnsiTheme="minorEastAsia" w:eastAsiaTheme="minorEastAsia"/>
                <w:b/>
                <w:color w:val="auto"/>
                <w:szCs w:val="21"/>
                <w:highlight w:val="none"/>
              </w:rPr>
              <w:t>（必须提供</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并加盖投标人单位电子签章）</w:t>
            </w:r>
            <w:r>
              <w:rPr>
                <w:rFonts w:hint="eastAsia" w:asciiTheme="minorEastAsia" w:hAnsiTheme="minorEastAsia" w:eastAsiaTheme="minorEastAsia"/>
                <w:color w:val="auto"/>
                <w:szCs w:val="21"/>
                <w:highlight w:val="none"/>
              </w:rPr>
              <w:t>；</w:t>
            </w:r>
          </w:p>
          <w:p>
            <w:pPr>
              <w:tabs>
                <w:tab w:val="left" w:pos="1305"/>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（6）投标人</w:t>
            </w:r>
            <w:r>
              <w:rPr>
                <w:rFonts w:hint="eastAsia" w:hAnsi="宋体" w:cs="宋体"/>
                <w:color w:val="auto"/>
                <w:szCs w:val="21"/>
                <w:highlight w:val="none"/>
              </w:rPr>
              <w:t>近半年内连续三个月</w:t>
            </w:r>
            <w:r>
              <w:rPr>
                <w:rFonts w:hint="eastAsia" w:asciiTheme="minorEastAsia" w:hAnsiTheme="minorEastAsia" w:eastAsiaTheme="minorEastAsia"/>
                <w:color w:val="auto"/>
                <w:szCs w:val="21"/>
                <w:highlight w:val="none"/>
              </w:rPr>
              <w:t>纳税完税证明或税务部门出具的无需缴纳证明的证明材料扫描件（</w:t>
            </w:r>
            <w:r>
              <w:rPr>
                <w:rFonts w:asciiTheme="minorEastAsia" w:hAnsiTheme="minorEastAsia" w:eastAsiaTheme="minorEastAsia"/>
                <w:color w:val="auto"/>
                <w:szCs w:val="21"/>
                <w:highlight w:val="none"/>
              </w:rPr>
              <w:t>对于从注册、登记或者备案时间起到提交投标文件截止时间为止不足要求月份的投标人，只需提交注册、登记或者备案月份至所要求最近月份的证明材料；对于</w:t>
            </w:r>
            <w:r>
              <w:rPr>
                <w:rFonts w:hint="eastAsia" w:asciiTheme="minorEastAsia" w:hAnsiTheme="minorEastAsia" w:eastAsiaTheme="minorEastAsia"/>
                <w:color w:val="auto"/>
                <w:szCs w:val="21"/>
                <w:highlight w:val="none"/>
              </w:rPr>
              <w:t>依法免税</w:t>
            </w:r>
            <w:r>
              <w:rPr>
                <w:rFonts w:asciiTheme="minorEastAsia" w:hAnsiTheme="minorEastAsia" w:eastAsiaTheme="minorEastAsia"/>
                <w:color w:val="auto"/>
                <w:szCs w:val="21"/>
                <w:highlight w:val="none"/>
              </w:rPr>
              <w:t>的投标人，应提供</w:t>
            </w:r>
            <w:r>
              <w:rPr>
                <w:rFonts w:hint="eastAsia" w:asciiTheme="minorEastAsia" w:hAnsiTheme="minorEastAsia" w:eastAsiaTheme="minorEastAsia"/>
                <w:color w:val="auto"/>
                <w:szCs w:val="21"/>
                <w:highlight w:val="none"/>
              </w:rPr>
              <w:t>依法免税</w:t>
            </w:r>
            <w:r>
              <w:rPr>
                <w:rFonts w:asciiTheme="minorEastAsia" w:hAnsiTheme="minorEastAsia" w:eastAsiaTheme="minorEastAsia"/>
                <w:color w:val="auto"/>
                <w:szCs w:val="21"/>
                <w:highlight w:val="none"/>
              </w:rPr>
              <w:t>的相应文件证明）</w:t>
            </w:r>
            <w:r>
              <w:rPr>
                <w:rFonts w:hint="eastAsia" w:asciiTheme="minorEastAsia" w:hAnsiTheme="minorEastAsia" w:eastAsiaTheme="minorEastAsia"/>
                <w:b/>
                <w:color w:val="auto"/>
                <w:szCs w:val="21"/>
                <w:highlight w:val="none"/>
              </w:rPr>
              <w:t>（必须提供</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并加盖投标人单位电子签章）</w:t>
            </w:r>
            <w:r>
              <w:rPr>
                <w:rFonts w:hint="eastAsia" w:asciiTheme="minorEastAsia" w:hAnsiTheme="minorEastAsia" w:eastAsiaTheme="minorEastAsia"/>
                <w:color w:val="auto"/>
                <w:szCs w:val="21"/>
                <w:highlight w:val="none"/>
              </w:rPr>
              <w:t>；</w:t>
            </w:r>
          </w:p>
          <w:p>
            <w:pPr>
              <w:tabs>
                <w:tab w:val="left" w:pos="1305"/>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投标人</w:t>
            </w:r>
            <w:r>
              <w:rPr>
                <w:rFonts w:hint="eastAsia" w:hAnsi="宋体" w:cs="宋体"/>
                <w:color w:val="auto"/>
                <w:szCs w:val="21"/>
                <w:highlight w:val="none"/>
              </w:rPr>
              <w:t>近半年内连续三个月</w:t>
            </w:r>
            <w:r>
              <w:rPr>
                <w:rFonts w:asciiTheme="minorEastAsia" w:hAnsiTheme="minorEastAsia" w:eastAsiaTheme="minorEastAsia"/>
                <w:color w:val="auto"/>
                <w:szCs w:val="21"/>
                <w:highlight w:val="none"/>
              </w:rPr>
              <w:t>依法缴纳社会保障金</w:t>
            </w:r>
            <w:r>
              <w:rPr>
                <w:rFonts w:hint="eastAsia" w:asciiTheme="minorEastAsia" w:hAnsiTheme="minorEastAsia" w:eastAsiaTheme="minorEastAsia"/>
                <w:color w:val="auto"/>
                <w:szCs w:val="21"/>
                <w:highlight w:val="none"/>
              </w:rPr>
              <w:t>的证明材料扫描件</w:t>
            </w:r>
            <w:r>
              <w:rPr>
                <w:rFonts w:hint="eastAsia" w:hAnsi="宋体" w:cs="宋体"/>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对于从注册、登记或者备案时间起到提交投标文件截止时间为止不足要求月份的投标人，只需提交注册、登记或者备案月份至所要求最近月份的证明材料；对于依法不需要缴纳社会保障金的投标人，应提供依法不需要缴纳社会保障金的相应文件证明）</w:t>
            </w:r>
            <w:r>
              <w:rPr>
                <w:rFonts w:hint="eastAsia" w:asciiTheme="minorEastAsia" w:hAnsiTheme="minorEastAsia" w:eastAsiaTheme="minorEastAsia"/>
                <w:b/>
                <w:color w:val="auto"/>
                <w:szCs w:val="21"/>
                <w:highlight w:val="none"/>
              </w:rPr>
              <w:t>（必须提供</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并加盖投标人单位电子签章）</w:t>
            </w:r>
            <w:r>
              <w:rPr>
                <w:rFonts w:hint="eastAsia" w:asciiTheme="minorEastAsia" w:hAnsiTheme="minorEastAsia" w:eastAsiaTheme="minorEastAsia"/>
                <w:color w:val="auto"/>
                <w:szCs w:val="21"/>
                <w:highlight w:val="none"/>
              </w:rPr>
              <w:t>；</w:t>
            </w:r>
          </w:p>
          <w:p>
            <w:pPr>
              <w:tabs>
                <w:tab w:val="left" w:pos="1305"/>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w:t>
            </w:r>
            <w:r>
              <w:rPr>
                <w:rFonts w:hint="eastAsia" w:asciiTheme="minorEastAsia" w:hAnsiTheme="minorEastAsia" w:eastAsiaTheme="minorEastAsia"/>
                <w:bCs/>
                <w:color w:val="auto"/>
                <w:szCs w:val="21"/>
                <w:highlight w:val="none"/>
              </w:rPr>
              <w:t>投标人2021年财务报表</w:t>
            </w:r>
            <w:r>
              <w:rPr>
                <w:rFonts w:hint="eastAsia" w:asciiTheme="minorEastAsia" w:hAnsiTheme="minorEastAsia" w:eastAsiaTheme="minorEastAsia"/>
                <w:color w:val="auto"/>
                <w:szCs w:val="21"/>
                <w:highlight w:val="none"/>
              </w:rPr>
              <w:t>扫描件</w:t>
            </w:r>
            <w:r>
              <w:rPr>
                <w:rFonts w:hint="eastAsia" w:asciiTheme="minorEastAsia" w:hAnsiTheme="minorEastAsia" w:eastAsiaTheme="minorEastAsia"/>
                <w:bCs/>
                <w:color w:val="auto"/>
                <w:szCs w:val="21"/>
                <w:highlight w:val="none"/>
              </w:rPr>
              <w:t>（对于从取得营业执照时间起到投标截止时间为止不足要求年数的企业，只需提交企业营业执照）；</w:t>
            </w:r>
            <w:r>
              <w:rPr>
                <w:rFonts w:hint="eastAsia" w:asciiTheme="minorEastAsia" w:hAnsiTheme="minorEastAsia" w:eastAsiaTheme="minorEastAsia"/>
                <w:b/>
                <w:color w:val="auto"/>
                <w:szCs w:val="21"/>
                <w:highlight w:val="none"/>
              </w:rPr>
              <w:t>（必须提供</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并加盖投标人单位电子签章）</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w:t>
            </w:r>
          </w:p>
          <w:p>
            <w:pPr>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投标人认为必要提供的声明文件或证明材料。</w:t>
            </w:r>
          </w:p>
          <w:p>
            <w:pPr>
              <w:spacing w:line="360" w:lineRule="auto"/>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二、商务标部分：</w:t>
            </w:r>
            <w:r>
              <w:rPr>
                <w:rFonts w:asciiTheme="minorEastAsia" w:hAnsiTheme="minorEastAsia" w:eastAsiaTheme="minorEastAsia"/>
                <w:b/>
                <w:color w:val="auto"/>
                <w:szCs w:val="21"/>
                <w:highlight w:val="none"/>
              </w:rPr>
              <w:t xml:space="preserve"> </w:t>
            </w:r>
          </w:p>
          <w:p>
            <w:pPr>
              <w:spacing w:line="360" w:lineRule="auto"/>
              <w:ind w:right="-86" w:rightChars="-41"/>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）投标函（</w:t>
            </w:r>
            <w:r>
              <w:rPr>
                <w:rFonts w:hint="eastAsia" w:asciiTheme="minorEastAsia" w:hAnsiTheme="minorEastAsia" w:eastAsiaTheme="minorEastAsia"/>
                <w:b/>
                <w:color w:val="auto"/>
                <w:szCs w:val="21"/>
                <w:highlight w:val="none"/>
              </w:rPr>
              <w:t>必须提供</w:t>
            </w:r>
            <w:r>
              <w:rPr>
                <w:rFonts w:hint="eastAsia" w:asciiTheme="minorEastAsia" w:hAnsiTheme="minorEastAsia" w:eastAsiaTheme="minorEastAsia"/>
                <w:color w:val="auto"/>
                <w:szCs w:val="21"/>
                <w:highlight w:val="none"/>
              </w:rPr>
              <w:t>）；</w:t>
            </w:r>
          </w:p>
          <w:p>
            <w:pPr>
              <w:spacing w:line="360" w:lineRule="auto"/>
              <w:ind w:right="-86" w:rightChars="-41"/>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）投标报价表（</w:t>
            </w:r>
            <w:r>
              <w:rPr>
                <w:rFonts w:hint="eastAsia" w:asciiTheme="minorEastAsia" w:hAnsiTheme="minorEastAsia" w:eastAsiaTheme="minorEastAsia"/>
                <w:b/>
                <w:color w:val="auto"/>
                <w:szCs w:val="21"/>
                <w:highlight w:val="none"/>
              </w:rPr>
              <w:t>必须提供</w:t>
            </w:r>
            <w:r>
              <w:rPr>
                <w:rFonts w:hint="eastAsia" w:asciiTheme="minorEastAsia" w:hAnsiTheme="minorEastAsia" w:eastAsiaTheme="minorEastAsia"/>
                <w:color w:val="auto"/>
                <w:szCs w:val="21"/>
                <w:highlight w:val="none"/>
              </w:rPr>
              <w:t>）；</w:t>
            </w:r>
          </w:p>
          <w:p>
            <w:pPr>
              <w:spacing w:line="360" w:lineRule="auto"/>
              <w:ind w:right="-86" w:rightChars="-41"/>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）技术规格偏离表（</w:t>
            </w:r>
            <w:r>
              <w:rPr>
                <w:rFonts w:hint="eastAsia" w:asciiTheme="minorEastAsia" w:hAnsiTheme="minorEastAsia" w:eastAsiaTheme="minorEastAsia"/>
                <w:b/>
                <w:color w:val="auto"/>
                <w:szCs w:val="21"/>
                <w:highlight w:val="none"/>
              </w:rPr>
              <w:t>必须提供</w:t>
            </w:r>
            <w:r>
              <w:rPr>
                <w:rFonts w:hint="eastAsia" w:asciiTheme="minorEastAsia" w:hAnsiTheme="minorEastAsia" w:eastAsiaTheme="minorEastAsia"/>
                <w:color w:val="auto"/>
                <w:szCs w:val="21"/>
                <w:highlight w:val="none"/>
              </w:rPr>
              <w:t>）</w:t>
            </w:r>
          </w:p>
          <w:p>
            <w:pPr>
              <w:spacing w:line="360" w:lineRule="auto"/>
              <w:ind w:right="-86" w:rightChars="-41"/>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）投标人认为必要提供的声明文件或证明材料（如有时，可根据评标办法“</w:t>
            </w:r>
            <w:r>
              <w:rPr>
                <w:rFonts w:hint="eastAsia" w:cs="宋体" w:asciiTheme="minorEastAsia" w:hAnsiTheme="minorEastAsia" w:eastAsiaTheme="minorEastAsia"/>
                <w:color w:val="auto"/>
                <w:szCs w:val="21"/>
                <w:highlight w:val="none"/>
              </w:rPr>
              <w:t>商务标部分”要求提供</w:t>
            </w:r>
            <w:r>
              <w:rPr>
                <w:rFonts w:hint="eastAsia" w:asciiTheme="minorEastAsia" w:hAnsiTheme="minorEastAsia" w:eastAsiaTheme="minorEastAsia"/>
                <w:color w:val="auto"/>
                <w:szCs w:val="21"/>
                <w:highlight w:val="none"/>
              </w:rPr>
              <w:t>）；</w:t>
            </w:r>
          </w:p>
          <w:p>
            <w:pPr>
              <w:spacing w:line="360" w:lineRule="auto"/>
              <w:ind w:right="-86" w:rightChars="-41"/>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）投标人认为需要提供的证明文件。</w:t>
            </w:r>
          </w:p>
          <w:p>
            <w:pPr>
              <w:spacing w:line="360" w:lineRule="auto"/>
              <w:jc w:val="left"/>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br w:type="page"/>
            </w:r>
            <w:r>
              <w:rPr>
                <w:rFonts w:hint="eastAsia" w:asciiTheme="minorEastAsia" w:hAnsiTheme="minorEastAsia" w:eastAsiaTheme="minorEastAsia"/>
                <w:b/>
                <w:color w:val="auto"/>
                <w:szCs w:val="21"/>
                <w:highlight w:val="none"/>
              </w:rPr>
              <w:t>三、技术标部分：</w:t>
            </w:r>
          </w:p>
          <w:p>
            <w:pPr>
              <w:tabs>
                <w:tab w:val="left" w:pos="1305"/>
              </w:tabs>
              <w:spacing w:line="360" w:lineRule="auto"/>
              <w:rPr>
                <w:rFonts w:hAnsi="宋体"/>
                <w:color w:val="auto"/>
                <w:szCs w:val="21"/>
                <w:highlight w:val="none"/>
              </w:rPr>
            </w:pPr>
            <w:r>
              <w:rPr>
                <w:rFonts w:hint="eastAsia" w:hAnsi="宋体"/>
                <w:color w:val="auto"/>
                <w:szCs w:val="21"/>
                <w:highlight w:val="none"/>
              </w:rPr>
              <w:t>（1）项目实施方案</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必须提供</w:t>
            </w:r>
            <w:r>
              <w:rPr>
                <w:rFonts w:hint="eastAsia" w:asciiTheme="minorEastAsia" w:hAnsiTheme="minorEastAsia" w:eastAsiaTheme="minorEastAsia"/>
                <w:color w:val="auto"/>
                <w:szCs w:val="21"/>
                <w:highlight w:val="none"/>
              </w:rPr>
              <w:t>）</w:t>
            </w:r>
            <w:r>
              <w:rPr>
                <w:rFonts w:hint="eastAsia" w:hAnsi="宋体"/>
                <w:color w:val="auto"/>
                <w:szCs w:val="21"/>
                <w:highlight w:val="none"/>
              </w:rPr>
              <w:t>；</w:t>
            </w:r>
          </w:p>
          <w:p>
            <w:pPr>
              <w:tabs>
                <w:tab w:val="left" w:pos="1305"/>
              </w:tabs>
              <w:spacing w:line="360" w:lineRule="auto"/>
              <w:rPr>
                <w:rFonts w:hAnsi="宋体"/>
                <w:color w:val="auto"/>
                <w:szCs w:val="21"/>
                <w:highlight w:val="none"/>
              </w:rPr>
            </w:pPr>
            <w:r>
              <w:rPr>
                <w:rFonts w:hint="eastAsia" w:hAnsi="宋体"/>
                <w:color w:val="auto"/>
                <w:szCs w:val="21"/>
                <w:highlight w:val="none"/>
              </w:rPr>
              <w:t>（2）售后方案</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必须提供</w:t>
            </w:r>
            <w:r>
              <w:rPr>
                <w:rFonts w:hint="eastAsia" w:asciiTheme="minorEastAsia" w:hAnsiTheme="minorEastAsia" w:eastAsiaTheme="minorEastAsia"/>
                <w:color w:val="auto"/>
                <w:szCs w:val="21"/>
                <w:highlight w:val="none"/>
              </w:rPr>
              <w:t>）</w:t>
            </w:r>
            <w:r>
              <w:rPr>
                <w:rFonts w:hint="eastAsia" w:hAnsi="宋体"/>
                <w:color w:val="auto"/>
                <w:szCs w:val="21"/>
                <w:highlight w:val="none"/>
              </w:rPr>
              <w:t>；</w:t>
            </w:r>
          </w:p>
          <w:p>
            <w:pPr>
              <w:tabs>
                <w:tab w:val="left" w:pos="1305"/>
              </w:tabs>
              <w:spacing w:line="360" w:lineRule="auto"/>
              <w:rPr>
                <w:rFonts w:asciiTheme="minorEastAsia" w:hAnsiTheme="minorEastAsia" w:eastAsiaTheme="minorEastAsia"/>
                <w:color w:val="auto"/>
                <w:szCs w:val="21"/>
                <w:highlight w:val="none"/>
              </w:rPr>
            </w:pPr>
            <w:r>
              <w:rPr>
                <w:rFonts w:hint="eastAsia" w:hAnsi="宋体"/>
                <w:color w:val="auto"/>
                <w:szCs w:val="21"/>
                <w:highlight w:val="none"/>
              </w:rPr>
              <w:t>（3）供应商可结合本项目的评标办法视自身情况自行提交相关证明材料。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14</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10</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kern w:val="20"/>
                <w:szCs w:val="21"/>
                <w:highlight w:val="none"/>
              </w:rPr>
              <w:t>投标有效期</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color w:val="auto"/>
                <w:kern w:val="20"/>
                <w:szCs w:val="21"/>
                <w:highlight w:val="none"/>
              </w:rPr>
            </w:pPr>
            <w:r>
              <w:rPr>
                <w:rFonts w:asciiTheme="minorEastAsia" w:hAnsiTheme="minorEastAsia" w:eastAsiaTheme="minorEastAsia"/>
                <w:color w:val="auto"/>
                <w:szCs w:val="21"/>
                <w:highlight w:val="none"/>
              </w:rPr>
              <w:t>60</w:t>
            </w:r>
            <w:r>
              <w:rPr>
                <w:rFonts w:hint="eastAsia" w:asciiTheme="minorEastAsia" w:hAnsiTheme="minorEastAsia" w:eastAsiaTheme="minorEastAsia"/>
                <w:color w:val="auto"/>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15</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kern w:val="20"/>
                <w:szCs w:val="21"/>
                <w:highlight w:val="none"/>
              </w:rPr>
              <w:t>投标保证金</w:t>
            </w:r>
          </w:p>
        </w:tc>
        <w:tc>
          <w:tcPr>
            <w:tcW w:w="6234" w:type="dxa"/>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olor w:val="auto"/>
                <w:szCs w:val="21"/>
                <w:highlight w:val="none"/>
              </w:rPr>
            </w:pPr>
            <w:r>
              <w:rPr>
                <w:b/>
                <w:color w:val="auto"/>
                <w:highlight w:val="none"/>
              </w:rPr>
              <w:t>政策响应：</w:t>
            </w:r>
            <w:r>
              <w:rPr>
                <w:rFonts w:hint="eastAsia"/>
                <w:b/>
                <w:color w:val="auto"/>
                <w:highlight w:val="none"/>
              </w:rPr>
              <w:t>中小微企业无需提交投标保证金（须提供有效的《中小企业申明函》）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16</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13.1</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kern w:val="20"/>
                <w:szCs w:val="21"/>
                <w:highlight w:val="none"/>
              </w:rPr>
              <w:t>投标文件份数</w:t>
            </w:r>
          </w:p>
        </w:tc>
        <w:tc>
          <w:tcPr>
            <w:tcW w:w="6234" w:type="dxa"/>
            <w:tcBorders>
              <w:top w:val="single" w:color="auto" w:sz="4" w:space="0"/>
              <w:left w:val="single" w:color="auto" w:sz="4" w:space="0"/>
              <w:bottom w:val="single" w:color="auto" w:sz="4" w:space="0"/>
            </w:tcBorders>
            <w:vAlign w:val="center"/>
          </w:tcPr>
          <w:p>
            <w:pPr>
              <w:spacing w:line="360" w:lineRule="auto"/>
              <w:rPr>
                <w:rFonts w:hAnsi="宋体" w:cs="宋体"/>
                <w:color w:val="auto"/>
                <w:kern w:val="0"/>
                <w:szCs w:val="21"/>
                <w:highlight w:val="none"/>
              </w:rPr>
            </w:pPr>
            <w:r>
              <w:rPr>
                <w:rFonts w:hint="eastAsia" w:hAnsi="宋体" w:cs="宋体"/>
                <w:color w:val="auto"/>
                <w:kern w:val="0"/>
                <w:szCs w:val="21"/>
                <w:highlight w:val="none"/>
              </w:rPr>
              <w:t>供应商在“政采云”平台提交电子版投标文件；</w:t>
            </w:r>
          </w:p>
          <w:p>
            <w:pPr>
              <w:spacing w:line="360" w:lineRule="auto"/>
              <w:rPr>
                <w:rFonts w:hAnsi="宋体"/>
                <w:color w:val="auto"/>
                <w:kern w:val="20"/>
                <w:szCs w:val="21"/>
                <w:highlight w:val="none"/>
              </w:rPr>
            </w:pPr>
            <w:r>
              <w:rPr>
                <w:rFonts w:hint="eastAsia" w:hAnsi="宋体"/>
                <w:color w:val="auto"/>
                <w:kern w:val="20"/>
                <w:szCs w:val="21"/>
                <w:highlight w:val="none"/>
              </w:rPr>
              <w:t>中标</w:t>
            </w:r>
            <w:r>
              <w:rPr>
                <w:rFonts w:hint="eastAsia" w:hAnsi="宋体" w:cs="宋体"/>
                <w:color w:val="auto"/>
                <w:kern w:val="0"/>
                <w:szCs w:val="21"/>
                <w:highlight w:val="none"/>
              </w:rPr>
              <w:t>供应商应在采购合同</w:t>
            </w:r>
            <w:r>
              <w:rPr>
                <w:rFonts w:hAnsi="宋体" w:cs="宋体"/>
                <w:color w:val="auto"/>
                <w:kern w:val="0"/>
                <w:szCs w:val="21"/>
                <w:highlight w:val="none"/>
              </w:rPr>
              <w:t>签订前递交</w:t>
            </w:r>
            <w:r>
              <w:rPr>
                <w:rFonts w:hint="eastAsia" w:hAnsi="宋体"/>
                <w:color w:val="auto"/>
                <w:kern w:val="20"/>
                <w:szCs w:val="21"/>
                <w:highlight w:val="none"/>
              </w:rPr>
              <w:t>加盖</w:t>
            </w:r>
            <w:r>
              <w:rPr>
                <w:rFonts w:hAnsi="宋体"/>
                <w:color w:val="auto"/>
                <w:kern w:val="20"/>
                <w:szCs w:val="21"/>
                <w:highlight w:val="none"/>
              </w:rPr>
              <w:t>供应商公章</w:t>
            </w:r>
            <w:r>
              <w:rPr>
                <w:rFonts w:hint="eastAsia" w:hAnsi="宋体"/>
                <w:color w:val="auto"/>
                <w:kern w:val="20"/>
                <w:szCs w:val="21"/>
                <w:highlight w:val="none"/>
              </w:rPr>
              <w:t>的纸质版投标</w:t>
            </w:r>
            <w:r>
              <w:rPr>
                <w:rFonts w:hAnsi="宋体"/>
                <w:color w:val="auto"/>
                <w:kern w:val="20"/>
                <w:szCs w:val="21"/>
                <w:highlight w:val="none"/>
              </w:rPr>
              <w:t>文件</w:t>
            </w:r>
            <w:r>
              <w:rPr>
                <w:rFonts w:hint="eastAsia" w:hAnsi="宋体"/>
                <w:color w:val="auto"/>
                <w:kern w:val="20"/>
                <w:szCs w:val="21"/>
                <w:highlight w:val="none"/>
              </w:rPr>
              <w:t>（资格审查部分、商务标部分、技术标部分</w:t>
            </w:r>
            <w:r>
              <w:rPr>
                <w:rFonts w:hAnsi="宋体"/>
                <w:color w:val="auto"/>
                <w:kern w:val="20"/>
                <w:szCs w:val="21"/>
                <w:highlight w:val="none"/>
              </w:rPr>
              <w:t>）</w:t>
            </w:r>
            <w:r>
              <w:rPr>
                <w:rFonts w:hint="eastAsia" w:hAnsi="宋体"/>
                <w:color w:val="auto"/>
                <w:kern w:val="20"/>
                <w:szCs w:val="21"/>
                <w:highlight w:val="none"/>
              </w:rPr>
              <w:t>（</w:t>
            </w:r>
            <w:r>
              <w:rPr>
                <w:rFonts w:hint="eastAsia" w:hAnsi="宋体" w:cs="宋体"/>
                <w:color w:val="auto"/>
                <w:kern w:val="0"/>
                <w:szCs w:val="21"/>
                <w:highlight w:val="none"/>
              </w:rPr>
              <w:t>需</w:t>
            </w:r>
            <w:r>
              <w:rPr>
                <w:rFonts w:hint="eastAsia" w:hAnsi="宋体"/>
                <w:color w:val="auto"/>
                <w:kern w:val="20"/>
                <w:szCs w:val="21"/>
                <w:highlight w:val="none"/>
              </w:rPr>
              <w:t>与</w:t>
            </w:r>
            <w:r>
              <w:rPr>
                <w:rFonts w:hint="eastAsia" w:hAnsi="宋体" w:cs="宋体"/>
                <w:color w:val="auto"/>
                <w:kern w:val="0"/>
                <w:szCs w:val="21"/>
                <w:highlight w:val="none"/>
              </w:rPr>
              <w:t>“政采云”平台提交的电子版投标文件内容一致</w:t>
            </w:r>
            <w:r>
              <w:rPr>
                <w:rFonts w:hAnsi="宋体"/>
                <w:color w:val="auto"/>
                <w:kern w:val="20"/>
                <w:szCs w:val="21"/>
                <w:highlight w:val="none"/>
              </w:rPr>
              <w:t>）</w:t>
            </w:r>
            <w:r>
              <w:rPr>
                <w:rFonts w:hint="eastAsia" w:hAnsi="宋体"/>
                <w:color w:val="auto"/>
                <w:kern w:val="20"/>
                <w:szCs w:val="21"/>
                <w:highlight w:val="none"/>
              </w:rPr>
              <w:t>至</w:t>
            </w:r>
            <w:r>
              <w:rPr>
                <w:rFonts w:hAnsi="宋体"/>
                <w:color w:val="auto"/>
                <w:kern w:val="20"/>
                <w:szCs w:val="21"/>
                <w:highlight w:val="none"/>
              </w:rPr>
              <w:t>本项目采购代理机构</w:t>
            </w:r>
            <w:r>
              <w:rPr>
                <w:rFonts w:hint="eastAsia" w:hAnsi="宋体"/>
                <w:color w:val="auto"/>
                <w:kern w:val="20"/>
                <w:szCs w:val="21"/>
                <w:highlight w:val="none"/>
              </w:rPr>
              <w:t>处</w:t>
            </w:r>
            <w:r>
              <w:rPr>
                <w:rFonts w:hAnsi="宋体"/>
                <w:color w:val="auto"/>
                <w:kern w:val="20"/>
                <w:szCs w:val="21"/>
                <w:highlight w:val="none"/>
              </w:rPr>
              <w:t>；</w:t>
            </w:r>
          </w:p>
          <w:p>
            <w:pPr>
              <w:spacing w:line="360" w:lineRule="auto"/>
              <w:rPr>
                <w:rFonts w:hAnsi="宋体"/>
                <w:color w:val="auto"/>
                <w:kern w:val="20"/>
                <w:szCs w:val="21"/>
                <w:highlight w:val="none"/>
              </w:rPr>
            </w:pPr>
            <w:r>
              <w:rPr>
                <w:rFonts w:hint="eastAsia" w:hAnsi="宋体"/>
                <w:color w:val="auto"/>
                <w:kern w:val="20"/>
                <w:szCs w:val="21"/>
                <w:highlight w:val="none"/>
              </w:rPr>
              <w:t>纸质版投标</w:t>
            </w:r>
            <w:r>
              <w:rPr>
                <w:rFonts w:hAnsi="宋体"/>
                <w:color w:val="auto"/>
                <w:kern w:val="20"/>
                <w:szCs w:val="21"/>
                <w:highlight w:val="none"/>
              </w:rPr>
              <w:t>文件份数要求：</w:t>
            </w:r>
            <w:r>
              <w:rPr>
                <w:rFonts w:hint="eastAsia" w:hAnsi="宋体"/>
                <w:color w:val="auto"/>
                <w:kern w:val="20"/>
                <w:szCs w:val="21"/>
                <w:highlight w:val="none"/>
              </w:rPr>
              <w:t>正本：壹份，副本：伍份。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17</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14.3</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开标时间、地点</w:t>
            </w:r>
          </w:p>
        </w:tc>
        <w:tc>
          <w:tcPr>
            <w:tcW w:w="6234" w:type="dxa"/>
            <w:tcBorders>
              <w:top w:val="single" w:color="auto" w:sz="4" w:space="0"/>
              <w:left w:val="single" w:color="auto" w:sz="4" w:space="0"/>
              <w:bottom w:val="single" w:color="auto" w:sz="4" w:space="0"/>
            </w:tcBorders>
            <w:vAlign w:val="center"/>
          </w:tcPr>
          <w:p>
            <w:pPr>
              <w:spacing w:line="360" w:lineRule="auto"/>
              <w:ind w:right="-153" w:rightChars="-73"/>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开标时间：</w:t>
            </w:r>
            <w:r>
              <w:rPr>
                <w:rFonts w:hint="eastAsia" w:hAnsi="宋体" w:eastAsiaTheme="minorEastAsia"/>
                <w:color w:val="auto"/>
                <w:szCs w:val="21"/>
                <w:highlight w:val="none"/>
                <w:lang w:eastAsia="zh-CN"/>
              </w:rPr>
              <w:t>2022年11月21日9时00分</w:t>
            </w:r>
            <w:r>
              <w:rPr>
                <w:rFonts w:hint="eastAsia" w:asciiTheme="minorEastAsia" w:hAnsiTheme="minorEastAsia" w:eastAsiaTheme="minorEastAsia"/>
                <w:color w:val="auto"/>
                <w:szCs w:val="21"/>
                <w:highlight w:val="none"/>
              </w:rPr>
              <w:t>；</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开标地点：</w:t>
            </w:r>
            <w:r>
              <w:rPr>
                <w:rFonts w:hint="eastAsia" w:hAnsi="宋体"/>
                <w:color w:val="auto"/>
                <w:szCs w:val="21"/>
                <w:highlight w:val="none"/>
              </w:rPr>
              <w:t>在“政采云”平台电子开标大厅开标</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18</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14</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投标文件提交方式</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color w:val="auto"/>
                <w:szCs w:val="21"/>
                <w:highlight w:val="none"/>
              </w:rPr>
            </w:pPr>
            <w:r>
              <w:rPr>
                <w:rFonts w:hint="eastAsia" w:hAnsi="宋体" w:cs="宋体"/>
                <w:color w:val="auto"/>
                <w:kern w:val="0"/>
                <w:szCs w:val="21"/>
                <w:highlight w:val="none"/>
              </w:rPr>
              <w:t>在“政采云”平台提交电子版投标文件；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19</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20</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kern w:val="20"/>
                <w:szCs w:val="21"/>
                <w:highlight w:val="none"/>
              </w:rPr>
              <w:t>评标方法</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color w:val="auto"/>
                <w:kern w:val="20"/>
                <w:szCs w:val="21"/>
                <w:highlight w:val="none"/>
              </w:rPr>
            </w:pPr>
            <w:r>
              <w:rPr>
                <w:rFonts w:hint="eastAsia" w:hAnsi="宋体"/>
                <w:color w:val="auto"/>
                <w:szCs w:val="21"/>
                <w:highlight w:val="none"/>
              </w:rPr>
              <w:t>采用综合评分法的，评标委员会将按总得分由高到低排列中标候选供应商顺序，并依照次序确定</w:t>
            </w:r>
            <w:r>
              <w:rPr>
                <w:rFonts w:hAnsi="宋体"/>
                <w:color w:val="auto"/>
                <w:szCs w:val="21"/>
                <w:highlight w:val="none"/>
              </w:rPr>
              <w:t>1家中标供应商。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20</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7.5</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szCs w:val="21"/>
                <w:highlight w:val="none"/>
              </w:rPr>
              <w:t>上限控制价</w:t>
            </w:r>
          </w:p>
        </w:tc>
        <w:tc>
          <w:tcPr>
            <w:tcW w:w="6234" w:type="dxa"/>
            <w:tcBorders>
              <w:top w:val="single" w:color="auto" w:sz="4" w:space="0"/>
              <w:left w:val="single" w:color="auto" w:sz="4" w:space="0"/>
              <w:bottom w:val="single" w:color="auto" w:sz="4" w:space="0"/>
            </w:tcBorders>
            <w:vAlign w:val="center"/>
          </w:tcPr>
          <w:p>
            <w:pPr>
              <w:widowControl/>
              <w:spacing w:line="360" w:lineRule="auto"/>
              <w:jc w:val="left"/>
              <w:rPr>
                <w:rFonts w:asciiTheme="minorEastAsia" w:hAnsiTheme="minorEastAsia" w:eastAsiaTheme="minorEastAsia"/>
                <w:b/>
                <w:color w:val="auto"/>
                <w:szCs w:val="21"/>
                <w:highlight w:val="none"/>
              </w:rPr>
            </w:pPr>
            <w:r>
              <w:rPr>
                <w:rFonts w:hint="eastAsia"/>
                <w:color w:val="auto"/>
                <w:highlight w:val="none"/>
              </w:rPr>
              <w:t>本项目</w:t>
            </w:r>
            <w:r>
              <w:rPr>
                <w:rFonts w:hint="eastAsia"/>
                <w:color w:val="auto"/>
                <w:szCs w:val="21"/>
                <w:highlight w:val="none"/>
              </w:rPr>
              <w:t xml:space="preserve">采购的上限控制价为人民币 </w:t>
            </w:r>
            <w:r>
              <w:rPr>
                <w:rFonts w:hint="eastAsia"/>
                <w:color w:val="auto"/>
                <w:szCs w:val="21"/>
                <w:highlight w:val="none"/>
                <w:u w:val="single"/>
              </w:rPr>
              <w:t>伍佰壹拾万零肆仟肆佰元整（￥5104400.00）</w:t>
            </w:r>
            <w:r>
              <w:rPr>
                <w:rFonts w:hint="eastAsia" w:hAnsi="宋体"/>
                <w:color w:val="auto"/>
                <w:kern w:val="0"/>
                <w:highlight w:val="none"/>
              </w:rPr>
              <w:t>。</w:t>
            </w:r>
            <w:r>
              <w:rPr>
                <w:rFonts w:hint="eastAsia" w:hAnsi="宋体"/>
                <w:color w:val="auto"/>
                <w:szCs w:val="21"/>
                <w:highlight w:val="none"/>
              </w:rPr>
              <w:t>由投标人考虑各方面因素、风险自行作报价，投标</w:t>
            </w:r>
            <w:r>
              <w:rPr>
                <w:rFonts w:hAnsi="宋体"/>
                <w:color w:val="auto"/>
                <w:szCs w:val="21"/>
                <w:highlight w:val="none"/>
              </w:rPr>
              <w:t>单价及总价</w:t>
            </w:r>
            <w:r>
              <w:rPr>
                <w:rFonts w:hint="eastAsia" w:hAnsi="宋体"/>
                <w:color w:val="auto"/>
                <w:szCs w:val="21"/>
                <w:highlight w:val="none"/>
              </w:rPr>
              <w:t>高于招标控制价的，作无效投标处理。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21</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24.1</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kern w:val="20"/>
                <w:szCs w:val="21"/>
                <w:highlight w:val="none"/>
              </w:rPr>
              <w:t>履约担保</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color w:val="auto"/>
                <w:szCs w:val="21"/>
                <w:highlight w:val="none"/>
              </w:rPr>
            </w:pPr>
            <w:r>
              <w:rPr>
                <w:rFonts w:hint="eastAsia"/>
                <w:color w:val="auto"/>
                <w:kern w:val="0"/>
                <w:szCs w:val="21"/>
                <w:highlight w:val="none"/>
              </w:rPr>
              <w:t>本项目不需提交履约保证金</w:t>
            </w:r>
            <w:r>
              <w:rPr>
                <w:rFonts w:hint="eastAsia"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22</w:t>
            </w:r>
          </w:p>
        </w:tc>
        <w:tc>
          <w:tcPr>
            <w:tcW w:w="941" w:type="dxa"/>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hint="eastAsia" w:asciiTheme="minorEastAsia" w:hAnsiTheme="minorEastAsia" w:eastAsiaTheme="minorEastAsia"/>
                <w:color w:val="auto"/>
                <w:kern w:val="20"/>
                <w:szCs w:val="21"/>
                <w:highlight w:val="none"/>
              </w:rPr>
              <w:t>其他</w:t>
            </w:r>
          </w:p>
        </w:tc>
        <w:tc>
          <w:tcPr>
            <w:tcW w:w="162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评标委员会组成</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评标委员会构成：</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人，其中采购人代表</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人，专家</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人。</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评标专家确定方式：</w:t>
            </w:r>
            <w:r>
              <w:rPr>
                <w:rFonts w:hint="eastAsia" w:hAnsi="宋体"/>
                <w:color w:val="auto"/>
                <w:szCs w:val="21"/>
                <w:highlight w:val="none"/>
              </w:rPr>
              <w:t>由采购人授权</w:t>
            </w:r>
            <w:r>
              <w:rPr>
                <w:rFonts w:hint="eastAsia"/>
                <w:color w:val="auto"/>
                <w:highlight w:val="none"/>
              </w:rPr>
              <w:t>采购代理机构在贺州市政府采购云平台评标专家库中</w:t>
            </w:r>
            <w:r>
              <w:rPr>
                <w:rFonts w:hint="eastAsia" w:asciiTheme="minorEastAsia" w:hAnsiTheme="minorEastAsia" w:eastAsiaTheme="minorEastAsia"/>
                <w:color w:val="auto"/>
                <w:szCs w:val="21"/>
                <w:highlight w:val="none"/>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23</w:t>
            </w:r>
          </w:p>
        </w:tc>
        <w:tc>
          <w:tcPr>
            <w:tcW w:w="94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是否授权评标委员会确定中标人</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5"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24</w:t>
            </w:r>
          </w:p>
        </w:tc>
        <w:tc>
          <w:tcPr>
            <w:tcW w:w="94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中标单位</w:t>
            </w: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相关费用</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color w:val="auto"/>
                <w:szCs w:val="21"/>
                <w:highlight w:val="none"/>
              </w:rPr>
            </w:pPr>
            <w:r>
              <w:rPr>
                <w:rFonts w:hint="eastAsia" w:hAnsi="宋体"/>
                <w:color w:val="auto"/>
                <w:szCs w:val="21"/>
                <w:highlight w:val="none"/>
              </w:rPr>
              <w:t>招标代理费：按中标人</w:t>
            </w:r>
            <w:r>
              <w:rPr>
                <w:rFonts w:hAnsi="宋体"/>
                <w:color w:val="auto"/>
                <w:szCs w:val="21"/>
                <w:highlight w:val="none"/>
              </w:rPr>
              <w:t>的中标价作为计费</w:t>
            </w:r>
            <w:r>
              <w:rPr>
                <w:rFonts w:hint="eastAsia" w:hAnsi="宋体"/>
                <w:color w:val="auto"/>
                <w:szCs w:val="21"/>
                <w:highlight w:val="none"/>
              </w:rPr>
              <w:t>基数，而后按差额定率累进法计算，具体区间费率为：</w:t>
            </w:r>
            <w:r>
              <w:rPr>
                <w:rFonts w:hAnsi="宋体"/>
                <w:color w:val="auto"/>
                <w:szCs w:val="21"/>
                <w:highlight w:val="none"/>
              </w:rPr>
              <w:t>100</w:t>
            </w:r>
            <w:r>
              <w:rPr>
                <w:rFonts w:hint="eastAsia" w:hAnsi="宋体"/>
                <w:color w:val="auto"/>
                <w:szCs w:val="21"/>
                <w:highlight w:val="none"/>
              </w:rPr>
              <w:t>万元以下</w:t>
            </w:r>
            <w:r>
              <w:rPr>
                <w:rFonts w:hAnsi="宋体"/>
                <w:color w:val="auto"/>
                <w:szCs w:val="21"/>
                <w:highlight w:val="none"/>
              </w:rPr>
              <w:t>--1.5%</w:t>
            </w:r>
            <w:r>
              <w:rPr>
                <w:rFonts w:hint="eastAsia" w:hAnsi="宋体"/>
                <w:color w:val="auto"/>
                <w:szCs w:val="21"/>
                <w:highlight w:val="none"/>
              </w:rPr>
              <w:t>,</w:t>
            </w:r>
            <w:r>
              <w:rPr>
                <w:rFonts w:hAnsi="宋体"/>
                <w:color w:val="auto"/>
                <w:szCs w:val="21"/>
                <w:highlight w:val="none"/>
              </w:rPr>
              <w:t>100</w:t>
            </w:r>
            <w:r>
              <w:rPr>
                <w:rFonts w:hint="eastAsia" w:hAnsi="宋体"/>
                <w:color w:val="auto"/>
                <w:szCs w:val="21"/>
                <w:highlight w:val="none"/>
              </w:rPr>
              <w:t>～</w:t>
            </w:r>
            <w:r>
              <w:rPr>
                <w:rFonts w:hAnsi="宋体"/>
                <w:color w:val="auto"/>
                <w:szCs w:val="21"/>
                <w:highlight w:val="none"/>
              </w:rPr>
              <w:t>500</w:t>
            </w:r>
            <w:r>
              <w:rPr>
                <w:rFonts w:hint="eastAsia" w:hAnsi="宋体"/>
                <w:color w:val="auto"/>
                <w:szCs w:val="21"/>
                <w:highlight w:val="none"/>
              </w:rPr>
              <w:t>万元</w:t>
            </w:r>
            <w:r>
              <w:rPr>
                <w:rFonts w:hAnsi="宋体"/>
                <w:color w:val="auto"/>
                <w:szCs w:val="21"/>
                <w:highlight w:val="none"/>
              </w:rPr>
              <w:t>—1.1%</w:t>
            </w:r>
            <w:r>
              <w:rPr>
                <w:rFonts w:hint="eastAsia" w:hAnsi="宋体"/>
                <w:color w:val="auto"/>
                <w:szCs w:val="21"/>
                <w:highlight w:val="none"/>
              </w:rPr>
              <w:t>,</w:t>
            </w:r>
            <w:r>
              <w:rPr>
                <w:rFonts w:hAnsi="宋体"/>
                <w:color w:val="auto"/>
                <w:szCs w:val="21"/>
                <w:highlight w:val="none"/>
              </w:rPr>
              <w:t>500</w:t>
            </w:r>
            <w:r>
              <w:rPr>
                <w:rFonts w:hint="eastAsia" w:hAnsi="宋体"/>
                <w:color w:val="auto"/>
                <w:szCs w:val="21"/>
                <w:highlight w:val="none"/>
              </w:rPr>
              <w:t>～</w:t>
            </w:r>
            <w:r>
              <w:rPr>
                <w:rFonts w:hAnsi="宋体"/>
                <w:color w:val="auto"/>
                <w:szCs w:val="21"/>
                <w:highlight w:val="none"/>
              </w:rPr>
              <w:t>1000</w:t>
            </w:r>
            <w:r>
              <w:rPr>
                <w:rFonts w:hint="eastAsia" w:hAnsi="宋体"/>
                <w:color w:val="auto"/>
                <w:szCs w:val="21"/>
                <w:highlight w:val="none"/>
              </w:rPr>
              <w:t>万元</w:t>
            </w:r>
            <w:r>
              <w:rPr>
                <w:rFonts w:hAnsi="宋体"/>
                <w:color w:val="auto"/>
                <w:szCs w:val="21"/>
                <w:highlight w:val="none"/>
              </w:rPr>
              <w:t>—0.8%</w:t>
            </w:r>
            <w:r>
              <w:rPr>
                <w:rFonts w:hint="eastAsia" w:hAnsi="宋体"/>
                <w:color w:val="auto"/>
                <w:szCs w:val="21"/>
                <w:highlight w:val="none"/>
              </w:rPr>
              <w:t>,</w:t>
            </w:r>
            <w:r>
              <w:rPr>
                <w:rFonts w:hAnsi="宋体"/>
                <w:color w:val="auto"/>
                <w:szCs w:val="21"/>
                <w:highlight w:val="none"/>
              </w:rPr>
              <w:t>1000</w:t>
            </w:r>
            <w:r>
              <w:rPr>
                <w:rFonts w:hint="eastAsia" w:hAnsi="宋体"/>
                <w:color w:val="auto"/>
                <w:szCs w:val="21"/>
                <w:highlight w:val="none"/>
              </w:rPr>
              <w:t>～</w:t>
            </w:r>
            <w:r>
              <w:rPr>
                <w:rFonts w:hAnsi="宋体"/>
                <w:color w:val="auto"/>
                <w:szCs w:val="21"/>
                <w:highlight w:val="none"/>
              </w:rPr>
              <w:t>5000</w:t>
            </w:r>
            <w:r>
              <w:rPr>
                <w:rFonts w:hint="eastAsia" w:hAnsi="宋体"/>
                <w:color w:val="auto"/>
                <w:szCs w:val="21"/>
                <w:highlight w:val="none"/>
              </w:rPr>
              <w:t>万元</w:t>
            </w:r>
            <w:r>
              <w:rPr>
                <w:rFonts w:hAnsi="宋体"/>
                <w:color w:val="auto"/>
                <w:szCs w:val="21"/>
                <w:highlight w:val="none"/>
              </w:rPr>
              <w:t>--0.5%</w:t>
            </w:r>
            <w:r>
              <w:rPr>
                <w:rFonts w:hint="eastAsia" w:hAnsi="宋体"/>
                <w:color w:val="auto"/>
                <w:szCs w:val="21"/>
                <w:highlight w:val="none"/>
              </w:rPr>
              <w:t>,</w:t>
            </w:r>
            <w:r>
              <w:rPr>
                <w:rFonts w:hAnsi="宋体"/>
                <w:color w:val="auto"/>
                <w:szCs w:val="21"/>
                <w:highlight w:val="none"/>
              </w:rPr>
              <w:t>5000</w:t>
            </w:r>
            <w:r>
              <w:rPr>
                <w:rFonts w:hint="eastAsia" w:hAnsi="宋体"/>
                <w:color w:val="auto"/>
                <w:szCs w:val="21"/>
                <w:highlight w:val="none"/>
              </w:rPr>
              <w:t>～</w:t>
            </w:r>
            <w:r>
              <w:rPr>
                <w:rFonts w:hAnsi="宋体"/>
                <w:color w:val="auto"/>
                <w:szCs w:val="21"/>
                <w:highlight w:val="none"/>
              </w:rPr>
              <w:t>10000</w:t>
            </w:r>
            <w:r>
              <w:rPr>
                <w:rFonts w:hint="eastAsia" w:hAnsi="宋体"/>
                <w:color w:val="auto"/>
                <w:szCs w:val="21"/>
                <w:highlight w:val="none"/>
              </w:rPr>
              <w:t>万元</w:t>
            </w:r>
            <w:r>
              <w:rPr>
                <w:rFonts w:hAnsi="宋体"/>
                <w:color w:val="auto"/>
                <w:szCs w:val="21"/>
                <w:highlight w:val="none"/>
              </w:rPr>
              <w:t>--0.25%</w:t>
            </w:r>
            <w:r>
              <w:rPr>
                <w:rFonts w:hint="eastAsia" w:hAnsi="宋体"/>
                <w:color w:val="auto"/>
                <w:szCs w:val="21"/>
                <w:highlight w:val="none"/>
              </w:rPr>
              <w:t>,</w:t>
            </w:r>
            <w:r>
              <w:rPr>
                <w:rFonts w:hAnsi="宋体"/>
                <w:color w:val="auto"/>
                <w:szCs w:val="21"/>
                <w:highlight w:val="none"/>
              </w:rPr>
              <w:t>10000</w:t>
            </w:r>
            <w:r>
              <w:rPr>
                <w:rFonts w:hint="eastAsia" w:hAnsi="宋体"/>
                <w:color w:val="auto"/>
                <w:szCs w:val="21"/>
                <w:highlight w:val="none"/>
              </w:rPr>
              <w:t>～</w:t>
            </w:r>
            <w:r>
              <w:rPr>
                <w:rFonts w:hAnsi="宋体"/>
                <w:color w:val="auto"/>
                <w:szCs w:val="21"/>
                <w:highlight w:val="none"/>
              </w:rPr>
              <w:t>100000</w:t>
            </w:r>
            <w:r>
              <w:rPr>
                <w:rFonts w:hint="eastAsia" w:hAnsi="宋体"/>
                <w:color w:val="auto"/>
                <w:szCs w:val="21"/>
                <w:highlight w:val="none"/>
              </w:rPr>
              <w:t>万元</w:t>
            </w:r>
            <w:r>
              <w:rPr>
                <w:rFonts w:hAnsi="宋体"/>
                <w:color w:val="auto"/>
                <w:szCs w:val="21"/>
                <w:highlight w:val="none"/>
              </w:rPr>
              <w:t>--0.05%</w:t>
            </w:r>
            <w:r>
              <w:rPr>
                <w:rFonts w:hint="eastAsia" w:hAnsi="宋体"/>
                <w:color w:val="auto"/>
                <w:szCs w:val="21"/>
                <w:highlight w:val="none"/>
              </w:rPr>
              <w:t>；由中标人在领取中标通知书时，一次性向采购代理机构支付。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95" w:type="dxa"/>
            <w:vMerge w:val="restart"/>
            <w:tcBorders>
              <w:top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r>
              <w:rPr>
                <w:rFonts w:asciiTheme="minorEastAsia" w:hAnsiTheme="minorEastAsia" w:eastAsiaTheme="minorEastAsia"/>
                <w:color w:val="auto"/>
                <w:kern w:val="20"/>
                <w:szCs w:val="21"/>
                <w:highlight w:val="none"/>
              </w:rPr>
              <w:t>25</w:t>
            </w:r>
          </w:p>
        </w:tc>
        <w:tc>
          <w:tcPr>
            <w:tcW w:w="94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解释权</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95" w:type="dxa"/>
            <w:vMerge w:val="continue"/>
            <w:tcBorders>
              <w:top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p>
        </w:tc>
        <w:tc>
          <w:tcPr>
            <w:tcW w:w="94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hAnsi="宋体"/>
                <w:bCs/>
                <w:color w:val="auto"/>
                <w:szCs w:val="21"/>
                <w:highlight w:val="none"/>
              </w:rPr>
              <w:t>在对投标人资格审查时进行信用查询查询渠道</w:t>
            </w:r>
          </w:p>
        </w:tc>
        <w:tc>
          <w:tcPr>
            <w:tcW w:w="6234"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color w:val="auto"/>
                <w:szCs w:val="21"/>
                <w:highlight w:val="none"/>
              </w:rPr>
            </w:pPr>
            <w:r>
              <w:rPr>
                <w:rFonts w:hAnsi="宋体" w:cs="宋体"/>
                <w:color w:val="auto"/>
                <w:kern w:val="0"/>
                <w:sz w:val="24"/>
                <w:highlight w:val="none"/>
              </w:rPr>
              <w:t xml:space="preserve"> “</w:t>
            </w:r>
            <w:r>
              <w:rPr>
                <w:rFonts w:hAnsi="宋体"/>
                <w:color w:val="auto"/>
                <w:szCs w:val="21"/>
                <w:highlight w:val="none"/>
              </w:rPr>
              <w:t>信用中国”网站(www.creditchina.gov.cn)、中国政府采购网(www.ccgp.gov.cn)</w:t>
            </w:r>
            <w:r>
              <w:rPr>
                <w:rFonts w:hint="eastAsia"/>
                <w:color w:val="auto"/>
                <w:highlight w:val="none"/>
              </w:rPr>
              <w:t>“中国裁判文书”网站（</w:t>
            </w:r>
            <w:r>
              <w:rPr>
                <w:color w:val="auto"/>
                <w:highlight w:val="none"/>
              </w:rPr>
              <w:t>https://wenshu.court.gov.cn</w:t>
            </w:r>
            <w:r>
              <w:rPr>
                <w:rFonts w:hint="eastAsia"/>
                <w:color w:val="auto"/>
                <w:highlight w:val="none"/>
              </w:rPr>
              <w:t>）</w:t>
            </w:r>
            <w:r>
              <w:rPr>
                <w:rFonts w:hAnsi="宋体"/>
                <w:color w:val="auto"/>
                <w:szCs w:val="21"/>
                <w:highlight w:val="none"/>
              </w:rPr>
              <w:t>等</w:t>
            </w:r>
            <w:r>
              <w:rPr>
                <w:rFonts w:hint="eastAsia" w:hAnsi="宋体"/>
                <w:color w:val="auto"/>
                <w:szCs w:val="21"/>
                <w:highlight w:val="none"/>
              </w:rPr>
              <w:t>，</w:t>
            </w:r>
            <w:r>
              <w:rPr>
                <w:rFonts w:hAnsi="宋体"/>
                <w:color w:val="auto"/>
                <w:szCs w:val="21"/>
                <w:highlight w:val="none"/>
              </w:rPr>
              <w:t>查询截止时间：</w:t>
            </w:r>
            <w:r>
              <w:rPr>
                <w:rFonts w:hint="eastAsia" w:hAnsi="宋体"/>
                <w:color w:val="auto"/>
                <w:szCs w:val="21"/>
                <w:highlight w:val="none"/>
              </w:rPr>
              <w:t>投标文件</w:t>
            </w:r>
            <w:r>
              <w:rPr>
                <w:rFonts w:hAnsi="宋体"/>
                <w:color w:val="auto"/>
                <w:szCs w:val="21"/>
                <w:highlight w:val="none"/>
              </w:rPr>
              <w:t>递交截止时间查询记录和证据留存方式：在查询网站中直接打印查询记录，打印材料作为评审资料保存。信用信息使用规则：</w:t>
            </w:r>
            <w:r>
              <w:rPr>
                <w:rFonts w:hint="eastAsia"/>
                <w:color w:val="auto"/>
                <w:highlight w:val="none"/>
              </w:rPr>
              <w:t>近三年内投标人或其法定代表人不</w:t>
            </w:r>
            <w:r>
              <w:rPr>
                <w:color w:val="auto"/>
                <w:highlight w:val="none"/>
              </w:rPr>
              <w:t>得</w:t>
            </w:r>
            <w:r>
              <w:rPr>
                <w:rFonts w:hint="eastAsia"/>
                <w:color w:val="auto"/>
                <w:highlight w:val="none"/>
              </w:rPr>
              <w:t>有行贿犯罪行为（以评标阶段“中国裁判文书”网站（</w:t>
            </w:r>
            <w:r>
              <w:rPr>
                <w:color w:val="auto"/>
                <w:highlight w:val="none"/>
              </w:rPr>
              <w:t>https://wenshu.court.gov.cn</w:t>
            </w:r>
            <w:r>
              <w:rPr>
                <w:rFonts w:hint="eastAsia"/>
                <w:color w:val="auto"/>
                <w:highlight w:val="none"/>
              </w:rPr>
              <w:t>）查询信息为准，</w:t>
            </w:r>
            <w:r>
              <w:rPr>
                <w:rFonts w:hAnsi="宋体"/>
                <w:color w:val="auto"/>
                <w:szCs w:val="21"/>
                <w:highlight w:val="none"/>
              </w:rPr>
              <w:t>对在“信用中国”网站(www.creditchina.gov.cn)、中国政府采购网(www.ccgp.gov.cn)等渠道列入失信被执行人、</w:t>
            </w:r>
            <w:r>
              <w:rPr>
                <w:rFonts w:hint="eastAsia" w:hAnsi="宋体"/>
                <w:color w:val="auto"/>
                <w:szCs w:val="21"/>
                <w:highlight w:val="none"/>
              </w:rPr>
              <w:t>重大税收违法失信主体</w:t>
            </w:r>
            <w:r>
              <w:rPr>
                <w:rFonts w:hAnsi="宋体"/>
                <w:color w:val="auto"/>
                <w:szCs w:val="21"/>
                <w:highlight w:val="none"/>
              </w:rPr>
              <w:t>、政府采购严重违法失信行为记录名单及其他不符合《中华人民共和国政府采购法》第二十二条规定条件的</w:t>
            </w:r>
            <w:r>
              <w:rPr>
                <w:rFonts w:hint="eastAsia" w:hAnsi="宋体"/>
                <w:color w:val="auto"/>
                <w:szCs w:val="21"/>
                <w:highlight w:val="none"/>
              </w:rPr>
              <w:t>投标人</w:t>
            </w:r>
            <w:r>
              <w:rPr>
                <w:rFonts w:hAnsi="宋体"/>
                <w:color w:val="auto"/>
                <w:szCs w:val="21"/>
                <w:highlight w:val="none"/>
              </w:rPr>
              <w:t>，资格审查不通过，不得参与政府采购活动。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95" w:type="dxa"/>
            <w:vMerge w:val="continue"/>
            <w:tcBorders>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p>
        </w:tc>
        <w:tc>
          <w:tcPr>
            <w:tcW w:w="94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Ansi="宋体"/>
                <w:color w:val="auto"/>
                <w:szCs w:val="21"/>
                <w:highlight w:val="none"/>
              </w:rPr>
            </w:pPr>
            <w:r>
              <w:rPr>
                <w:rFonts w:hint="eastAsia" w:hAnsi="宋体"/>
                <w:color w:val="auto"/>
                <w:szCs w:val="21"/>
                <w:highlight w:val="none"/>
              </w:rPr>
              <w:t>合同签订时间</w:t>
            </w:r>
          </w:p>
        </w:tc>
        <w:tc>
          <w:tcPr>
            <w:tcW w:w="6234" w:type="dxa"/>
            <w:tcBorders>
              <w:top w:val="single" w:color="auto" w:sz="4" w:space="0"/>
              <w:left w:val="single" w:color="auto" w:sz="4" w:space="0"/>
              <w:bottom w:val="single" w:color="auto" w:sz="4" w:space="0"/>
            </w:tcBorders>
            <w:vAlign w:val="center"/>
          </w:tcPr>
          <w:p>
            <w:pPr>
              <w:spacing w:line="360" w:lineRule="auto"/>
              <w:rPr>
                <w:rFonts w:hAnsi="宋体"/>
                <w:b/>
                <w:bCs/>
                <w:color w:val="auto"/>
                <w:szCs w:val="21"/>
                <w:highlight w:val="none"/>
              </w:rPr>
            </w:pPr>
            <w:r>
              <w:rPr>
                <w:rFonts w:hint="eastAsia" w:hAnsi="宋体" w:cs="宋体"/>
                <w:b/>
                <w:color w:val="auto"/>
                <w:kern w:val="0"/>
                <w:highlight w:val="none"/>
              </w:rPr>
              <w:t>中标</w:t>
            </w:r>
            <w:r>
              <w:rPr>
                <w:rFonts w:hAnsi="宋体" w:cs="宋体"/>
                <w:b/>
                <w:color w:val="auto"/>
                <w:kern w:val="0"/>
                <w:highlight w:val="none"/>
              </w:rPr>
              <w:t>单位需在中标(</w:t>
            </w:r>
            <w:r>
              <w:rPr>
                <w:rFonts w:hint="eastAsia" w:hAnsi="宋体" w:cs="宋体"/>
                <w:b/>
                <w:color w:val="auto"/>
                <w:kern w:val="0"/>
                <w:highlight w:val="none"/>
              </w:rPr>
              <w:t>成交</w:t>
            </w:r>
            <w:r>
              <w:rPr>
                <w:rFonts w:hAnsi="宋体" w:cs="宋体"/>
                <w:b/>
                <w:color w:val="auto"/>
                <w:kern w:val="0"/>
                <w:highlight w:val="none"/>
              </w:rPr>
              <w:t>)通知书发出之日起</w:t>
            </w:r>
            <w:r>
              <w:rPr>
                <w:rFonts w:hint="eastAsia" w:hAnsi="宋体" w:cs="宋体"/>
                <w:b/>
                <w:color w:val="auto"/>
                <w:kern w:val="0"/>
                <w:highlight w:val="none"/>
              </w:rPr>
              <w:t>10日</w:t>
            </w:r>
            <w:r>
              <w:rPr>
                <w:rFonts w:hAnsi="宋体" w:cs="宋体"/>
                <w:b/>
                <w:color w:val="auto"/>
                <w:kern w:val="0"/>
                <w:highlight w:val="none"/>
              </w:rPr>
              <w:t>内</w:t>
            </w:r>
            <w:r>
              <w:rPr>
                <w:rFonts w:hint="eastAsia" w:hAnsi="宋体" w:cs="宋体"/>
                <w:b/>
                <w:color w:val="auto"/>
                <w:kern w:val="0"/>
                <w:highlight w:val="none"/>
              </w:rPr>
              <w:t>（最长不超过15日内）与</w:t>
            </w:r>
            <w:r>
              <w:rPr>
                <w:rFonts w:hAnsi="宋体" w:cs="宋体"/>
                <w:b/>
                <w:color w:val="auto"/>
                <w:kern w:val="0"/>
                <w:highlight w:val="none"/>
              </w:rPr>
              <w:t>采购人签订合同。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95" w:type="dxa"/>
            <w:tcBorders>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p>
        </w:tc>
        <w:tc>
          <w:tcPr>
            <w:tcW w:w="941" w:type="dxa"/>
            <w:tcBorders>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Ansi="宋体"/>
                <w:color w:val="auto"/>
                <w:szCs w:val="21"/>
                <w:highlight w:val="none"/>
              </w:rPr>
            </w:pPr>
            <w:r>
              <w:rPr>
                <w:rFonts w:hint="eastAsia" w:hAnsi="宋体"/>
                <w:color w:val="auto"/>
                <w:szCs w:val="21"/>
                <w:highlight w:val="none"/>
              </w:rPr>
              <w:t>同义词</w:t>
            </w:r>
          </w:p>
        </w:tc>
        <w:tc>
          <w:tcPr>
            <w:tcW w:w="6234" w:type="dxa"/>
            <w:tcBorders>
              <w:top w:val="single" w:color="auto" w:sz="4" w:space="0"/>
              <w:left w:val="single" w:color="auto" w:sz="4" w:space="0"/>
              <w:bottom w:val="single" w:color="auto" w:sz="4" w:space="0"/>
            </w:tcBorders>
            <w:vAlign w:val="center"/>
          </w:tcPr>
          <w:p>
            <w:pPr>
              <w:spacing w:line="400" w:lineRule="exact"/>
              <w:rPr>
                <w:rFonts w:asciiTheme="minorEastAsia" w:hAnsiTheme="minorEastAsia"/>
                <w:color w:val="auto"/>
                <w:highlight w:val="none"/>
              </w:rPr>
            </w:pPr>
            <w:r>
              <w:rPr>
                <w:rFonts w:hint="eastAsia" w:asciiTheme="minorEastAsia" w:hAnsiTheme="minorEastAsia"/>
                <w:color w:val="auto"/>
                <w:highlight w:val="none"/>
              </w:rPr>
              <w:t>本文件中出现的措辞</w:t>
            </w:r>
            <w:r>
              <w:rPr>
                <w:rFonts w:asciiTheme="minorEastAsia" w:hAnsiTheme="minorEastAsia"/>
                <w:color w:val="auto"/>
                <w:highlight w:val="none"/>
              </w:rPr>
              <w:t xml:space="preserve"> </w:t>
            </w:r>
            <w:r>
              <w:rPr>
                <w:rFonts w:hint="eastAsia" w:asciiTheme="minorEastAsia" w:hAnsiTheme="minorEastAsia"/>
                <w:color w:val="auto"/>
                <w:highlight w:val="none"/>
              </w:rPr>
              <w:t>“招标人”与“采购人”，“投标人”与“供应商”具有相同含义。</w:t>
            </w:r>
          </w:p>
        </w:tc>
      </w:tr>
    </w:tbl>
    <w:p>
      <w:pPr>
        <w:spacing w:before="165" w:beforeLines="50" w:line="400" w:lineRule="exact"/>
        <w:jc w:val="center"/>
        <w:outlineLvl w:val="1"/>
        <w:rPr>
          <w:rFonts w:ascii="黑体" w:hAnsi="Verdana" w:eastAsia="黑体"/>
          <w:b/>
          <w:color w:val="auto"/>
          <w:sz w:val="24"/>
          <w:szCs w:val="24"/>
          <w:highlight w:val="none"/>
        </w:rPr>
      </w:pPr>
      <w:bookmarkStart w:id="42" w:name="_Toc295204424"/>
      <w:r>
        <w:rPr>
          <w:rFonts w:hAnsi="宋体"/>
          <w:b/>
          <w:color w:val="auto"/>
          <w:szCs w:val="21"/>
          <w:highlight w:val="none"/>
        </w:rPr>
        <w:br w:type="page"/>
      </w:r>
      <w:bookmarkStart w:id="43" w:name="_Toc78441040"/>
      <w:bookmarkStart w:id="44" w:name="_Toc10987"/>
      <w:r>
        <w:rPr>
          <w:rFonts w:hint="eastAsia" w:ascii="黑体" w:hAnsi="Verdana" w:eastAsia="黑体"/>
          <w:b/>
          <w:color w:val="auto"/>
          <w:sz w:val="28"/>
          <w:szCs w:val="28"/>
          <w:highlight w:val="none"/>
        </w:rPr>
        <w:t>投标人须知</w:t>
      </w:r>
      <w:bookmarkEnd w:id="43"/>
      <w:bookmarkEnd w:id="44"/>
    </w:p>
    <w:p>
      <w:pPr>
        <w:spacing w:line="440" w:lineRule="exact"/>
        <w:outlineLvl w:val="1"/>
        <w:rPr>
          <w:rFonts w:asciiTheme="minorEastAsia" w:hAnsiTheme="minorEastAsia" w:eastAsiaTheme="minorEastAsia"/>
          <w:b/>
          <w:color w:val="auto"/>
          <w:szCs w:val="21"/>
          <w:highlight w:val="none"/>
        </w:rPr>
      </w:pPr>
      <w:bookmarkStart w:id="45" w:name="_Toc12882"/>
      <w:bookmarkStart w:id="46" w:name="_Toc78441041"/>
      <w:r>
        <w:rPr>
          <w:rFonts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rPr>
        <w:t>总则</w:t>
      </w:r>
      <w:bookmarkEnd w:id="42"/>
      <w:bookmarkEnd w:id="45"/>
      <w:bookmarkEnd w:id="46"/>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项目概况：</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 </w:t>
      </w:r>
      <w:r>
        <w:rPr>
          <w:rFonts w:hint="eastAsia" w:asciiTheme="minorEastAsia" w:hAnsiTheme="minorEastAsia" w:eastAsiaTheme="minorEastAsia"/>
          <w:color w:val="auto"/>
          <w:szCs w:val="21"/>
          <w:highlight w:val="none"/>
        </w:rPr>
        <w:t>项目的说明见投标须知前附表（以下称“前附表”）第</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项至第</w:t>
      </w: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项所述。</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1.2 </w:t>
      </w:r>
      <w:r>
        <w:rPr>
          <w:rFonts w:hint="eastAsia" w:asciiTheme="minorEastAsia" w:hAnsiTheme="minorEastAsia" w:eastAsiaTheme="minorEastAsia"/>
          <w:color w:val="auto"/>
          <w:szCs w:val="21"/>
          <w:highlight w:val="none"/>
        </w:rPr>
        <w:t>上述项目按照《中华人民共和国政府采购法》、《政府采购货物和服务招标投标管理办法》等相关法律、法规，现通过公开招标来择优选定一家供应单位。</w:t>
      </w:r>
    </w:p>
    <w:p>
      <w:pPr>
        <w:spacing w:line="440" w:lineRule="exact"/>
        <w:outlineLvl w:val="1"/>
        <w:rPr>
          <w:rFonts w:asciiTheme="minorEastAsia" w:hAnsiTheme="minorEastAsia" w:eastAsiaTheme="minorEastAsia"/>
          <w:b/>
          <w:color w:val="auto"/>
          <w:szCs w:val="21"/>
          <w:highlight w:val="none"/>
        </w:rPr>
      </w:pPr>
      <w:bookmarkStart w:id="47" w:name="_Toc114052341"/>
      <w:bookmarkStart w:id="48" w:name="_Toc78441042"/>
      <w:bookmarkStart w:id="49" w:name="_Toc4627"/>
      <w:bookmarkStart w:id="50" w:name="_Toc295204426"/>
      <w:bookmarkStart w:id="51" w:name="_Toc114303702"/>
      <w:bookmarkStart w:id="52" w:name="_Toc114052415"/>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资金来源</w:t>
      </w:r>
      <w:bookmarkEnd w:id="47"/>
      <w:bookmarkEnd w:id="48"/>
      <w:bookmarkEnd w:id="49"/>
      <w:bookmarkEnd w:id="50"/>
      <w:bookmarkEnd w:id="51"/>
      <w:bookmarkEnd w:id="52"/>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w:t>
      </w:r>
      <w:r>
        <w:rPr>
          <w:rFonts w:hint="eastAsia" w:asciiTheme="minorEastAsia" w:hAnsiTheme="minorEastAsia" w:eastAsiaTheme="minorEastAsia"/>
          <w:color w:val="auto"/>
          <w:szCs w:val="21"/>
          <w:highlight w:val="none"/>
        </w:rPr>
        <w:t>采购人的支付来源通过前附表第</w:t>
      </w:r>
      <w:r>
        <w:rPr>
          <w:rFonts w:asciiTheme="minorEastAsia" w:hAnsiTheme="minorEastAsia" w:eastAsiaTheme="minorEastAsia"/>
          <w:color w:val="auto"/>
          <w:szCs w:val="21"/>
          <w:highlight w:val="none"/>
        </w:rPr>
        <w:t>8</w:t>
      </w:r>
      <w:r>
        <w:rPr>
          <w:rFonts w:hint="eastAsia" w:asciiTheme="minorEastAsia" w:hAnsiTheme="minorEastAsia" w:eastAsiaTheme="minorEastAsia"/>
          <w:color w:val="auto"/>
          <w:szCs w:val="21"/>
          <w:highlight w:val="none"/>
        </w:rPr>
        <w:t>项所述的方式获得，按合同规定支付。</w:t>
      </w:r>
    </w:p>
    <w:p>
      <w:pPr>
        <w:spacing w:line="440" w:lineRule="exact"/>
        <w:outlineLvl w:val="1"/>
        <w:rPr>
          <w:rFonts w:asciiTheme="minorEastAsia" w:hAnsiTheme="minorEastAsia" w:eastAsiaTheme="minorEastAsia"/>
          <w:b/>
          <w:color w:val="auto"/>
          <w:szCs w:val="21"/>
          <w:highlight w:val="none"/>
        </w:rPr>
      </w:pPr>
      <w:bookmarkStart w:id="53" w:name="_Toc78441043"/>
      <w:bookmarkStart w:id="54" w:name="_Toc28193"/>
      <w:r>
        <w:rPr>
          <w:rFonts w:asciiTheme="minorEastAsia" w:hAnsiTheme="minorEastAsia" w:eastAsiaTheme="minorEastAsia"/>
          <w:b/>
          <w:color w:val="auto"/>
          <w:szCs w:val="21"/>
          <w:highlight w:val="none"/>
        </w:rPr>
        <w:t>3.</w:t>
      </w:r>
      <w:r>
        <w:rPr>
          <w:rFonts w:hint="eastAsia" w:asciiTheme="minorEastAsia" w:hAnsiTheme="minorEastAsia" w:eastAsiaTheme="minorEastAsia"/>
          <w:b/>
          <w:color w:val="auto"/>
          <w:kern w:val="20"/>
          <w:szCs w:val="21"/>
          <w:highlight w:val="none"/>
        </w:rPr>
        <w:t>投标人资格条件</w:t>
      </w:r>
      <w:bookmarkEnd w:id="53"/>
      <w:bookmarkEnd w:id="54"/>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3.1 </w:t>
      </w:r>
      <w:r>
        <w:rPr>
          <w:rFonts w:hint="eastAsia" w:asciiTheme="minorEastAsia" w:hAnsiTheme="minorEastAsia" w:eastAsiaTheme="minorEastAsia"/>
          <w:color w:val="auto"/>
          <w:szCs w:val="21"/>
          <w:highlight w:val="none"/>
        </w:rPr>
        <w:t>投标人必须满足前附表第</w:t>
      </w:r>
      <w:r>
        <w:rPr>
          <w:rFonts w:asciiTheme="minorEastAsia" w:hAnsiTheme="minorEastAsia" w:eastAsiaTheme="minorEastAsia"/>
          <w:color w:val="auto"/>
          <w:szCs w:val="21"/>
          <w:highlight w:val="none"/>
        </w:rPr>
        <w:t>9</w:t>
      </w:r>
      <w:r>
        <w:rPr>
          <w:rFonts w:hint="eastAsia" w:asciiTheme="minorEastAsia" w:hAnsiTheme="minorEastAsia" w:eastAsiaTheme="minorEastAsia"/>
          <w:color w:val="auto"/>
          <w:szCs w:val="21"/>
          <w:highlight w:val="none"/>
        </w:rPr>
        <w:t>项相应的</w:t>
      </w:r>
      <w:r>
        <w:rPr>
          <w:rFonts w:hint="eastAsia" w:asciiTheme="minorEastAsia" w:hAnsiTheme="minorEastAsia" w:eastAsiaTheme="minorEastAsia"/>
          <w:color w:val="auto"/>
          <w:kern w:val="20"/>
          <w:szCs w:val="21"/>
          <w:highlight w:val="none"/>
        </w:rPr>
        <w:t>投标人资格条件</w:t>
      </w:r>
      <w:r>
        <w:rPr>
          <w:rFonts w:hint="eastAsia" w:asciiTheme="minorEastAsia" w:hAnsiTheme="minorEastAsia" w:eastAsiaTheme="minorEastAsia"/>
          <w:color w:val="auto"/>
          <w:szCs w:val="21"/>
          <w:highlight w:val="none"/>
        </w:rPr>
        <w:t>。</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3.2 </w:t>
      </w:r>
      <w:r>
        <w:rPr>
          <w:rFonts w:hint="eastAsia" w:asciiTheme="minorEastAsia" w:hAnsiTheme="minorEastAsia" w:eastAsiaTheme="minorEastAsia"/>
          <w:color w:val="auto"/>
          <w:szCs w:val="21"/>
          <w:highlight w:val="none"/>
        </w:rPr>
        <w:t>排除投标人的准则如下：</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3.2.1 </w:t>
      </w:r>
      <w:r>
        <w:rPr>
          <w:rFonts w:hint="eastAsia" w:asciiTheme="minorEastAsia" w:hAnsiTheme="minorEastAsia" w:eastAsiaTheme="minorEastAsia"/>
          <w:color w:val="auto"/>
          <w:szCs w:val="21"/>
          <w:highlight w:val="none"/>
        </w:rPr>
        <w:t>投标人不符合《投标须知前附表》或者法律法规规定的资质范围和等级；</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3.2.2</w:t>
      </w:r>
      <w:r>
        <w:rPr>
          <w:rFonts w:hint="eastAsia" w:asciiTheme="minorEastAsia" w:hAnsiTheme="minorEastAsia" w:eastAsiaTheme="minorEastAsia"/>
          <w:color w:val="auto"/>
          <w:szCs w:val="21"/>
          <w:highlight w:val="none"/>
        </w:rPr>
        <w:t>投标人为本项目采购人、采购代理机构或者与上述单位有隶属关系、关联关系或者其他利害关系；</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3.2.3</w:t>
      </w:r>
      <w:r>
        <w:rPr>
          <w:rFonts w:hint="eastAsia" w:asciiTheme="minorEastAsia" w:hAnsiTheme="minorEastAsia" w:eastAsiaTheme="minorEastAsia"/>
          <w:color w:val="auto"/>
          <w:szCs w:val="21"/>
          <w:highlight w:val="none"/>
        </w:rPr>
        <w:t>投标人已收到破产申请或已明显无力清偿债务；</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3.2.3</w:t>
      </w:r>
      <w:r>
        <w:rPr>
          <w:rFonts w:hint="eastAsia" w:asciiTheme="minorEastAsia" w:hAnsiTheme="minorEastAsia" w:eastAsiaTheme="minorEastAsia"/>
          <w:color w:val="auto"/>
          <w:szCs w:val="21"/>
          <w:highlight w:val="none"/>
        </w:rPr>
        <w:t>投标人由于商业或职业行为已判决为触犯刑法；</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3.2.4</w:t>
      </w:r>
      <w:r>
        <w:rPr>
          <w:rFonts w:hint="eastAsia" w:asciiTheme="minorEastAsia" w:hAnsiTheme="minorEastAsia" w:eastAsiaTheme="minorEastAsia"/>
          <w:color w:val="auto"/>
          <w:szCs w:val="21"/>
          <w:highlight w:val="none"/>
        </w:rPr>
        <w:t>投标人在商业或职业过程中具有严重渎职行径；</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3.2.5</w:t>
      </w:r>
      <w:r>
        <w:rPr>
          <w:rFonts w:hint="eastAsia" w:asciiTheme="minorEastAsia" w:hAnsiTheme="minorEastAsia" w:eastAsiaTheme="minorEastAsia"/>
          <w:color w:val="auto"/>
          <w:szCs w:val="21"/>
          <w:highlight w:val="none"/>
        </w:rPr>
        <w:t>投标人没有履行法律规定的完税义务及关于社会保障体系规定的支付义务。</w:t>
      </w:r>
    </w:p>
    <w:p>
      <w:pPr>
        <w:spacing w:line="440" w:lineRule="exact"/>
        <w:outlineLvl w:val="1"/>
        <w:rPr>
          <w:rFonts w:asciiTheme="minorEastAsia" w:hAnsiTheme="minorEastAsia" w:eastAsiaTheme="minorEastAsia"/>
          <w:b/>
          <w:color w:val="auto"/>
          <w:szCs w:val="21"/>
          <w:highlight w:val="none"/>
        </w:rPr>
      </w:pPr>
      <w:bookmarkStart w:id="55" w:name="_Toc114052343"/>
      <w:bookmarkStart w:id="56" w:name="_Toc114303704"/>
      <w:bookmarkStart w:id="57" w:name="_Toc78441044"/>
      <w:bookmarkStart w:id="58" w:name="_Toc295204428"/>
      <w:bookmarkStart w:id="59" w:name="_Toc4217"/>
      <w:bookmarkStart w:id="60" w:name="_Toc114052417"/>
      <w:r>
        <w:rPr>
          <w:rFonts w:asciiTheme="minorEastAsia" w:hAnsiTheme="minorEastAsia" w:eastAsiaTheme="minorEastAsia"/>
          <w:b/>
          <w:color w:val="auto"/>
          <w:szCs w:val="21"/>
          <w:highlight w:val="none"/>
        </w:rPr>
        <w:t>4.</w:t>
      </w:r>
      <w:r>
        <w:rPr>
          <w:rFonts w:hint="eastAsia" w:asciiTheme="minorEastAsia" w:hAnsiTheme="minorEastAsia" w:eastAsiaTheme="minorEastAsia"/>
          <w:b/>
          <w:color w:val="auto"/>
          <w:szCs w:val="21"/>
          <w:highlight w:val="none"/>
        </w:rPr>
        <w:t>投标费用</w:t>
      </w:r>
      <w:bookmarkEnd w:id="55"/>
      <w:bookmarkEnd w:id="56"/>
      <w:bookmarkEnd w:id="57"/>
      <w:bookmarkEnd w:id="58"/>
      <w:bookmarkEnd w:id="59"/>
      <w:bookmarkEnd w:id="60"/>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4.1 </w:t>
      </w:r>
      <w:r>
        <w:rPr>
          <w:rFonts w:hint="eastAsia" w:asciiTheme="minorEastAsia" w:hAnsiTheme="minorEastAsia" w:eastAsiaTheme="minorEastAsia"/>
          <w:color w:val="auto"/>
          <w:szCs w:val="21"/>
          <w:highlight w:val="none"/>
        </w:rPr>
        <w:t>投标人应承担其编制投标文件与递交投标文件所涉及的一切费用。不管投标结果如何，采购人对上述费用不负任何责任。</w:t>
      </w:r>
    </w:p>
    <w:p>
      <w:pPr>
        <w:spacing w:line="440" w:lineRule="exact"/>
        <w:outlineLvl w:val="1"/>
        <w:rPr>
          <w:rFonts w:asciiTheme="minorEastAsia" w:hAnsiTheme="minorEastAsia" w:eastAsiaTheme="minorEastAsia"/>
          <w:b/>
          <w:color w:val="auto"/>
          <w:szCs w:val="21"/>
          <w:highlight w:val="none"/>
        </w:rPr>
      </w:pPr>
      <w:bookmarkStart w:id="61" w:name="_Toc114052345"/>
      <w:bookmarkStart w:id="62" w:name="_Toc78441045"/>
      <w:bookmarkStart w:id="63" w:name="_Toc114303706"/>
      <w:bookmarkStart w:id="64" w:name="_Toc114052419"/>
      <w:bookmarkStart w:id="65" w:name="_Toc19611"/>
      <w:bookmarkStart w:id="66" w:name="_Toc295204430"/>
      <w:r>
        <w:rPr>
          <w:rFonts w:asciiTheme="minorEastAsia" w:hAnsiTheme="minorEastAsia" w:eastAsiaTheme="minorEastAsia"/>
          <w:b/>
          <w:color w:val="auto"/>
          <w:szCs w:val="21"/>
          <w:highlight w:val="none"/>
        </w:rPr>
        <w:t>5.</w:t>
      </w:r>
      <w:r>
        <w:rPr>
          <w:rFonts w:hint="eastAsia" w:asciiTheme="minorEastAsia" w:hAnsiTheme="minorEastAsia" w:eastAsiaTheme="minorEastAsia"/>
          <w:b/>
          <w:color w:val="auto"/>
          <w:szCs w:val="21"/>
          <w:highlight w:val="none"/>
        </w:rPr>
        <w:t>招标文件的组成</w:t>
      </w:r>
      <w:bookmarkEnd w:id="61"/>
      <w:bookmarkEnd w:id="62"/>
      <w:bookmarkEnd w:id="63"/>
      <w:bookmarkEnd w:id="64"/>
      <w:bookmarkEnd w:id="65"/>
      <w:bookmarkEnd w:id="66"/>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5.1</w:t>
      </w:r>
      <w:r>
        <w:rPr>
          <w:rFonts w:hint="eastAsia" w:asciiTheme="minorEastAsia" w:hAnsiTheme="minorEastAsia" w:eastAsiaTheme="minorEastAsia"/>
          <w:color w:val="auto"/>
          <w:szCs w:val="21"/>
          <w:highlight w:val="none"/>
        </w:rPr>
        <w:t>招标文件包括：招标公告、投标人须知及前附表、项目需求和说明、合同条款、评标办法、投标文件（格式）及有按本须知第</w:t>
      </w: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条发出的澄清答复或补充、更改通知和补遗文件等。</w:t>
      </w:r>
    </w:p>
    <w:p>
      <w:pPr>
        <w:spacing w:line="440" w:lineRule="exact"/>
        <w:outlineLvl w:val="1"/>
        <w:rPr>
          <w:rFonts w:asciiTheme="minorEastAsia" w:hAnsiTheme="minorEastAsia" w:eastAsiaTheme="minorEastAsia"/>
          <w:b/>
          <w:color w:val="auto"/>
          <w:szCs w:val="21"/>
          <w:highlight w:val="none"/>
        </w:rPr>
      </w:pPr>
      <w:bookmarkStart w:id="67" w:name="_Toc114303708"/>
      <w:bookmarkStart w:id="68" w:name="_Toc114052347"/>
      <w:bookmarkStart w:id="69" w:name="_Toc295204431"/>
      <w:bookmarkStart w:id="70" w:name="_Toc78441046"/>
      <w:bookmarkStart w:id="71" w:name="_Toc114052421"/>
      <w:bookmarkStart w:id="72" w:name="_Toc6821"/>
      <w:r>
        <w:rPr>
          <w:rFonts w:asciiTheme="minorEastAsia" w:hAnsiTheme="minorEastAsia" w:eastAsiaTheme="minorEastAsia"/>
          <w:b/>
          <w:color w:val="auto"/>
          <w:szCs w:val="21"/>
          <w:highlight w:val="none"/>
        </w:rPr>
        <w:t>6.</w:t>
      </w:r>
      <w:r>
        <w:rPr>
          <w:rFonts w:hint="eastAsia" w:asciiTheme="minorEastAsia" w:hAnsiTheme="minorEastAsia" w:eastAsiaTheme="minorEastAsia"/>
          <w:b/>
          <w:color w:val="auto"/>
          <w:szCs w:val="21"/>
          <w:highlight w:val="none"/>
        </w:rPr>
        <w:t>招标文件的澄清和修改</w:t>
      </w:r>
      <w:bookmarkEnd w:id="67"/>
      <w:bookmarkEnd w:id="68"/>
      <w:bookmarkEnd w:id="69"/>
      <w:bookmarkEnd w:id="70"/>
      <w:bookmarkEnd w:id="71"/>
      <w:bookmarkEnd w:id="72"/>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6.1投标人应仔细阅读和检查招标文件的全部内容。如发现缺页或附件不全，应及时向采购人提出，以便补齐。</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6.2采购人或者采购代理机构可以对已发出的招标文件进行必要的澄清或者修改。澄清或者修改的内容可能影响投标文件编制的，采购人或者采购代理机构应当在投标截止时间至少15日前，以“投标人须知前附表”规定形式通知所有获取招标文件的潜在投标人；不足15日的，采购人或者采购代理机构应当顺延提交投标文件的截止时间。</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6.3投标人确认收到澄清或修改的方式见“投标人须知前附表”。</w:t>
      </w:r>
    </w:p>
    <w:p>
      <w:pPr>
        <w:spacing w:line="440" w:lineRule="exact"/>
        <w:outlineLvl w:val="1"/>
        <w:rPr>
          <w:rFonts w:asciiTheme="minorEastAsia" w:hAnsiTheme="minorEastAsia" w:eastAsiaTheme="minorEastAsia"/>
          <w:b/>
          <w:color w:val="auto"/>
          <w:szCs w:val="21"/>
          <w:highlight w:val="none"/>
        </w:rPr>
      </w:pPr>
      <w:bookmarkStart w:id="73" w:name="_Toc295204433"/>
      <w:bookmarkStart w:id="74" w:name="_Toc9571"/>
      <w:bookmarkStart w:id="75" w:name="_Toc78441047"/>
      <w:bookmarkStart w:id="76" w:name="_Toc114303710"/>
      <w:bookmarkStart w:id="77" w:name="_Toc114052349"/>
      <w:bookmarkStart w:id="78" w:name="_Toc114052423"/>
      <w:r>
        <w:rPr>
          <w:rFonts w:asciiTheme="minorEastAsia" w:hAnsiTheme="minorEastAsia" w:eastAsiaTheme="minorEastAsia"/>
          <w:b/>
          <w:color w:val="auto"/>
          <w:szCs w:val="21"/>
          <w:highlight w:val="none"/>
        </w:rPr>
        <w:t>7.</w:t>
      </w:r>
      <w:r>
        <w:rPr>
          <w:rFonts w:hint="eastAsia" w:asciiTheme="minorEastAsia" w:hAnsiTheme="minorEastAsia" w:eastAsiaTheme="minorEastAsia"/>
          <w:b/>
          <w:color w:val="auto"/>
          <w:szCs w:val="21"/>
          <w:highlight w:val="none"/>
        </w:rPr>
        <w:t>投标价格</w:t>
      </w:r>
      <w:bookmarkEnd w:id="73"/>
      <w:bookmarkEnd w:id="74"/>
      <w:bookmarkEnd w:id="75"/>
      <w:bookmarkEnd w:id="76"/>
      <w:bookmarkEnd w:id="77"/>
      <w:bookmarkEnd w:id="78"/>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7.1</w:t>
      </w:r>
      <w:r>
        <w:rPr>
          <w:rFonts w:hint="eastAsia" w:asciiTheme="minorEastAsia" w:hAnsiTheme="minorEastAsia" w:eastAsiaTheme="minorEastAsia"/>
          <w:color w:val="auto"/>
          <w:szCs w:val="21"/>
          <w:highlight w:val="none"/>
        </w:rPr>
        <w:t>投标报价依据采购人要求，在保证项目质量的前提下，投标单位应根据自身企业情况进行报价。</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7.2</w:t>
      </w:r>
      <w:r>
        <w:rPr>
          <w:rFonts w:hint="eastAsia" w:asciiTheme="minorEastAsia" w:hAnsiTheme="minorEastAsia" w:eastAsiaTheme="minorEastAsia"/>
          <w:color w:val="auto"/>
          <w:szCs w:val="21"/>
          <w:highlight w:val="none"/>
        </w:rPr>
        <w:t>投标报价包括完成招标范围内所有工作内容等费用，采购人不再支付中标费以外的任何费用。</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7.3</w:t>
      </w:r>
      <w:r>
        <w:rPr>
          <w:rFonts w:hint="eastAsia" w:asciiTheme="minorEastAsia" w:hAnsiTheme="minorEastAsia" w:eastAsiaTheme="minorEastAsia"/>
          <w:color w:val="auto"/>
          <w:szCs w:val="21"/>
          <w:highlight w:val="none"/>
        </w:rPr>
        <w:t>投标报价为按总价报价，投标人应在投标函上标明投标总价。投标文件如出现计算或者表达上的错误，修正错误的原则如下：</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（1）投标函总报价与投标报价表总报价不一致的，以投标函为准；</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（2）投标文件的大写金额与小写金额不一致的，以大写金额为准；</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7.4投标货币：采用人民币表示。</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7.5</w:t>
      </w:r>
      <w:r>
        <w:rPr>
          <w:rFonts w:hint="eastAsia" w:asciiTheme="minorEastAsia" w:hAnsiTheme="minorEastAsia" w:eastAsiaTheme="minorEastAsia"/>
          <w:color w:val="auto"/>
          <w:szCs w:val="21"/>
          <w:highlight w:val="none"/>
        </w:rPr>
        <w:t>在最终报价表中所填报的货物内容如存在有漏项的情况且在评标时被接受，则将被认定为该遗漏项已包含在最终报价中，中标人在供货时应按招标文件及最终中标结果的要求完整提供货物，投标人对其漏报的货物不追加任何货款。</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7.6</w:t>
      </w:r>
      <w:r>
        <w:rPr>
          <w:rFonts w:hint="eastAsia" w:asciiTheme="minorEastAsia" w:hAnsiTheme="minorEastAsia" w:eastAsiaTheme="minorEastAsia"/>
          <w:color w:val="auto"/>
          <w:szCs w:val="21"/>
          <w:highlight w:val="none"/>
        </w:rPr>
        <w:t>投标价指货物、服务、设计费</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配件</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运输、运保费、安装费等各种费用、售后服务、税金及其它所有成本费用的总和。</w:t>
      </w:r>
    </w:p>
    <w:p>
      <w:pPr>
        <w:spacing w:line="440" w:lineRule="exact"/>
        <w:outlineLvl w:val="1"/>
        <w:rPr>
          <w:rFonts w:asciiTheme="minorEastAsia" w:hAnsiTheme="minorEastAsia" w:eastAsiaTheme="minorEastAsia"/>
          <w:b/>
          <w:color w:val="auto"/>
          <w:szCs w:val="21"/>
          <w:highlight w:val="none"/>
        </w:rPr>
      </w:pPr>
      <w:bookmarkStart w:id="79" w:name="_Toc114303712"/>
      <w:bookmarkStart w:id="80" w:name="_Toc114052351"/>
      <w:bookmarkStart w:id="81" w:name="_Toc114052425"/>
      <w:bookmarkStart w:id="82" w:name="_Toc295204435"/>
      <w:bookmarkStart w:id="83" w:name="_Toc29188"/>
      <w:bookmarkStart w:id="84" w:name="_Toc78441048"/>
      <w:r>
        <w:rPr>
          <w:rFonts w:asciiTheme="minorEastAsia" w:hAnsiTheme="minorEastAsia" w:eastAsiaTheme="minorEastAsia"/>
          <w:b/>
          <w:color w:val="auto"/>
          <w:szCs w:val="21"/>
          <w:highlight w:val="none"/>
        </w:rPr>
        <w:t>8.</w:t>
      </w:r>
      <w:r>
        <w:rPr>
          <w:rFonts w:hint="eastAsia" w:asciiTheme="minorEastAsia" w:hAnsiTheme="minorEastAsia" w:eastAsiaTheme="minorEastAsia"/>
          <w:b/>
          <w:color w:val="auto"/>
          <w:szCs w:val="21"/>
          <w:highlight w:val="none"/>
        </w:rPr>
        <w:t>投标文件</w:t>
      </w:r>
      <w:bookmarkEnd w:id="79"/>
      <w:bookmarkEnd w:id="80"/>
      <w:bookmarkEnd w:id="81"/>
      <w:r>
        <w:rPr>
          <w:rFonts w:hint="eastAsia" w:asciiTheme="minorEastAsia" w:hAnsiTheme="minorEastAsia" w:eastAsiaTheme="minorEastAsia"/>
          <w:b/>
          <w:color w:val="auto"/>
          <w:szCs w:val="21"/>
          <w:highlight w:val="none"/>
        </w:rPr>
        <w:t>编写注意事项</w:t>
      </w:r>
      <w:bookmarkEnd w:id="82"/>
      <w:bookmarkEnd w:id="83"/>
      <w:bookmarkEnd w:id="84"/>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8.1</w:t>
      </w:r>
      <w:r>
        <w:rPr>
          <w:rFonts w:hint="eastAsia" w:asciiTheme="minorEastAsia" w:hAnsiTheme="minorEastAsia" w:eastAsiaTheme="minorEastAsia"/>
          <w:color w:val="auto"/>
          <w:szCs w:val="21"/>
          <w:highlight w:val="none"/>
        </w:rPr>
        <w:t>投标人应认真阅读招标文件，按照招标文件的要求编制投标文件。如果没有按照招标文件要求提交投标文件，没有对招标文件提出的实质性要求和条件作出响应，该投标将被拒绝。</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8.2</w:t>
      </w:r>
      <w:r>
        <w:rPr>
          <w:rFonts w:hint="eastAsia" w:asciiTheme="minorEastAsia" w:hAnsiTheme="minorEastAsia" w:eastAsiaTheme="minorEastAsia"/>
          <w:color w:val="auto"/>
          <w:szCs w:val="21"/>
          <w:highlight w:val="none"/>
        </w:rPr>
        <w:t>招标文件提出的实质性要求和条件是指本招标项目所涉及的价格、服务及其它要求、合同条款等内容。</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8.3</w:t>
      </w:r>
      <w:r>
        <w:rPr>
          <w:rFonts w:hint="eastAsia" w:asciiTheme="minorEastAsia" w:hAnsiTheme="minorEastAsia" w:eastAsiaTheme="minorEastAsia"/>
          <w:color w:val="auto"/>
          <w:szCs w:val="21"/>
          <w:highlight w:val="none"/>
        </w:rPr>
        <w:t>投标人的投标文件以及投标人与采购代理机构所有来往函电统一使用中文</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特别规定除外</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8.4 </w:t>
      </w:r>
      <w:r>
        <w:rPr>
          <w:rFonts w:hint="eastAsia" w:asciiTheme="minorEastAsia" w:hAnsiTheme="minorEastAsia" w:eastAsiaTheme="minorEastAsia"/>
          <w:color w:val="auto"/>
          <w:szCs w:val="21"/>
          <w:highlight w:val="none"/>
        </w:rPr>
        <w:t>投标文件中使用的计量单位除招标文件中有特殊规定外，一律使用法定计量单位。</w:t>
      </w:r>
      <w:r>
        <w:rPr>
          <w:rFonts w:asciiTheme="minorEastAsia" w:hAnsiTheme="minorEastAsia" w:eastAsiaTheme="minorEastAsia"/>
          <w:color w:val="auto"/>
          <w:szCs w:val="21"/>
          <w:highlight w:val="none"/>
        </w:rPr>
        <w:t xml:space="preserve"> </w:t>
      </w:r>
    </w:p>
    <w:p>
      <w:pPr>
        <w:spacing w:line="440" w:lineRule="exact"/>
        <w:outlineLvl w:val="1"/>
        <w:rPr>
          <w:rFonts w:asciiTheme="minorEastAsia" w:hAnsiTheme="minorEastAsia" w:eastAsiaTheme="minorEastAsia"/>
          <w:b/>
          <w:color w:val="auto"/>
          <w:szCs w:val="21"/>
          <w:highlight w:val="none"/>
        </w:rPr>
      </w:pPr>
      <w:bookmarkStart w:id="85" w:name="_Toc9023"/>
      <w:bookmarkStart w:id="86" w:name="_Toc78441049"/>
      <w:bookmarkStart w:id="87" w:name="_Toc295204436"/>
      <w:bookmarkStart w:id="88" w:name="_Toc114052352"/>
      <w:bookmarkStart w:id="89" w:name="_Toc114052426"/>
      <w:bookmarkStart w:id="90" w:name="_Toc114303713"/>
      <w:r>
        <w:rPr>
          <w:rFonts w:asciiTheme="minorEastAsia" w:hAnsiTheme="minorEastAsia" w:eastAsiaTheme="minorEastAsia"/>
          <w:b/>
          <w:color w:val="auto"/>
          <w:szCs w:val="21"/>
          <w:highlight w:val="none"/>
        </w:rPr>
        <w:t>9.</w:t>
      </w:r>
      <w:r>
        <w:rPr>
          <w:rFonts w:hint="eastAsia" w:asciiTheme="minorEastAsia" w:hAnsiTheme="minorEastAsia" w:eastAsiaTheme="minorEastAsia"/>
          <w:b/>
          <w:color w:val="auto"/>
          <w:szCs w:val="21"/>
          <w:highlight w:val="none"/>
        </w:rPr>
        <w:t>投标文件的组成</w:t>
      </w:r>
      <w:bookmarkEnd w:id="85"/>
      <w:bookmarkEnd w:id="86"/>
      <w:bookmarkEnd w:id="87"/>
      <w:bookmarkEnd w:id="88"/>
      <w:bookmarkEnd w:id="89"/>
      <w:bookmarkEnd w:id="90"/>
    </w:p>
    <w:p>
      <w:pPr>
        <w:spacing w:line="440" w:lineRule="exact"/>
        <w:rPr>
          <w:rFonts w:asciiTheme="minorEastAsia" w:hAnsiTheme="minorEastAsia" w:eastAsiaTheme="minorEastAsia"/>
          <w:color w:val="auto"/>
          <w:szCs w:val="21"/>
          <w:highlight w:val="none"/>
        </w:rPr>
      </w:pPr>
      <w:bookmarkStart w:id="91" w:name="_Toc114052427"/>
      <w:bookmarkStart w:id="92" w:name="_Toc114052363"/>
      <w:bookmarkStart w:id="93" w:name="_Toc114303714"/>
      <w:bookmarkStart w:id="94" w:name="_Toc295204437"/>
      <w:r>
        <w:rPr>
          <w:rFonts w:asciiTheme="minorEastAsia" w:hAnsiTheme="minorEastAsia" w:eastAsiaTheme="minorEastAsia"/>
          <w:color w:val="auto"/>
          <w:szCs w:val="21"/>
          <w:highlight w:val="none"/>
        </w:rPr>
        <w:t xml:space="preserve">9.1 </w:t>
      </w:r>
      <w:r>
        <w:rPr>
          <w:rFonts w:hint="eastAsia" w:asciiTheme="minorEastAsia" w:hAnsiTheme="minorEastAsia" w:eastAsiaTheme="minorEastAsia"/>
          <w:color w:val="auto"/>
          <w:szCs w:val="21"/>
          <w:highlight w:val="none"/>
        </w:rPr>
        <w:t>投标文件应包括下列内容：</w:t>
      </w:r>
    </w:p>
    <w:p>
      <w:pPr>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）资格审查部分：具体材料见</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投标人须知前附表</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p>
    <w:p>
      <w:pPr>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）商务标部分：具体材料见</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投标人须知前附表</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p>
    <w:p>
      <w:pPr>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）技术标部分：具体材料见</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投标人须知前附表</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9.2 </w:t>
      </w:r>
      <w:r>
        <w:rPr>
          <w:rFonts w:hint="eastAsia" w:asciiTheme="minorEastAsia" w:hAnsiTheme="minorEastAsia" w:eastAsiaTheme="minorEastAsia"/>
          <w:color w:val="auto"/>
          <w:szCs w:val="21"/>
          <w:highlight w:val="none"/>
        </w:rPr>
        <w:t>招标文件</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第五章</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投标文件格式</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有规定格式要求的，投标人应按照采购代理机构提供的投标文件格式和顺序自行编制投标文件，表格可以按同样格式扩展。</w:t>
      </w:r>
    </w:p>
    <w:p>
      <w:pPr>
        <w:spacing w:line="440" w:lineRule="exact"/>
        <w:outlineLvl w:val="1"/>
        <w:rPr>
          <w:rFonts w:asciiTheme="minorEastAsia" w:hAnsiTheme="minorEastAsia" w:eastAsiaTheme="minorEastAsia"/>
          <w:b/>
          <w:color w:val="auto"/>
          <w:szCs w:val="21"/>
          <w:highlight w:val="none"/>
        </w:rPr>
      </w:pPr>
      <w:bookmarkStart w:id="95" w:name="_Toc78441050"/>
      <w:bookmarkStart w:id="96" w:name="_Toc28968"/>
      <w:r>
        <w:rPr>
          <w:rFonts w:asciiTheme="minorEastAsia" w:hAnsiTheme="minorEastAsia" w:eastAsiaTheme="minorEastAsia"/>
          <w:b/>
          <w:color w:val="auto"/>
          <w:szCs w:val="21"/>
          <w:highlight w:val="none"/>
        </w:rPr>
        <w:t>10.</w:t>
      </w:r>
      <w:r>
        <w:rPr>
          <w:rFonts w:hint="eastAsia" w:asciiTheme="minorEastAsia" w:hAnsiTheme="minorEastAsia" w:eastAsiaTheme="minorEastAsia"/>
          <w:b/>
          <w:color w:val="auto"/>
          <w:szCs w:val="21"/>
          <w:highlight w:val="none"/>
        </w:rPr>
        <w:t>投标有效期</w:t>
      </w:r>
      <w:bookmarkEnd w:id="91"/>
      <w:bookmarkEnd w:id="92"/>
      <w:bookmarkEnd w:id="93"/>
      <w:bookmarkEnd w:id="94"/>
      <w:bookmarkEnd w:id="95"/>
      <w:bookmarkEnd w:id="96"/>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10.1 </w:t>
      </w:r>
      <w:r>
        <w:rPr>
          <w:rFonts w:hint="eastAsia" w:asciiTheme="minorEastAsia" w:hAnsiTheme="minorEastAsia" w:eastAsiaTheme="minorEastAsia"/>
          <w:color w:val="auto"/>
          <w:szCs w:val="21"/>
          <w:highlight w:val="none"/>
        </w:rPr>
        <w:t>投标文件在投标人须知前附表第</w:t>
      </w:r>
      <w:r>
        <w:rPr>
          <w:rFonts w:asciiTheme="minorEastAsia" w:hAnsiTheme="minorEastAsia" w:eastAsiaTheme="minorEastAsia"/>
          <w:color w:val="auto"/>
          <w:szCs w:val="21"/>
          <w:highlight w:val="none"/>
        </w:rPr>
        <w:t>14</w:t>
      </w:r>
      <w:r>
        <w:rPr>
          <w:rFonts w:hint="eastAsia" w:asciiTheme="minorEastAsia" w:hAnsiTheme="minorEastAsia" w:eastAsiaTheme="minorEastAsia"/>
          <w:color w:val="auto"/>
          <w:szCs w:val="21"/>
          <w:highlight w:val="none"/>
        </w:rPr>
        <w:t>项所列的日历天内有效。</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10.2 </w:t>
      </w:r>
      <w:r>
        <w:rPr>
          <w:rFonts w:hint="eastAsia" w:asciiTheme="minorEastAsia" w:hAnsiTheme="minorEastAsia" w:eastAsiaTheme="minorEastAsia"/>
          <w:color w:val="auto"/>
          <w:szCs w:val="21"/>
          <w:highlight w:val="none"/>
        </w:rPr>
        <w:t>在原定投标有效期满之前，如果出现特殊情况，采购人可以书面形式向投标人提出延长投标有效期的要求。投标人须以书面形式予以答复。同意延长投标有效期的投标人不允许修改其投标文件。在延长的投标有效期内，本须知第</w:t>
      </w:r>
      <w:r>
        <w:rPr>
          <w:rFonts w:asciiTheme="minorEastAsia" w:hAnsiTheme="minorEastAsia" w:eastAsiaTheme="minorEastAsia"/>
          <w:color w:val="auto"/>
          <w:szCs w:val="21"/>
          <w:highlight w:val="none"/>
        </w:rPr>
        <w:t>11</w:t>
      </w:r>
      <w:r>
        <w:rPr>
          <w:rFonts w:hint="eastAsia" w:asciiTheme="minorEastAsia" w:hAnsiTheme="minorEastAsia" w:eastAsiaTheme="minorEastAsia"/>
          <w:color w:val="auto"/>
          <w:szCs w:val="21"/>
          <w:highlight w:val="none"/>
        </w:rPr>
        <w:t>条仍然适用。</w:t>
      </w:r>
    </w:p>
    <w:p>
      <w:pPr>
        <w:spacing w:line="440" w:lineRule="exact"/>
        <w:outlineLvl w:val="1"/>
        <w:rPr>
          <w:rFonts w:asciiTheme="minorEastAsia" w:hAnsiTheme="minorEastAsia" w:eastAsiaTheme="minorEastAsia"/>
          <w:b/>
          <w:color w:val="auto"/>
          <w:szCs w:val="21"/>
          <w:highlight w:val="none"/>
        </w:rPr>
      </w:pPr>
      <w:bookmarkStart w:id="97" w:name="_Toc295204438"/>
      <w:bookmarkStart w:id="98" w:name="_Toc114303715"/>
      <w:bookmarkStart w:id="99" w:name="_Toc11729"/>
      <w:bookmarkStart w:id="100" w:name="_Toc78441051"/>
      <w:bookmarkStart w:id="101" w:name="_Toc114052428"/>
      <w:bookmarkStart w:id="102" w:name="_Toc114052364"/>
      <w:r>
        <w:rPr>
          <w:rFonts w:asciiTheme="minorEastAsia" w:hAnsiTheme="minorEastAsia" w:eastAsiaTheme="minorEastAsia"/>
          <w:b/>
          <w:color w:val="auto"/>
          <w:szCs w:val="21"/>
          <w:highlight w:val="none"/>
        </w:rPr>
        <w:t>11.</w:t>
      </w:r>
      <w:r>
        <w:rPr>
          <w:rFonts w:hint="eastAsia" w:asciiTheme="minorEastAsia" w:hAnsiTheme="minorEastAsia" w:eastAsiaTheme="minorEastAsia"/>
          <w:b/>
          <w:color w:val="auto"/>
          <w:szCs w:val="21"/>
          <w:highlight w:val="none"/>
        </w:rPr>
        <w:t>投标保证金</w:t>
      </w:r>
      <w:bookmarkEnd w:id="97"/>
      <w:bookmarkEnd w:id="98"/>
      <w:bookmarkEnd w:id="99"/>
      <w:bookmarkEnd w:id="100"/>
      <w:bookmarkEnd w:id="101"/>
      <w:bookmarkEnd w:id="102"/>
    </w:p>
    <w:p>
      <w:pPr>
        <w:spacing w:line="440" w:lineRule="exac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11.1 </w:t>
      </w:r>
      <w:r>
        <w:rPr>
          <w:rFonts w:hint="eastAsia" w:asciiTheme="minorEastAsia" w:hAnsiTheme="minorEastAsia" w:eastAsiaTheme="minorEastAsia"/>
          <w:b/>
          <w:color w:val="auto"/>
          <w:szCs w:val="21"/>
          <w:highlight w:val="none"/>
        </w:rPr>
        <w:t>投标人应按前附表第</w:t>
      </w:r>
      <w:r>
        <w:rPr>
          <w:rFonts w:asciiTheme="minorEastAsia" w:hAnsiTheme="minorEastAsia" w:eastAsiaTheme="minorEastAsia"/>
          <w:b/>
          <w:color w:val="auto"/>
          <w:szCs w:val="21"/>
          <w:highlight w:val="none"/>
        </w:rPr>
        <w:t>15</w:t>
      </w:r>
      <w:r>
        <w:rPr>
          <w:rFonts w:hint="eastAsia" w:asciiTheme="minorEastAsia" w:hAnsiTheme="minorEastAsia" w:eastAsiaTheme="minorEastAsia"/>
          <w:b/>
          <w:color w:val="auto"/>
          <w:szCs w:val="21"/>
          <w:highlight w:val="none"/>
        </w:rPr>
        <w:t>项的规定提交投标保证金，此投标保证金作为投标文件的一个组成部分。</w:t>
      </w:r>
    </w:p>
    <w:p>
      <w:pPr>
        <w:spacing w:line="440" w:lineRule="exact"/>
        <w:rPr>
          <w:rFonts w:asciiTheme="minorEastAsia" w:hAnsiTheme="minorEastAsia" w:eastAsiaTheme="minorEastAsia"/>
          <w:color w:val="auto"/>
          <w:szCs w:val="21"/>
          <w:highlight w:val="none"/>
        </w:rPr>
      </w:pPr>
      <w:bookmarkStart w:id="103" w:name="_Toc295204440"/>
      <w:bookmarkStart w:id="104" w:name="_Toc114052429"/>
      <w:bookmarkStart w:id="105" w:name="_Toc114303716"/>
      <w:bookmarkStart w:id="106" w:name="_Toc114052365"/>
      <w:r>
        <w:rPr>
          <w:rFonts w:hint="eastAsia" w:asciiTheme="minorEastAsia" w:hAnsiTheme="minorEastAsia" w:eastAsiaTheme="minorEastAsia"/>
          <w:color w:val="auto"/>
          <w:szCs w:val="21"/>
          <w:highlight w:val="none"/>
        </w:rPr>
        <w:t>11.2对于未能按要求提交投标保证金的投标人，采购代理机构将视为不响应投标文件。</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11.3未中标的投标人的投标保证金将在中标通知书发出后5个工作日内退还（无息）。</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11.4如投标人有下列情况，其投标保证金将不予以退还：</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（1）投标人在提交投标文件截止时间后撤销投标文件的；</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（2）投标人在投标文件中提供虚假材料的；</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（3）除因不可抗力或招标文件认可的情形以外，中标投标人不与采购人签订合同的；</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（4）投标人与采购人、其他投标人或者采购代理机构恶意串通的；</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（5）法律法规规定的其他情形。</w:t>
      </w:r>
    </w:p>
    <w:p>
      <w:pPr>
        <w:spacing w:line="440" w:lineRule="exact"/>
        <w:outlineLvl w:val="1"/>
        <w:rPr>
          <w:rFonts w:asciiTheme="minorEastAsia" w:hAnsiTheme="minorEastAsia" w:eastAsiaTheme="minorEastAsia"/>
          <w:b/>
          <w:color w:val="auto"/>
          <w:szCs w:val="21"/>
          <w:highlight w:val="none"/>
        </w:rPr>
      </w:pPr>
      <w:bookmarkStart w:id="107" w:name="_Toc78441052"/>
      <w:bookmarkStart w:id="108" w:name="_Toc25367"/>
      <w:r>
        <w:rPr>
          <w:rFonts w:asciiTheme="minorEastAsia" w:hAnsiTheme="minorEastAsia" w:eastAsiaTheme="minorEastAsia"/>
          <w:b/>
          <w:color w:val="auto"/>
          <w:szCs w:val="21"/>
          <w:highlight w:val="none"/>
        </w:rPr>
        <w:t>12.</w:t>
      </w:r>
      <w:r>
        <w:rPr>
          <w:rFonts w:hint="eastAsia" w:asciiTheme="minorEastAsia" w:hAnsiTheme="minorEastAsia" w:eastAsiaTheme="minorEastAsia"/>
          <w:b/>
          <w:color w:val="auto"/>
          <w:szCs w:val="21"/>
          <w:highlight w:val="none"/>
        </w:rPr>
        <w:t>勘察现场和投标答疑</w:t>
      </w:r>
      <w:bookmarkEnd w:id="103"/>
      <w:bookmarkEnd w:id="104"/>
      <w:bookmarkEnd w:id="105"/>
      <w:bookmarkEnd w:id="106"/>
      <w:bookmarkEnd w:id="107"/>
      <w:bookmarkEnd w:id="108"/>
    </w:p>
    <w:p>
      <w:pPr>
        <w:spacing w:line="440" w:lineRule="exact"/>
        <w:rPr>
          <w:rFonts w:asciiTheme="minorEastAsia" w:hAnsiTheme="minorEastAsia" w:eastAsiaTheme="minorEastAsia"/>
          <w:color w:val="auto"/>
          <w:szCs w:val="21"/>
          <w:highlight w:val="none"/>
        </w:rPr>
      </w:pPr>
      <w:bookmarkStart w:id="109" w:name="_Toc295204441"/>
      <w:bookmarkStart w:id="110" w:name="_Toc114052430"/>
      <w:bookmarkStart w:id="111" w:name="_Toc114303717"/>
      <w:bookmarkStart w:id="112" w:name="_Toc114052366"/>
      <w:r>
        <w:rPr>
          <w:rFonts w:hint="eastAsia" w:asciiTheme="minorEastAsia" w:hAnsiTheme="minorEastAsia" w:eastAsiaTheme="minorEastAsia"/>
          <w:color w:val="auto"/>
          <w:szCs w:val="21"/>
          <w:highlight w:val="none"/>
        </w:rPr>
        <w:t>12.1投标人可自行对项目场地和周围环境进行勘察，以获取须投标人自己负责的有关编制投标文件和签署合同所需的资料。勘察现场所发生的费用由投标人自己承担。</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12.2采购人向投标人提供的有关项目的资料和数据，是采购人现有的能为投标人所利用的资料。采购人对投标人由此而做出的推论、理解和结论概不负责。</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12.3投标人提出的与投标有关的任何问题均应在招标文件发售截止之日起7个工作日内时间内，用当面递交、传真或电报书面通知采购代理机构，其他方式为无效。采购代理机构将以本章第6条规定形式予以答复。如果投标人在规定的时间内提出的问题未得到采购代理机构书面解答的，应立即以书面形式报告采购管理机构，否则，将视为提出的问题不再需要答复。  </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12.4招标补遗文件包括所有问题和答复，将迅速提供给所有获得招标文件的投标人。</w:t>
      </w:r>
    </w:p>
    <w:p>
      <w:pPr>
        <w:spacing w:line="440" w:lineRule="exact"/>
        <w:outlineLvl w:val="1"/>
        <w:rPr>
          <w:rFonts w:asciiTheme="minorEastAsia" w:hAnsiTheme="minorEastAsia" w:eastAsiaTheme="minorEastAsia"/>
          <w:b/>
          <w:color w:val="auto"/>
          <w:szCs w:val="21"/>
          <w:highlight w:val="none"/>
        </w:rPr>
      </w:pPr>
      <w:bookmarkStart w:id="113" w:name="_Toc9777"/>
      <w:bookmarkStart w:id="114" w:name="_Toc78441053"/>
      <w:r>
        <w:rPr>
          <w:rFonts w:asciiTheme="minorEastAsia" w:hAnsiTheme="minorEastAsia" w:eastAsiaTheme="minorEastAsia"/>
          <w:b/>
          <w:color w:val="auto"/>
          <w:szCs w:val="21"/>
          <w:highlight w:val="none"/>
        </w:rPr>
        <w:t>13.</w:t>
      </w:r>
      <w:r>
        <w:rPr>
          <w:rFonts w:hint="eastAsia" w:asciiTheme="minorEastAsia" w:hAnsiTheme="minorEastAsia" w:eastAsiaTheme="minorEastAsia"/>
          <w:b/>
          <w:color w:val="auto"/>
          <w:szCs w:val="21"/>
          <w:highlight w:val="none"/>
        </w:rPr>
        <w:t>投标文件的份数和签署</w:t>
      </w:r>
      <w:bookmarkEnd w:id="109"/>
      <w:bookmarkEnd w:id="110"/>
      <w:bookmarkEnd w:id="111"/>
      <w:bookmarkEnd w:id="112"/>
      <w:bookmarkEnd w:id="113"/>
      <w:bookmarkEnd w:id="114"/>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13.1 </w:t>
      </w:r>
      <w:r>
        <w:rPr>
          <w:rFonts w:hint="eastAsia" w:asciiTheme="minorEastAsia" w:hAnsiTheme="minorEastAsia" w:eastAsiaTheme="minorEastAsia"/>
          <w:color w:val="auto"/>
          <w:szCs w:val="21"/>
          <w:highlight w:val="none"/>
        </w:rPr>
        <w:t>投标人按本须知第</w:t>
      </w:r>
      <w:r>
        <w:rPr>
          <w:rFonts w:asciiTheme="minorEastAsia" w:hAnsiTheme="minorEastAsia" w:eastAsiaTheme="minorEastAsia"/>
          <w:color w:val="auto"/>
          <w:szCs w:val="21"/>
          <w:highlight w:val="none"/>
        </w:rPr>
        <w:t>9</w:t>
      </w:r>
      <w:r>
        <w:rPr>
          <w:rFonts w:hint="eastAsia" w:asciiTheme="minorEastAsia" w:hAnsiTheme="minorEastAsia" w:eastAsiaTheme="minorEastAsia"/>
          <w:color w:val="auto"/>
          <w:szCs w:val="21"/>
          <w:highlight w:val="none"/>
        </w:rPr>
        <w:t>条的规定编制投标文件，并按照本须知第14条规定提交投标文件。中标供应商</w:t>
      </w:r>
      <w:r>
        <w:rPr>
          <w:rFonts w:asciiTheme="minorEastAsia" w:hAnsiTheme="minorEastAsia" w:eastAsiaTheme="minorEastAsia"/>
          <w:color w:val="auto"/>
          <w:szCs w:val="21"/>
          <w:highlight w:val="none"/>
        </w:rPr>
        <w:t>应按</w:t>
      </w:r>
      <w:r>
        <w:rPr>
          <w:rFonts w:hint="eastAsia" w:asciiTheme="minorEastAsia" w:hAnsiTheme="minorEastAsia" w:eastAsiaTheme="minorEastAsia"/>
          <w:color w:val="auto"/>
          <w:szCs w:val="21"/>
          <w:highlight w:val="none"/>
        </w:rPr>
        <w:t>投标人须知及前附表第</w:t>
      </w:r>
      <w:r>
        <w:rPr>
          <w:rFonts w:asciiTheme="minorEastAsia" w:hAnsiTheme="minorEastAsia" w:eastAsiaTheme="minorEastAsia"/>
          <w:color w:val="auto"/>
          <w:szCs w:val="21"/>
          <w:highlight w:val="none"/>
        </w:rPr>
        <w:t>16</w:t>
      </w:r>
      <w:r>
        <w:rPr>
          <w:rFonts w:hint="eastAsia" w:asciiTheme="minorEastAsia" w:hAnsiTheme="minorEastAsia" w:eastAsiaTheme="minorEastAsia"/>
          <w:color w:val="auto"/>
          <w:szCs w:val="21"/>
          <w:highlight w:val="none"/>
        </w:rPr>
        <w:t>条的规定递交</w:t>
      </w:r>
      <w:r>
        <w:rPr>
          <w:rFonts w:asciiTheme="minorEastAsia" w:hAnsiTheme="minorEastAsia" w:eastAsiaTheme="minorEastAsia"/>
          <w:color w:val="auto"/>
          <w:szCs w:val="21"/>
          <w:highlight w:val="none"/>
        </w:rPr>
        <w:t>投标文件</w:t>
      </w:r>
      <w:r>
        <w:rPr>
          <w:rFonts w:hint="eastAsia" w:asciiTheme="minorEastAsia" w:hAnsiTheme="minorEastAsia" w:eastAsiaTheme="minorEastAsia"/>
          <w:color w:val="auto"/>
          <w:szCs w:val="21"/>
          <w:highlight w:val="none"/>
        </w:rPr>
        <w:t>“正本”和 “副本”，并标明“投标文件正本”和“投标文件副本”，</w:t>
      </w:r>
      <w:r>
        <w:rPr>
          <w:rFonts w:asciiTheme="minorEastAsia" w:hAnsiTheme="minorEastAsia" w:eastAsiaTheme="minorEastAsia"/>
          <w:color w:val="auto"/>
          <w:szCs w:val="21"/>
          <w:highlight w:val="none"/>
        </w:rPr>
        <w:t>递交的</w:t>
      </w:r>
      <w:r>
        <w:rPr>
          <w:rFonts w:hint="eastAsia" w:asciiTheme="minorEastAsia" w:hAnsiTheme="minorEastAsia" w:eastAsiaTheme="minorEastAsia"/>
          <w:color w:val="auto"/>
          <w:szCs w:val="21"/>
          <w:highlight w:val="none"/>
        </w:rPr>
        <w:t>投标文件纸质版</w:t>
      </w:r>
      <w:r>
        <w:rPr>
          <w:rFonts w:asciiTheme="minorEastAsia" w:hAnsiTheme="minorEastAsia" w:eastAsiaTheme="minorEastAsia"/>
          <w:color w:val="auto"/>
          <w:szCs w:val="21"/>
          <w:highlight w:val="none"/>
        </w:rPr>
        <w:t>和</w:t>
      </w:r>
      <w:r>
        <w:rPr>
          <w:rFonts w:hint="eastAsia" w:asciiTheme="minorEastAsia" w:hAnsiTheme="minorEastAsia" w:eastAsiaTheme="minorEastAsia"/>
          <w:color w:val="auto"/>
          <w:szCs w:val="21"/>
          <w:highlight w:val="none"/>
        </w:rPr>
        <w:t>“政采云”</w:t>
      </w:r>
      <w:r>
        <w:rPr>
          <w:rFonts w:asciiTheme="minorEastAsia" w:hAnsiTheme="minorEastAsia" w:eastAsiaTheme="minorEastAsia"/>
          <w:color w:val="auto"/>
          <w:szCs w:val="21"/>
          <w:highlight w:val="none"/>
        </w:rPr>
        <w:t>电子版</w:t>
      </w:r>
      <w:r>
        <w:rPr>
          <w:rFonts w:hint="eastAsia" w:asciiTheme="minorEastAsia" w:hAnsiTheme="minorEastAsia" w:eastAsiaTheme="minorEastAsia"/>
          <w:color w:val="auto"/>
          <w:szCs w:val="21"/>
          <w:highlight w:val="none"/>
        </w:rPr>
        <w:t>如有不一致之处，以“政采云”</w:t>
      </w:r>
      <w:r>
        <w:rPr>
          <w:rFonts w:asciiTheme="minorEastAsia" w:hAnsiTheme="minorEastAsia" w:eastAsiaTheme="minorEastAsia"/>
          <w:color w:val="auto"/>
          <w:szCs w:val="21"/>
          <w:highlight w:val="none"/>
        </w:rPr>
        <w:t>电子版</w:t>
      </w:r>
      <w:r>
        <w:rPr>
          <w:rFonts w:hint="eastAsia" w:asciiTheme="minorEastAsia" w:hAnsiTheme="minorEastAsia" w:eastAsiaTheme="minorEastAsia"/>
          <w:color w:val="auto"/>
          <w:szCs w:val="21"/>
          <w:highlight w:val="none"/>
        </w:rPr>
        <w:t>为准。</w:t>
      </w:r>
    </w:p>
    <w:p>
      <w:pPr>
        <w:spacing w:line="360" w:lineRule="auto"/>
        <w:rPr>
          <w:rFonts w:asciiTheme="minorEastAsia" w:hAnsiTheme="minorEastAsia" w:eastAsiaTheme="minorEastAsia"/>
          <w:color w:val="auto"/>
          <w:szCs w:val="21"/>
          <w:highlight w:val="none"/>
        </w:rPr>
      </w:pPr>
      <w:r>
        <w:rPr>
          <w:rFonts w:hint="eastAsia"/>
          <w:b/>
          <w:color w:val="auto"/>
          <w:szCs w:val="21"/>
          <w:highlight w:val="none"/>
        </w:rPr>
        <w:t>特别说明：</w:t>
      </w:r>
      <w:r>
        <w:rPr>
          <w:b/>
          <w:color w:val="auto"/>
          <w:szCs w:val="21"/>
          <w:highlight w:val="none"/>
        </w:rPr>
        <w:t>响应文件的签字和（或）盖章应采用CA电子签章。</w:t>
      </w:r>
    </w:p>
    <w:p>
      <w:pPr>
        <w:spacing w:line="360" w:lineRule="auto"/>
        <w:outlineLvl w:val="1"/>
        <w:rPr>
          <w:rFonts w:asciiTheme="minorEastAsia" w:hAnsiTheme="minorEastAsia" w:eastAsiaTheme="minorEastAsia"/>
          <w:b/>
          <w:color w:val="auto"/>
          <w:szCs w:val="21"/>
          <w:highlight w:val="none"/>
        </w:rPr>
      </w:pPr>
      <w:bookmarkStart w:id="115" w:name="_Toc295204443"/>
      <w:bookmarkStart w:id="116" w:name="_Toc78441054"/>
      <w:bookmarkStart w:id="117" w:name="_Toc114303719"/>
      <w:bookmarkStart w:id="118" w:name="_Toc114052368"/>
      <w:bookmarkStart w:id="119" w:name="_Toc114052432"/>
      <w:bookmarkStart w:id="120" w:name="_Toc1552"/>
      <w:r>
        <w:rPr>
          <w:rFonts w:asciiTheme="minorEastAsia" w:hAnsiTheme="minorEastAsia" w:eastAsiaTheme="minorEastAsia"/>
          <w:b/>
          <w:color w:val="auto"/>
          <w:szCs w:val="21"/>
          <w:highlight w:val="none"/>
        </w:rPr>
        <w:t>14.</w:t>
      </w:r>
      <w:r>
        <w:rPr>
          <w:rFonts w:hint="eastAsia" w:asciiTheme="minorEastAsia" w:hAnsiTheme="minorEastAsia" w:eastAsiaTheme="minorEastAsia"/>
          <w:b/>
          <w:color w:val="auto"/>
          <w:szCs w:val="21"/>
          <w:highlight w:val="none"/>
        </w:rPr>
        <w:t>投标文件的</w:t>
      </w:r>
      <w:bookmarkEnd w:id="115"/>
      <w:bookmarkEnd w:id="116"/>
      <w:bookmarkEnd w:id="117"/>
      <w:bookmarkEnd w:id="118"/>
      <w:bookmarkEnd w:id="119"/>
      <w:r>
        <w:rPr>
          <w:rFonts w:hint="eastAsia" w:asciiTheme="minorEastAsia" w:hAnsiTheme="minorEastAsia" w:eastAsiaTheme="minorEastAsia"/>
          <w:b/>
          <w:color w:val="auto"/>
          <w:szCs w:val="21"/>
          <w:highlight w:val="none"/>
        </w:rPr>
        <w:t>提交</w:t>
      </w:r>
      <w:bookmarkEnd w:id="120"/>
    </w:p>
    <w:p>
      <w:pPr>
        <w:snapToGrid w:val="0"/>
        <w:spacing w:line="360" w:lineRule="auto"/>
        <w:rPr>
          <w:rFonts w:hAnsi="宋体" w:cs="宋体"/>
          <w:color w:val="auto"/>
          <w:kern w:val="0"/>
          <w:szCs w:val="21"/>
          <w:highlight w:val="none"/>
        </w:rPr>
      </w:pPr>
      <w:r>
        <w:rPr>
          <w:rFonts w:hAnsi="宋体" w:cs="宋体"/>
          <w:color w:val="auto"/>
          <w:kern w:val="0"/>
          <w:szCs w:val="21"/>
          <w:highlight w:val="none"/>
        </w:rPr>
        <w:t>14.1</w:t>
      </w:r>
      <w:r>
        <w:rPr>
          <w:rFonts w:hint="eastAsia" w:hAnsi="宋体" w:cs="宋体"/>
          <w:color w:val="auto"/>
          <w:kern w:val="0"/>
          <w:szCs w:val="21"/>
          <w:highlight w:val="none"/>
        </w:rPr>
        <w:t>投标文件提交方式：本项目为贺州市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远程开标活动经办人联系方式，如在操作过程中遇到问题或需技术支持，请致电政采云客服热线：400-881-7190。</w:t>
      </w:r>
    </w:p>
    <w:p>
      <w:pPr>
        <w:spacing w:line="440" w:lineRule="exact"/>
        <w:rPr>
          <w:rFonts w:asciiTheme="minorEastAsia" w:hAnsiTheme="minorEastAsia" w:eastAsiaTheme="minorEastAsia"/>
          <w:color w:val="auto"/>
          <w:szCs w:val="21"/>
          <w:highlight w:val="none"/>
        </w:rPr>
      </w:pPr>
      <w:r>
        <w:rPr>
          <w:rFonts w:hint="eastAsia" w:hAnsi="宋体" w:cs="宋体"/>
          <w:color w:val="auto"/>
          <w:kern w:val="0"/>
          <w:szCs w:val="21"/>
          <w:highlight w:val="none"/>
        </w:rPr>
        <w:t>14.2“政采云电子交易客户端”请自行前往广西政府采购网下载并安装</w:t>
      </w:r>
      <w:r>
        <w:rPr>
          <w:rFonts w:hint="eastAsia" w:asciiTheme="minorEastAsia" w:hAnsiTheme="minorEastAsia" w:eastAsiaTheme="minorEastAsia"/>
          <w:color w:val="auto"/>
          <w:szCs w:val="21"/>
          <w:highlight w:val="none"/>
        </w:rPr>
        <w:t>（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14.3</w:t>
      </w:r>
      <w:r>
        <w:rPr>
          <w:rFonts w:hint="eastAsia" w:asciiTheme="minorEastAsia" w:hAnsiTheme="minorEastAsia" w:eastAsiaTheme="minorEastAsia"/>
          <w:color w:val="auto"/>
          <w:szCs w:val="21"/>
          <w:highlight w:val="none"/>
        </w:rPr>
        <w:t>未进行网上注册并办理数字证书（CA认证）的供应商将无法参与本项目政府采购活动，潜在供应商应当在投标截止时间前，完成电子交易平台上的CA数字证书办理（如在操作过程中遇到问题或需技术支持，请致电政采云客服热线：400-881-7190）及投标文件的提交。完成CA数字证书办理预计7日左右，投标人只需办理其中一家CA数字证书及签章，建议各投标人抓紧时间办理。</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14.4</w:t>
      </w:r>
      <w:r>
        <w:rPr>
          <w:rFonts w:hint="eastAsia" w:asciiTheme="minorEastAsia" w:hAnsiTheme="minorEastAsia" w:eastAsiaTheme="minorEastAsia"/>
          <w:color w:val="auto"/>
          <w:szCs w:val="21"/>
          <w:highlight w:val="none"/>
        </w:rPr>
        <w:t>为确保网上操作合法、有效和安全，请投标供应商确保在电子投标过程中能够对相关数据电文进行加密和使用电子签章，妥善保管CA数字证书并使用有效的CA数字证书参与整个招标活动。</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14.5异常处理：如供应商在开标时遗失CA或其他原因，供应商需将备份或加密的投标文件提供给采购代理机构，由采购代理机构通过“异常处理”端口上传、解密。</w:t>
      </w:r>
    </w:p>
    <w:p>
      <w:pPr>
        <w:spacing w:line="360" w:lineRule="auto"/>
        <w:outlineLvl w:val="1"/>
        <w:rPr>
          <w:rFonts w:asciiTheme="minorEastAsia" w:hAnsiTheme="minorEastAsia" w:eastAsiaTheme="minorEastAsia"/>
          <w:b/>
          <w:color w:val="auto"/>
          <w:szCs w:val="21"/>
          <w:highlight w:val="none"/>
        </w:rPr>
      </w:pPr>
      <w:bookmarkStart w:id="121" w:name="_Toc114303720"/>
      <w:bookmarkStart w:id="122" w:name="_Toc114052369"/>
      <w:bookmarkStart w:id="123" w:name="_Toc78441055"/>
      <w:bookmarkStart w:id="124" w:name="_Toc114052433"/>
      <w:bookmarkStart w:id="125" w:name="_Toc295204444"/>
      <w:bookmarkStart w:id="126" w:name="_Toc13597"/>
      <w:r>
        <w:rPr>
          <w:rFonts w:asciiTheme="minorEastAsia" w:hAnsiTheme="minorEastAsia" w:eastAsiaTheme="minorEastAsia"/>
          <w:b/>
          <w:color w:val="auto"/>
          <w:szCs w:val="21"/>
          <w:highlight w:val="none"/>
        </w:rPr>
        <w:t>15</w:t>
      </w:r>
      <w:r>
        <w:rPr>
          <w:rFonts w:hint="eastAsia" w:asciiTheme="minorEastAsia" w:hAnsiTheme="minorEastAsia" w:eastAsiaTheme="minorEastAsia"/>
          <w:b/>
          <w:color w:val="auto"/>
          <w:szCs w:val="21"/>
          <w:highlight w:val="none"/>
        </w:rPr>
        <w:t>．投标截止期</w:t>
      </w:r>
      <w:bookmarkEnd w:id="121"/>
      <w:bookmarkEnd w:id="122"/>
      <w:bookmarkEnd w:id="123"/>
      <w:bookmarkEnd w:id="124"/>
      <w:bookmarkEnd w:id="125"/>
      <w:bookmarkEnd w:id="126"/>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15.1 </w:t>
      </w:r>
      <w:r>
        <w:rPr>
          <w:rFonts w:hint="eastAsia" w:asciiTheme="minorEastAsia" w:hAnsiTheme="minorEastAsia" w:eastAsiaTheme="minorEastAsia"/>
          <w:color w:val="auto"/>
          <w:szCs w:val="21"/>
          <w:highlight w:val="none"/>
        </w:rPr>
        <w:t>投标人应在前附表第</w:t>
      </w:r>
      <w:r>
        <w:rPr>
          <w:rFonts w:asciiTheme="minorEastAsia" w:hAnsiTheme="minorEastAsia" w:eastAsiaTheme="minorEastAsia"/>
          <w:color w:val="auto"/>
          <w:szCs w:val="21"/>
          <w:highlight w:val="none"/>
        </w:rPr>
        <w:t>17</w:t>
      </w:r>
      <w:r>
        <w:rPr>
          <w:rFonts w:hint="eastAsia" w:asciiTheme="minorEastAsia" w:hAnsiTheme="minorEastAsia" w:eastAsiaTheme="minorEastAsia"/>
          <w:color w:val="auto"/>
          <w:szCs w:val="21"/>
          <w:highlight w:val="none"/>
        </w:rPr>
        <w:t>项规定的日期和时间之前将投标文件递交给采购代理机构。</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15.2 </w:t>
      </w:r>
      <w:r>
        <w:rPr>
          <w:rFonts w:hint="eastAsia" w:asciiTheme="minorEastAsia" w:hAnsiTheme="minorEastAsia" w:eastAsiaTheme="minorEastAsia"/>
          <w:color w:val="auto"/>
          <w:szCs w:val="21"/>
          <w:highlight w:val="none"/>
        </w:rPr>
        <w:t>采购代理机构可以按本须知第</w:t>
      </w: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条规定的以补充通知方式，酌情延长递交投标文件的截止时间。在上述情况下，采购代理机构与投标人在投标截止时间以前拥有的全部权力、责任和义务，将适用于延长后新的投标截止时间。</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15.3 </w:t>
      </w:r>
      <w:r>
        <w:rPr>
          <w:rFonts w:hint="eastAsia" w:asciiTheme="minorEastAsia" w:hAnsiTheme="minorEastAsia" w:eastAsiaTheme="minorEastAsia"/>
          <w:color w:val="auto"/>
          <w:szCs w:val="21"/>
          <w:highlight w:val="none"/>
        </w:rPr>
        <w:t>采购代理机构将拒收在投标截止时间以后送到的投标文件。</w:t>
      </w:r>
    </w:p>
    <w:p>
      <w:pPr>
        <w:spacing w:line="440" w:lineRule="exact"/>
        <w:outlineLvl w:val="1"/>
        <w:rPr>
          <w:rFonts w:asciiTheme="minorEastAsia" w:hAnsiTheme="minorEastAsia" w:eastAsiaTheme="minorEastAsia"/>
          <w:b/>
          <w:color w:val="auto"/>
          <w:szCs w:val="21"/>
          <w:highlight w:val="none"/>
        </w:rPr>
      </w:pPr>
      <w:bookmarkStart w:id="127" w:name="_Toc114052434"/>
      <w:bookmarkStart w:id="128" w:name="_Toc114303721"/>
      <w:bookmarkStart w:id="129" w:name="_Toc114052370"/>
      <w:bookmarkStart w:id="130" w:name="_Toc78441056"/>
      <w:bookmarkStart w:id="131" w:name="_Toc295204445"/>
      <w:bookmarkStart w:id="132" w:name="_Toc7530"/>
      <w:r>
        <w:rPr>
          <w:rFonts w:asciiTheme="minorEastAsia" w:hAnsiTheme="minorEastAsia" w:eastAsiaTheme="minorEastAsia"/>
          <w:b/>
          <w:color w:val="auto"/>
          <w:szCs w:val="21"/>
          <w:highlight w:val="none"/>
        </w:rPr>
        <w:t>16.</w:t>
      </w:r>
      <w:r>
        <w:rPr>
          <w:rFonts w:hint="eastAsia" w:asciiTheme="minorEastAsia" w:hAnsiTheme="minorEastAsia" w:eastAsiaTheme="minorEastAsia"/>
          <w:b/>
          <w:color w:val="auto"/>
          <w:szCs w:val="21"/>
          <w:highlight w:val="none"/>
        </w:rPr>
        <w:t>投标文件的修改与撤回</w:t>
      </w:r>
      <w:bookmarkEnd w:id="127"/>
      <w:bookmarkEnd w:id="128"/>
      <w:bookmarkEnd w:id="129"/>
      <w:bookmarkEnd w:id="130"/>
      <w:bookmarkEnd w:id="131"/>
      <w:bookmarkEnd w:id="132"/>
    </w:p>
    <w:p>
      <w:pPr>
        <w:spacing w:line="440" w:lineRule="exact"/>
        <w:rPr>
          <w:rFonts w:asciiTheme="minorEastAsia" w:hAnsiTheme="minorEastAsia" w:eastAsiaTheme="minorEastAsia"/>
          <w:color w:val="auto"/>
          <w:szCs w:val="21"/>
          <w:highlight w:val="none"/>
        </w:rPr>
      </w:pPr>
      <w:r>
        <w:rPr>
          <w:rFonts w:hint="eastAsia" w:hAnsi="宋体" w:cs="宋体"/>
          <w:color w:val="auto"/>
          <w:kern w:val="0"/>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r>
        <w:rPr>
          <w:rFonts w:asciiTheme="minorEastAsia" w:hAnsiTheme="minorEastAsia" w:eastAsiaTheme="minorEastAsia"/>
          <w:color w:val="auto"/>
          <w:szCs w:val="21"/>
          <w:highlight w:val="none"/>
        </w:rPr>
        <w:t xml:space="preserve"> </w:t>
      </w:r>
    </w:p>
    <w:p>
      <w:pPr>
        <w:spacing w:line="440" w:lineRule="exact"/>
        <w:outlineLvl w:val="1"/>
        <w:rPr>
          <w:rFonts w:asciiTheme="minorEastAsia" w:hAnsiTheme="minorEastAsia" w:eastAsiaTheme="minorEastAsia"/>
          <w:b/>
          <w:color w:val="auto"/>
          <w:szCs w:val="21"/>
          <w:highlight w:val="none"/>
        </w:rPr>
      </w:pPr>
      <w:bookmarkStart w:id="133" w:name="_Toc78441057"/>
      <w:bookmarkStart w:id="134" w:name="_Toc295204447"/>
      <w:bookmarkStart w:id="135" w:name="_Toc8152"/>
      <w:r>
        <w:rPr>
          <w:rFonts w:asciiTheme="minorEastAsia" w:hAnsiTheme="minorEastAsia" w:eastAsiaTheme="minorEastAsia"/>
          <w:b/>
          <w:color w:val="auto"/>
          <w:szCs w:val="21"/>
          <w:highlight w:val="none"/>
        </w:rPr>
        <w:t>17.</w:t>
      </w:r>
      <w:r>
        <w:rPr>
          <w:rFonts w:hint="eastAsia" w:asciiTheme="minorEastAsia" w:hAnsiTheme="minorEastAsia" w:eastAsiaTheme="minorEastAsia"/>
          <w:b/>
          <w:color w:val="auto"/>
          <w:szCs w:val="21"/>
          <w:highlight w:val="none"/>
        </w:rPr>
        <w:t>开标</w:t>
      </w:r>
      <w:bookmarkEnd w:id="133"/>
      <w:bookmarkEnd w:id="134"/>
      <w:bookmarkEnd w:id="135"/>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17.1</w:t>
      </w:r>
      <w:r>
        <w:rPr>
          <w:rFonts w:hint="eastAsia" w:hAnsi="宋体"/>
          <w:bCs/>
          <w:color w:val="auto"/>
          <w:szCs w:val="21"/>
          <w:highlight w:val="none"/>
        </w:rPr>
        <w:t>采购代理机构将按照招标文件规定的时间通过“政采云”平台组织线上开标活动、开启投标文件，所有供应商均应当准时在线参加。</w:t>
      </w:r>
      <w:r>
        <w:rPr>
          <w:rFonts w:hint="eastAsia" w:asciiTheme="minorEastAsia" w:hAnsiTheme="minorEastAsia" w:eastAsiaTheme="minorEastAsia"/>
          <w:color w:val="auto"/>
          <w:szCs w:val="21"/>
          <w:highlight w:val="none"/>
        </w:rPr>
        <w:t>采购人将于前附表第</w:t>
      </w:r>
      <w:r>
        <w:rPr>
          <w:rFonts w:asciiTheme="minorEastAsia" w:hAnsiTheme="minorEastAsia" w:eastAsiaTheme="minorEastAsia"/>
          <w:color w:val="auto"/>
          <w:szCs w:val="21"/>
          <w:highlight w:val="none"/>
        </w:rPr>
        <w:t>17</w:t>
      </w:r>
      <w:r>
        <w:rPr>
          <w:rFonts w:hint="eastAsia" w:asciiTheme="minorEastAsia" w:hAnsiTheme="minorEastAsia" w:eastAsiaTheme="minorEastAsia"/>
          <w:color w:val="auto"/>
          <w:szCs w:val="21"/>
          <w:highlight w:val="none"/>
        </w:rPr>
        <w:t>项规定的时间和地点举行开标会议，</w:t>
      </w:r>
      <w:r>
        <w:rPr>
          <w:rFonts w:hint="eastAsia" w:hAnsi="宋体"/>
          <w:color w:val="auto"/>
          <w:highlight w:val="none"/>
        </w:rPr>
        <w:t>如</w:t>
      </w:r>
      <w:r>
        <w:rPr>
          <w:rFonts w:hint="eastAsia" w:hAnsi="宋体"/>
          <w:bCs/>
          <w:color w:val="auto"/>
          <w:highlight w:val="none"/>
        </w:rPr>
        <w:t>投标人成功解密投标文件，但未在“政采云”电子开标大厅参加开标的，视同认可开标过程和结果，</w:t>
      </w:r>
      <w:r>
        <w:rPr>
          <w:rFonts w:hint="eastAsia" w:hAnsi="宋体"/>
          <w:color w:val="auto"/>
          <w:highlight w:val="none"/>
        </w:rPr>
        <w:t xml:space="preserve">由此产生的后果由投标人自行负责。 </w:t>
      </w:r>
      <w:r>
        <w:rPr>
          <w:rFonts w:hint="eastAsia"/>
          <w:color w:val="auto"/>
          <w:highlight w:val="none"/>
        </w:rPr>
        <w:t>投标人不足3家的，不得开标</w:t>
      </w:r>
      <w:r>
        <w:rPr>
          <w:rFonts w:hint="eastAsia" w:asciiTheme="minorEastAsia" w:hAnsiTheme="minorEastAsia" w:eastAsiaTheme="minorEastAsia"/>
          <w:color w:val="auto"/>
          <w:szCs w:val="21"/>
          <w:highlight w:val="none"/>
        </w:rPr>
        <w:t>。</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17.2</w:t>
      </w:r>
      <w:r>
        <w:rPr>
          <w:rFonts w:hint="eastAsia" w:asciiTheme="minorEastAsia" w:hAnsiTheme="minorEastAsia" w:eastAsiaTheme="minorEastAsia"/>
          <w:color w:val="auto"/>
          <w:szCs w:val="21"/>
          <w:highlight w:val="none"/>
        </w:rPr>
        <w:t>开标会议程序</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17.2.1</w:t>
      </w:r>
      <w:r>
        <w:rPr>
          <w:rFonts w:hint="eastAsia" w:hAnsi="宋体"/>
          <w:b/>
          <w:color w:val="auto"/>
          <w:szCs w:val="21"/>
          <w:highlight w:val="none"/>
        </w:rPr>
        <w:t>解密电子投标文件。</w:t>
      </w:r>
      <w:r>
        <w:rPr>
          <w:rFonts w:hint="eastAsia" w:hAnsi="宋体" w:cs="仿宋_GB2312"/>
          <w:b/>
          <w:color w:val="auto"/>
          <w:szCs w:val="21"/>
          <w:highlight w:val="none"/>
        </w:rPr>
        <w:t>“</w:t>
      </w:r>
      <w:r>
        <w:rPr>
          <w:rFonts w:hint="eastAsia" w:hAnsi="宋体" w:cs="仿宋_GB2312"/>
          <w:color w:val="auto"/>
          <w:szCs w:val="21"/>
          <w:highlight w:val="none"/>
        </w:rPr>
        <w:t>政采云”平台按开标时间自动提取所有投标文件。采购代理机构依托“政采云”平台</w:t>
      </w:r>
      <w:r>
        <w:rPr>
          <w:rFonts w:hint="eastAsia" w:hAnsi="宋体"/>
          <w:color w:val="auto"/>
          <w:szCs w:val="21"/>
          <w:highlight w:val="none"/>
        </w:rPr>
        <w:t>向各投标人发出电子加密投标文件【开始解密】通知，由投标人在30分钟内完成投标文件解密，超过解密时限未解密的，视为自动放弃。投标人的法定代表人或其委托代理人</w:t>
      </w:r>
      <w:r>
        <w:rPr>
          <w:rFonts w:hint="eastAsia" w:hAnsi="宋体"/>
          <w:b/>
          <w:color w:val="auto"/>
          <w:szCs w:val="21"/>
          <w:highlight w:val="none"/>
        </w:rPr>
        <w:t>须携带加密时所用的CA锁准时登录到“政采云”平台电子开标大厅签到并对电子投标文件解密</w:t>
      </w:r>
      <w:r>
        <w:rPr>
          <w:rFonts w:hint="eastAsia" w:hAnsi="宋体"/>
          <w:color w:val="auto"/>
          <w:szCs w:val="21"/>
          <w:highlight w:val="none"/>
        </w:rPr>
        <w:t>；（开标</w:t>
      </w:r>
      <w:r>
        <w:rPr>
          <w:rFonts w:hint="eastAsia" w:hAnsi="宋体"/>
          <w:bCs/>
          <w:color w:val="auto"/>
          <w:szCs w:val="21"/>
          <w:highlight w:val="none"/>
        </w:rPr>
        <w:t>异常情况处理：详见本章</w:t>
      </w:r>
      <w:r>
        <w:rPr>
          <w:rFonts w:hAnsi="宋体"/>
          <w:color w:val="auto"/>
          <w:highlight w:val="none"/>
        </w:rPr>
        <w:t>18.4</w:t>
      </w:r>
      <w:r>
        <w:rPr>
          <w:rFonts w:hint="eastAsia" w:hAnsi="宋体"/>
          <w:color w:val="auto"/>
          <w:highlight w:val="none"/>
        </w:rPr>
        <w:t xml:space="preserve"> 电子交易活动的中止。</w:t>
      </w:r>
      <w:r>
        <w:rPr>
          <w:rFonts w:hint="eastAsia" w:hAnsi="宋体"/>
          <w:color w:val="auto"/>
          <w:szCs w:val="21"/>
          <w:highlight w:val="none"/>
        </w:rPr>
        <w:t>）</w:t>
      </w:r>
    </w:p>
    <w:p>
      <w:pPr>
        <w:spacing w:line="360" w:lineRule="auto"/>
        <w:rPr>
          <w:rFonts w:hAnsi="宋体"/>
          <w:color w:val="auto"/>
          <w:szCs w:val="21"/>
          <w:highlight w:val="none"/>
        </w:rPr>
      </w:pPr>
      <w:r>
        <w:rPr>
          <w:rFonts w:asciiTheme="minorEastAsia" w:hAnsiTheme="minorEastAsia" w:eastAsiaTheme="minorEastAsia"/>
          <w:color w:val="auto"/>
          <w:szCs w:val="21"/>
          <w:highlight w:val="none"/>
        </w:rPr>
        <w:t>17.2.2</w:t>
      </w:r>
      <w:r>
        <w:rPr>
          <w:rFonts w:hint="eastAsia" w:hAnsi="宋体"/>
          <w:b/>
          <w:color w:val="auto"/>
          <w:szCs w:val="21"/>
          <w:highlight w:val="none"/>
        </w:rPr>
        <w:t>电子唱标。</w:t>
      </w:r>
      <w:r>
        <w:rPr>
          <w:rFonts w:hint="eastAsia" w:hAnsi="宋体"/>
          <w:color w:val="auto"/>
          <w:szCs w:val="21"/>
          <w:highlight w:val="none"/>
        </w:rPr>
        <w:t>投标文件解密结束，各投标供应商报价均在“政采云”平台远程不见面开标大厅展示；</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.3</w:t>
      </w:r>
      <w:r>
        <w:rPr>
          <w:rFonts w:hint="eastAsia" w:hAnsi="宋体"/>
          <w:b/>
          <w:color w:val="auto"/>
          <w:szCs w:val="21"/>
          <w:highlight w:val="none"/>
        </w:rPr>
        <w:t>签署电子《政府采购活动现场确认声明书》。</w:t>
      </w:r>
      <w:r>
        <w:rPr>
          <w:rFonts w:hint="eastAsia" w:hAnsi="宋体"/>
          <w:color w:val="auto"/>
          <w:szCs w:val="21"/>
          <w:highlight w:val="none"/>
        </w:rPr>
        <w:t>通过邮件形式在远程不见面开标大厅发送各投标人签署电子《政府采购活动现场确认声明书》</w:t>
      </w:r>
      <w:r>
        <w:rPr>
          <w:rFonts w:hint="eastAsia" w:asciiTheme="minorEastAsia" w:hAnsiTheme="minorEastAsia" w:eastAsiaTheme="minorEastAsia"/>
          <w:color w:val="auto"/>
          <w:szCs w:val="21"/>
          <w:highlight w:val="none"/>
        </w:rPr>
        <w:t>；</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.4</w:t>
      </w:r>
      <w:r>
        <w:rPr>
          <w:rFonts w:hint="eastAsia" w:hAnsi="宋体"/>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r>
        <w:rPr>
          <w:rFonts w:hint="eastAsia" w:asciiTheme="minorEastAsia" w:hAnsiTheme="minorEastAsia" w:eastAsiaTheme="minorEastAsia"/>
          <w:color w:val="auto"/>
          <w:szCs w:val="21"/>
          <w:highlight w:val="none"/>
        </w:rPr>
        <w:t>；</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.5</w:t>
      </w:r>
      <w:r>
        <w:rPr>
          <w:rFonts w:hint="eastAsia" w:hAnsi="宋体"/>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r>
        <w:rPr>
          <w:rFonts w:hint="eastAsia" w:asciiTheme="minorEastAsia" w:hAnsiTheme="minorEastAsia" w:eastAsiaTheme="minorEastAsia"/>
          <w:color w:val="auto"/>
          <w:szCs w:val="21"/>
          <w:highlight w:val="none"/>
        </w:rPr>
        <w:t>；</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 xml:space="preserve">.6开标结束； </w:t>
      </w:r>
    </w:p>
    <w:p>
      <w:pPr>
        <w:spacing w:line="440" w:lineRule="exact"/>
        <w:rPr>
          <w:rFonts w:asciiTheme="minorEastAsia" w:hAnsiTheme="minorEastAsia" w:eastAsiaTheme="minorEastAsia"/>
          <w:color w:val="auto"/>
          <w:szCs w:val="21"/>
          <w:highlight w:val="none"/>
        </w:rPr>
      </w:pPr>
      <w:r>
        <w:rPr>
          <w:rFonts w:hint="eastAsia" w:hAnsi="宋体"/>
          <w:color w:val="auto"/>
          <w:szCs w:val="21"/>
          <w:highlight w:val="none"/>
        </w:rPr>
        <w:t>如遇“政采云”平台电子化开标或评审程序调整的，按调整后执行。</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5公开招标采购项目开标结束后，采购人依法对投标人的资格进行</w:t>
      </w:r>
      <w:r>
        <w:rPr>
          <w:rFonts w:hint="eastAsia" w:hAnsi="宋体"/>
          <w:bCs/>
          <w:color w:val="auto"/>
          <w:highlight w:val="none"/>
        </w:rPr>
        <w:t>线上</w:t>
      </w:r>
      <w:r>
        <w:rPr>
          <w:rFonts w:hint="eastAsia" w:asciiTheme="minorEastAsia" w:hAnsiTheme="minorEastAsia" w:eastAsiaTheme="minorEastAsia"/>
          <w:color w:val="auto"/>
          <w:szCs w:val="21"/>
          <w:highlight w:val="none"/>
        </w:rPr>
        <w:t>审查。资格审查合格投标人不足3家的，不进入下阶段评标。</w:t>
      </w:r>
    </w:p>
    <w:p>
      <w:pPr>
        <w:spacing w:line="440" w:lineRule="exact"/>
        <w:outlineLvl w:val="1"/>
        <w:rPr>
          <w:rFonts w:asciiTheme="minorEastAsia" w:hAnsiTheme="minorEastAsia" w:eastAsiaTheme="minorEastAsia"/>
          <w:b/>
          <w:color w:val="auto"/>
          <w:szCs w:val="21"/>
          <w:highlight w:val="none"/>
        </w:rPr>
      </w:pPr>
      <w:bookmarkStart w:id="136" w:name="_Toc114052374"/>
      <w:bookmarkStart w:id="137" w:name="_Toc295204449"/>
      <w:bookmarkStart w:id="138" w:name="_Toc78441058"/>
      <w:bookmarkStart w:id="139" w:name="_Toc114052438"/>
      <w:bookmarkStart w:id="140" w:name="_Toc114303725"/>
      <w:bookmarkStart w:id="141" w:name="_Toc21371"/>
      <w:r>
        <w:rPr>
          <w:rFonts w:asciiTheme="minorEastAsia" w:hAnsiTheme="minorEastAsia" w:eastAsiaTheme="minorEastAsia"/>
          <w:b/>
          <w:color w:val="auto"/>
          <w:szCs w:val="21"/>
          <w:highlight w:val="none"/>
        </w:rPr>
        <w:t>18.</w:t>
      </w:r>
      <w:r>
        <w:rPr>
          <w:rFonts w:hint="eastAsia" w:asciiTheme="minorEastAsia" w:hAnsiTheme="minorEastAsia" w:eastAsiaTheme="minorEastAsia"/>
          <w:b/>
          <w:color w:val="auto"/>
          <w:szCs w:val="21"/>
          <w:highlight w:val="none"/>
        </w:rPr>
        <w:t>评标机构</w:t>
      </w:r>
      <w:bookmarkEnd w:id="136"/>
      <w:bookmarkEnd w:id="137"/>
      <w:bookmarkEnd w:id="138"/>
      <w:bookmarkEnd w:id="139"/>
      <w:bookmarkEnd w:id="140"/>
      <w:bookmarkEnd w:id="141"/>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18.1</w:t>
      </w:r>
      <w:r>
        <w:rPr>
          <w:rFonts w:hint="eastAsia" w:asciiTheme="minorEastAsia" w:hAnsiTheme="minorEastAsia" w:eastAsiaTheme="minorEastAsia"/>
          <w:color w:val="auto"/>
          <w:szCs w:val="21"/>
          <w:highlight w:val="none"/>
        </w:rPr>
        <w:t>评标工作由评标委员组成的评标委员会负责。</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18.2 </w:t>
      </w:r>
      <w:r>
        <w:rPr>
          <w:rFonts w:hint="eastAsia" w:asciiTheme="minorEastAsia" w:hAnsiTheme="minorEastAsia" w:eastAsiaTheme="minorEastAsia"/>
          <w:color w:val="auto"/>
          <w:szCs w:val="21"/>
          <w:highlight w:val="none"/>
        </w:rPr>
        <w:t>评标委员会应独立、公正、公平地工作，任何单位和个人不得干预其正常工作。</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18.3 </w:t>
      </w:r>
      <w:r>
        <w:rPr>
          <w:rFonts w:hint="eastAsia" w:asciiTheme="minorEastAsia" w:hAnsiTheme="minorEastAsia" w:eastAsiaTheme="minorEastAsia"/>
          <w:color w:val="auto"/>
          <w:szCs w:val="21"/>
          <w:highlight w:val="none"/>
        </w:rPr>
        <w:t>开标、评标全过程由相关监督部门组成的监督小组进行监督。</w:t>
      </w:r>
    </w:p>
    <w:p>
      <w:pPr>
        <w:spacing w:line="360" w:lineRule="auto"/>
        <w:rPr>
          <w:rFonts w:hAnsi="宋体"/>
          <w:color w:val="auto"/>
          <w:highlight w:val="none"/>
        </w:rPr>
      </w:pPr>
      <w:r>
        <w:rPr>
          <w:rFonts w:hint="eastAsia" w:asciiTheme="minorEastAsia" w:hAnsiTheme="minorEastAsia" w:eastAsiaTheme="minorEastAsia"/>
          <w:color w:val="auto"/>
          <w:szCs w:val="21"/>
          <w:highlight w:val="none"/>
        </w:rPr>
        <w:t>18.4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）其他无法保证电子交易的公平、公正和安全的情况。</w:t>
      </w:r>
    </w:p>
    <w:p>
      <w:pPr>
        <w:spacing w:line="440" w:lineRule="exact"/>
        <w:outlineLvl w:val="1"/>
        <w:rPr>
          <w:rFonts w:asciiTheme="minorEastAsia" w:hAnsiTheme="minorEastAsia" w:eastAsiaTheme="minorEastAsia"/>
          <w:b/>
          <w:color w:val="auto"/>
          <w:szCs w:val="21"/>
          <w:highlight w:val="none"/>
        </w:rPr>
      </w:pPr>
      <w:bookmarkStart w:id="142" w:name="_Toc114052375"/>
      <w:bookmarkStart w:id="143" w:name="_Toc114303726"/>
      <w:bookmarkStart w:id="144" w:name="_Toc114052439"/>
      <w:bookmarkStart w:id="145" w:name="_Toc295204450"/>
      <w:bookmarkStart w:id="146" w:name="_Toc78441059"/>
      <w:bookmarkStart w:id="147" w:name="_Toc252"/>
      <w:r>
        <w:rPr>
          <w:rFonts w:asciiTheme="minorEastAsia" w:hAnsiTheme="minorEastAsia" w:eastAsiaTheme="minorEastAsia"/>
          <w:b/>
          <w:color w:val="auto"/>
          <w:szCs w:val="21"/>
          <w:highlight w:val="none"/>
        </w:rPr>
        <w:t>19.</w:t>
      </w:r>
      <w:r>
        <w:rPr>
          <w:rFonts w:hint="eastAsia" w:asciiTheme="minorEastAsia" w:hAnsiTheme="minorEastAsia" w:eastAsiaTheme="minorEastAsia"/>
          <w:b/>
          <w:color w:val="auto"/>
          <w:szCs w:val="21"/>
          <w:highlight w:val="none"/>
        </w:rPr>
        <w:t>评标保密</w:t>
      </w:r>
      <w:bookmarkEnd w:id="142"/>
      <w:bookmarkEnd w:id="143"/>
      <w:bookmarkEnd w:id="144"/>
      <w:bookmarkEnd w:id="145"/>
      <w:bookmarkEnd w:id="146"/>
      <w:bookmarkEnd w:id="147"/>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19.1 </w:t>
      </w:r>
      <w:r>
        <w:rPr>
          <w:rFonts w:hint="eastAsia" w:asciiTheme="minorEastAsia" w:hAnsiTheme="minorEastAsia" w:eastAsiaTheme="minorEastAsia"/>
          <w:color w:val="auto"/>
          <w:szCs w:val="21"/>
          <w:highlight w:val="none"/>
        </w:rPr>
        <w:t>评标全过程内容和对投标文件的评分结果，不得向投标人和与该过程无关的其他单位和个人泄露。</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19.2 </w:t>
      </w:r>
      <w:r>
        <w:rPr>
          <w:rFonts w:hint="eastAsia" w:asciiTheme="minorEastAsia" w:hAnsiTheme="minorEastAsia" w:eastAsiaTheme="minorEastAsia"/>
          <w:color w:val="auto"/>
          <w:szCs w:val="21"/>
          <w:highlight w:val="none"/>
        </w:rPr>
        <w:t>投标人对采购人和评标委员会施加影响的任何行为，都将被取消投标资格。</w:t>
      </w:r>
    </w:p>
    <w:p>
      <w:pPr>
        <w:spacing w:line="440" w:lineRule="exact"/>
        <w:outlineLvl w:val="1"/>
        <w:rPr>
          <w:rFonts w:asciiTheme="minorEastAsia" w:hAnsiTheme="minorEastAsia" w:eastAsiaTheme="minorEastAsia"/>
          <w:color w:val="auto"/>
          <w:szCs w:val="21"/>
          <w:highlight w:val="none"/>
        </w:rPr>
      </w:pPr>
      <w:bookmarkStart w:id="148" w:name="_Toc114303727"/>
      <w:bookmarkStart w:id="149" w:name="_Toc114052376"/>
      <w:bookmarkStart w:id="150" w:name="_Toc295204451"/>
      <w:bookmarkStart w:id="151" w:name="_Toc114052440"/>
      <w:bookmarkStart w:id="152" w:name="_Toc78441060"/>
      <w:bookmarkStart w:id="153" w:name="_Toc29609"/>
      <w:r>
        <w:rPr>
          <w:rFonts w:asciiTheme="minorEastAsia" w:hAnsiTheme="minorEastAsia" w:eastAsiaTheme="minorEastAsia"/>
          <w:b/>
          <w:color w:val="auto"/>
          <w:szCs w:val="21"/>
          <w:highlight w:val="none"/>
        </w:rPr>
        <w:t>20.</w:t>
      </w:r>
      <w:bookmarkEnd w:id="148"/>
      <w:bookmarkEnd w:id="149"/>
      <w:bookmarkEnd w:id="150"/>
      <w:bookmarkEnd w:id="151"/>
      <w:bookmarkStart w:id="154" w:name="_Toc114052377"/>
      <w:bookmarkStart w:id="155" w:name="_Toc114303728"/>
      <w:bookmarkStart w:id="156" w:name="_Toc114052441"/>
      <w:r>
        <w:rPr>
          <w:rFonts w:hint="eastAsia" w:asciiTheme="minorEastAsia" w:hAnsiTheme="minorEastAsia" w:eastAsiaTheme="minorEastAsia"/>
          <w:b/>
          <w:color w:val="auto"/>
          <w:szCs w:val="21"/>
          <w:highlight w:val="none"/>
        </w:rPr>
        <w:t>评标办法：见第六章。</w:t>
      </w:r>
      <w:bookmarkEnd w:id="152"/>
      <w:bookmarkEnd w:id="153"/>
    </w:p>
    <w:p>
      <w:pPr>
        <w:spacing w:line="440" w:lineRule="exact"/>
        <w:outlineLvl w:val="1"/>
        <w:rPr>
          <w:rFonts w:asciiTheme="minorEastAsia" w:hAnsiTheme="minorEastAsia" w:eastAsiaTheme="minorEastAsia"/>
          <w:b/>
          <w:color w:val="auto"/>
          <w:szCs w:val="21"/>
          <w:highlight w:val="none"/>
        </w:rPr>
      </w:pPr>
      <w:bookmarkStart w:id="157" w:name="_Toc78441061"/>
      <w:bookmarkStart w:id="158" w:name="_Toc295204452"/>
      <w:bookmarkStart w:id="159" w:name="_Toc27840"/>
      <w:r>
        <w:rPr>
          <w:rFonts w:asciiTheme="minorEastAsia" w:hAnsiTheme="minorEastAsia" w:eastAsiaTheme="minorEastAsia"/>
          <w:b/>
          <w:color w:val="auto"/>
          <w:szCs w:val="21"/>
          <w:highlight w:val="none"/>
        </w:rPr>
        <w:t>21.</w:t>
      </w:r>
      <w:r>
        <w:rPr>
          <w:rFonts w:hint="eastAsia" w:asciiTheme="minorEastAsia" w:hAnsiTheme="minorEastAsia" w:eastAsiaTheme="minorEastAsia"/>
          <w:b/>
          <w:color w:val="auto"/>
          <w:szCs w:val="21"/>
          <w:highlight w:val="none"/>
        </w:rPr>
        <w:t>评标结果公示</w:t>
      </w:r>
      <w:bookmarkEnd w:id="154"/>
      <w:bookmarkEnd w:id="155"/>
      <w:bookmarkEnd w:id="156"/>
      <w:bookmarkEnd w:id="157"/>
      <w:bookmarkEnd w:id="158"/>
      <w:bookmarkEnd w:id="159"/>
    </w:p>
    <w:p>
      <w:pPr>
        <w:spacing w:line="440" w:lineRule="exact"/>
        <w:rPr>
          <w:rFonts w:asciiTheme="minorEastAsia" w:hAnsiTheme="minorEastAsia" w:eastAsiaTheme="minorEastAsia"/>
          <w:color w:val="auto"/>
          <w:szCs w:val="21"/>
          <w:highlight w:val="none"/>
        </w:rPr>
      </w:pPr>
      <w:bookmarkStart w:id="160" w:name="_Toc114303730"/>
      <w:bookmarkStart w:id="161" w:name="_Toc114052379"/>
      <w:bookmarkStart w:id="162" w:name="_Toc114052443"/>
      <w:bookmarkStart w:id="163" w:name="_Toc295204454"/>
      <w:r>
        <w:rPr>
          <w:rFonts w:hint="eastAsia" w:asciiTheme="minorEastAsia" w:hAnsiTheme="minorEastAsia" w:eastAsiaTheme="minorEastAsia"/>
          <w:color w:val="auto"/>
          <w:szCs w:val="21"/>
          <w:highlight w:val="none"/>
        </w:rPr>
        <w:t>21.1</w:t>
      </w:r>
      <w:r>
        <w:rPr>
          <w:rFonts w:cs="宋体" w:asciiTheme="minorEastAsia" w:hAnsiTheme="minorEastAsia" w:eastAsiaTheme="minorEastAsia"/>
          <w:color w:val="auto"/>
          <w:spacing w:val="-4"/>
          <w:szCs w:val="21"/>
          <w:highlight w:val="none"/>
        </w:rPr>
        <w:t>自中标、成交人确定之日起2个工作日内，发出中标、成交通知书，并在省级以上人民政府财政部门指定的媒体上公告中标、成交结果，公示期为1个工作日。投标人认为中标（成交）结果使自己的权益受到损害的，可以在中标（成交）结果公告期限届满之日起七个工</w:t>
      </w:r>
      <w:r>
        <w:rPr>
          <w:rFonts w:cs="宋体" w:asciiTheme="minorEastAsia" w:hAnsiTheme="minorEastAsia" w:eastAsiaTheme="minorEastAsia"/>
          <w:color w:val="auto"/>
          <w:szCs w:val="21"/>
          <w:highlight w:val="none"/>
        </w:rPr>
        <w:t>作日内以书面</w:t>
      </w:r>
      <w:r>
        <w:rPr>
          <w:rFonts w:cs="宋体" w:asciiTheme="minorEastAsia" w:hAnsiTheme="minorEastAsia" w:eastAsiaTheme="minorEastAsia"/>
          <w:color w:val="auto"/>
          <w:spacing w:val="-4"/>
          <w:szCs w:val="21"/>
          <w:highlight w:val="none"/>
        </w:rPr>
        <w:t>形式向采购人或受托代理机构提出质疑。采购人或本采购代理机构未在规定时限内答复的，投标人或者其他利害关系人可向当地政府采购监督管理部门提出投诉。</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21.2投标人认为中标（成交）结果使自己的权益受到损害的，可以在中标（成交）结果公告期限届满之日起七个工作日内</w:t>
      </w:r>
      <w:r>
        <w:rPr>
          <w:color w:val="auto"/>
          <w:highlight w:val="none"/>
        </w:rPr>
        <w:t>通过政采云平台“质疑模块”提出质疑，质疑应符合《政府采购质疑和投诉办法》（财政部令第94号）规定。</w:t>
      </w:r>
      <w:r>
        <w:rPr>
          <w:rFonts w:hint="eastAsia" w:asciiTheme="minorEastAsia" w:hAnsiTheme="minorEastAsia" w:eastAsiaTheme="minorEastAsia"/>
          <w:color w:val="auto"/>
          <w:szCs w:val="21"/>
          <w:highlight w:val="none"/>
        </w:rPr>
        <w:t>采购代理机构应当在收到投标人的书面质疑后做出答复，但答复的内容不得涉及商业秘密。</w:t>
      </w:r>
    </w:p>
    <w:p>
      <w:pPr>
        <w:spacing w:line="440" w:lineRule="exact"/>
        <w:outlineLvl w:val="1"/>
        <w:rPr>
          <w:rFonts w:asciiTheme="minorEastAsia" w:hAnsiTheme="minorEastAsia" w:eastAsiaTheme="minorEastAsia"/>
          <w:b/>
          <w:color w:val="auto"/>
          <w:szCs w:val="21"/>
          <w:highlight w:val="none"/>
        </w:rPr>
      </w:pPr>
      <w:bookmarkStart w:id="164" w:name="_Toc78441062"/>
      <w:bookmarkStart w:id="165" w:name="_Toc1556"/>
      <w:r>
        <w:rPr>
          <w:rFonts w:asciiTheme="minorEastAsia" w:hAnsiTheme="minorEastAsia" w:eastAsiaTheme="minorEastAsia"/>
          <w:b/>
          <w:color w:val="auto"/>
          <w:szCs w:val="21"/>
          <w:highlight w:val="none"/>
        </w:rPr>
        <w:t>22.</w:t>
      </w:r>
      <w:r>
        <w:rPr>
          <w:rFonts w:hint="eastAsia" w:asciiTheme="minorEastAsia" w:hAnsiTheme="minorEastAsia" w:eastAsiaTheme="minorEastAsia"/>
          <w:b/>
          <w:color w:val="auto"/>
          <w:szCs w:val="21"/>
          <w:highlight w:val="none"/>
        </w:rPr>
        <w:t>中标通知书</w:t>
      </w:r>
      <w:bookmarkEnd w:id="160"/>
      <w:bookmarkEnd w:id="161"/>
      <w:bookmarkEnd w:id="162"/>
      <w:bookmarkEnd w:id="163"/>
      <w:bookmarkEnd w:id="164"/>
      <w:bookmarkEnd w:id="165"/>
    </w:p>
    <w:p>
      <w:pPr>
        <w:spacing w:line="440" w:lineRule="exact"/>
        <w:rPr>
          <w:rFonts w:asciiTheme="minorEastAsia" w:hAnsiTheme="minorEastAsia" w:eastAsiaTheme="minorEastAsia"/>
          <w:color w:val="auto"/>
          <w:szCs w:val="21"/>
          <w:highlight w:val="none"/>
        </w:rPr>
      </w:pPr>
      <w:bookmarkStart w:id="166" w:name="_Toc114052444"/>
      <w:bookmarkStart w:id="167" w:name="_Toc114303731"/>
      <w:bookmarkStart w:id="168" w:name="_Toc295204455"/>
      <w:bookmarkStart w:id="169" w:name="_Toc114052380"/>
      <w:r>
        <w:rPr>
          <w:rFonts w:hint="eastAsia" w:asciiTheme="minorEastAsia" w:hAnsiTheme="minorEastAsia" w:eastAsiaTheme="minorEastAsia"/>
          <w:color w:val="auto"/>
          <w:szCs w:val="21"/>
          <w:highlight w:val="none"/>
        </w:rPr>
        <w:t>22.1</w:t>
      </w:r>
      <w:r>
        <w:rPr>
          <w:rFonts w:hint="eastAsia" w:asciiTheme="minorEastAsia" w:hAnsiTheme="minorEastAsia" w:eastAsiaTheme="minorEastAsia"/>
          <w:color w:val="auto"/>
          <w:spacing w:val="-4"/>
          <w:szCs w:val="21"/>
          <w:highlight w:val="none"/>
        </w:rPr>
        <w:t>在发出中标（成交）结果公告的同时发出中标、成交通知书</w:t>
      </w:r>
      <w:r>
        <w:rPr>
          <w:rFonts w:hint="eastAsia" w:asciiTheme="minorEastAsia" w:hAnsiTheme="minorEastAsia" w:eastAsiaTheme="minorEastAsia"/>
          <w:color w:val="auto"/>
          <w:szCs w:val="21"/>
          <w:highlight w:val="none"/>
        </w:rPr>
        <w:t>。</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22.2 中标通知书为合同的重要组成部分。</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22.3 采购代理机构应及时将未中标的结果通知其他投标人。</w:t>
      </w:r>
    </w:p>
    <w:p>
      <w:pPr>
        <w:spacing w:line="440" w:lineRule="exact"/>
        <w:outlineLvl w:val="1"/>
        <w:rPr>
          <w:rFonts w:asciiTheme="minorEastAsia" w:hAnsiTheme="minorEastAsia" w:eastAsiaTheme="minorEastAsia"/>
          <w:b/>
          <w:color w:val="auto"/>
          <w:szCs w:val="21"/>
          <w:highlight w:val="none"/>
        </w:rPr>
      </w:pPr>
      <w:bookmarkStart w:id="170" w:name="_Toc78441063"/>
      <w:bookmarkStart w:id="171" w:name="_Toc1151"/>
      <w:r>
        <w:rPr>
          <w:rFonts w:asciiTheme="minorEastAsia" w:hAnsiTheme="minorEastAsia" w:eastAsiaTheme="minorEastAsia"/>
          <w:b/>
          <w:color w:val="auto"/>
          <w:szCs w:val="21"/>
          <w:highlight w:val="none"/>
        </w:rPr>
        <w:t>23.</w:t>
      </w:r>
      <w:r>
        <w:rPr>
          <w:rFonts w:hint="eastAsia" w:asciiTheme="minorEastAsia" w:hAnsiTheme="minorEastAsia" w:eastAsiaTheme="minorEastAsia"/>
          <w:b/>
          <w:color w:val="auto"/>
          <w:szCs w:val="21"/>
          <w:highlight w:val="none"/>
        </w:rPr>
        <w:t>合同协议书的签署</w:t>
      </w:r>
      <w:bookmarkEnd w:id="166"/>
      <w:bookmarkEnd w:id="167"/>
      <w:bookmarkEnd w:id="168"/>
      <w:bookmarkEnd w:id="169"/>
      <w:bookmarkEnd w:id="170"/>
      <w:bookmarkEnd w:id="171"/>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23.1 </w:t>
      </w:r>
      <w:r>
        <w:rPr>
          <w:rFonts w:hint="eastAsia" w:asciiTheme="minorEastAsia" w:hAnsiTheme="minorEastAsia" w:eastAsiaTheme="minorEastAsia"/>
          <w:color w:val="auto"/>
          <w:szCs w:val="21"/>
          <w:highlight w:val="none"/>
        </w:rPr>
        <w:t>中标的投标人应在中标通知书发出起10日内（最长不超过15日内），由法定代表人或其授权委托代理人到采购人所在地签订合同。</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23.2 中标人若因自己的原因不能履约签订合同，采购人将取消其中标资格。</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23.3 中标人被取消其中标资格后，采购人可以与第二中标候选人签订合同。</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23.4 合同备案应提供以下资料：</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23.4.1合同；</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23.4.2中标通知书；</w:t>
      </w:r>
    </w:p>
    <w:p>
      <w:pPr>
        <w:spacing w:line="440" w:lineRule="exact"/>
        <w:outlineLvl w:val="1"/>
        <w:rPr>
          <w:rFonts w:asciiTheme="minorEastAsia" w:hAnsiTheme="minorEastAsia" w:eastAsiaTheme="minorEastAsia"/>
          <w:b/>
          <w:color w:val="auto"/>
          <w:szCs w:val="21"/>
          <w:highlight w:val="none"/>
        </w:rPr>
      </w:pPr>
      <w:bookmarkStart w:id="172" w:name="_Toc78441064"/>
      <w:bookmarkStart w:id="173" w:name="_Toc24951"/>
      <w:r>
        <w:rPr>
          <w:rFonts w:asciiTheme="minorEastAsia" w:hAnsiTheme="minorEastAsia" w:eastAsiaTheme="minorEastAsia"/>
          <w:b/>
          <w:color w:val="auto"/>
          <w:szCs w:val="21"/>
          <w:highlight w:val="none"/>
        </w:rPr>
        <w:t>24.</w:t>
      </w:r>
      <w:r>
        <w:rPr>
          <w:rFonts w:hint="eastAsia" w:asciiTheme="minorEastAsia" w:hAnsiTheme="minorEastAsia" w:eastAsiaTheme="minorEastAsia"/>
          <w:b/>
          <w:color w:val="auto"/>
          <w:szCs w:val="21"/>
          <w:highlight w:val="none"/>
        </w:rPr>
        <w:t>履约担保</w:t>
      </w:r>
      <w:bookmarkEnd w:id="172"/>
      <w:bookmarkEnd w:id="173"/>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24.1</w:t>
      </w:r>
      <w:r>
        <w:rPr>
          <w:rFonts w:hint="eastAsia" w:asciiTheme="minorEastAsia" w:hAnsiTheme="minorEastAsia" w:eastAsiaTheme="minorEastAsia"/>
          <w:color w:val="auto"/>
          <w:szCs w:val="21"/>
          <w:highlight w:val="none"/>
        </w:rPr>
        <w:t>在签订合同前，中标人应按投标人须知前附表第</w:t>
      </w:r>
      <w:r>
        <w:rPr>
          <w:rFonts w:asciiTheme="minorEastAsia" w:hAnsiTheme="minorEastAsia" w:eastAsiaTheme="minorEastAsia"/>
          <w:color w:val="auto"/>
          <w:szCs w:val="21"/>
          <w:highlight w:val="none"/>
        </w:rPr>
        <w:t>21</w:t>
      </w:r>
      <w:r>
        <w:rPr>
          <w:rFonts w:hint="eastAsia" w:asciiTheme="minorEastAsia" w:hAnsiTheme="minorEastAsia" w:eastAsiaTheme="minorEastAsia"/>
          <w:color w:val="auto"/>
          <w:szCs w:val="21"/>
          <w:highlight w:val="none"/>
        </w:rPr>
        <w:t>项规定的金额、形式向指定账户提交履约担保。</w:t>
      </w:r>
      <w:r>
        <w:rPr>
          <w:rFonts w:asciiTheme="minorEastAsia" w:hAnsiTheme="minorEastAsia" w:eastAsiaTheme="minorEastAsia"/>
          <w:color w:val="auto"/>
          <w:szCs w:val="21"/>
          <w:highlight w:val="none"/>
        </w:rPr>
        <w:t xml:space="preserve"> </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24.2</w:t>
      </w:r>
      <w:r>
        <w:rPr>
          <w:rFonts w:hint="eastAsia" w:asciiTheme="minorEastAsia" w:hAnsiTheme="minorEastAsia" w:eastAsiaTheme="minorEastAsia"/>
          <w:color w:val="auto"/>
          <w:szCs w:val="21"/>
          <w:highlight w:val="none"/>
        </w:rPr>
        <w:t>中标人不能按本章第</w:t>
      </w:r>
      <w:r>
        <w:rPr>
          <w:rFonts w:asciiTheme="minorEastAsia" w:hAnsiTheme="minorEastAsia" w:eastAsiaTheme="minorEastAsia"/>
          <w:color w:val="auto"/>
          <w:szCs w:val="21"/>
          <w:highlight w:val="none"/>
        </w:rPr>
        <w:t>24</w:t>
      </w:r>
      <w:r>
        <w:rPr>
          <w:rFonts w:hint="eastAsia" w:asciiTheme="minorEastAsia" w:hAnsiTheme="minorEastAsia" w:eastAsiaTheme="minorEastAsia"/>
          <w:color w:val="auto"/>
          <w:szCs w:val="21"/>
          <w:highlight w:val="none"/>
        </w:rPr>
        <w:t>项要求提交履约担保的，视为放弃中标，其投标保证金不予退还，给采购人造成的损失超过投标保证金数额的，中标人还应当对超过部分予以赔偿。</w:t>
      </w:r>
    </w:p>
    <w:p>
      <w:pPr>
        <w:spacing w:line="440" w:lineRule="exact"/>
        <w:outlineLvl w:val="1"/>
        <w:rPr>
          <w:rFonts w:asciiTheme="minorEastAsia" w:hAnsiTheme="minorEastAsia" w:eastAsiaTheme="minorEastAsia"/>
          <w:b/>
          <w:color w:val="auto"/>
          <w:szCs w:val="21"/>
          <w:highlight w:val="none"/>
        </w:rPr>
      </w:pPr>
      <w:bookmarkStart w:id="174" w:name="_Toc78441065"/>
      <w:bookmarkStart w:id="175" w:name="_Toc23440"/>
      <w:r>
        <w:rPr>
          <w:rFonts w:asciiTheme="minorEastAsia" w:hAnsiTheme="minorEastAsia" w:eastAsiaTheme="minorEastAsia"/>
          <w:b/>
          <w:color w:val="auto"/>
          <w:szCs w:val="21"/>
          <w:highlight w:val="none"/>
        </w:rPr>
        <w:t>25.</w:t>
      </w:r>
      <w:r>
        <w:rPr>
          <w:rFonts w:hint="eastAsia" w:asciiTheme="minorEastAsia" w:hAnsiTheme="minorEastAsia" w:eastAsiaTheme="minorEastAsia"/>
          <w:b/>
          <w:color w:val="auto"/>
          <w:szCs w:val="21"/>
          <w:highlight w:val="none"/>
        </w:rPr>
        <w:t>其他</w:t>
      </w:r>
      <w:bookmarkEnd w:id="174"/>
      <w:bookmarkEnd w:id="175"/>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25.1质疑</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25.1.1投标人认为招标文件、招标过程和中标（成交）结果使自己的权益受到损害的，可以在知道或应该知道其权益受到损害之日起七个工作日内</w:t>
      </w:r>
      <w:r>
        <w:rPr>
          <w:rFonts w:hint="eastAsia" w:asciiTheme="minorEastAsia" w:hAnsiTheme="minorEastAsia" w:eastAsiaTheme="minorEastAsia"/>
          <w:bCs/>
          <w:color w:val="auto"/>
          <w:szCs w:val="21"/>
          <w:highlight w:val="none"/>
        </w:rPr>
        <w:t>一次性提出针对同一采购程序环节的质疑。重复提交的不再受理</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Cs/>
          <w:color w:val="auto"/>
          <w:szCs w:val="21"/>
          <w:highlight w:val="none"/>
        </w:rPr>
        <w:t>提出质疑的投标人应当是参与所质疑项目采购活动的投标人。投标人提出质疑应当</w:t>
      </w:r>
      <w:r>
        <w:rPr>
          <w:color w:val="auto"/>
          <w:highlight w:val="none"/>
        </w:rPr>
        <w:t>通过政采云平台“质疑模块”提出质疑，质疑应符合《政府采购质疑和投诉办法》（财政部令第94号）规定。</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25.1.2采购代理机构应当就采购人委托范围内的事项在收到投标人的书面质疑后七个工作日内做出答复，但答复的内容不得涉及商业秘密。</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25.2投诉及投诉的书面要求</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25.2.1质疑</w:t>
      </w:r>
      <w:r>
        <w:rPr>
          <w:rFonts w:asciiTheme="minorEastAsia" w:hAnsiTheme="minorEastAsia" w:eastAsiaTheme="minorEastAsia"/>
          <w:color w:val="auto"/>
          <w:szCs w:val="21"/>
          <w:highlight w:val="none"/>
        </w:rPr>
        <w:t>投标人对采购人、采购代理机构的答复不满意，或者采购人、采购代理机构</w:t>
      </w:r>
      <w:r>
        <w:rPr>
          <w:rFonts w:hint="eastAsia" w:asciiTheme="minorEastAsia" w:hAnsiTheme="minorEastAsia" w:eastAsiaTheme="minorEastAsia"/>
          <w:color w:val="auto"/>
          <w:szCs w:val="21"/>
          <w:highlight w:val="none"/>
        </w:rPr>
        <w:t>未</w:t>
      </w:r>
      <w:r>
        <w:rPr>
          <w:rFonts w:asciiTheme="minorEastAsia" w:hAnsiTheme="minorEastAsia" w:eastAsiaTheme="minorEastAsia"/>
          <w:color w:val="auto"/>
          <w:szCs w:val="21"/>
          <w:highlight w:val="none"/>
        </w:rPr>
        <w:t>在</w:t>
      </w:r>
      <w:r>
        <w:rPr>
          <w:rFonts w:hint="eastAsia" w:asciiTheme="minorEastAsia" w:hAnsiTheme="minorEastAsia" w:eastAsiaTheme="minorEastAsia"/>
          <w:color w:val="auto"/>
          <w:szCs w:val="21"/>
          <w:highlight w:val="none"/>
        </w:rPr>
        <w:t>规定</w:t>
      </w:r>
      <w:r>
        <w:rPr>
          <w:rFonts w:asciiTheme="minorEastAsia" w:hAnsiTheme="minorEastAsia" w:eastAsiaTheme="minorEastAsia"/>
          <w:color w:val="auto"/>
          <w:szCs w:val="21"/>
          <w:highlight w:val="none"/>
        </w:rPr>
        <w:t>时间内</w:t>
      </w:r>
      <w:r>
        <w:rPr>
          <w:rFonts w:hint="eastAsia" w:asciiTheme="minorEastAsia" w:hAnsiTheme="minorEastAsia" w:eastAsiaTheme="minorEastAsia"/>
          <w:color w:val="auto"/>
          <w:szCs w:val="21"/>
          <w:highlight w:val="none"/>
        </w:rPr>
        <w:t>作出</w:t>
      </w:r>
      <w:r>
        <w:rPr>
          <w:rFonts w:asciiTheme="minorEastAsia" w:hAnsiTheme="minorEastAsia" w:eastAsiaTheme="minorEastAsia"/>
          <w:color w:val="auto"/>
          <w:szCs w:val="21"/>
          <w:highlight w:val="none"/>
        </w:rPr>
        <w:t>答复的，可以在答复期满后</w:t>
      </w:r>
      <w:r>
        <w:rPr>
          <w:rFonts w:hint="eastAsia" w:asciiTheme="minorEastAsia" w:hAnsiTheme="minorEastAsia" w:eastAsiaTheme="minorEastAsia"/>
          <w:color w:val="auto"/>
          <w:szCs w:val="21"/>
          <w:highlight w:val="none"/>
        </w:rPr>
        <w:t>15个</w:t>
      </w:r>
      <w:r>
        <w:rPr>
          <w:rFonts w:asciiTheme="minorEastAsia" w:hAnsiTheme="minorEastAsia" w:eastAsiaTheme="minorEastAsia"/>
          <w:color w:val="auto"/>
          <w:szCs w:val="21"/>
          <w:highlight w:val="none"/>
        </w:rPr>
        <w:t>工作日</w:t>
      </w:r>
      <w:r>
        <w:rPr>
          <w:rFonts w:hint="eastAsia" w:asciiTheme="minorEastAsia" w:hAnsiTheme="minorEastAsia" w:eastAsiaTheme="minorEastAsia"/>
          <w:color w:val="auto"/>
          <w:szCs w:val="21"/>
          <w:highlight w:val="none"/>
        </w:rPr>
        <w:t>内向项目同级政府采购管理办公室提出书面投诉。投诉事项应先提出质疑，没有提出质疑的，不予受理。</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25.2.2监督管理部门在处理投诉事项期间，可以视具体情况书面通知采购代理机构、采购人暂停采购活动。</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25.2.3投诉或</w:t>
      </w:r>
      <w:r>
        <w:rPr>
          <w:rFonts w:asciiTheme="minorEastAsia" w:hAnsiTheme="minorEastAsia" w:eastAsiaTheme="minorEastAsia"/>
          <w:color w:val="auto"/>
          <w:szCs w:val="21"/>
          <w:highlight w:val="none"/>
        </w:rPr>
        <w:t>质疑</w:t>
      </w:r>
      <w:r>
        <w:rPr>
          <w:rFonts w:hint="eastAsia" w:asciiTheme="minorEastAsia" w:hAnsiTheme="minorEastAsia" w:eastAsiaTheme="minorEastAsia"/>
          <w:color w:val="auto"/>
          <w:szCs w:val="21"/>
          <w:highlight w:val="none"/>
        </w:rPr>
        <w:t>的书面要求：</w:t>
      </w:r>
    </w:p>
    <w:p>
      <w:pPr>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供应商提出</w:t>
      </w:r>
      <w:r>
        <w:rPr>
          <w:rFonts w:asciiTheme="minorEastAsia" w:hAnsiTheme="minorEastAsia" w:eastAsiaTheme="minorEastAsia"/>
          <w:color w:val="auto"/>
          <w:szCs w:val="21"/>
          <w:highlight w:val="none"/>
        </w:rPr>
        <w:t>质疑</w:t>
      </w:r>
      <w:r>
        <w:rPr>
          <w:rFonts w:hint="eastAsia" w:asciiTheme="minorEastAsia" w:hAnsiTheme="minorEastAsia" w:eastAsiaTheme="minorEastAsia"/>
          <w:color w:val="auto"/>
          <w:szCs w:val="21"/>
          <w:highlight w:val="none"/>
        </w:rPr>
        <w:t>提供的书面材料（如材料中有外文资料应同时附上中文译本）应当包括以下内容：</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（1）供应商的姓名或名称、地址、邮编、联系人及联系电话；</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（2）质疑项目的名称、编号；</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（3）具体、明确的质疑事项与质疑事项相关的请求；</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（4）事实依据；</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（5）必要的法律依据；</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（6）提出质疑的日期。</w:t>
      </w:r>
    </w:p>
    <w:p>
      <w:pPr>
        <w:spacing w:line="440" w:lineRule="exact"/>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质疑人提供的书面材料（如材料中有外文资料应同时附上中文译本）应当包括以下内容：</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（1）投诉人</w:t>
      </w:r>
      <w:r>
        <w:rPr>
          <w:rFonts w:asciiTheme="minorEastAsia" w:hAnsiTheme="minorEastAsia" w:eastAsiaTheme="minorEastAsia"/>
          <w:color w:val="auto"/>
          <w:szCs w:val="21"/>
          <w:highlight w:val="none"/>
        </w:rPr>
        <w:t>和被投诉人</w:t>
      </w:r>
      <w:r>
        <w:rPr>
          <w:rFonts w:hint="eastAsia" w:asciiTheme="minorEastAsia" w:hAnsiTheme="minorEastAsia" w:eastAsiaTheme="minorEastAsia"/>
          <w:color w:val="auto"/>
          <w:szCs w:val="21"/>
          <w:highlight w:val="none"/>
        </w:rPr>
        <w:t>的姓名或名称、通讯地址、邮编、联系人及联系电话；</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（2）质疑和</w:t>
      </w:r>
      <w:r>
        <w:rPr>
          <w:rFonts w:asciiTheme="minorEastAsia" w:hAnsiTheme="minorEastAsia" w:eastAsiaTheme="minorEastAsia"/>
          <w:color w:val="auto"/>
          <w:szCs w:val="21"/>
          <w:highlight w:val="none"/>
        </w:rPr>
        <w:t>质疑答复情况说明及相关证明材料</w:t>
      </w:r>
      <w:r>
        <w:rPr>
          <w:rFonts w:hint="eastAsia" w:asciiTheme="minorEastAsia" w:hAnsiTheme="minorEastAsia" w:eastAsiaTheme="minorEastAsia"/>
          <w:color w:val="auto"/>
          <w:szCs w:val="21"/>
          <w:highlight w:val="none"/>
        </w:rPr>
        <w:t>；</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（3）具体、明确的投诉事项与投诉事项相关的投诉请求；</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（4）事实依据；</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（5）必要的法律依据；</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（6）提出投诉的日期。</w:t>
      </w:r>
    </w:p>
    <w:p>
      <w:pPr>
        <w:spacing w:line="440" w:lineRule="exact"/>
        <w:ind w:firstLine="525"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投标人为自然人的，应当由本人签字，投标人为法人或者其他组织的，应当由法定代表人、主要负责人，或者其授权代表签字或者盖章，并加盖公章。</w:t>
      </w:r>
    </w:p>
    <w:p>
      <w:pPr>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如不按以上规定质疑或投诉的，视为无效投诉，不予受理。</w:t>
      </w:r>
    </w:p>
    <w:p>
      <w:pPr>
        <w:spacing w:line="440" w:lineRule="exact"/>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质疑联系部门：</w:t>
      </w:r>
      <w:r>
        <w:rPr>
          <w:rFonts w:hint="eastAsia" w:asciiTheme="minorEastAsia" w:hAnsiTheme="minorEastAsia" w:eastAsiaTheme="minorEastAsia"/>
          <w:color w:val="auto"/>
          <w:szCs w:val="21"/>
          <w:highlight w:val="none"/>
        </w:rPr>
        <w:t>广西华禹工程咨询有限公司</w:t>
      </w:r>
      <w:r>
        <w:rPr>
          <w:rFonts w:hint="eastAsia" w:asciiTheme="minorEastAsia" w:hAnsiTheme="minorEastAsia" w:eastAsiaTheme="minorEastAsia"/>
          <w:bCs/>
          <w:color w:val="auto"/>
          <w:szCs w:val="21"/>
          <w:highlight w:val="none"/>
        </w:rPr>
        <w:t>（贺州分公司）</w:t>
      </w:r>
    </w:p>
    <w:p>
      <w:pPr>
        <w:spacing w:line="440" w:lineRule="exact"/>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 xml:space="preserve">质疑联系人：莫玉萍    联系电话：0774-5669983            </w:t>
      </w:r>
    </w:p>
    <w:p>
      <w:pPr>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通讯地址：贺州市八步区太原街37号</w:t>
      </w:r>
    </w:p>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25.3</w:t>
      </w:r>
      <w:r>
        <w:rPr>
          <w:rFonts w:hint="eastAsia" w:asciiTheme="minorEastAsia" w:hAnsiTheme="minorEastAsia" w:eastAsiaTheme="minorEastAsia"/>
          <w:color w:val="auto"/>
          <w:szCs w:val="21"/>
          <w:highlight w:val="none"/>
        </w:rPr>
        <w:t>解释权</w:t>
      </w:r>
    </w:p>
    <w:p>
      <w:pPr>
        <w:spacing w:line="440" w:lineRule="exact"/>
        <w:rPr>
          <w:rFonts w:hAnsi="宋体"/>
          <w:color w:val="auto"/>
          <w:szCs w:val="21"/>
          <w:highlight w:val="none"/>
        </w:rPr>
      </w:pPr>
      <w:r>
        <w:rPr>
          <w:rFonts w:hint="eastAsia" w:asciiTheme="minorEastAsia" w:hAnsiTheme="minorEastAsia" w:eastAsiaTheme="minorEastAsia"/>
          <w:color w:val="auto"/>
          <w:szCs w:val="21"/>
          <w:highlight w:val="none"/>
        </w:rPr>
        <w:t>本招标文件是根据国家有关规定和参照国际惯例编制，解释权属本采购人。</w:t>
      </w:r>
    </w:p>
    <w:p>
      <w:pPr>
        <w:spacing w:before="165" w:beforeLines="50"/>
        <w:jc w:val="center"/>
        <w:rPr>
          <w:rFonts w:hAnsi="宋体"/>
          <w:b/>
          <w:color w:val="auto"/>
          <w:sz w:val="28"/>
          <w:szCs w:val="28"/>
          <w:highlight w:val="none"/>
        </w:rPr>
      </w:pPr>
      <w:r>
        <w:rPr>
          <w:color w:val="auto"/>
          <w:szCs w:val="21"/>
          <w:highlight w:val="none"/>
        </w:rPr>
        <w:br w:type="page"/>
      </w:r>
      <w:bookmarkStart w:id="176" w:name="_Toc78441066"/>
      <w:r>
        <w:rPr>
          <w:rFonts w:ascii="黑体" w:eastAsia="黑体"/>
          <w:b/>
          <w:color w:val="auto"/>
          <w:sz w:val="28"/>
          <w:szCs w:val="28"/>
          <w:highlight w:val="none"/>
        </w:rPr>
        <w:t xml:space="preserve"> </w:t>
      </w:r>
      <w:r>
        <w:rPr>
          <w:rFonts w:hint="eastAsia" w:ascii="黑体" w:eastAsia="黑体"/>
          <w:b/>
          <w:color w:val="auto"/>
          <w:sz w:val="28"/>
          <w:szCs w:val="28"/>
          <w:highlight w:val="none"/>
        </w:rPr>
        <w:t>第三章  项目需求和说明</w:t>
      </w:r>
      <w:bookmarkEnd w:id="176"/>
    </w:p>
    <w:p>
      <w:pPr>
        <w:rPr>
          <w:rFonts w:hAnsi="宋体" w:cs="仿宋"/>
          <w:color w:val="auto"/>
          <w:szCs w:val="21"/>
          <w:highlight w:val="none"/>
        </w:rPr>
      </w:pPr>
      <w:r>
        <w:rPr>
          <w:rFonts w:hint="eastAsia" w:hAnsi="宋体" w:cs="仿宋"/>
          <w:color w:val="auto"/>
          <w:szCs w:val="21"/>
          <w:highlight w:val="none"/>
        </w:rPr>
        <w:t>说明：</w:t>
      </w:r>
    </w:p>
    <w:p>
      <w:pPr>
        <w:ind w:firstLine="315" w:firstLineChars="150"/>
        <w:rPr>
          <w:color w:val="auto"/>
          <w:szCs w:val="21"/>
          <w:highlight w:val="none"/>
        </w:rPr>
      </w:pPr>
      <w:r>
        <w:rPr>
          <w:rFonts w:hint="eastAsia"/>
          <w:color w:val="auto"/>
          <w:szCs w:val="21"/>
          <w:highlight w:val="none"/>
        </w:rPr>
        <w:t>一、</w:t>
      </w:r>
      <w:r>
        <w:rPr>
          <w:color w:val="auto"/>
          <w:szCs w:val="21"/>
          <w:highlight w:val="none"/>
        </w:rPr>
        <w:t>采购人需求书中打“★”号条款为实质性条款，投标人如有任何一条不响应</w:t>
      </w:r>
      <w:r>
        <w:rPr>
          <w:rFonts w:hint="eastAsia"/>
          <w:color w:val="auto"/>
          <w:szCs w:val="21"/>
          <w:highlight w:val="none"/>
        </w:rPr>
        <w:t>或负偏离</w:t>
      </w:r>
      <w:r>
        <w:rPr>
          <w:color w:val="auto"/>
          <w:szCs w:val="21"/>
          <w:highlight w:val="none"/>
        </w:rPr>
        <w:t>则导致投标无效。</w:t>
      </w:r>
    </w:p>
    <w:p>
      <w:pPr>
        <w:ind w:firstLine="315" w:firstLineChars="150"/>
        <w:rPr>
          <w:color w:val="auto"/>
          <w:szCs w:val="21"/>
          <w:highlight w:val="none"/>
        </w:rPr>
      </w:pPr>
      <w:r>
        <w:rPr>
          <w:rFonts w:hint="eastAsia"/>
          <w:color w:val="auto"/>
          <w:szCs w:val="21"/>
          <w:highlight w:val="none"/>
        </w:rPr>
        <w:t>二、</w:t>
      </w:r>
      <w:r>
        <w:rPr>
          <w:color w:val="auto"/>
          <w:szCs w:val="21"/>
          <w:highlight w:val="none"/>
        </w:rPr>
        <w:t>采购人需求中打“▲”号条款为重要服务（技术）参数，但不作为无效投标条款。</w:t>
      </w:r>
    </w:p>
    <w:p>
      <w:pPr>
        <w:ind w:firstLine="315" w:firstLineChars="150"/>
        <w:rPr>
          <w:color w:val="auto"/>
          <w:szCs w:val="21"/>
          <w:highlight w:val="none"/>
        </w:rPr>
      </w:pPr>
      <w:r>
        <w:rPr>
          <w:rFonts w:hint="eastAsia"/>
          <w:color w:val="auto"/>
          <w:szCs w:val="21"/>
          <w:highlight w:val="none"/>
        </w:rPr>
        <w:t>三、</w:t>
      </w:r>
      <w:r>
        <w:rPr>
          <w:color w:val="auto"/>
          <w:szCs w:val="21"/>
          <w:highlight w:val="none"/>
        </w:rPr>
        <w:t>采购人需求中打“◆”号的内容为本项目采购的核心产品，投标人应在报价明细表中清晰列明“标的品牌、名称、型号、数量、单价等具体信息”。</w:t>
      </w:r>
    </w:p>
    <w:p>
      <w:pPr>
        <w:ind w:firstLine="315" w:firstLineChars="150"/>
        <w:rPr>
          <w:color w:val="auto"/>
          <w:szCs w:val="21"/>
          <w:highlight w:val="none"/>
        </w:rPr>
      </w:pPr>
      <w:r>
        <w:rPr>
          <w:rFonts w:hint="eastAsia"/>
          <w:color w:val="auto"/>
          <w:szCs w:val="21"/>
          <w:highlight w:val="none"/>
        </w:rPr>
        <w:t>四、</w:t>
      </w:r>
      <w:r>
        <w:rPr>
          <w:color w:val="auto"/>
          <w:szCs w:val="21"/>
          <w:highlight w:val="none"/>
        </w:rPr>
        <w:t>投标人须对本项目进行整体投标，不允许只对其中一部分内容进行选择性投标，否则被视为无效投标。</w:t>
      </w:r>
    </w:p>
    <w:p>
      <w:pPr>
        <w:snapToGrid w:val="0"/>
        <w:spacing w:line="380" w:lineRule="exact"/>
        <w:ind w:firstLine="315" w:firstLineChars="150"/>
        <w:rPr>
          <w:rFonts w:hAnsi="宋体" w:cs="仿宋"/>
          <w:color w:val="auto"/>
          <w:szCs w:val="21"/>
          <w:highlight w:val="none"/>
        </w:rPr>
      </w:pPr>
      <w:r>
        <w:rPr>
          <w:rFonts w:hint="eastAsia" w:hAnsi="宋体" w:cs="仿宋"/>
          <w:color w:val="auto"/>
          <w:szCs w:val="21"/>
          <w:highlight w:val="none"/>
        </w:rPr>
        <w:t>五、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snapToGrid w:val="0"/>
        <w:spacing w:line="380" w:lineRule="exact"/>
        <w:ind w:firstLine="420" w:firstLineChars="200"/>
        <w:rPr>
          <w:rFonts w:hAnsi="宋体" w:cs="仿宋"/>
          <w:b/>
          <w:color w:val="auto"/>
          <w:szCs w:val="21"/>
          <w:highlight w:val="none"/>
        </w:rPr>
      </w:pPr>
      <w:r>
        <w:rPr>
          <w:rFonts w:hint="eastAsia" w:hAnsi="宋体" w:cs="仿宋"/>
          <w:color w:val="auto"/>
          <w:szCs w:val="21"/>
          <w:highlight w:val="none"/>
        </w:rPr>
        <w:t>六、节能清单中的</w:t>
      </w:r>
      <w:r>
        <w:rPr>
          <w:rFonts w:hint="eastAsia" w:hAnsi="宋体" w:cs="仿宋"/>
          <w:b/>
          <w:color w:val="auto"/>
          <w:szCs w:val="21"/>
          <w:highlight w:val="none"/>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w:t>
      </w:r>
      <w:r>
        <w:rPr>
          <w:rFonts w:hint="eastAsia" w:hAnsi="宋体" w:cs="仿宋"/>
          <w:color w:val="auto"/>
          <w:szCs w:val="21"/>
          <w:highlight w:val="none"/>
        </w:rPr>
        <w:t>等品目为政府强制采购的节能产品。若采购货物含有此类产品时，投标人的投标货物必须使用政府强制采购的节能产品，投标人在投标文件中必须提供所投产品属于现行政府强制采购节能产品的证明材料（加盖投标人公章），否则相应投标无效。</w:t>
      </w:r>
      <w:r>
        <w:rPr>
          <w:rFonts w:hint="eastAsia" w:hAnsi="宋体" w:cs="仿宋"/>
          <w:b/>
          <w:color w:val="auto"/>
          <w:szCs w:val="21"/>
          <w:highlight w:val="none"/>
        </w:rPr>
        <w:t>（证明材料可以是①</w:t>
      </w:r>
      <w:r>
        <w:rPr>
          <w:rFonts w:hAnsi="宋体" w:cs="仿宋"/>
          <w:b/>
          <w:color w:val="auto"/>
          <w:szCs w:val="21"/>
          <w:highlight w:val="none"/>
        </w:rPr>
        <w:t>“</w:t>
      </w:r>
      <w:r>
        <w:rPr>
          <w:rFonts w:hint="eastAsia" w:hAnsi="宋体" w:cs="仿宋"/>
          <w:b/>
          <w:color w:val="auto"/>
          <w:szCs w:val="21"/>
          <w:highlight w:val="none"/>
        </w:rPr>
        <w:t>中国政府采购网</w:t>
      </w:r>
      <w:r>
        <w:rPr>
          <w:rFonts w:hAnsi="宋体" w:cs="仿宋"/>
          <w:b/>
          <w:color w:val="auto"/>
          <w:szCs w:val="21"/>
          <w:highlight w:val="none"/>
        </w:rPr>
        <w:t>”</w:t>
      </w:r>
      <w:r>
        <w:rPr>
          <w:rFonts w:hint="eastAsia" w:hAnsi="宋体" w:cs="仿宋"/>
          <w:b/>
          <w:color w:val="auto"/>
          <w:szCs w:val="21"/>
          <w:highlight w:val="none"/>
        </w:rPr>
        <w:t>节能（节水）产品查询结果界面</w:t>
      </w:r>
      <w:r>
        <w:rPr>
          <w:rFonts w:hAnsi="宋体" w:cs="仿宋"/>
          <w:b/>
          <w:color w:val="auto"/>
          <w:szCs w:val="21"/>
          <w:highlight w:val="none"/>
        </w:rPr>
        <w:t>截图</w:t>
      </w:r>
      <w:r>
        <w:rPr>
          <w:rFonts w:hint="eastAsia" w:hAnsi="宋体" w:cs="仿宋"/>
          <w:b/>
          <w:color w:val="auto"/>
          <w:szCs w:val="21"/>
          <w:highlight w:val="none"/>
        </w:rPr>
        <w:t>，截图上应清晰</w:t>
      </w:r>
      <w:r>
        <w:rPr>
          <w:rFonts w:hAnsi="宋体" w:cs="仿宋"/>
          <w:b/>
          <w:color w:val="auto"/>
          <w:szCs w:val="21"/>
          <w:highlight w:val="none"/>
        </w:rPr>
        <w:t>体现</w:t>
      </w:r>
      <w:r>
        <w:rPr>
          <w:rFonts w:hint="eastAsia" w:hAnsi="宋体" w:cs="仿宋"/>
          <w:b/>
          <w:color w:val="auto"/>
          <w:szCs w:val="21"/>
          <w:highlight w:val="none"/>
        </w:rPr>
        <w:t>与</w:t>
      </w:r>
      <w:r>
        <w:rPr>
          <w:rFonts w:hAnsi="宋体" w:cs="仿宋"/>
          <w:b/>
          <w:color w:val="auto"/>
          <w:szCs w:val="21"/>
          <w:highlight w:val="none"/>
        </w:rPr>
        <w:t>本公</w:t>
      </w:r>
      <w:r>
        <w:rPr>
          <w:rFonts w:hint="eastAsia" w:hAnsi="宋体" w:cs="仿宋"/>
          <w:b/>
          <w:color w:val="auto"/>
          <w:szCs w:val="21"/>
          <w:highlight w:val="none"/>
        </w:rPr>
        <w:t>次</w:t>
      </w:r>
      <w:r>
        <w:rPr>
          <w:rFonts w:hAnsi="宋体" w:cs="仿宋"/>
          <w:b/>
          <w:color w:val="auto"/>
          <w:szCs w:val="21"/>
          <w:highlight w:val="none"/>
        </w:rPr>
        <w:t>拟投货物品牌及型号</w:t>
      </w:r>
      <w:r>
        <w:rPr>
          <w:rFonts w:hint="eastAsia" w:hAnsi="宋体" w:cs="仿宋"/>
          <w:b/>
          <w:color w:val="auto"/>
          <w:szCs w:val="21"/>
          <w:highlight w:val="none"/>
        </w:rPr>
        <w:t>一致</w:t>
      </w:r>
      <w:r>
        <w:rPr>
          <w:rFonts w:hAnsi="宋体" w:cs="仿宋"/>
          <w:b/>
          <w:color w:val="auto"/>
          <w:szCs w:val="21"/>
          <w:highlight w:val="none"/>
        </w:rPr>
        <w:t>的内容，</w:t>
      </w:r>
      <w:r>
        <w:rPr>
          <w:rFonts w:hint="eastAsia" w:hAnsi="宋体" w:cs="仿宋"/>
          <w:b/>
          <w:color w:val="auto"/>
          <w:szCs w:val="21"/>
          <w:highlight w:val="none"/>
        </w:rPr>
        <w:t>或②</w:t>
      </w:r>
      <w:r>
        <w:rPr>
          <w:rFonts w:hint="eastAsia" w:hAnsi="宋体" w:cs="宋体"/>
          <w:b/>
          <w:bCs/>
          <w:color w:val="auto"/>
          <w:spacing w:val="1"/>
          <w:szCs w:val="21"/>
          <w:highlight w:val="none"/>
        </w:rPr>
        <w:t>国家确定的认证机构出具的处于有效期之内的节能产品认证证书复印件</w:t>
      </w:r>
      <w:r>
        <w:rPr>
          <w:rFonts w:hAnsi="宋体" w:cs="仿宋"/>
          <w:b/>
          <w:color w:val="auto"/>
          <w:szCs w:val="21"/>
          <w:highlight w:val="none"/>
        </w:rPr>
        <w:t>）</w:t>
      </w:r>
    </w:p>
    <w:p>
      <w:pPr>
        <w:pStyle w:val="2"/>
        <w:ind w:firstLine="420" w:firstLineChars="200"/>
        <w:rPr>
          <w:rFonts w:hint="default" w:hAnsi="宋体" w:cs="仿宋"/>
          <w:color w:val="auto"/>
          <w:sz w:val="21"/>
          <w:szCs w:val="21"/>
          <w:highlight w:val="none"/>
        </w:rPr>
      </w:pPr>
      <w:bookmarkStart w:id="177" w:name="_Toc11575"/>
      <w:r>
        <w:rPr>
          <w:rFonts w:hAnsi="宋体" w:cs="仿宋"/>
          <w:color w:val="auto"/>
          <w:sz w:val="21"/>
          <w:szCs w:val="21"/>
          <w:highlight w:val="none"/>
        </w:rPr>
        <w:t>七、所属行业依照《中小企业划型标准规定》（工信部联企业〔2011〕300 号）及《国民经济行业分类》（GB/T4754-2017）的有关规定执行，本项目所属行业为“工业”。</w:t>
      </w:r>
      <w:bookmarkEnd w:id="177"/>
    </w:p>
    <w:p>
      <w:pPr>
        <w:snapToGrid w:val="0"/>
        <w:spacing w:line="380" w:lineRule="exact"/>
        <w:ind w:firstLine="420" w:firstLineChars="200"/>
        <w:rPr>
          <w:rFonts w:hAnsi="宋体" w:cs="仿宋"/>
          <w:color w:val="auto"/>
          <w:szCs w:val="21"/>
          <w:highlight w:val="none"/>
        </w:rPr>
      </w:pPr>
      <w:r>
        <w:rPr>
          <w:rFonts w:hint="eastAsia" w:hAnsi="宋体" w:cs="仿宋"/>
          <w:color w:val="auto"/>
          <w:szCs w:val="21"/>
          <w:highlight w:val="none"/>
        </w:rPr>
        <w:t>八、本项目货物不接受整机进口产品（即通过中国海关报关验放进入中国境内且产自关境外的产品）参与投标，如有此类产品参与投标的做无效标处理。</w:t>
      </w:r>
    </w:p>
    <w:p>
      <w:pPr>
        <w:adjustRightInd w:val="0"/>
        <w:spacing w:line="340" w:lineRule="exact"/>
        <w:ind w:firstLine="431"/>
        <w:rPr>
          <w:rFonts w:hAnsi="宋体" w:cs="宋体"/>
          <w:bCs/>
          <w:color w:val="auto"/>
          <w:highlight w:val="none"/>
        </w:rPr>
      </w:pPr>
      <w:r>
        <w:rPr>
          <w:rFonts w:hint="eastAsia" w:hAnsi="宋体" w:cs="宋体"/>
          <w:bCs/>
          <w:color w:val="auto"/>
          <w:highlight w:val="none"/>
        </w:rPr>
        <w:t>九、本招标文件所称中小企业必须符合</w:t>
      </w:r>
      <w:r>
        <w:rPr>
          <w:rFonts w:hint="eastAsia" w:hAnsi="宋体" w:cs="宋体"/>
          <w:color w:val="auto"/>
          <w:szCs w:val="21"/>
          <w:highlight w:val="none"/>
        </w:rPr>
        <w:t>《政府采购促进中小企业发展管理办法》</w:t>
      </w:r>
      <w:r>
        <w:rPr>
          <w:rFonts w:hint="eastAsia" w:hAnsi="宋体" w:cs="宋体"/>
          <w:bCs/>
          <w:color w:val="auto"/>
          <w:highlight w:val="none"/>
        </w:rPr>
        <w:t>第二条规定。</w:t>
      </w:r>
    </w:p>
    <w:p>
      <w:pPr>
        <w:adjustRightInd w:val="0"/>
        <w:spacing w:line="340" w:lineRule="exact"/>
        <w:ind w:firstLine="431"/>
        <w:rPr>
          <w:rFonts w:hAnsi="宋体" w:cs="宋体"/>
          <w:bCs/>
          <w:color w:val="auto"/>
          <w:highlight w:val="none"/>
        </w:rPr>
      </w:pPr>
      <w:r>
        <w:rPr>
          <w:rFonts w:hint="eastAsia" w:hAnsi="宋体" w:cs="宋体"/>
          <w:bCs/>
          <w:color w:val="auto"/>
          <w:highlight w:val="none"/>
        </w:rPr>
        <w:t>十、小型、微型企业提供中型企业制造的货物的，视同为中型企业。</w:t>
      </w:r>
    </w:p>
    <w:p>
      <w:pPr>
        <w:adjustRightInd w:val="0"/>
        <w:spacing w:line="340" w:lineRule="exact"/>
        <w:ind w:firstLine="431"/>
        <w:rPr>
          <w:rFonts w:hAnsi="宋体" w:cs="宋体"/>
          <w:bCs/>
          <w:color w:val="auto"/>
          <w:highlight w:val="none"/>
        </w:rPr>
      </w:pPr>
      <w:r>
        <w:rPr>
          <w:rFonts w:hint="eastAsia" w:hAnsi="宋体" w:cs="宋体"/>
          <w:bCs/>
          <w:color w:val="auto"/>
          <w:highlight w:val="none"/>
        </w:rPr>
        <w:t>十一、小型、微型企业提供大型企业制造的货物的，视同为大型企业。</w:t>
      </w:r>
    </w:p>
    <w:p>
      <w:pPr>
        <w:adjustRightInd w:val="0"/>
        <w:spacing w:line="340" w:lineRule="exact"/>
        <w:ind w:firstLine="431"/>
        <w:rPr>
          <w:rFonts w:hAnsi="宋体" w:cs="宋体"/>
          <w:bCs/>
          <w:color w:val="auto"/>
          <w:highlight w:val="none"/>
        </w:rPr>
      </w:pPr>
      <w:r>
        <w:rPr>
          <w:rFonts w:hint="eastAsia" w:hAnsi="宋体" w:cs="宋体"/>
          <w:bCs/>
          <w:color w:val="auto"/>
          <w:highlight w:val="none"/>
        </w:rPr>
        <w:t>十二、按照《财政部、司法部关于政府采购支持监狱企业发展有关问题的通知》（财库〔2014〕68号）的规定，监狱企业视同小型、微型企业。</w:t>
      </w:r>
    </w:p>
    <w:p>
      <w:pPr>
        <w:adjustRightInd w:val="0"/>
        <w:spacing w:line="340" w:lineRule="exact"/>
        <w:ind w:firstLine="431"/>
        <w:rPr>
          <w:rFonts w:hAnsi="宋体" w:cs="宋体"/>
          <w:bCs/>
          <w:color w:val="auto"/>
          <w:highlight w:val="none"/>
        </w:rPr>
      </w:pPr>
      <w:r>
        <w:rPr>
          <w:rFonts w:hint="eastAsia" w:hAnsi="宋体" w:cs="宋体"/>
          <w:bCs/>
          <w:color w:val="auto"/>
          <w:highlight w:val="none"/>
        </w:rPr>
        <w:t>十三、按照《关于促进残疾人就业政府采购政策的通知》（财库〔2017〕141号）的规定，残疾人福利性单位视同小型、微型企业。残疾人福利性单位属于小型、微型企业的，不重复享受政策。</w:t>
      </w:r>
    </w:p>
    <w:p>
      <w:pPr>
        <w:pStyle w:val="8"/>
        <w:outlineLvl w:val="0"/>
        <w:rPr>
          <w:rFonts w:hAnsi="宋体"/>
          <w:b/>
          <w:color w:val="auto"/>
          <w:sz w:val="28"/>
          <w:szCs w:val="28"/>
          <w:highlight w:val="none"/>
        </w:rPr>
      </w:pPr>
    </w:p>
    <w:p>
      <w:pPr>
        <w:pStyle w:val="8"/>
        <w:jc w:val="center"/>
        <w:outlineLvl w:val="0"/>
        <w:rPr>
          <w:rFonts w:hAnsi="宋体"/>
          <w:b/>
          <w:color w:val="auto"/>
          <w:sz w:val="28"/>
          <w:szCs w:val="28"/>
          <w:highlight w:val="none"/>
        </w:rPr>
      </w:pPr>
    </w:p>
    <w:p>
      <w:pPr>
        <w:pStyle w:val="8"/>
        <w:jc w:val="center"/>
        <w:outlineLvl w:val="0"/>
        <w:rPr>
          <w:rFonts w:hAnsi="宋体"/>
          <w:b/>
          <w:color w:val="auto"/>
          <w:sz w:val="28"/>
          <w:szCs w:val="28"/>
          <w:highlight w:val="none"/>
        </w:rPr>
      </w:pPr>
    </w:p>
    <w:p>
      <w:pPr>
        <w:pStyle w:val="8"/>
        <w:outlineLvl w:val="0"/>
        <w:rPr>
          <w:rFonts w:hAnsi="宋体"/>
          <w:b/>
          <w:color w:val="auto"/>
          <w:sz w:val="28"/>
          <w:szCs w:val="28"/>
          <w:highlight w:val="none"/>
        </w:rPr>
      </w:pPr>
    </w:p>
    <w:p>
      <w:pPr>
        <w:pStyle w:val="8"/>
        <w:jc w:val="center"/>
        <w:outlineLvl w:val="0"/>
        <w:rPr>
          <w:rFonts w:hAnsi="宋体"/>
          <w:b/>
          <w:color w:val="auto"/>
          <w:sz w:val="28"/>
          <w:szCs w:val="28"/>
          <w:highlight w:val="none"/>
        </w:rPr>
      </w:pPr>
    </w:p>
    <w:p>
      <w:pPr>
        <w:pStyle w:val="8"/>
        <w:jc w:val="center"/>
        <w:outlineLvl w:val="0"/>
        <w:rPr>
          <w:rFonts w:hAnsi="宋体"/>
          <w:b/>
          <w:color w:val="auto"/>
          <w:sz w:val="28"/>
          <w:szCs w:val="28"/>
          <w:highlight w:val="none"/>
        </w:rPr>
      </w:pPr>
    </w:p>
    <w:p>
      <w:pPr>
        <w:pStyle w:val="8"/>
        <w:jc w:val="center"/>
        <w:outlineLvl w:val="0"/>
        <w:rPr>
          <w:rFonts w:hAnsi="宋体"/>
          <w:b/>
          <w:color w:val="auto"/>
          <w:sz w:val="28"/>
          <w:szCs w:val="28"/>
          <w:highlight w:val="none"/>
        </w:rPr>
      </w:pPr>
    </w:p>
    <w:p>
      <w:pPr>
        <w:pStyle w:val="8"/>
        <w:jc w:val="center"/>
        <w:outlineLvl w:val="0"/>
        <w:rPr>
          <w:rFonts w:hAnsi="宋体"/>
          <w:b/>
          <w:color w:val="auto"/>
          <w:sz w:val="28"/>
          <w:szCs w:val="28"/>
          <w:highlight w:val="none"/>
        </w:rPr>
      </w:pPr>
    </w:p>
    <w:tbl>
      <w:tblPr>
        <w:tblStyle w:val="17"/>
        <w:tblpPr w:leftFromText="180" w:rightFromText="180" w:vertAnchor="page" w:horzAnchor="margin" w:tblpY="1972"/>
        <w:tblOverlap w:val="never"/>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087"/>
        <w:gridCol w:w="545"/>
        <w:gridCol w:w="572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9" w:type="dxa"/>
            <w:gridSpan w:val="5"/>
            <w:shd w:val="clear" w:color="auto" w:fill="auto"/>
          </w:tcPr>
          <w:p>
            <w:pPr>
              <w:jc w:val="center"/>
              <w:rPr>
                <w:rFonts w:hAnsi="宋体" w:cs="宋体"/>
                <w:color w:val="auto"/>
                <w:szCs w:val="21"/>
                <w:highlight w:val="none"/>
              </w:rPr>
            </w:pPr>
            <w:bookmarkStart w:id="178" w:name="_Toc78441067"/>
            <w:r>
              <w:rPr>
                <w:rFonts w:hAnsi="宋体" w:cs="宋体"/>
                <w:b/>
                <w:bCs/>
                <w:color w:val="auto"/>
                <w:sz w:val="28"/>
                <w:szCs w:val="28"/>
                <w:highlight w:val="none"/>
              </w:rPr>
              <w:t>项目采购需求表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Merge w:val="restart"/>
            <w:shd w:val="clear" w:color="auto" w:fill="auto"/>
          </w:tcPr>
          <w:p>
            <w:pPr>
              <w:rPr>
                <w:rFonts w:hAnsi="宋体" w:cs="宋体"/>
                <w:color w:val="auto"/>
                <w:szCs w:val="21"/>
                <w:highlight w:val="none"/>
              </w:rPr>
            </w:pPr>
            <w:r>
              <w:rPr>
                <w:rFonts w:hAnsi="宋体" w:cs="宋体"/>
                <w:color w:val="auto"/>
                <w:szCs w:val="21"/>
                <w:highlight w:val="none"/>
              </w:rPr>
              <w:t>项号</w:t>
            </w:r>
          </w:p>
        </w:tc>
        <w:tc>
          <w:tcPr>
            <w:tcW w:w="1087" w:type="dxa"/>
            <w:vMerge w:val="restart"/>
            <w:shd w:val="clear" w:color="auto" w:fill="auto"/>
          </w:tcPr>
          <w:p>
            <w:pPr>
              <w:rPr>
                <w:rFonts w:hAnsi="宋体" w:cs="宋体"/>
                <w:color w:val="auto"/>
                <w:szCs w:val="21"/>
                <w:highlight w:val="none"/>
              </w:rPr>
            </w:pPr>
            <w:r>
              <w:rPr>
                <w:rFonts w:hAnsi="宋体" w:cs="宋体"/>
                <w:color w:val="auto"/>
                <w:szCs w:val="21"/>
                <w:highlight w:val="none"/>
              </w:rPr>
              <w:t>货物名称</w:t>
            </w:r>
          </w:p>
        </w:tc>
        <w:tc>
          <w:tcPr>
            <w:tcW w:w="545" w:type="dxa"/>
            <w:vMerge w:val="restart"/>
            <w:shd w:val="clear" w:color="auto" w:fill="auto"/>
          </w:tcPr>
          <w:p>
            <w:pPr>
              <w:rPr>
                <w:rFonts w:hAnsi="宋体" w:cs="宋体"/>
                <w:color w:val="auto"/>
                <w:szCs w:val="21"/>
                <w:highlight w:val="none"/>
              </w:rPr>
            </w:pPr>
            <w:r>
              <w:rPr>
                <w:rFonts w:hAnsi="宋体" w:cs="宋体"/>
                <w:color w:val="auto"/>
                <w:szCs w:val="21"/>
                <w:highlight w:val="none"/>
              </w:rPr>
              <w:t>数量</w:t>
            </w:r>
          </w:p>
        </w:tc>
        <w:tc>
          <w:tcPr>
            <w:tcW w:w="6423" w:type="dxa"/>
            <w:gridSpan w:val="2"/>
            <w:shd w:val="clear" w:color="auto" w:fill="auto"/>
          </w:tcPr>
          <w:p>
            <w:pPr>
              <w:rPr>
                <w:rFonts w:hAnsi="宋体" w:cs="宋体"/>
                <w:color w:val="auto"/>
                <w:szCs w:val="21"/>
                <w:highlight w:val="none"/>
              </w:rPr>
            </w:pPr>
            <w:r>
              <w:rPr>
                <w:rFonts w:hAnsi="宋体" w:cs="宋体"/>
                <w:color w:val="auto"/>
                <w:szCs w:val="21"/>
                <w:highlight w:val="none"/>
              </w:rPr>
              <w:t>项目要求及技术参数配置要求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Merge w:val="continue"/>
            <w:shd w:val="clear" w:color="auto" w:fill="auto"/>
          </w:tcPr>
          <w:p>
            <w:pPr>
              <w:rPr>
                <w:rFonts w:hAnsi="宋体" w:cs="宋体"/>
                <w:color w:val="auto"/>
                <w:szCs w:val="21"/>
                <w:highlight w:val="none"/>
              </w:rPr>
            </w:pPr>
          </w:p>
        </w:tc>
        <w:tc>
          <w:tcPr>
            <w:tcW w:w="1087" w:type="dxa"/>
            <w:vMerge w:val="continue"/>
            <w:shd w:val="clear" w:color="auto" w:fill="auto"/>
          </w:tcPr>
          <w:p>
            <w:pPr>
              <w:rPr>
                <w:rFonts w:hAnsi="宋体" w:cs="宋体"/>
                <w:color w:val="auto"/>
                <w:szCs w:val="21"/>
                <w:highlight w:val="none"/>
              </w:rPr>
            </w:pPr>
          </w:p>
        </w:tc>
        <w:tc>
          <w:tcPr>
            <w:tcW w:w="545" w:type="dxa"/>
            <w:vMerge w:val="continue"/>
            <w:shd w:val="clear" w:color="auto" w:fill="auto"/>
          </w:tcPr>
          <w:p>
            <w:pPr>
              <w:rPr>
                <w:rFonts w:hAnsi="宋体" w:cs="宋体"/>
                <w:color w:val="auto"/>
                <w:szCs w:val="21"/>
                <w:highlight w:val="none"/>
              </w:rPr>
            </w:pPr>
          </w:p>
        </w:tc>
        <w:tc>
          <w:tcPr>
            <w:tcW w:w="5727" w:type="dxa"/>
            <w:vMerge w:val="restart"/>
            <w:shd w:val="clear" w:color="auto" w:fill="auto"/>
          </w:tcPr>
          <w:p>
            <w:pPr>
              <w:rPr>
                <w:rFonts w:hAnsi="宋体" w:cs="宋体"/>
                <w:color w:val="auto"/>
                <w:szCs w:val="21"/>
                <w:highlight w:val="none"/>
              </w:rPr>
            </w:pPr>
            <w:r>
              <w:rPr>
                <w:rFonts w:hAnsi="宋体" w:cs="宋体"/>
                <w:color w:val="auto"/>
                <w:szCs w:val="21"/>
                <w:highlight w:val="none"/>
              </w:rPr>
              <w:t>一、主要技术参数</w:t>
            </w:r>
          </w:p>
          <w:p>
            <w:pPr>
              <w:rPr>
                <w:rFonts w:hAnsi="宋体" w:cs="宋体"/>
                <w:color w:val="auto"/>
                <w:szCs w:val="21"/>
                <w:highlight w:val="none"/>
              </w:rPr>
            </w:pPr>
            <w:r>
              <w:rPr>
                <w:rFonts w:hAnsi="宋体" w:cs="宋体"/>
                <w:color w:val="auto"/>
                <w:szCs w:val="21"/>
                <w:highlight w:val="none"/>
              </w:rPr>
              <w:t>1：外形尺寸（长x宽x高）（mm）≤7350x2280x2800</w:t>
            </w:r>
          </w:p>
          <w:p>
            <w:pPr>
              <w:rPr>
                <w:rFonts w:hAnsi="宋体" w:cs="宋体"/>
                <w:color w:val="auto"/>
                <w:szCs w:val="21"/>
                <w:highlight w:val="none"/>
              </w:rPr>
            </w:pPr>
            <w:r>
              <w:rPr>
                <w:rFonts w:hAnsi="宋体" w:cs="宋体"/>
                <w:color w:val="auto"/>
                <w:szCs w:val="21"/>
                <w:highlight w:val="none"/>
              </w:rPr>
              <w:t>2：排放标准：国六排放标准</w:t>
            </w:r>
          </w:p>
          <w:p>
            <w:pPr>
              <w:rPr>
                <w:rFonts w:hAnsi="宋体" w:cs="宋体"/>
                <w:color w:val="auto"/>
                <w:szCs w:val="21"/>
                <w:highlight w:val="none"/>
              </w:rPr>
            </w:pPr>
            <w:r>
              <w:rPr>
                <w:rFonts w:hAnsi="宋体" w:cs="宋体"/>
                <w:color w:val="auto"/>
                <w:szCs w:val="21"/>
                <w:highlight w:val="none"/>
              </w:rPr>
              <w:t>3：最大总质量（kg）≤11995</w:t>
            </w:r>
          </w:p>
          <w:p>
            <w:pPr>
              <w:rPr>
                <w:rFonts w:hAnsi="宋体" w:cs="宋体"/>
                <w:color w:val="auto"/>
                <w:szCs w:val="21"/>
                <w:highlight w:val="none"/>
              </w:rPr>
            </w:pPr>
            <w:r>
              <w:rPr>
                <w:rFonts w:hAnsi="宋体" w:cs="宋体"/>
                <w:color w:val="auto"/>
                <w:szCs w:val="21"/>
                <w:highlight w:val="none"/>
              </w:rPr>
              <w:t xml:space="preserve">4: </w:t>
            </w:r>
            <w:r>
              <w:rPr>
                <w:rFonts w:hAnsi="宋体" w:cs="宋体"/>
                <w:color w:val="auto"/>
                <w:szCs w:val="21"/>
                <w:highlight w:val="none"/>
                <w:lang w:bidi="ar"/>
              </w:rPr>
              <w:t>★</w:t>
            </w:r>
            <w:r>
              <w:rPr>
                <w:rFonts w:hAnsi="宋体" w:cs="宋体"/>
                <w:color w:val="auto"/>
                <w:szCs w:val="21"/>
                <w:highlight w:val="none"/>
              </w:rPr>
              <w:t>整备质量（kg） ≥7100</w:t>
            </w:r>
          </w:p>
          <w:p>
            <w:pPr>
              <w:rPr>
                <w:rFonts w:hAnsi="宋体" w:cs="宋体"/>
                <w:color w:val="auto"/>
                <w:szCs w:val="21"/>
                <w:highlight w:val="none"/>
              </w:rPr>
            </w:pPr>
            <w:r>
              <w:rPr>
                <w:rFonts w:hAnsi="宋体" w:cs="宋体"/>
                <w:color w:val="auto"/>
                <w:szCs w:val="21"/>
                <w:highlight w:val="none"/>
              </w:rPr>
              <w:t>5：</w:t>
            </w:r>
            <w:r>
              <w:rPr>
                <w:rFonts w:hAnsi="宋体" w:cs="宋体"/>
                <w:color w:val="auto"/>
                <w:szCs w:val="21"/>
                <w:highlight w:val="none"/>
                <w:lang w:bidi="ar"/>
              </w:rPr>
              <w:t>★</w:t>
            </w:r>
            <w:r>
              <w:rPr>
                <w:rFonts w:hAnsi="宋体" w:cs="宋体"/>
                <w:color w:val="auto"/>
                <w:szCs w:val="21"/>
                <w:highlight w:val="none"/>
              </w:rPr>
              <w:t>额定载质量（kg）≥5250</w:t>
            </w:r>
          </w:p>
          <w:p>
            <w:pPr>
              <w:rPr>
                <w:rFonts w:hAnsi="宋体" w:cs="宋体"/>
                <w:color w:val="auto"/>
                <w:szCs w:val="21"/>
                <w:highlight w:val="none"/>
              </w:rPr>
            </w:pPr>
            <w:r>
              <w:rPr>
                <w:rFonts w:hAnsi="宋体" w:cs="宋体"/>
                <w:color w:val="auto"/>
                <w:szCs w:val="21"/>
                <w:highlight w:val="none"/>
              </w:rPr>
              <w:t>6: 接去角/离去角  ≥20/13</w:t>
            </w:r>
          </w:p>
          <w:p>
            <w:pPr>
              <w:rPr>
                <w:rFonts w:hAnsi="宋体" w:cs="宋体"/>
                <w:color w:val="auto"/>
                <w:szCs w:val="21"/>
                <w:highlight w:val="none"/>
              </w:rPr>
            </w:pPr>
            <w:r>
              <w:rPr>
                <w:rFonts w:hAnsi="宋体" w:cs="宋体"/>
                <w:color w:val="auto"/>
                <w:szCs w:val="21"/>
                <w:highlight w:val="none"/>
              </w:rPr>
              <w:t>7: 前悬/后悬（mm）≤1180/2120</w:t>
            </w:r>
          </w:p>
          <w:p>
            <w:pPr>
              <w:rPr>
                <w:rFonts w:hAnsi="宋体" w:cs="宋体"/>
                <w:color w:val="auto"/>
                <w:szCs w:val="21"/>
                <w:highlight w:val="none"/>
              </w:rPr>
            </w:pPr>
            <w:r>
              <w:rPr>
                <w:rFonts w:hAnsi="宋体" w:cs="宋体"/>
                <w:color w:val="auto"/>
                <w:szCs w:val="21"/>
                <w:highlight w:val="none"/>
              </w:rPr>
              <w:t>8：轴距（mm）≥3800</w:t>
            </w:r>
          </w:p>
          <w:p>
            <w:pPr>
              <w:rPr>
                <w:rFonts w:hAnsi="宋体" w:cs="宋体"/>
                <w:color w:val="auto"/>
                <w:szCs w:val="21"/>
                <w:highlight w:val="none"/>
              </w:rPr>
            </w:pPr>
            <w:r>
              <w:rPr>
                <w:rFonts w:hAnsi="宋体" w:cs="宋体"/>
                <w:color w:val="auto"/>
                <w:szCs w:val="21"/>
                <w:highlight w:val="none"/>
              </w:rPr>
              <w:t>9：最高车速（km/h）≥103</w:t>
            </w:r>
          </w:p>
          <w:p>
            <w:pPr>
              <w:rPr>
                <w:rFonts w:hAnsi="宋体" w:cs="宋体"/>
                <w:color w:val="auto"/>
                <w:szCs w:val="21"/>
                <w:highlight w:val="none"/>
              </w:rPr>
            </w:pPr>
            <w:r>
              <w:rPr>
                <w:rFonts w:hAnsi="宋体" w:cs="宋体"/>
                <w:color w:val="auto"/>
                <w:szCs w:val="21"/>
                <w:highlight w:val="none"/>
              </w:rPr>
              <w:t>10：轴荷：≥4350/7645</w:t>
            </w:r>
          </w:p>
          <w:p>
            <w:pPr>
              <w:rPr>
                <w:rFonts w:hAnsi="宋体" w:cs="宋体"/>
                <w:color w:val="auto"/>
                <w:szCs w:val="21"/>
                <w:highlight w:val="none"/>
              </w:rPr>
            </w:pPr>
            <w:r>
              <w:rPr>
                <w:rFonts w:hAnsi="宋体" w:cs="宋体"/>
                <w:color w:val="auto"/>
                <w:szCs w:val="21"/>
                <w:highlight w:val="none"/>
              </w:rPr>
              <w:t>11：发动机功率（kw）≥121</w:t>
            </w:r>
          </w:p>
          <w:p>
            <w:pPr>
              <w:rPr>
                <w:rFonts w:hAnsi="宋体" w:cs="宋体"/>
                <w:color w:val="auto"/>
                <w:szCs w:val="21"/>
                <w:highlight w:val="none"/>
              </w:rPr>
            </w:pPr>
            <w:r>
              <w:rPr>
                <w:rFonts w:hAnsi="宋体" w:cs="宋体"/>
                <w:color w:val="auto"/>
                <w:szCs w:val="21"/>
                <w:highlight w:val="none"/>
              </w:rPr>
              <w:t>12：箱体有效容积（m3）≥9</w:t>
            </w:r>
          </w:p>
          <w:p>
            <w:pPr>
              <w:rPr>
                <w:rFonts w:hAnsi="宋体" w:cs="宋体"/>
                <w:color w:val="auto"/>
                <w:szCs w:val="21"/>
                <w:highlight w:val="none"/>
              </w:rPr>
            </w:pPr>
            <w:r>
              <w:rPr>
                <w:rFonts w:hAnsi="宋体" w:cs="宋体"/>
                <w:color w:val="auto"/>
                <w:szCs w:val="21"/>
                <w:highlight w:val="none"/>
              </w:rPr>
              <w:t>13：压缩循环时间（s）≤25</w:t>
            </w:r>
          </w:p>
          <w:p>
            <w:pPr>
              <w:rPr>
                <w:rFonts w:hAnsi="宋体" w:cs="宋体"/>
                <w:color w:val="auto"/>
                <w:szCs w:val="21"/>
                <w:highlight w:val="none"/>
              </w:rPr>
            </w:pPr>
            <w:r>
              <w:rPr>
                <w:rFonts w:hAnsi="宋体" w:cs="宋体"/>
                <w:color w:val="auto"/>
                <w:szCs w:val="21"/>
                <w:highlight w:val="none"/>
              </w:rPr>
              <w:t>14：卸料循环时间（s）≤45</w:t>
            </w:r>
          </w:p>
          <w:p>
            <w:pPr>
              <w:rPr>
                <w:rFonts w:hAnsi="宋体" w:cs="宋体"/>
                <w:color w:val="auto"/>
                <w:szCs w:val="21"/>
                <w:highlight w:val="none"/>
              </w:rPr>
            </w:pPr>
            <w:r>
              <w:rPr>
                <w:rFonts w:hAnsi="宋体" w:cs="宋体"/>
                <w:color w:val="auto"/>
                <w:szCs w:val="21"/>
                <w:highlight w:val="none"/>
              </w:rPr>
              <w:t>15：控制方式：电控/手动/遥控</w:t>
            </w:r>
          </w:p>
          <w:p>
            <w:pPr>
              <w:rPr>
                <w:rFonts w:hAnsi="宋体" w:cs="宋体"/>
                <w:color w:val="auto"/>
                <w:szCs w:val="21"/>
                <w:highlight w:val="none"/>
              </w:rPr>
            </w:pPr>
            <w:r>
              <w:rPr>
                <w:rFonts w:hAnsi="宋体" w:cs="宋体"/>
                <w:color w:val="auto"/>
                <w:szCs w:val="21"/>
                <w:highlight w:val="none"/>
              </w:rPr>
              <w:t>16：驾驶室配备冷暖空调.</w:t>
            </w:r>
          </w:p>
          <w:p>
            <w:pPr>
              <w:rPr>
                <w:rFonts w:hAnsi="宋体" w:cs="宋体"/>
                <w:color w:val="auto"/>
                <w:szCs w:val="21"/>
                <w:highlight w:val="none"/>
                <w:lang w:bidi="ar"/>
              </w:rPr>
            </w:pPr>
            <w:r>
              <w:rPr>
                <w:rFonts w:hAnsi="宋体" w:cs="宋体"/>
                <w:color w:val="auto"/>
                <w:szCs w:val="21"/>
                <w:highlight w:val="none"/>
              </w:rPr>
              <w:t>17:</w:t>
            </w:r>
            <w:r>
              <w:rPr>
                <w:rFonts w:hAnsi="宋体" w:cs="宋体"/>
                <w:color w:val="auto"/>
                <w:szCs w:val="21"/>
                <w:highlight w:val="none"/>
                <w:lang w:bidi="ar"/>
              </w:rPr>
              <w:t>★提供国家工信部的汽车产品公告参数页截图；</w:t>
            </w:r>
          </w:p>
          <w:p>
            <w:pPr>
              <w:rPr>
                <w:rFonts w:hAnsi="宋体" w:cs="宋体"/>
                <w:color w:val="auto"/>
                <w:szCs w:val="21"/>
                <w:highlight w:val="none"/>
              </w:rPr>
            </w:pPr>
            <w:r>
              <w:rPr>
                <w:rFonts w:hAnsi="宋体" w:cs="宋体"/>
                <w:color w:val="auto"/>
                <w:szCs w:val="21"/>
                <w:highlight w:val="none"/>
              </w:rPr>
              <w:t>二、主要性能及要求</w:t>
            </w:r>
          </w:p>
          <w:p>
            <w:pPr>
              <w:rPr>
                <w:rFonts w:hAnsi="宋体" w:cs="宋体"/>
                <w:color w:val="auto"/>
                <w:szCs w:val="21"/>
                <w:highlight w:val="none"/>
              </w:rPr>
            </w:pPr>
            <w:r>
              <w:rPr>
                <w:rFonts w:hAnsi="宋体" w:cs="宋体"/>
                <w:color w:val="auto"/>
                <w:szCs w:val="21"/>
                <w:highlight w:val="none"/>
              </w:rPr>
              <w:t>1：箱体外观圆弧流线性，底板整体折边无焊接，杜绝泄漏风险。使用高强度锰钢板，不易变形，耐磨损，耐腐蚀性强。</w:t>
            </w:r>
          </w:p>
          <w:p>
            <w:pPr>
              <w:rPr>
                <w:rFonts w:hAnsi="宋体" w:cs="宋体"/>
                <w:color w:val="auto"/>
                <w:szCs w:val="21"/>
                <w:highlight w:val="none"/>
              </w:rPr>
            </w:pPr>
            <w:r>
              <w:rPr>
                <w:rFonts w:hAnsi="宋体" w:cs="宋体"/>
                <w:color w:val="auto"/>
                <w:szCs w:val="21"/>
                <w:highlight w:val="none"/>
              </w:rPr>
              <w:t>2：智能控制系统采用 CAN 总线设计，模块化结构。通过接近开关和油压感应两种方式结合，实现高效，稳定，易维护，具备手动、自动、半自动三套操纵方式，驾驶室内部、箱体前部、箱体后部均可操作，并配备远程遥控器。配备尾部夜间照明灯，配备双污水箱，带排水管，遥控器控制。</w:t>
            </w:r>
          </w:p>
          <w:p>
            <w:pPr>
              <w:rPr>
                <w:rFonts w:hAnsi="宋体" w:cs="宋体"/>
                <w:color w:val="auto"/>
                <w:szCs w:val="21"/>
                <w:highlight w:val="none"/>
              </w:rPr>
            </w:pPr>
            <w:r>
              <w:rPr>
                <w:rFonts w:hAnsi="宋体" w:cs="宋体"/>
                <w:color w:val="auto"/>
                <w:szCs w:val="21"/>
                <w:highlight w:val="none"/>
              </w:rPr>
              <w:t>3：翻转机构：三角斗式翻转机构，内部带桶装垃圾卡槽。</w:t>
            </w:r>
          </w:p>
        </w:tc>
        <w:tc>
          <w:tcPr>
            <w:tcW w:w="696" w:type="dxa"/>
            <w:shd w:val="clear" w:color="auto" w:fill="auto"/>
          </w:tcPr>
          <w:p>
            <w:pPr>
              <w:rPr>
                <w:rFonts w:hAnsi="宋体" w:cs="宋体"/>
                <w:color w:val="auto"/>
                <w:szCs w:val="21"/>
                <w:highlight w:val="none"/>
              </w:rPr>
            </w:pPr>
            <w:r>
              <w:rPr>
                <w:rFonts w:hAnsi="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9" w:hRule="atLeast"/>
        </w:trPr>
        <w:tc>
          <w:tcPr>
            <w:tcW w:w="1084" w:type="dxa"/>
            <w:shd w:val="clear" w:color="auto" w:fill="auto"/>
          </w:tcPr>
          <w:p>
            <w:pPr>
              <w:rPr>
                <w:rFonts w:hAnsi="宋体" w:cs="宋体"/>
                <w:color w:val="auto"/>
                <w:szCs w:val="21"/>
                <w:highlight w:val="none"/>
              </w:rPr>
            </w:pPr>
            <w:r>
              <w:rPr>
                <w:rFonts w:hAnsi="宋体" w:cs="宋体"/>
                <w:color w:val="auto"/>
                <w:szCs w:val="21"/>
                <w:highlight w:val="none"/>
              </w:rPr>
              <w:t>1公会镇</w:t>
            </w:r>
          </w:p>
        </w:tc>
        <w:tc>
          <w:tcPr>
            <w:tcW w:w="1087" w:type="dxa"/>
            <w:shd w:val="clear" w:color="auto" w:fill="auto"/>
          </w:tcPr>
          <w:p>
            <w:pPr>
              <w:rPr>
                <w:rFonts w:hAnsi="宋体" w:cs="宋体"/>
                <w:color w:val="auto"/>
                <w:szCs w:val="21"/>
                <w:highlight w:val="none"/>
              </w:rPr>
            </w:pPr>
            <w:r>
              <w:rPr>
                <w:rFonts w:hAnsi="宋体" w:cs="宋体"/>
                <w:color w:val="auto"/>
                <w:szCs w:val="21"/>
                <w:highlight w:val="none"/>
                <w:lang w:bidi="ar"/>
              </w:rPr>
              <w:t>◆</w:t>
            </w:r>
            <w:r>
              <w:rPr>
                <w:rFonts w:hAnsi="宋体" w:cs="宋体"/>
                <w:color w:val="auto"/>
                <w:szCs w:val="21"/>
                <w:highlight w:val="none"/>
              </w:rPr>
              <w:t>压缩式垃圾车</w:t>
            </w:r>
          </w:p>
        </w:tc>
        <w:tc>
          <w:tcPr>
            <w:tcW w:w="545" w:type="dxa"/>
            <w:shd w:val="clear" w:color="auto" w:fill="auto"/>
          </w:tcPr>
          <w:p>
            <w:pPr>
              <w:rPr>
                <w:rFonts w:hAnsi="宋体" w:cs="宋体"/>
                <w:color w:val="auto"/>
                <w:szCs w:val="21"/>
                <w:highlight w:val="none"/>
              </w:rPr>
            </w:pPr>
            <w:r>
              <w:rPr>
                <w:rFonts w:hAnsi="宋体" w:cs="宋体"/>
                <w:color w:val="auto"/>
                <w:szCs w:val="21"/>
                <w:highlight w:val="none"/>
              </w:rPr>
              <w:t xml:space="preserve">3辆 </w:t>
            </w:r>
          </w:p>
        </w:tc>
        <w:tc>
          <w:tcPr>
            <w:tcW w:w="5727" w:type="dxa"/>
            <w:vMerge w:val="continue"/>
            <w:shd w:val="clear" w:color="auto" w:fill="auto"/>
          </w:tcPr>
          <w:p>
            <w:pPr>
              <w:rPr>
                <w:rFonts w:hAnsi="宋体" w:cs="宋体"/>
                <w:color w:val="auto"/>
                <w:szCs w:val="21"/>
                <w:highlight w:val="none"/>
              </w:rPr>
            </w:pPr>
          </w:p>
        </w:tc>
        <w:tc>
          <w:tcPr>
            <w:tcW w:w="696" w:type="dxa"/>
            <w:shd w:val="clear" w:color="auto" w:fill="auto"/>
          </w:tcPr>
          <w:p>
            <w:pPr>
              <w:rPr>
                <w:rFonts w:hAnsi="宋体" w:cs="宋体"/>
                <w:color w:val="auto"/>
                <w:szCs w:val="21"/>
                <w:highlight w:val="none"/>
              </w:rPr>
            </w:pPr>
          </w:p>
        </w:tc>
      </w:tr>
    </w:tbl>
    <w:p>
      <w:pPr>
        <w:rPr>
          <w:rFonts w:hAnsi="宋体" w:cs="仿宋"/>
          <w:color w:val="auto"/>
          <w:szCs w:val="21"/>
          <w:highlight w:val="none"/>
        </w:rPr>
      </w:pPr>
    </w:p>
    <w:tbl>
      <w:tblPr>
        <w:tblStyle w:val="17"/>
        <w:tblW w:w="9213" w:type="dxa"/>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063"/>
        <w:gridCol w:w="574"/>
        <w:gridCol w:w="5688"/>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7" w:hRule="atLeast"/>
        </w:trPr>
        <w:tc>
          <w:tcPr>
            <w:tcW w:w="1113" w:type="dxa"/>
            <w:vMerge w:val="restart"/>
            <w:shd w:val="clear" w:color="auto" w:fill="auto"/>
          </w:tcPr>
          <w:p>
            <w:pPr>
              <w:pStyle w:val="4"/>
              <w:spacing w:before="6620" w:beforeLines="2000"/>
              <w:ind w:firstLine="0"/>
              <w:rPr>
                <w:rFonts w:hAnsi="宋体" w:cs="宋体"/>
                <w:color w:val="auto"/>
                <w:sz w:val="21"/>
                <w:szCs w:val="21"/>
                <w:highlight w:val="none"/>
              </w:rPr>
            </w:pPr>
            <w:r>
              <w:rPr>
                <w:rFonts w:hAnsi="宋体" w:cs="宋体"/>
                <w:color w:val="auto"/>
                <w:sz w:val="21"/>
                <w:szCs w:val="21"/>
                <w:highlight w:val="none"/>
                <w:lang w:bidi="ar"/>
              </w:rPr>
              <w:t xml:space="preserve"> </w:t>
            </w:r>
            <w:r>
              <w:rPr>
                <w:rFonts w:hAnsi="宋体" w:cs="宋体"/>
                <w:color w:val="auto"/>
                <w:sz w:val="21"/>
                <w:szCs w:val="21"/>
                <w:highlight w:val="none"/>
              </w:rPr>
              <w:t>2大平瑶族乡</w:t>
            </w:r>
          </w:p>
        </w:tc>
        <w:tc>
          <w:tcPr>
            <w:tcW w:w="1063" w:type="dxa"/>
            <w:shd w:val="clear" w:color="auto" w:fill="auto"/>
          </w:tcPr>
          <w:p>
            <w:pPr>
              <w:spacing w:before="6620" w:beforeLines="2000"/>
              <w:rPr>
                <w:rFonts w:hAnsi="宋体" w:cs="宋体"/>
                <w:color w:val="auto"/>
                <w:szCs w:val="21"/>
                <w:highlight w:val="none"/>
              </w:rPr>
            </w:pPr>
            <w:r>
              <w:rPr>
                <w:rFonts w:hAnsi="宋体" w:cs="宋体"/>
                <w:color w:val="auto"/>
                <w:szCs w:val="21"/>
                <w:highlight w:val="none"/>
              </w:rPr>
              <w:t>压缩式垃圾车</w:t>
            </w:r>
          </w:p>
        </w:tc>
        <w:tc>
          <w:tcPr>
            <w:tcW w:w="574" w:type="dxa"/>
            <w:shd w:val="clear" w:color="auto" w:fill="auto"/>
          </w:tcPr>
          <w:p>
            <w:pPr>
              <w:spacing w:before="6620" w:beforeLines="2000"/>
              <w:rPr>
                <w:rFonts w:hAnsi="宋体" w:cs="宋体"/>
                <w:color w:val="auto"/>
                <w:szCs w:val="21"/>
                <w:highlight w:val="none"/>
              </w:rPr>
            </w:pPr>
            <w:r>
              <w:rPr>
                <w:rFonts w:hAnsi="宋体" w:cs="宋体"/>
                <w:color w:val="auto"/>
                <w:szCs w:val="21"/>
                <w:highlight w:val="none"/>
              </w:rPr>
              <w:t>1</w:t>
            </w:r>
            <w:r>
              <w:rPr>
                <w:rFonts w:hint="eastAsia" w:hAnsi="宋体" w:cs="宋体"/>
                <w:color w:val="auto"/>
                <w:szCs w:val="21"/>
                <w:highlight w:val="none"/>
              </w:rPr>
              <w:t>辆</w:t>
            </w:r>
          </w:p>
        </w:tc>
        <w:tc>
          <w:tcPr>
            <w:tcW w:w="5688" w:type="dxa"/>
            <w:shd w:val="clear" w:color="auto" w:fill="auto"/>
          </w:tcPr>
          <w:p>
            <w:pPr>
              <w:rPr>
                <w:rFonts w:hAnsi="宋体" w:cs="宋体"/>
                <w:color w:val="auto"/>
                <w:szCs w:val="21"/>
                <w:highlight w:val="none"/>
              </w:rPr>
            </w:pPr>
            <w:r>
              <w:rPr>
                <w:rFonts w:hAnsi="宋体" w:cs="宋体"/>
                <w:color w:val="auto"/>
                <w:szCs w:val="21"/>
                <w:highlight w:val="none"/>
              </w:rPr>
              <w:t>一、主要技术参数</w:t>
            </w:r>
          </w:p>
          <w:p>
            <w:pPr>
              <w:rPr>
                <w:rFonts w:hAnsi="宋体" w:cs="宋体"/>
                <w:color w:val="auto"/>
                <w:szCs w:val="21"/>
                <w:highlight w:val="none"/>
              </w:rPr>
            </w:pPr>
            <w:r>
              <w:rPr>
                <w:rFonts w:hAnsi="宋体" w:cs="宋体"/>
                <w:color w:val="auto"/>
                <w:szCs w:val="21"/>
                <w:highlight w:val="none"/>
              </w:rPr>
              <w:t>1：外形尺寸（长x宽x高）（mm）：≤6660x2080x2560</w:t>
            </w:r>
          </w:p>
          <w:p>
            <w:pPr>
              <w:rPr>
                <w:rFonts w:hAnsi="宋体" w:cs="宋体"/>
                <w:color w:val="auto"/>
                <w:szCs w:val="21"/>
                <w:highlight w:val="none"/>
              </w:rPr>
            </w:pPr>
            <w:r>
              <w:rPr>
                <w:rFonts w:hAnsi="宋体" w:cs="宋体"/>
                <w:color w:val="auto"/>
                <w:szCs w:val="21"/>
                <w:highlight w:val="none"/>
              </w:rPr>
              <w:t>2：排放标准：国六排放标准</w:t>
            </w:r>
          </w:p>
          <w:p>
            <w:pPr>
              <w:rPr>
                <w:rFonts w:hAnsi="宋体" w:cs="宋体"/>
                <w:color w:val="auto"/>
                <w:szCs w:val="21"/>
                <w:highlight w:val="none"/>
              </w:rPr>
            </w:pPr>
            <w:r>
              <w:rPr>
                <w:rFonts w:hAnsi="宋体" w:cs="宋体"/>
                <w:color w:val="auto"/>
                <w:szCs w:val="21"/>
                <w:highlight w:val="none"/>
              </w:rPr>
              <w:t>3：最大总质量（kg）≤7360</w:t>
            </w:r>
          </w:p>
          <w:p>
            <w:pPr>
              <w:rPr>
                <w:rFonts w:hAnsi="宋体" w:cs="宋体"/>
                <w:color w:val="auto"/>
                <w:szCs w:val="21"/>
                <w:highlight w:val="none"/>
              </w:rPr>
            </w:pPr>
            <w:r>
              <w:rPr>
                <w:rFonts w:hAnsi="宋体" w:cs="宋体"/>
                <w:color w:val="auto"/>
                <w:szCs w:val="21"/>
                <w:highlight w:val="none"/>
              </w:rPr>
              <w:t>4:</w:t>
            </w:r>
            <w:r>
              <w:rPr>
                <w:rFonts w:hAnsi="宋体" w:cs="宋体"/>
                <w:color w:val="auto"/>
                <w:szCs w:val="21"/>
                <w:highlight w:val="none"/>
                <w:lang w:bidi="ar"/>
              </w:rPr>
              <w:t xml:space="preserve"> ★</w:t>
            </w:r>
            <w:r>
              <w:rPr>
                <w:rFonts w:hAnsi="宋体" w:cs="宋体"/>
                <w:color w:val="auto"/>
                <w:szCs w:val="21"/>
                <w:highlight w:val="none"/>
              </w:rPr>
              <w:t>整备质量（kg） ≥5730</w:t>
            </w:r>
          </w:p>
          <w:p>
            <w:pPr>
              <w:rPr>
                <w:rFonts w:hAnsi="宋体" w:cs="宋体"/>
                <w:color w:val="auto"/>
                <w:szCs w:val="21"/>
                <w:highlight w:val="none"/>
              </w:rPr>
            </w:pPr>
            <w:r>
              <w:rPr>
                <w:rFonts w:hAnsi="宋体" w:cs="宋体"/>
                <w:color w:val="auto"/>
                <w:szCs w:val="21"/>
                <w:highlight w:val="none"/>
              </w:rPr>
              <w:t>5：</w:t>
            </w:r>
            <w:r>
              <w:rPr>
                <w:rFonts w:hAnsi="宋体" w:cs="宋体"/>
                <w:color w:val="auto"/>
                <w:szCs w:val="21"/>
                <w:highlight w:val="none"/>
                <w:lang w:bidi="ar"/>
              </w:rPr>
              <w:t>★</w:t>
            </w:r>
            <w:r>
              <w:rPr>
                <w:rFonts w:hAnsi="宋体" w:cs="宋体"/>
                <w:color w:val="auto"/>
                <w:szCs w:val="21"/>
                <w:highlight w:val="none"/>
              </w:rPr>
              <w:t>额定载质量（kg）≥1500</w:t>
            </w:r>
          </w:p>
          <w:p>
            <w:pPr>
              <w:rPr>
                <w:rFonts w:hAnsi="宋体" w:cs="宋体"/>
                <w:color w:val="auto"/>
                <w:szCs w:val="21"/>
                <w:highlight w:val="none"/>
              </w:rPr>
            </w:pPr>
            <w:r>
              <w:rPr>
                <w:rFonts w:hAnsi="宋体" w:cs="宋体"/>
                <w:color w:val="auto"/>
                <w:szCs w:val="21"/>
                <w:highlight w:val="none"/>
              </w:rPr>
              <w:t>6:接去角/离去角≥</w:t>
            </w:r>
            <w:bookmarkStart w:id="179" w:name="td14"/>
            <w:r>
              <w:rPr>
                <w:rFonts w:hAnsi="宋体" w:cs="宋体"/>
                <w:color w:val="auto"/>
                <w:szCs w:val="21"/>
                <w:highlight w:val="none"/>
              </w:rPr>
              <w:t>24/1</w:t>
            </w:r>
            <w:bookmarkEnd w:id="179"/>
            <w:r>
              <w:rPr>
                <w:rFonts w:hAnsi="宋体" w:cs="宋体"/>
                <w:color w:val="auto"/>
                <w:szCs w:val="21"/>
                <w:highlight w:val="none"/>
              </w:rPr>
              <w:t>2</w:t>
            </w:r>
          </w:p>
          <w:p>
            <w:pPr>
              <w:rPr>
                <w:rFonts w:hAnsi="宋体" w:cs="宋体"/>
                <w:color w:val="auto"/>
                <w:szCs w:val="21"/>
                <w:highlight w:val="none"/>
              </w:rPr>
            </w:pPr>
            <w:r>
              <w:rPr>
                <w:rFonts w:hAnsi="宋体" w:cs="宋体"/>
                <w:color w:val="auto"/>
                <w:szCs w:val="21"/>
                <w:highlight w:val="none"/>
              </w:rPr>
              <w:t>7:前悬/后悬（mm）≥1055/1920</w:t>
            </w:r>
          </w:p>
          <w:p>
            <w:pPr>
              <w:rPr>
                <w:rFonts w:hAnsi="宋体" w:cs="宋体"/>
                <w:color w:val="auto"/>
                <w:szCs w:val="21"/>
                <w:highlight w:val="none"/>
              </w:rPr>
            </w:pPr>
            <w:r>
              <w:rPr>
                <w:rFonts w:hAnsi="宋体" w:cs="宋体"/>
                <w:color w:val="auto"/>
                <w:szCs w:val="21"/>
                <w:highlight w:val="none"/>
              </w:rPr>
              <w:t>8：轴距（mm）≥3308</w:t>
            </w:r>
          </w:p>
          <w:p>
            <w:pPr>
              <w:rPr>
                <w:rFonts w:hAnsi="宋体" w:cs="宋体"/>
                <w:color w:val="auto"/>
                <w:szCs w:val="21"/>
                <w:highlight w:val="none"/>
              </w:rPr>
            </w:pPr>
            <w:r>
              <w:rPr>
                <w:rFonts w:hAnsi="宋体" w:cs="宋体"/>
                <w:color w:val="auto"/>
                <w:szCs w:val="21"/>
                <w:highlight w:val="none"/>
              </w:rPr>
              <w:t>9：最高车速（km/h）≥100</w:t>
            </w:r>
          </w:p>
          <w:p>
            <w:pPr>
              <w:rPr>
                <w:rFonts w:hAnsi="宋体" w:cs="宋体"/>
                <w:color w:val="auto"/>
                <w:szCs w:val="21"/>
                <w:highlight w:val="none"/>
              </w:rPr>
            </w:pPr>
            <w:r>
              <w:rPr>
                <w:rFonts w:hAnsi="宋体" w:cs="宋体"/>
                <w:color w:val="auto"/>
                <w:szCs w:val="21"/>
                <w:highlight w:val="none"/>
              </w:rPr>
              <w:t>10：轴荷：≥2640/4720</w:t>
            </w:r>
          </w:p>
          <w:p>
            <w:pPr>
              <w:tabs>
                <w:tab w:val="left" w:pos="4517"/>
              </w:tabs>
              <w:rPr>
                <w:rFonts w:hAnsi="宋体" w:cs="宋体"/>
                <w:color w:val="auto"/>
                <w:szCs w:val="21"/>
                <w:highlight w:val="none"/>
              </w:rPr>
            </w:pPr>
            <w:r>
              <w:rPr>
                <w:rFonts w:hAnsi="宋体" w:cs="宋体"/>
                <w:color w:val="auto"/>
                <w:szCs w:val="21"/>
                <w:highlight w:val="none"/>
              </w:rPr>
              <w:t>11：发动机功率（kw）≥85</w:t>
            </w:r>
          </w:p>
          <w:p>
            <w:pPr>
              <w:rPr>
                <w:rFonts w:hAnsi="宋体" w:cs="宋体"/>
                <w:color w:val="auto"/>
                <w:szCs w:val="21"/>
                <w:highlight w:val="none"/>
              </w:rPr>
            </w:pPr>
            <w:r>
              <w:rPr>
                <w:rFonts w:hAnsi="宋体" w:cs="宋体"/>
                <w:color w:val="auto"/>
                <w:szCs w:val="21"/>
                <w:highlight w:val="none"/>
              </w:rPr>
              <w:t>12：箱体有效容积（m3） ≥6</w:t>
            </w:r>
          </w:p>
          <w:p>
            <w:pPr>
              <w:rPr>
                <w:rFonts w:hAnsi="宋体" w:cs="宋体"/>
                <w:color w:val="auto"/>
                <w:szCs w:val="21"/>
                <w:highlight w:val="none"/>
              </w:rPr>
            </w:pPr>
            <w:r>
              <w:rPr>
                <w:rFonts w:hAnsi="宋体" w:cs="宋体"/>
                <w:color w:val="auto"/>
                <w:szCs w:val="21"/>
                <w:highlight w:val="none"/>
              </w:rPr>
              <w:t>13：压缩循环时间（s）≤25</w:t>
            </w:r>
          </w:p>
          <w:p>
            <w:pPr>
              <w:rPr>
                <w:rFonts w:hAnsi="宋体" w:cs="宋体"/>
                <w:color w:val="auto"/>
                <w:szCs w:val="21"/>
                <w:highlight w:val="none"/>
              </w:rPr>
            </w:pPr>
            <w:r>
              <w:rPr>
                <w:rFonts w:hAnsi="宋体" w:cs="宋体"/>
                <w:color w:val="auto"/>
                <w:szCs w:val="21"/>
                <w:highlight w:val="none"/>
              </w:rPr>
              <w:t>14：卸料循环时间（s）≤45</w:t>
            </w:r>
          </w:p>
          <w:p>
            <w:pPr>
              <w:rPr>
                <w:rFonts w:hAnsi="宋体" w:cs="宋体"/>
                <w:color w:val="auto"/>
                <w:szCs w:val="21"/>
                <w:highlight w:val="none"/>
              </w:rPr>
            </w:pPr>
            <w:r>
              <w:rPr>
                <w:rFonts w:hAnsi="宋体" w:cs="宋体"/>
                <w:color w:val="auto"/>
                <w:szCs w:val="21"/>
                <w:highlight w:val="none"/>
              </w:rPr>
              <w:t>15：控制方式：电控/手动/遥控</w:t>
            </w:r>
          </w:p>
          <w:p>
            <w:pPr>
              <w:rPr>
                <w:rFonts w:hAnsi="宋体" w:cs="宋体"/>
                <w:color w:val="auto"/>
                <w:szCs w:val="21"/>
                <w:highlight w:val="none"/>
              </w:rPr>
            </w:pPr>
            <w:r>
              <w:rPr>
                <w:rFonts w:hAnsi="宋体" w:cs="宋体"/>
                <w:color w:val="auto"/>
                <w:szCs w:val="21"/>
                <w:highlight w:val="none"/>
              </w:rPr>
              <w:t>16：驾驶室配备冷暖空调</w:t>
            </w:r>
          </w:p>
          <w:p>
            <w:pPr>
              <w:rPr>
                <w:rFonts w:hAnsi="宋体" w:cs="宋体"/>
                <w:color w:val="auto"/>
                <w:szCs w:val="21"/>
                <w:highlight w:val="none"/>
                <w:lang w:bidi="ar"/>
              </w:rPr>
            </w:pPr>
            <w:r>
              <w:rPr>
                <w:rFonts w:hAnsi="宋体" w:cs="宋体"/>
                <w:color w:val="auto"/>
                <w:szCs w:val="21"/>
                <w:highlight w:val="none"/>
                <w:lang w:bidi="ar"/>
              </w:rPr>
              <w:t>17：★提供国家工信部的汽车产品公告参数页截图；</w:t>
            </w:r>
          </w:p>
          <w:p>
            <w:pPr>
              <w:pStyle w:val="5"/>
              <w:rPr>
                <w:rFonts w:hAnsi="宋体" w:cs="宋体"/>
                <w:color w:val="auto"/>
                <w:szCs w:val="21"/>
                <w:highlight w:val="none"/>
              </w:rPr>
            </w:pPr>
            <w:r>
              <w:rPr>
                <w:rFonts w:hAnsi="宋体" w:cs="宋体"/>
                <w:color w:val="auto"/>
                <w:szCs w:val="21"/>
                <w:highlight w:val="none"/>
              </w:rPr>
              <w:t>二、主要性能及要求</w:t>
            </w:r>
          </w:p>
          <w:p>
            <w:pPr>
              <w:pStyle w:val="5"/>
              <w:rPr>
                <w:color w:val="auto"/>
                <w:highlight w:val="none"/>
                <w:lang w:bidi="ar"/>
              </w:rPr>
            </w:pPr>
            <w:r>
              <w:rPr>
                <w:rFonts w:hAnsi="宋体" w:cs="宋体"/>
                <w:color w:val="auto"/>
                <w:szCs w:val="21"/>
                <w:highlight w:val="none"/>
              </w:rPr>
              <w:t>1：箱体外观圆弧流线性，底板整体折边无焊接，杜绝泄漏风险。使用高强度锰钢板，不易变形，耐磨损，耐腐蚀性强。</w:t>
            </w:r>
          </w:p>
          <w:p>
            <w:pPr>
              <w:rPr>
                <w:rFonts w:hAnsi="宋体" w:cs="宋体"/>
                <w:color w:val="auto"/>
                <w:szCs w:val="21"/>
                <w:highlight w:val="none"/>
              </w:rPr>
            </w:pPr>
            <w:r>
              <w:rPr>
                <w:rFonts w:hAnsi="宋体" w:cs="宋体"/>
                <w:color w:val="auto"/>
                <w:szCs w:val="21"/>
                <w:highlight w:val="none"/>
              </w:rPr>
              <w:t>2：智能控制系统采用 CAN 总线设计，模块化结构。通过接近开关和油压感应两种方式结合，实现高效，稳定，易维护，具备手动、自动、半自动三套操纵方式，驾驶室内部、箱体前部、箱体后部均可操作，并配备远程遥控器。配备尾部夜间照明灯，配备双污水箱，带排水管，遥控器控制。</w:t>
            </w:r>
          </w:p>
          <w:p>
            <w:pPr>
              <w:rPr>
                <w:rFonts w:hAnsi="宋体" w:cs="宋体"/>
                <w:color w:val="auto"/>
                <w:szCs w:val="21"/>
                <w:highlight w:val="none"/>
              </w:rPr>
            </w:pPr>
            <w:r>
              <w:rPr>
                <w:rFonts w:hAnsi="宋体" w:cs="宋体"/>
                <w:color w:val="auto"/>
                <w:szCs w:val="21"/>
                <w:highlight w:val="none"/>
              </w:rPr>
              <w:t>3：翻转机构：三角斗式翻转机构，内部带桶装垃圾卡槽</w:t>
            </w:r>
          </w:p>
        </w:tc>
        <w:tc>
          <w:tcPr>
            <w:tcW w:w="775" w:type="dxa"/>
            <w:shd w:val="clear" w:color="auto" w:fill="auto"/>
          </w:tcPr>
          <w:p>
            <w:pP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13" w:type="dxa"/>
            <w:vMerge w:val="continue"/>
            <w:shd w:val="clear" w:color="auto" w:fill="auto"/>
          </w:tcPr>
          <w:p>
            <w:pPr>
              <w:rPr>
                <w:rFonts w:hAnsi="宋体" w:cs="宋体"/>
                <w:color w:val="auto"/>
                <w:szCs w:val="21"/>
                <w:highlight w:val="none"/>
              </w:rPr>
            </w:pPr>
          </w:p>
        </w:tc>
        <w:tc>
          <w:tcPr>
            <w:tcW w:w="1063" w:type="dxa"/>
            <w:shd w:val="clear" w:color="auto" w:fill="auto"/>
          </w:tcPr>
          <w:p>
            <w:pPr>
              <w:spacing w:before="3310" w:beforeLines="1000"/>
              <w:jc w:val="center"/>
              <w:rPr>
                <w:rFonts w:hAnsi="宋体" w:cs="宋体"/>
                <w:color w:val="auto"/>
                <w:szCs w:val="21"/>
                <w:highlight w:val="none"/>
              </w:rPr>
            </w:pPr>
            <w:r>
              <w:rPr>
                <w:rFonts w:hAnsi="宋体" w:cs="宋体"/>
                <w:color w:val="auto"/>
                <w:szCs w:val="21"/>
                <w:highlight w:val="none"/>
              </w:rPr>
              <w:t>车厢可卸式垃圾车</w:t>
            </w:r>
          </w:p>
        </w:tc>
        <w:tc>
          <w:tcPr>
            <w:tcW w:w="574" w:type="dxa"/>
            <w:shd w:val="clear" w:color="auto" w:fill="auto"/>
          </w:tcPr>
          <w:p>
            <w:pPr>
              <w:spacing w:before="3310" w:beforeLines="1000"/>
              <w:rPr>
                <w:rFonts w:hAnsi="宋体" w:cs="宋体"/>
                <w:color w:val="auto"/>
                <w:szCs w:val="21"/>
                <w:highlight w:val="none"/>
              </w:rPr>
            </w:pPr>
            <w:r>
              <w:rPr>
                <w:rFonts w:hAnsi="宋体" w:cs="宋体"/>
                <w:color w:val="auto"/>
                <w:szCs w:val="21"/>
                <w:highlight w:val="none"/>
              </w:rPr>
              <w:t>1</w:t>
            </w:r>
            <w:r>
              <w:rPr>
                <w:rFonts w:hint="eastAsia" w:hAnsi="宋体" w:cs="宋体"/>
                <w:color w:val="auto"/>
                <w:szCs w:val="21"/>
                <w:highlight w:val="none"/>
              </w:rPr>
              <w:t>辆</w:t>
            </w:r>
          </w:p>
        </w:tc>
        <w:tc>
          <w:tcPr>
            <w:tcW w:w="5688" w:type="dxa"/>
            <w:shd w:val="clear" w:color="auto" w:fill="auto"/>
          </w:tcPr>
          <w:p>
            <w:pPr>
              <w:rPr>
                <w:color w:val="auto"/>
                <w:szCs w:val="21"/>
                <w:highlight w:val="none"/>
              </w:rPr>
            </w:pPr>
            <w:r>
              <w:rPr>
                <w:color w:val="auto"/>
                <w:szCs w:val="21"/>
                <w:highlight w:val="none"/>
              </w:rPr>
              <w:t>1：外形尺寸（长x宽x高）（mm）：≤7200x2550x3150</w:t>
            </w:r>
          </w:p>
          <w:p>
            <w:pPr>
              <w:rPr>
                <w:color w:val="auto"/>
                <w:szCs w:val="21"/>
                <w:highlight w:val="none"/>
              </w:rPr>
            </w:pPr>
            <w:r>
              <w:rPr>
                <w:color w:val="auto"/>
                <w:szCs w:val="21"/>
                <w:highlight w:val="none"/>
              </w:rPr>
              <w:t>2：排放标准：国六排放标准</w:t>
            </w:r>
          </w:p>
          <w:p>
            <w:pPr>
              <w:rPr>
                <w:color w:val="auto"/>
                <w:szCs w:val="21"/>
                <w:highlight w:val="none"/>
              </w:rPr>
            </w:pPr>
            <w:r>
              <w:rPr>
                <w:color w:val="auto"/>
                <w:szCs w:val="21"/>
                <w:highlight w:val="none"/>
              </w:rPr>
              <w:t>3：最大总质量（kg）</w:t>
            </w:r>
            <w:r>
              <w:rPr>
                <w:rFonts w:hAnsi="宋体" w:cs="宋体"/>
                <w:color w:val="auto"/>
                <w:szCs w:val="21"/>
                <w:highlight w:val="none"/>
              </w:rPr>
              <w:t>≤</w:t>
            </w:r>
            <w:r>
              <w:rPr>
                <w:color w:val="auto"/>
                <w:szCs w:val="21"/>
                <w:highlight w:val="none"/>
              </w:rPr>
              <w:t>18000</w:t>
            </w:r>
          </w:p>
          <w:p>
            <w:pPr>
              <w:rPr>
                <w:color w:val="auto"/>
                <w:szCs w:val="21"/>
                <w:highlight w:val="none"/>
              </w:rPr>
            </w:pPr>
            <w:r>
              <w:rPr>
                <w:color w:val="auto"/>
                <w:szCs w:val="21"/>
                <w:highlight w:val="none"/>
              </w:rPr>
              <w:t>4:</w:t>
            </w:r>
            <w:r>
              <w:rPr>
                <w:rFonts w:hAnsi="宋体" w:cs="宋体"/>
                <w:color w:val="auto"/>
                <w:szCs w:val="21"/>
                <w:highlight w:val="none"/>
                <w:lang w:bidi="ar"/>
              </w:rPr>
              <w:t xml:space="preserve"> ★</w:t>
            </w:r>
            <w:r>
              <w:rPr>
                <w:color w:val="auto"/>
                <w:szCs w:val="21"/>
                <w:highlight w:val="none"/>
              </w:rPr>
              <w:t>整备质量（kg）≤7180</w:t>
            </w:r>
          </w:p>
          <w:p>
            <w:pPr>
              <w:rPr>
                <w:color w:val="auto"/>
                <w:szCs w:val="21"/>
                <w:highlight w:val="none"/>
              </w:rPr>
            </w:pPr>
            <w:r>
              <w:rPr>
                <w:color w:val="auto"/>
                <w:szCs w:val="21"/>
                <w:highlight w:val="none"/>
              </w:rPr>
              <w:t>5：</w:t>
            </w:r>
            <w:r>
              <w:rPr>
                <w:rFonts w:hAnsi="宋体" w:cs="宋体"/>
                <w:color w:val="auto"/>
                <w:szCs w:val="21"/>
                <w:highlight w:val="none"/>
                <w:lang w:bidi="ar"/>
              </w:rPr>
              <w:t>★</w:t>
            </w:r>
            <w:r>
              <w:rPr>
                <w:color w:val="auto"/>
                <w:szCs w:val="21"/>
                <w:highlight w:val="none"/>
              </w:rPr>
              <w:t>额定载质量（kg）≥10690</w:t>
            </w:r>
          </w:p>
          <w:p>
            <w:pPr>
              <w:rPr>
                <w:color w:val="auto"/>
                <w:szCs w:val="21"/>
                <w:highlight w:val="none"/>
              </w:rPr>
            </w:pPr>
            <w:r>
              <w:rPr>
                <w:color w:val="auto"/>
                <w:szCs w:val="21"/>
                <w:highlight w:val="none"/>
              </w:rPr>
              <w:t>6:接去角/离去角≥18/13</w:t>
            </w:r>
          </w:p>
          <w:p>
            <w:pPr>
              <w:rPr>
                <w:color w:val="auto"/>
                <w:szCs w:val="21"/>
                <w:highlight w:val="none"/>
              </w:rPr>
            </w:pPr>
            <w:r>
              <w:rPr>
                <w:color w:val="auto"/>
                <w:szCs w:val="21"/>
                <w:highlight w:val="none"/>
              </w:rPr>
              <w:t>7:前悬/后悬（mm）≥1260/1200</w:t>
            </w:r>
          </w:p>
          <w:p>
            <w:pPr>
              <w:rPr>
                <w:color w:val="auto"/>
                <w:szCs w:val="21"/>
                <w:highlight w:val="none"/>
              </w:rPr>
            </w:pPr>
            <w:r>
              <w:rPr>
                <w:color w:val="auto"/>
                <w:szCs w:val="21"/>
                <w:highlight w:val="none"/>
              </w:rPr>
              <w:t>8：轴距（mm）≥4500</w:t>
            </w:r>
          </w:p>
          <w:p>
            <w:pPr>
              <w:rPr>
                <w:color w:val="auto"/>
                <w:szCs w:val="21"/>
                <w:highlight w:val="none"/>
              </w:rPr>
            </w:pPr>
            <w:r>
              <w:rPr>
                <w:color w:val="auto"/>
                <w:szCs w:val="21"/>
                <w:highlight w:val="none"/>
              </w:rPr>
              <w:t>9：最高车速（km/h）≥89</w:t>
            </w:r>
          </w:p>
          <w:p>
            <w:pPr>
              <w:rPr>
                <w:color w:val="auto"/>
                <w:szCs w:val="21"/>
                <w:highlight w:val="none"/>
              </w:rPr>
            </w:pPr>
            <w:r>
              <w:rPr>
                <w:color w:val="auto"/>
                <w:szCs w:val="21"/>
                <w:highlight w:val="none"/>
              </w:rPr>
              <w:t>10：轴荷：≥6500/11500</w:t>
            </w:r>
          </w:p>
          <w:p>
            <w:pPr>
              <w:rPr>
                <w:color w:val="auto"/>
                <w:szCs w:val="21"/>
                <w:highlight w:val="none"/>
              </w:rPr>
            </w:pPr>
            <w:r>
              <w:rPr>
                <w:color w:val="auto"/>
                <w:szCs w:val="21"/>
                <w:highlight w:val="none"/>
              </w:rPr>
              <w:t>11：发动机功率（kw）≥147</w:t>
            </w:r>
          </w:p>
          <w:p>
            <w:pPr>
              <w:rPr>
                <w:color w:val="auto"/>
                <w:szCs w:val="21"/>
                <w:highlight w:val="none"/>
              </w:rPr>
            </w:pPr>
            <w:r>
              <w:rPr>
                <w:color w:val="auto"/>
                <w:szCs w:val="21"/>
                <w:highlight w:val="none"/>
              </w:rPr>
              <w:t>12：拉箱作业时间（s）≤60s</w:t>
            </w:r>
          </w:p>
          <w:p>
            <w:pPr>
              <w:rPr>
                <w:color w:val="auto"/>
                <w:szCs w:val="21"/>
                <w:highlight w:val="none"/>
              </w:rPr>
            </w:pPr>
            <w:r>
              <w:rPr>
                <w:color w:val="auto"/>
                <w:szCs w:val="21"/>
                <w:highlight w:val="none"/>
              </w:rPr>
              <w:t>13：卸料作业时间（s）≤50s</w:t>
            </w:r>
          </w:p>
          <w:p>
            <w:pPr>
              <w:rPr>
                <w:color w:val="auto"/>
                <w:szCs w:val="21"/>
                <w:highlight w:val="none"/>
              </w:rPr>
            </w:pPr>
            <w:r>
              <w:rPr>
                <w:color w:val="auto"/>
                <w:szCs w:val="21"/>
                <w:highlight w:val="none"/>
              </w:rPr>
              <w:t>14：钩心高度（mm）≥1570MM</w:t>
            </w:r>
          </w:p>
          <w:p>
            <w:pPr>
              <w:rPr>
                <w:color w:val="auto"/>
                <w:szCs w:val="21"/>
                <w:highlight w:val="none"/>
              </w:rPr>
            </w:pPr>
            <w:r>
              <w:rPr>
                <w:color w:val="auto"/>
                <w:szCs w:val="21"/>
                <w:highlight w:val="none"/>
              </w:rPr>
              <w:t>15：额度提升能力（t）≥16 T</w:t>
            </w:r>
          </w:p>
          <w:p>
            <w:pPr>
              <w:rPr>
                <w:color w:val="auto"/>
                <w:szCs w:val="21"/>
                <w:highlight w:val="none"/>
              </w:rPr>
            </w:pPr>
            <w:r>
              <w:rPr>
                <w:color w:val="auto"/>
                <w:szCs w:val="21"/>
                <w:highlight w:val="none"/>
              </w:rPr>
              <w:t>16：驾驶室配备冷暖空调</w:t>
            </w:r>
          </w:p>
          <w:p>
            <w:pPr>
              <w:rPr>
                <w:rFonts w:hAnsi="宋体" w:cs="宋体"/>
                <w:color w:val="auto"/>
                <w:szCs w:val="21"/>
                <w:highlight w:val="none"/>
                <w:lang w:bidi="ar"/>
              </w:rPr>
            </w:pPr>
            <w:r>
              <w:rPr>
                <w:rFonts w:hAnsi="宋体" w:cs="宋体"/>
                <w:color w:val="auto"/>
                <w:szCs w:val="21"/>
                <w:highlight w:val="none"/>
              </w:rPr>
              <w:t>17：</w:t>
            </w:r>
            <w:r>
              <w:rPr>
                <w:rFonts w:hAnsi="宋体" w:cs="宋体"/>
                <w:color w:val="auto"/>
                <w:szCs w:val="21"/>
                <w:highlight w:val="none"/>
                <w:lang w:bidi="ar"/>
              </w:rPr>
              <w:t>★提供国家工信部的汽车产品公告参数页截图；</w:t>
            </w:r>
          </w:p>
          <w:p>
            <w:pPr>
              <w:rPr>
                <w:color w:val="auto"/>
                <w:szCs w:val="21"/>
                <w:highlight w:val="none"/>
                <w:lang w:bidi="ar"/>
              </w:rPr>
            </w:pPr>
            <w:r>
              <w:rPr>
                <w:color w:val="auto"/>
                <w:szCs w:val="21"/>
                <w:highlight w:val="none"/>
                <w:lang w:bidi="ar"/>
              </w:rPr>
              <w:t>二、主要性能及要求</w:t>
            </w:r>
          </w:p>
          <w:p>
            <w:pPr>
              <w:pStyle w:val="5"/>
              <w:rPr>
                <w:color w:val="auto"/>
                <w:highlight w:val="none"/>
                <w:lang w:bidi="ar"/>
              </w:rPr>
            </w:pPr>
            <w:r>
              <w:rPr>
                <w:color w:val="auto"/>
                <w:highlight w:val="none"/>
                <w:lang w:bidi="ar"/>
              </w:rPr>
              <w:t>1:配备电控系统实现拉箱、锁紧、放箱和自卸等操作，手电一体，配备液压后支腿。</w:t>
            </w:r>
          </w:p>
        </w:tc>
        <w:tc>
          <w:tcPr>
            <w:tcW w:w="775" w:type="dxa"/>
            <w:shd w:val="clear" w:color="auto" w:fill="auto"/>
          </w:tcPr>
          <w:p>
            <w:pP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13" w:type="dxa"/>
            <w:shd w:val="clear" w:color="auto" w:fill="auto"/>
          </w:tcPr>
          <w:p>
            <w:pPr>
              <w:rPr>
                <w:rFonts w:hAnsi="宋体" w:cs="宋体"/>
                <w:color w:val="auto"/>
                <w:szCs w:val="21"/>
                <w:highlight w:val="none"/>
              </w:rPr>
            </w:pPr>
          </w:p>
        </w:tc>
        <w:tc>
          <w:tcPr>
            <w:tcW w:w="1063" w:type="dxa"/>
            <w:shd w:val="clear" w:color="auto" w:fill="auto"/>
          </w:tcPr>
          <w:p>
            <w:pPr>
              <w:spacing w:before="6620" w:beforeLines="2000"/>
              <w:rPr>
                <w:rFonts w:hAnsi="宋体" w:cs="宋体"/>
                <w:color w:val="auto"/>
                <w:szCs w:val="21"/>
                <w:highlight w:val="none"/>
              </w:rPr>
            </w:pPr>
            <w:r>
              <w:rPr>
                <w:rFonts w:hAnsi="宋体" w:cs="宋体"/>
                <w:color w:val="auto"/>
                <w:szCs w:val="21"/>
                <w:highlight w:val="none"/>
              </w:rPr>
              <w:t>智能移动式垃圾压缩设备</w:t>
            </w:r>
          </w:p>
        </w:tc>
        <w:tc>
          <w:tcPr>
            <w:tcW w:w="574" w:type="dxa"/>
            <w:shd w:val="clear" w:color="auto" w:fill="auto"/>
          </w:tcPr>
          <w:p>
            <w:pPr>
              <w:spacing w:before="6620" w:beforeLines="2000"/>
              <w:rPr>
                <w:rFonts w:hAnsi="宋体" w:cs="宋体"/>
                <w:color w:val="auto"/>
                <w:szCs w:val="21"/>
                <w:highlight w:val="none"/>
              </w:rPr>
            </w:pPr>
            <w:r>
              <w:rPr>
                <w:rFonts w:hAnsi="宋体" w:cs="宋体"/>
                <w:color w:val="auto"/>
                <w:szCs w:val="21"/>
                <w:highlight w:val="none"/>
              </w:rPr>
              <w:t>2台</w:t>
            </w:r>
          </w:p>
        </w:tc>
        <w:tc>
          <w:tcPr>
            <w:tcW w:w="5688" w:type="dxa"/>
            <w:shd w:val="clear" w:color="auto" w:fill="auto"/>
          </w:tcPr>
          <w:p>
            <w:pPr>
              <w:rPr>
                <w:rFonts w:hAnsi="宋体" w:cs="宋体"/>
                <w:color w:val="auto"/>
                <w:szCs w:val="21"/>
                <w:highlight w:val="none"/>
              </w:rPr>
            </w:pPr>
            <w:r>
              <w:rPr>
                <w:rFonts w:hAnsi="宋体" w:cs="宋体"/>
                <w:color w:val="auto"/>
                <w:szCs w:val="21"/>
                <w:highlight w:val="none"/>
              </w:rPr>
              <w:t>1：</w:t>
            </w:r>
            <w:r>
              <w:rPr>
                <w:rStyle w:val="36"/>
                <w:rFonts w:hint="default"/>
                <w:color w:val="auto"/>
                <w:sz w:val="21"/>
                <w:szCs w:val="21"/>
                <w:highlight w:val="none"/>
                <w:lang w:bidi="ar"/>
              </w:rPr>
              <w:t>▲</w:t>
            </w:r>
            <w:r>
              <w:rPr>
                <w:rFonts w:hAnsi="宋体" w:cs="宋体"/>
                <w:color w:val="auto"/>
                <w:szCs w:val="21"/>
                <w:highlight w:val="none"/>
              </w:rPr>
              <w:t>压缩机外形尺寸（长x宽x高）（mm）4910×2480×2490</w:t>
            </w:r>
            <w:r>
              <w:rPr>
                <w:rFonts w:hint="eastAsia" w:hAnsi="宋体" w:cs="宋体"/>
                <w:color w:val="auto"/>
                <w:szCs w:val="21"/>
                <w:highlight w:val="none"/>
              </w:rPr>
              <w:t>允许各尺寸正负偏离5mm</w:t>
            </w:r>
            <w:r>
              <w:rPr>
                <w:rFonts w:hAnsi="宋体" w:cs="宋体"/>
                <w:color w:val="auto"/>
                <w:szCs w:val="21"/>
                <w:highlight w:val="none"/>
              </w:rPr>
              <w:t>（须提供2021年或2022年以来具有产品质量检验资质的</w:t>
            </w:r>
            <w:r>
              <w:rPr>
                <w:rFonts w:hint="eastAsia" w:hAnsi="宋体" w:cs="宋体"/>
                <w:color w:val="auto"/>
                <w:szCs w:val="21"/>
                <w:highlight w:val="none"/>
              </w:rPr>
              <w:t>地级市</w:t>
            </w:r>
            <w:r>
              <w:rPr>
                <w:rFonts w:hAnsi="宋体" w:cs="宋体"/>
                <w:color w:val="auto"/>
                <w:szCs w:val="21"/>
                <w:highlight w:val="none"/>
              </w:rPr>
              <w:t>（或以上）检测机构的产品检测报告（带CMA和CNAS资质标识）作为证明材料。）</w:t>
            </w:r>
          </w:p>
          <w:p>
            <w:pPr>
              <w:rPr>
                <w:rFonts w:hAnsi="宋体" w:cs="宋体"/>
                <w:color w:val="auto"/>
                <w:szCs w:val="21"/>
                <w:highlight w:val="none"/>
              </w:rPr>
            </w:pPr>
            <w:r>
              <w:rPr>
                <w:rFonts w:hAnsi="宋体" w:cs="宋体"/>
                <w:color w:val="auto"/>
                <w:szCs w:val="21"/>
                <w:highlight w:val="none"/>
              </w:rPr>
              <w:t>2：箱体总容积：≥ 12m3</w:t>
            </w:r>
          </w:p>
          <w:p>
            <w:pPr>
              <w:rPr>
                <w:rFonts w:hAnsi="宋体" w:cs="宋体"/>
                <w:color w:val="auto"/>
                <w:szCs w:val="21"/>
                <w:highlight w:val="none"/>
              </w:rPr>
            </w:pPr>
            <w:r>
              <w:rPr>
                <w:rFonts w:hAnsi="宋体" w:cs="宋体"/>
                <w:color w:val="auto"/>
                <w:szCs w:val="21"/>
                <w:highlight w:val="none"/>
              </w:rPr>
              <w:t>3：翻料斗容积：≥3m³</w:t>
            </w:r>
          </w:p>
          <w:p>
            <w:pPr>
              <w:rPr>
                <w:rFonts w:hAnsi="宋体" w:cs="宋体"/>
                <w:color w:val="auto"/>
                <w:szCs w:val="21"/>
                <w:highlight w:val="none"/>
              </w:rPr>
            </w:pPr>
            <w:r>
              <w:rPr>
                <w:rFonts w:hAnsi="宋体" w:cs="宋体"/>
                <w:color w:val="auto"/>
                <w:szCs w:val="21"/>
                <w:highlight w:val="none"/>
              </w:rPr>
              <w:t>4：最大压缩力：≤40KN</w:t>
            </w:r>
          </w:p>
          <w:p>
            <w:pPr>
              <w:rPr>
                <w:rFonts w:hAnsi="宋体" w:cs="宋体"/>
                <w:color w:val="auto"/>
                <w:szCs w:val="21"/>
                <w:highlight w:val="none"/>
              </w:rPr>
            </w:pPr>
            <w:r>
              <w:rPr>
                <w:rFonts w:hAnsi="宋体" w:cs="宋体"/>
                <w:color w:val="auto"/>
                <w:szCs w:val="21"/>
                <w:highlight w:val="none"/>
              </w:rPr>
              <w:t>5：翻斗机构最大举升力：≥1T</w:t>
            </w:r>
          </w:p>
          <w:p>
            <w:pPr>
              <w:rPr>
                <w:rFonts w:hAnsi="宋体" w:cs="宋体"/>
                <w:color w:val="auto"/>
                <w:szCs w:val="21"/>
                <w:highlight w:val="none"/>
              </w:rPr>
            </w:pPr>
            <w:r>
              <w:rPr>
                <w:rFonts w:hAnsi="宋体" w:cs="宋体"/>
                <w:color w:val="auto"/>
                <w:szCs w:val="21"/>
                <w:highlight w:val="none"/>
              </w:rPr>
              <w:t>6：电动机额度功率：≥7.5KW</w:t>
            </w:r>
          </w:p>
          <w:p>
            <w:pPr>
              <w:rPr>
                <w:rFonts w:hAnsi="宋体" w:cs="宋体"/>
                <w:color w:val="auto"/>
                <w:szCs w:val="21"/>
                <w:highlight w:val="none"/>
              </w:rPr>
            </w:pPr>
            <w:r>
              <w:rPr>
                <w:rFonts w:hAnsi="宋体" w:cs="宋体"/>
                <w:color w:val="auto"/>
                <w:szCs w:val="21"/>
                <w:highlight w:val="none"/>
              </w:rPr>
              <w:t>7：整机重量：≤5000kg</w:t>
            </w:r>
          </w:p>
          <w:p>
            <w:pPr>
              <w:rPr>
                <w:rFonts w:hAnsi="宋体" w:cs="宋体"/>
                <w:color w:val="auto"/>
                <w:szCs w:val="21"/>
                <w:highlight w:val="none"/>
              </w:rPr>
            </w:pPr>
            <w:r>
              <w:rPr>
                <w:rFonts w:hAnsi="宋体" w:cs="宋体"/>
                <w:color w:val="auto"/>
                <w:szCs w:val="21"/>
                <w:highlight w:val="none"/>
              </w:rPr>
              <w:t>8：电源：380VAC/50Hz（三相五线 制），防水设计</w:t>
            </w:r>
          </w:p>
          <w:p>
            <w:pPr>
              <w:rPr>
                <w:rFonts w:hAnsi="宋体" w:cs="宋体"/>
                <w:color w:val="auto"/>
                <w:szCs w:val="21"/>
                <w:highlight w:val="none"/>
              </w:rPr>
            </w:pPr>
            <w:r>
              <w:rPr>
                <w:rFonts w:hAnsi="宋体" w:cs="宋体"/>
                <w:color w:val="auto"/>
                <w:szCs w:val="21"/>
                <w:highlight w:val="none"/>
              </w:rPr>
              <w:t>9：翻料斗容积：≥ 3m³</w:t>
            </w:r>
          </w:p>
          <w:p>
            <w:pPr>
              <w:pStyle w:val="4"/>
              <w:ind w:firstLine="0"/>
              <w:rPr>
                <w:rFonts w:hAnsi="宋体" w:cs="宋体"/>
                <w:color w:val="auto"/>
                <w:sz w:val="21"/>
                <w:szCs w:val="21"/>
                <w:highlight w:val="none"/>
              </w:rPr>
            </w:pPr>
            <w:r>
              <w:rPr>
                <w:rFonts w:hAnsi="宋体" w:cs="宋体"/>
                <w:color w:val="auto"/>
                <w:sz w:val="21"/>
                <w:szCs w:val="21"/>
                <w:highlight w:val="none"/>
              </w:rPr>
              <w:t>10：压实密度：0.75-0.85</w:t>
            </w:r>
          </w:p>
          <w:p>
            <w:pPr>
              <w:pStyle w:val="5"/>
              <w:rPr>
                <w:rFonts w:hAnsi="宋体" w:cs="宋体"/>
                <w:color w:val="auto"/>
                <w:szCs w:val="21"/>
                <w:highlight w:val="none"/>
              </w:rPr>
            </w:pPr>
            <w:r>
              <w:rPr>
                <w:rFonts w:hAnsi="宋体" w:cs="宋体"/>
                <w:color w:val="auto"/>
                <w:szCs w:val="21"/>
                <w:highlight w:val="none"/>
              </w:rPr>
              <w:t>11：液压系统额度压力：≥21</w:t>
            </w:r>
          </w:p>
          <w:p>
            <w:pPr>
              <w:rPr>
                <w:rFonts w:hAnsi="宋体" w:cs="宋体"/>
                <w:color w:val="auto"/>
                <w:szCs w:val="21"/>
                <w:highlight w:val="none"/>
              </w:rPr>
            </w:pPr>
            <w:r>
              <w:rPr>
                <w:rFonts w:hAnsi="宋体" w:cs="宋体"/>
                <w:color w:val="auto"/>
                <w:szCs w:val="21"/>
                <w:highlight w:val="none"/>
              </w:rPr>
              <w:t>12：</w:t>
            </w:r>
            <w:r>
              <w:rPr>
                <w:rFonts w:hint="eastAsia" w:hAnsi="宋体" w:cs="宋体"/>
                <w:color w:val="auto"/>
                <w:szCs w:val="21"/>
                <w:highlight w:val="none"/>
              </w:rPr>
              <w:t>勾心距地面高度</w:t>
            </w:r>
            <w:r>
              <w:rPr>
                <w:rFonts w:hAnsi="宋体" w:cs="宋体"/>
                <w:color w:val="auto"/>
                <w:szCs w:val="21"/>
                <w:highlight w:val="none"/>
              </w:rPr>
              <w:t>≤1575</w:t>
            </w:r>
            <w:r>
              <w:rPr>
                <w:rFonts w:hint="eastAsia" w:hAnsi="宋体" w:cs="宋体"/>
                <w:color w:val="auto"/>
                <w:szCs w:val="21"/>
                <w:highlight w:val="none"/>
              </w:rPr>
              <w:t>mm</w:t>
            </w:r>
            <w:r>
              <w:rPr>
                <w:rFonts w:hAnsi="宋体" w:cs="宋体"/>
                <w:color w:val="auto"/>
                <w:szCs w:val="21"/>
                <w:highlight w:val="none"/>
              </w:rPr>
              <w:t>（须提供2021年或2022年以来具有产品质量检验资质的</w:t>
            </w:r>
            <w:r>
              <w:rPr>
                <w:rFonts w:hint="eastAsia" w:hAnsi="宋体" w:cs="宋体"/>
                <w:color w:val="auto"/>
                <w:szCs w:val="21"/>
                <w:highlight w:val="none"/>
              </w:rPr>
              <w:t>地级市</w:t>
            </w:r>
            <w:r>
              <w:rPr>
                <w:rFonts w:hAnsi="宋体" w:cs="宋体"/>
                <w:color w:val="auto"/>
                <w:szCs w:val="21"/>
                <w:highlight w:val="none"/>
              </w:rPr>
              <w:t>（或以上）检测机构的产品检测报告（带CMA资质标识）作为证明材料。）</w:t>
            </w:r>
          </w:p>
          <w:p>
            <w:pPr>
              <w:pStyle w:val="4"/>
              <w:ind w:firstLine="0"/>
              <w:rPr>
                <w:rFonts w:hAnsi="宋体" w:cs="宋体"/>
                <w:color w:val="auto"/>
                <w:sz w:val="21"/>
                <w:szCs w:val="21"/>
                <w:highlight w:val="none"/>
              </w:rPr>
            </w:pPr>
            <w:r>
              <w:rPr>
                <w:rFonts w:hAnsi="宋体" w:cs="宋体"/>
                <w:color w:val="auto"/>
                <w:sz w:val="21"/>
                <w:szCs w:val="21"/>
                <w:highlight w:val="none"/>
              </w:rPr>
              <w:t>13：</w:t>
            </w:r>
            <w:r>
              <w:rPr>
                <w:rStyle w:val="36"/>
                <w:rFonts w:hint="default"/>
                <w:color w:val="auto"/>
                <w:sz w:val="21"/>
                <w:szCs w:val="21"/>
                <w:highlight w:val="none"/>
                <w:lang w:bidi="ar"/>
              </w:rPr>
              <w:t>▲</w:t>
            </w:r>
            <w:r>
              <w:rPr>
                <w:rFonts w:hAnsi="宋体" w:cs="宋体"/>
                <w:color w:val="auto"/>
                <w:sz w:val="21"/>
                <w:szCs w:val="21"/>
                <w:highlight w:val="none"/>
              </w:rPr>
              <w:t>压缩循环时间（s）≤30s（须提供2021年或2022年以来具有产品质量检验资质的</w:t>
            </w:r>
            <w:r>
              <w:rPr>
                <w:rFonts w:hint="eastAsia" w:hAnsi="宋体" w:cs="宋体"/>
                <w:color w:val="auto"/>
                <w:sz w:val="21"/>
                <w:szCs w:val="21"/>
                <w:highlight w:val="none"/>
              </w:rPr>
              <w:t>地级市</w:t>
            </w:r>
            <w:r>
              <w:rPr>
                <w:rFonts w:hAnsi="宋体" w:cs="宋体"/>
                <w:color w:val="auto"/>
                <w:sz w:val="21"/>
                <w:szCs w:val="21"/>
                <w:highlight w:val="none"/>
              </w:rPr>
              <w:t>（或以上）检测机构的产品检测报告（带CMA和CNAS资质标识）作为证明材料。）</w:t>
            </w:r>
          </w:p>
          <w:p>
            <w:pPr>
              <w:pStyle w:val="5"/>
              <w:rPr>
                <w:rFonts w:hAnsi="宋体" w:cs="宋体"/>
                <w:color w:val="auto"/>
                <w:szCs w:val="21"/>
                <w:highlight w:val="none"/>
              </w:rPr>
            </w:pPr>
            <w:r>
              <w:rPr>
                <w:rFonts w:hAnsi="宋体" w:cs="宋体"/>
                <w:color w:val="auto"/>
                <w:szCs w:val="21"/>
                <w:highlight w:val="none"/>
              </w:rPr>
              <w:t>14: 导向轮轮距≤1060mm（须提供2021年或2022年以来具有产品质量检验资质的</w:t>
            </w:r>
            <w:r>
              <w:rPr>
                <w:rFonts w:hint="eastAsia" w:hAnsi="宋体" w:cs="宋体"/>
                <w:color w:val="auto"/>
                <w:szCs w:val="21"/>
                <w:highlight w:val="none"/>
              </w:rPr>
              <w:t>地</w:t>
            </w:r>
            <w:r>
              <w:rPr>
                <w:rFonts w:hAnsi="宋体" w:cs="宋体"/>
                <w:color w:val="auto"/>
                <w:szCs w:val="21"/>
                <w:highlight w:val="none"/>
              </w:rPr>
              <w:t>级</w:t>
            </w:r>
            <w:r>
              <w:rPr>
                <w:rFonts w:hint="eastAsia" w:hAnsi="宋体" w:cs="宋体"/>
                <w:color w:val="auto"/>
                <w:szCs w:val="21"/>
                <w:highlight w:val="none"/>
              </w:rPr>
              <w:t>市</w:t>
            </w:r>
            <w:r>
              <w:rPr>
                <w:rFonts w:hAnsi="宋体" w:cs="宋体"/>
                <w:color w:val="auto"/>
                <w:szCs w:val="21"/>
                <w:highlight w:val="none"/>
              </w:rPr>
              <w:t>（或以上）检测机构的产品检测报告（带CMA资质标识）作为证明材料。）</w:t>
            </w:r>
          </w:p>
          <w:p>
            <w:pPr>
              <w:rPr>
                <w:rFonts w:hAnsi="宋体" w:cs="宋体"/>
                <w:color w:val="auto"/>
                <w:szCs w:val="21"/>
                <w:highlight w:val="none"/>
              </w:rPr>
            </w:pPr>
            <w:r>
              <w:rPr>
                <w:rFonts w:hAnsi="宋体" w:cs="宋体"/>
                <w:color w:val="auto"/>
                <w:szCs w:val="21"/>
                <w:highlight w:val="none"/>
              </w:rPr>
              <w:t>15：外观质量：各构件外表面应平整光滑，</w:t>
            </w:r>
            <w:r>
              <w:rPr>
                <w:rFonts w:hint="eastAsia" w:hAnsi="宋体" w:cs="宋体"/>
                <w:color w:val="auto"/>
                <w:szCs w:val="21"/>
                <w:highlight w:val="none"/>
              </w:rPr>
              <w:t>不得有</w:t>
            </w:r>
            <w:r>
              <w:rPr>
                <w:rFonts w:hAnsi="宋体" w:cs="宋体"/>
                <w:color w:val="auto"/>
                <w:szCs w:val="21"/>
                <w:highlight w:val="none"/>
              </w:rPr>
              <w:t>明显凹凸、碰伤等现象。各联接件</w:t>
            </w:r>
            <w:r>
              <w:rPr>
                <w:rFonts w:hint="eastAsia" w:hAnsi="宋体" w:cs="宋体"/>
                <w:color w:val="auto"/>
                <w:szCs w:val="21"/>
                <w:highlight w:val="none"/>
              </w:rPr>
              <w:t>应</w:t>
            </w:r>
            <w:r>
              <w:rPr>
                <w:rFonts w:hAnsi="宋体" w:cs="宋体"/>
                <w:color w:val="auto"/>
                <w:szCs w:val="21"/>
                <w:highlight w:val="none"/>
              </w:rPr>
              <w:t>联结牢固可靠，</w:t>
            </w:r>
            <w:r>
              <w:rPr>
                <w:rFonts w:hint="eastAsia" w:hAnsi="宋体" w:cs="宋体"/>
                <w:color w:val="auto"/>
                <w:szCs w:val="21"/>
                <w:highlight w:val="none"/>
              </w:rPr>
              <w:t>不得有</w:t>
            </w:r>
            <w:r>
              <w:rPr>
                <w:rFonts w:hAnsi="宋体" w:cs="宋体"/>
                <w:color w:val="auto"/>
                <w:szCs w:val="21"/>
                <w:highlight w:val="none"/>
              </w:rPr>
              <w:t>松动现象。各焊接部位焊接</w:t>
            </w:r>
            <w:r>
              <w:rPr>
                <w:rFonts w:hint="eastAsia" w:hAnsi="宋体" w:cs="宋体"/>
                <w:color w:val="auto"/>
                <w:szCs w:val="21"/>
                <w:highlight w:val="none"/>
              </w:rPr>
              <w:t>应</w:t>
            </w:r>
            <w:r>
              <w:rPr>
                <w:rFonts w:hAnsi="宋体" w:cs="宋体"/>
                <w:color w:val="auto"/>
                <w:szCs w:val="21"/>
                <w:highlight w:val="none"/>
              </w:rPr>
              <w:t>平直、均匀，</w:t>
            </w:r>
            <w:r>
              <w:rPr>
                <w:rFonts w:hint="eastAsia" w:hAnsi="宋体" w:cs="宋体"/>
                <w:color w:val="auto"/>
                <w:szCs w:val="21"/>
                <w:highlight w:val="none"/>
              </w:rPr>
              <w:t>不得有</w:t>
            </w:r>
            <w:r>
              <w:rPr>
                <w:rFonts w:hAnsi="宋体" w:cs="宋体"/>
                <w:color w:val="auto"/>
                <w:szCs w:val="21"/>
                <w:highlight w:val="none"/>
              </w:rPr>
              <w:t>夹渣、气孔、咬边和焊</w:t>
            </w:r>
            <w:r>
              <w:rPr>
                <w:rFonts w:hint="eastAsia" w:hAnsi="宋体" w:cs="宋体"/>
                <w:color w:val="auto"/>
                <w:szCs w:val="21"/>
                <w:highlight w:val="none"/>
              </w:rPr>
              <w:t>穿</w:t>
            </w:r>
            <w:r>
              <w:rPr>
                <w:rFonts w:hAnsi="宋体" w:cs="宋体"/>
                <w:color w:val="auto"/>
                <w:szCs w:val="21"/>
                <w:highlight w:val="none"/>
              </w:rPr>
              <w:t>等缺陷。油漆涂层</w:t>
            </w:r>
            <w:r>
              <w:rPr>
                <w:rFonts w:hint="eastAsia" w:hAnsi="宋体" w:cs="宋体"/>
                <w:color w:val="auto"/>
                <w:szCs w:val="21"/>
                <w:highlight w:val="none"/>
              </w:rPr>
              <w:t>应</w:t>
            </w:r>
            <w:r>
              <w:rPr>
                <w:rFonts w:hAnsi="宋体" w:cs="宋体"/>
                <w:color w:val="auto"/>
                <w:szCs w:val="21"/>
                <w:highlight w:val="none"/>
              </w:rPr>
              <w:t>光滑平整，</w:t>
            </w:r>
            <w:r>
              <w:rPr>
                <w:rFonts w:hint="eastAsia" w:hAnsi="宋体" w:cs="宋体"/>
                <w:color w:val="auto"/>
                <w:szCs w:val="21"/>
                <w:highlight w:val="none"/>
              </w:rPr>
              <w:t>不得有</w:t>
            </w:r>
            <w:r>
              <w:rPr>
                <w:rFonts w:hAnsi="宋体" w:cs="宋体"/>
                <w:color w:val="auto"/>
                <w:szCs w:val="21"/>
                <w:highlight w:val="none"/>
              </w:rPr>
              <w:t>流痕、鼓泡、裂纹等缺陷。箱体侧板表面</w:t>
            </w:r>
            <w:r>
              <w:rPr>
                <w:rFonts w:hint="eastAsia" w:hAnsi="宋体" w:cs="宋体"/>
                <w:color w:val="auto"/>
                <w:szCs w:val="21"/>
                <w:highlight w:val="none"/>
              </w:rPr>
              <w:t>应</w:t>
            </w:r>
            <w:r>
              <w:rPr>
                <w:rFonts w:hAnsi="宋体" w:cs="宋体"/>
                <w:color w:val="auto"/>
                <w:szCs w:val="21"/>
                <w:highlight w:val="none"/>
              </w:rPr>
              <w:t>平整，</w:t>
            </w:r>
            <w:r>
              <w:rPr>
                <w:rFonts w:hint="eastAsia" w:hAnsi="宋体" w:cs="宋体"/>
                <w:color w:val="auto"/>
                <w:szCs w:val="21"/>
                <w:highlight w:val="none"/>
              </w:rPr>
              <w:t>无</w:t>
            </w:r>
            <w:r>
              <w:rPr>
                <w:rFonts w:hAnsi="宋体" w:cs="宋体"/>
                <w:color w:val="auto"/>
                <w:szCs w:val="21"/>
                <w:highlight w:val="none"/>
              </w:rPr>
              <w:t>明显</w:t>
            </w:r>
            <w:r>
              <w:rPr>
                <w:rFonts w:hint="eastAsia" w:hAnsi="宋体" w:cs="宋体"/>
                <w:color w:val="auto"/>
                <w:szCs w:val="21"/>
                <w:highlight w:val="none"/>
              </w:rPr>
              <w:t>的</w:t>
            </w:r>
            <w:r>
              <w:rPr>
                <w:rFonts w:hAnsi="宋体" w:cs="宋体"/>
                <w:color w:val="auto"/>
                <w:szCs w:val="21"/>
                <w:highlight w:val="none"/>
              </w:rPr>
              <w:t>凹凸和锤痕、箱体顶板和底板平整，</w:t>
            </w:r>
            <w:r>
              <w:rPr>
                <w:rFonts w:hint="eastAsia" w:hAnsi="宋体" w:cs="宋体"/>
                <w:color w:val="auto"/>
                <w:szCs w:val="21"/>
                <w:highlight w:val="none"/>
              </w:rPr>
              <w:t>没有</w:t>
            </w:r>
            <w:r>
              <w:rPr>
                <w:rFonts w:hAnsi="宋体" w:cs="宋体"/>
                <w:color w:val="auto"/>
                <w:szCs w:val="21"/>
                <w:highlight w:val="none"/>
              </w:rPr>
              <w:t>明显变形。（须提供2021年或2022年以来具有产品质量检验资质的</w:t>
            </w:r>
            <w:r>
              <w:rPr>
                <w:rFonts w:hint="eastAsia" w:hAnsi="宋体" w:cs="宋体"/>
                <w:color w:val="auto"/>
                <w:szCs w:val="21"/>
                <w:highlight w:val="none"/>
              </w:rPr>
              <w:t>地级市</w:t>
            </w:r>
            <w:r>
              <w:rPr>
                <w:rFonts w:hAnsi="宋体" w:cs="宋体"/>
                <w:color w:val="auto"/>
                <w:szCs w:val="21"/>
                <w:highlight w:val="none"/>
              </w:rPr>
              <w:t>（或以上）检测机构的产品检测报告（带CMA和CNAS资质标识）作为证明材料。）</w:t>
            </w:r>
          </w:p>
          <w:p>
            <w:pPr>
              <w:pStyle w:val="4"/>
              <w:ind w:firstLine="0"/>
              <w:rPr>
                <w:rFonts w:hAnsi="宋体" w:cs="宋体"/>
                <w:color w:val="auto"/>
                <w:sz w:val="21"/>
                <w:szCs w:val="21"/>
                <w:highlight w:val="none"/>
              </w:rPr>
            </w:pPr>
            <w:r>
              <w:rPr>
                <w:rFonts w:hAnsi="宋体" w:cs="宋体"/>
                <w:color w:val="auto"/>
                <w:sz w:val="21"/>
                <w:szCs w:val="21"/>
                <w:highlight w:val="none"/>
              </w:rPr>
              <w:t>二：其他要求</w:t>
            </w:r>
          </w:p>
          <w:p>
            <w:pPr>
              <w:pStyle w:val="5"/>
              <w:rPr>
                <w:rFonts w:hAnsi="宋体" w:cs="宋体"/>
                <w:color w:val="auto"/>
                <w:szCs w:val="21"/>
                <w:highlight w:val="none"/>
              </w:rPr>
            </w:pPr>
            <w:r>
              <w:rPr>
                <w:rFonts w:hAnsi="宋体" w:cs="宋体"/>
                <w:color w:val="auto"/>
                <w:szCs w:val="21"/>
                <w:highlight w:val="none"/>
              </w:rPr>
              <w:t>配备高绝缘材料遥控器，7寸彩色高清触摸屏，操作面板：遥控、按钮、触摸屏三种操作方式。</w:t>
            </w:r>
          </w:p>
        </w:tc>
        <w:tc>
          <w:tcPr>
            <w:tcW w:w="775" w:type="dxa"/>
            <w:shd w:val="clear" w:color="auto" w:fill="auto"/>
          </w:tcPr>
          <w:p>
            <w:pP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7" w:hRule="atLeast"/>
        </w:trPr>
        <w:tc>
          <w:tcPr>
            <w:tcW w:w="1113" w:type="dxa"/>
            <w:vMerge w:val="restart"/>
            <w:shd w:val="clear" w:color="auto" w:fill="auto"/>
          </w:tcPr>
          <w:p>
            <w:pPr>
              <w:spacing w:before="3972" w:beforeLines="1200"/>
              <w:rPr>
                <w:rFonts w:hAnsi="宋体" w:cs="宋体"/>
                <w:color w:val="auto"/>
                <w:szCs w:val="21"/>
                <w:highlight w:val="none"/>
              </w:rPr>
            </w:pPr>
            <w:r>
              <w:rPr>
                <w:rFonts w:hAnsi="宋体" w:cs="宋体"/>
                <w:color w:val="auto"/>
                <w:szCs w:val="21"/>
                <w:highlight w:val="none"/>
              </w:rPr>
              <w:t>3羊头镇</w:t>
            </w:r>
          </w:p>
        </w:tc>
        <w:tc>
          <w:tcPr>
            <w:tcW w:w="1063" w:type="dxa"/>
            <w:shd w:val="clear" w:color="auto" w:fill="auto"/>
          </w:tcPr>
          <w:p>
            <w:pPr>
              <w:spacing w:before="3972" w:beforeLines="1200"/>
              <w:rPr>
                <w:rFonts w:hAnsi="宋体" w:cs="宋体"/>
                <w:color w:val="auto"/>
                <w:szCs w:val="21"/>
                <w:highlight w:val="none"/>
              </w:rPr>
            </w:pPr>
            <w:r>
              <w:rPr>
                <w:rFonts w:hAnsi="宋体" w:cs="宋体"/>
                <w:color w:val="auto"/>
                <w:szCs w:val="21"/>
                <w:highlight w:val="none"/>
                <w:lang w:bidi="ar"/>
              </w:rPr>
              <w:t>◆</w:t>
            </w:r>
            <w:r>
              <w:rPr>
                <w:rFonts w:hAnsi="宋体" w:cs="宋体"/>
                <w:color w:val="auto"/>
                <w:szCs w:val="21"/>
                <w:highlight w:val="none"/>
              </w:rPr>
              <w:t>压缩式垃圾车</w:t>
            </w:r>
          </w:p>
        </w:tc>
        <w:tc>
          <w:tcPr>
            <w:tcW w:w="574" w:type="dxa"/>
            <w:shd w:val="clear" w:color="auto" w:fill="auto"/>
          </w:tcPr>
          <w:p>
            <w:pPr>
              <w:spacing w:before="3972" w:beforeLines="1200"/>
              <w:rPr>
                <w:rFonts w:hAnsi="宋体" w:cs="宋体"/>
                <w:color w:val="auto"/>
                <w:szCs w:val="21"/>
                <w:highlight w:val="none"/>
              </w:rPr>
            </w:pPr>
            <w:r>
              <w:rPr>
                <w:rFonts w:hAnsi="宋体" w:cs="宋体"/>
                <w:color w:val="auto"/>
                <w:szCs w:val="21"/>
                <w:highlight w:val="none"/>
              </w:rPr>
              <w:t>1</w:t>
            </w:r>
            <w:r>
              <w:rPr>
                <w:rFonts w:hint="eastAsia" w:hAnsi="宋体" w:cs="宋体"/>
                <w:color w:val="auto"/>
                <w:szCs w:val="21"/>
                <w:highlight w:val="none"/>
              </w:rPr>
              <w:t>辆</w:t>
            </w:r>
          </w:p>
        </w:tc>
        <w:tc>
          <w:tcPr>
            <w:tcW w:w="5688" w:type="dxa"/>
            <w:shd w:val="clear" w:color="auto" w:fill="auto"/>
          </w:tcPr>
          <w:p>
            <w:pPr>
              <w:rPr>
                <w:rFonts w:hAnsi="宋体" w:cs="宋体"/>
                <w:color w:val="auto"/>
                <w:szCs w:val="21"/>
                <w:highlight w:val="none"/>
              </w:rPr>
            </w:pPr>
            <w:r>
              <w:rPr>
                <w:rFonts w:hAnsi="宋体" w:cs="宋体"/>
                <w:color w:val="auto"/>
                <w:szCs w:val="21"/>
                <w:highlight w:val="none"/>
              </w:rPr>
              <w:t>一、主要技术参数</w:t>
            </w:r>
          </w:p>
          <w:p>
            <w:pPr>
              <w:rPr>
                <w:rFonts w:hAnsi="宋体" w:cs="宋体"/>
                <w:color w:val="auto"/>
                <w:szCs w:val="21"/>
                <w:highlight w:val="none"/>
              </w:rPr>
            </w:pPr>
            <w:r>
              <w:rPr>
                <w:rFonts w:hAnsi="宋体" w:cs="宋体"/>
                <w:color w:val="auto"/>
                <w:szCs w:val="21"/>
                <w:highlight w:val="none"/>
              </w:rPr>
              <w:t>1：外形尺寸（长x宽x高）（mm）≤7350x2280x2800</w:t>
            </w:r>
          </w:p>
          <w:p>
            <w:pPr>
              <w:rPr>
                <w:rFonts w:hAnsi="宋体" w:cs="宋体"/>
                <w:color w:val="auto"/>
                <w:szCs w:val="21"/>
                <w:highlight w:val="none"/>
              </w:rPr>
            </w:pPr>
            <w:r>
              <w:rPr>
                <w:rFonts w:hAnsi="宋体" w:cs="宋体"/>
                <w:color w:val="auto"/>
                <w:szCs w:val="21"/>
                <w:highlight w:val="none"/>
              </w:rPr>
              <w:t>2：排放标准：国六排放标准</w:t>
            </w:r>
          </w:p>
          <w:p>
            <w:pPr>
              <w:rPr>
                <w:rFonts w:hAnsi="宋体" w:cs="宋体"/>
                <w:color w:val="auto"/>
                <w:szCs w:val="21"/>
                <w:highlight w:val="none"/>
              </w:rPr>
            </w:pPr>
            <w:r>
              <w:rPr>
                <w:rFonts w:hAnsi="宋体" w:cs="宋体"/>
                <w:color w:val="auto"/>
                <w:szCs w:val="21"/>
                <w:highlight w:val="none"/>
              </w:rPr>
              <w:t>3：最大总质量（kg）≤11995</w:t>
            </w:r>
          </w:p>
          <w:p>
            <w:pPr>
              <w:rPr>
                <w:rFonts w:hAnsi="宋体" w:cs="宋体"/>
                <w:color w:val="auto"/>
                <w:szCs w:val="21"/>
                <w:highlight w:val="none"/>
              </w:rPr>
            </w:pPr>
            <w:r>
              <w:rPr>
                <w:rFonts w:hAnsi="宋体" w:cs="宋体"/>
                <w:color w:val="auto"/>
                <w:szCs w:val="21"/>
                <w:highlight w:val="none"/>
              </w:rPr>
              <w:t>4:</w:t>
            </w:r>
            <w:r>
              <w:rPr>
                <w:rFonts w:hAnsi="宋体" w:cs="宋体"/>
                <w:color w:val="auto"/>
                <w:szCs w:val="21"/>
                <w:highlight w:val="none"/>
                <w:lang w:bidi="ar"/>
              </w:rPr>
              <w:t xml:space="preserve"> ★</w:t>
            </w:r>
            <w:r>
              <w:rPr>
                <w:rFonts w:hAnsi="宋体" w:cs="宋体"/>
                <w:color w:val="auto"/>
                <w:szCs w:val="21"/>
                <w:highlight w:val="none"/>
              </w:rPr>
              <w:t xml:space="preserve"> 整备质量（kg） ≥7100</w:t>
            </w:r>
          </w:p>
          <w:p>
            <w:pPr>
              <w:rPr>
                <w:rFonts w:hAnsi="宋体" w:cs="宋体"/>
                <w:color w:val="auto"/>
                <w:szCs w:val="21"/>
                <w:highlight w:val="none"/>
              </w:rPr>
            </w:pPr>
            <w:r>
              <w:rPr>
                <w:rFonts w:hAnsi="宋体" w:cs="宋体"/>
                <w:color w:val="auto"/>
                <w:szCs w:val="21"/>
                <w:highlight w:val="none"/>
              </w:rPr>
              <w:t>5：</w:t>
            </w:r>
            <w:r>
              <w:rPr>
                <w:rFonts w:hAnsi="宋体" w:cs="宋体"/>
                <w:color w:val="auto"/>
                <w:szCs w:val="21"/>
                <w:highlight w:val="none"/>
                <w:lang w:bidi="ar"/>
              </w:rPr>
              <w:t>★</w:t>
            </w:r>
            <w:r>
              <w:rPr>
                <w:rFonts w:hAnsi="宋体" w:cs="宋体"/>
                <w:color w:val="auto"/>
                <w:szCs w:val="21"/>
                <w:highlight w:val="none"/>
              </w:rPr>
              <w:t>额定载质量（kg）≥5250</w:t>
            </w:r>
          </w:p>
          <w:p>
            <w:pPr>
              <w:rPr>
                <w:rFonts w:hAnsi="宋体" w:cs="宋体"/>
                <w:color w:val="auto"/>
                <w:szCs w:val="21"/>
                <w:highlight w:val="none"/>
              </w:rPr>
            </w:pPr>
            <w:r>
              <w:rPr>
                <w:rFonts w:hAnsi="宋体" w:cs="宋体"/>
                <w:color w:val="auto"/>
                <w:szCs w:val="21"/>
                <w:highlight w:val="none"/>
              </w:rPr>
              <w:t>6: 接去角/离去角  ≥20/13</w:t>
            </w:r>
          </w:p>
          <w:p>
            <w:pPr>
              <w:rPr>
                <w:rFonts w:hAnsi="宋体" w:cs="宋体"/>
                <w:color w:val="auto"/>
                <w:szCs w:val="21"/>
                <w:highlight w:val="none"/>
              </w:rPr>
            </w:pPr>
            <w:r>
              <w:rPr>
                <w:rFonts w:hAnsi="宋体" w:cs="宋体"/>
                <w:color w:val="auto"/>
                <w:szCs w:val="21"/>
                <w:highlight w:val="none"/>
              </w:rPr>
              <w:t>7: 前悬/后悬（mm）≤1180/2120</w:t>
            </w:r>
          </w:p>
          <w:p>
            <w:pPr>
              <w:rPr>
                <w:rFonts w:hAnsi="宋体" w:cs="宋体"/>
                <w:color w:val="auto"/>
                <w:szCs w:val="21"/>
                <w:highlight w:val="none"/>
              </w:rPr>
            </w:pPr>
            <w:r>
              <w:rPr>
                <w:rFonts w:hAnsi="宋体" w:cs="宋体"/>
                <w:color w:val="auto"/>
                <w:szCs w:val="21"/>
                <w:highlight w:val="none"/>
              </w:rPr>
              <w:t>8：轴距（mm）≥3800</w:t>
            </w:r>
          </w:p>
          <w:p>
            <w:pPr>
              <w:rPr>
                <w:rFonts w:hAnsi="宋体" w:cs="宋体"/>
                <w:color w:val="auto"/>
                <w:szCs w:val="21"/>
                <w:highlight w:val="none"/>
              </w:rPr>
            </w:pPr>
            <w:r>
              <w:rPr>
                <w:rFonts w:hAnsi="宋体" w:cs="宋体"/>
                <w:color w:val="auto"/>
                <w:szCs w:val="21"/>
                <w:highlight w:val="none"/>
              </w:rPr>
              <w:t>9：最高车速（km/h）≥103</w:t>
            </w:r>
          </w:p>
          <w:p>
            <w:pPr>
              <w:rPr>
                <w:rFonts w:hAnsi="宋体" w:cs="宋体"/>
                <w:color w:val="auto"/>
                <w:szCs w:val="21"/>
                <w:highlight w:val="none"/>
              </w:rPr>
            </w:pPr>
            <w:r>
              <w:rPr>
                <w:rFonts w:hAnsi="宋体" w:cs="宋体"/>
                <w:color w:val="auto"/>
                <w:szCs w:val="21"/>
                <w:highlight w:val="none"/>
              </w:rPr>
              <w:t>10：轴荷：≥4350/7645</w:t>
            </w:r>
          </w:p>
          <w:p>
            <w:pPr>
              <w:rPr>
                <w:rFonts w:hAnsi="宋体" w:cs="宋体"/>
                <w:color w:val="auto"/>
                <w:szCs w:val="21"/>
                <w:highlight w:val="none"/>
              </w:rPr>
            </w:pPr>
            <w:r>
              <w:rPr>
                <w:rFonts w:hAnsi="宋体" w:cs="宋体"/>
                <w:color w:val="auto"/>
                <w:szCs w:val="21"/>
                <w:highlight w:val="none"/>
              </w:rPr>
              <w:t>11：发动机功率（kw）≥121</w:t>
            </w:r>
          </w:p>
          <w:p>
            <w:pPr>
              <w:rPr>
                <w:rFonts w:hAnsi="宋体" w:cs="宋体"/>
                <w:color w:val="auto"/>
                <w:szCs w:val="21"/>
                <w:highlight w:val="none"/>
              </w:rPr>
            </w:pPr>
            <w:r>
              <w:rPr>
                <w:rFonts w:hAnsi="宋体" w:cs="宋体"/>
                <w:color w:val="auto"/>
                <w:szCs w:val="21"/>
                <w:highlight w:val="none"/>
              </w:rPr>
              <w:t>12：箱体有效容积（m3）≥9</w:t>
            </w:r>
          </w:p>
          <w:p>
            <w:pPr>
              <w:rPr>
                <w:rFonts w:hAnsi="宋体" w:cs="宋体"/>
                <w:color w:val="auto"/>
                <w:szCs w:val="21"/>
                <w:highlight w:val="none"/>
              </w:rPr>
            </w:pPr>
            <w:r>
              <w:rPr>
                <w:rFonts w:hAnsi="宋体" w:cs="宋体"/>
                <w:color w:val="auto"/>
                <w:szCs w:val="21"/>
                <w:highlight w:val="none"/>
              </w:rPr>
              <w:t>13：压缩循环时间（s）≤25</w:t>
            </w:r>
          </w:p>
          <w:p>
            <w:pPr>
              <w:rPr>
                <w:rFonts w:hAnsi="宋体" w:cs="宋体"/>
                <w:color w:val="auto"/>
                <w:szCs w:val="21"/>
                <w:highlight w:val="none"/>
              </w:rPr>
            </w:pPr>
            <w:r>
              <w:rPr>
                <w:rFonts w:hAnsi="宋体" w:cs="宋体"/>
                <w:color w:val="auto"/>
                <w:szCs w:val="21"/>
                <w:highlight w:val="none"/>
              </w:rPr>
              <w:t>14：卸料循环时间（s）≤45</w:t>
            </w:r>
          </w:p>
          <w:p>
            <w:pPr>
              <w:rPr>
                <w:rFonts w:hAnsi="宋体" w:cs="宋体"/>
                <w:color w:val="auto"/>
                <w:szCs w:val="21"/>
                <w:highlight w:val="none"/>
              </w:rPr>
            </w:pPr>
            <w:r>
              <w:rPr>
                <w:rFonts w:hAnsi="宋体" w:cs="宋体"/>
                <w:color w:val="auto"/>
                <w:szCs w:val="21"/>
                <w:highlight w:val="none"/>
              </w:rPr>
              <w:t>15：控制方式：电控/手动/遥控</w:t>
            </w:r>
          </w:p>
          <w:p>
            <w:pPr>
              <w:rPr>
                <w:rFonts w:hAnsi="宋体" w:cs="宋体"/>
                <w:color w:val="auto"/>
                <w:szCs w:val="21"/>
                <w:highlight w:val="none"/>
              </w:rPr>
            </w:pPr>
            <w:r>
              <w:rPr>
                <w:rFonts w:hAnsi="宋体" w:cs="宋体"/>
                <w:color w:val="auto"/>
                <w:szCs w:val="21"/>
                <w:highlight w:val="none"/>
              </w:rPr>
              <w:t>16：驾驶室配备冷暖空调.</w:t>
            </w:r>
          </w:p>
          <w:p>
            <w:pPr>
              <w:rPr>
                <w:rFonts w:hAnsi="宋体" w:cs="宋体"/>
                <w:color w:val="auto"/>
                <w:szCs w:val="21"/>
                <w:highlight w:val="none"/>
                <w:lang w:bidi="ar"/>
              </w:rPr>
            </w:pPr>
            <w:r>
              <w:rPr>
                <w:rFonts w:hAnsi="宋体" w:cs="宋体"/>
                <w:color w:val="auto"/>
                <w:szCs w:val="21"/>
                <w:highlight w:val="none"/>
              </w:rPr>
              <w:t>17:</w:t>
            </w:r>
            <w:r>
              <w:rPr>
                <w:rFonts w:hAnsi="宋体" w:cs="宋体"/>
                <w:color w:val="auto"/>
                <w:szCs w:val="21"/>
                <w:highlight w:val="none"/>
                <w:lang w:bidi="ar"/>
              </w:rPr>
              <w:t>★提供国家工信部的汽车产品公告参数页截图；</w:t>
            </w:r>
          </w:p>
          <w:p>
            <w:pPr>
              <w:rPr>
                <w:rFonts w:hAnsi="宋体" w:cs="宋体"/>
                <w:color w:val="auto"/>
                <w:szCs w:val="21"/>
                <w:highlight w:val="none"/>
              </w:rPr>
            </w:pPr>
            <w:r>
              <w:rPr>
                <w:rFonts w:hAnsi="宋体" w:cs="宋体"/>
                <w:color w:val="auto"/>
                <w:szCs w:val="21"/>
                <w:highlight w:val="none"/>
              </w:rPr>
              <w:t>二、主要性能及要求</w:t>
            </w:r>
          </w:p>
          <w:p>
            <w:pPr>
              <w:rPr>
                <w:rFonts w:hAnsi="宋体" w:cs="宋体"/>
                <w:color w:val="auto"/>
                <w:szCs w:val="21"/>
                <w:highlight w:val="none"/>
              </w:rPr>
            </w:pPr>
            <w:r>
              <w:rPr>
                <w:rFonts w:hAnsi="宋体" w:cs="宋体"/>
                <w:color w:val="auto"/>
                <w:szCs w:val="21"/>
                <w:highlight w:val="none"/>
              </w:rPr>
              <w:t>1：箱体外观圆弧流线性，底板整体折边无焊接，杜绝泄漏风险。使用高强度锰钢板，不易变形，耐磨损，耐腐蚀性强。</w:t>
            </w:r>
          </w:p>
          <w:p>
            <w:pPr>
              <w:rPr>
                <w:rFonts w:hAnsi="宋体" w:cs="宋体"/>
                <w:color w:val="auto"/>
                <w:szCs w:val="21"/>
                <w:highlight w:val="none"/>
              </w:rPr>
            </w:pPr>
            <w:r>
              <w:rPr>
                <w:rFonts w:hAnsi="宋体" w:cs="宋体"/>
                <w:color w:val="auto"/>
                <w:szCs w:val="21"/>
                <w:highlight w:val="none"/>
              </w:rPr>
              <w:t>2：智能控制系统采用 CAN 总线设计，模块化结构。通过接近开关和油压感应两种方式结合，实现高效，稳定，易维护，具备手动、自动、半自动三套操纵方式，驾驶室内部、箱体前部、箱体后部均可操作，并配备远程遥控器。配备尾部夜间照明灯，配备双污水箱，带排水管，遥控器控制。</w:t>
            </w:r>
          </w:p>
          <w:p>
            <w:pPr>
              <w:rPr>
                <w:rFonts w:hAnsi="宋体" w:cs="宋体"/>
                <w:color w:val="auto"/>
                <w:szCs w:val="21"/>
                <w:highlight w:val="none"/>
              </w:rPr>
            </w:pPr>
            <w:r>
              <w:rPr>
                <w:rFonts w:hAnsi="宋体" w:cs="宋体"/>
                <w:color w:val="auto"/>
                <w:szCs w:val="21"/>
                <w:highlight w:val="none"/>
              </w:rPr>
              <w:t>3：翻转机构：三角斗式翻转机构，内部带桶装垃圾卡槽。</w:t>
            </w:r>
          </w:p>
        </w:tc>
        <w:tc>
          <w:tcPr>
            <w:tcW w:w="775" w:type="dxa"/>
            <w:shd w:val="clear" w:color="auto" w:fill="auto"/>
          </w:tcPr>
          <w:p>
            <w:pP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Merge w:val="continue"/>
            <w:shd w:val="clear" w:color="auto" w:fill="auto"/>
          </w:tcPr>
          <w:p>
            <w:pPr>
              <w:rPr>
                <w:rFonts w:hAnsi="宋体" w:cs="宋体"/>
                <w:color w:val="auto"/>
                <w:szCs w:val="21"/>
                <w:highlight w:val="none"/>
              </w:rPr>
            </w:pPr>
          </w:p>
        </w:tc>
        <w:tc>
          <w:tcPr>
            <w:tcW w:w="1063" w:type="dxa"/>
            <w:shd w:val="clear" w:color="auto" w:fill="auto"/>
          </w:tcPr>
          <w:p>
            <w:pPr>
              <w:spacing w:before="662" w:beforeLines="200"/>
              <w:rPr>
                <w:rFonts w:hAnsi="宋体" w:cs="宋体"/>
                <w:color w:val="auto"/>
                <w:szCs w:val="21"/>
                <w:highlight w:val="none"/>
              </w:rPr>
            </w:pPr>
            <w:r>
              <w:rPr>
                <w:rFonts w:hAnsi="宋体" w:cs="宋体"/>
                <w:color w:val="auto"/>
                <w:szCs w:val="21"/>
                <w:highlight w:val="none"/>
              </w:rPr>
              <w:t>摆臂箱</w:t>
            </w:r>
          </w:p>
        </w:tc>
        <w:tc>
          <w:tcPr>
            <w:tcW w:w="574" w:type="dxa"/>
            <w:shd w:val="clear" w:color="auto" w:fill="auto"/>
          </w:tcPr>
          <w:p>
            <w:pPr>
              <w:spacing w:before="662" w:beforeLines="200"/>
              <w:rPr>
                <w:rFonts w:hAnsi="宋体" w:cs="宋体"/>
                <w:color w:val="auto"/>
                <w:szCs w:val="21"/>
                <w:highlight w:val="none"/>
              </w:rPr>
            </w:pPr>
            <w:r>
              <w:rPr>
                <w:rFonts w:hAnsi="宋体" w:cs="宋体"/>
                <w:color w:val="auto"/>
                <w:szCs w:val="21"/>
                <w:highlight w:val="none"/>
              </w:rPr>
              <w:t>70个</w:t>
            </w:r>
          </w:p>
        </w:tc>
        <w:tc>
          <w:tcPr>
            <w:tcW w:w="5688" w:type="dxa"/>
            <w:shd w:val="clear" w:color="auto" w:fill="auto"/>
          </w:tcPr>
          <w:p>
            <w:pPr>
              <w:rPr>
                <w:rFonts w:hAnsi="宋体" w:cs="宋体"/>
                <w:color w:val="auto"/>
                <w:szCs w:val="21"/>
                <w:highlight w:val="none"/>
              </w:rPr>
            </w:pPr>
            <w:r>
              <w:rPr>
                <w:rFonts w:hAnsi="宋体" w:cs="宋体"/>
                <w:color w:val="auto"/>
                <w:szCs w:val="21"/>
                <w:highlight w:val="none"/>
              </w:rPr>
              <w:t>1：箱体外形尺寸（长x宽x高）（mm）≥2800x1500x1300</w:t>
            </w:r>
          </w:p>
          <w:p>
            <w:pPr>
              <w:rPr>
                <w:rFonts w:hAnsi="宋体" w:cs="宋体"/>
                <w:color w:val="auto"/>
                <w:szCs w:val="21"/>
                <w:highlight w:val="none"/>
              </w:rPr>
            </w:pPr>
            <w:r>
              <w:rPr>
                <w:rFonts w:hAnsi="宋体" w:cs="宋体"/>
                <w:color w:val="auto"/>
                <w:szCs w:val="21"/>
                <w:highlight w:val="none"/>
              </w:rPr>
              <w:t>2：箱体厚度：箱体边板≥3mm，箱体底板≥3mm</w:t>
            </w:r>
          </w:p>
          <w:p>
            <w:pPr>
              <w:rPr>
                <w:rFonts w:hAnsi="宋体" w:cs="宋体"/>
                <w:color w:val="auto"/>
                <w:szCs w:val="21"/>
                <w:highlight w:val="none"/>
              </w:rPr>
            </w:pPr>
            <w:r>
              <w:rPr>
                <w:rFonts w:hAnsi="宋体" w:cs="宋体"/>
                <w:color w:val="auto"/>
                <w:szCs w:val="21"/>
                <w:highlight w:val="none"/>
              </w:rPr>
              <w:t>3：外形：船型</w:t>
            </w:r>
          </w:p>
          <w:p>
            <w:pPr>
              <w:rPr>
                <w:rFonts w:hAnsi="宋体" w:cs="宋体"/>
                <w:color w:val="auto"/>
                <w:szCs w:val="21"/>
                <w:highlight w:val="none"/>
              </w:rPr>
            </w:pPr>
            <w:r>
              <w:rPr>
                <w:rFonts w:hAnsi="宋体" w:cs="宋体"/>
                <w:color w:val="auto"/>
                <w:szCs w:val="21"/>
                <w:highlight w:val="none"/>
              </w:rPr>
              <w:t>4：材质：优质钢材与槽钢焊接而成</w:t>
            </w:r>
          </w:p>
          <w:p>
            <w:pPr>
              <w:rPr>
                <w:rFonts w:hAnsi="宋体" w:cs="宋体"/>
                <w:color w:val="auto"/>
                <w:szCs w:val="21"/>
                <w:highlight w:val="none"/>
              </w:rPr>
            </w:pPr>
            <w:r>
              <w:rPr>
                <w:rFonts w:hAnsi="宋体" w:cs="宋体"/>
                <w:color w:val="auto"/>
                <w:szCs w:val="21"/>
                <w:highlight w:val="none"/>
              </w:rPr>
              <w:t>5：整体采用防锈技术，酸洗磷化，防极电泳处理。</w:t>
            </w:r>
          </w:p>
          <w:p>
            <w:pPr>
              <w:rPr>
                <w:rFonts w:hAnsi="宋体" w:cs="宋体"/>
                <w:color w:val="auto"/>
                <w:szCs w:val="21"/>
                <w:highlight w:val="none"/>
              </w:rPr>
            </w:pPr>
            <w:r>
              <w:rPr>
                <w:rFonts w:hAnsi="宋体" w:cs="宋体"/>
                <w:color w:val="auto"/>
                <w:szCs w:val="21"/>
                <w:highlight w:val="none"/>
              </w:rPr>
              <w:t>6：</w:t>
            </w:r>
            <w:r>
              <w:rPr>
                <w:rFonts w:hAnsi="宋体" w:cs="宋体"/>
                <w:color w:val="auto"/>
                <w:szCs w:val="21"/>
                <w:highlight w:val="none"/>
                <w:lang w:bidi="ar"/>
              </w:rPr>
              <w:t>★</w:t>
            </w:r>
            <w:r>
              <w:rPr>
                <w:rFonts w:hAnsi="宋体" w:cs="宋体"/>
                <w:color w:val="auto"/>
                <w:szCs w:val="21"/>
                <w:highlight w:val="none"/>
              </w:rPr>
              <w:t>摆臂箱可实现与</w:t>
            </w:r>
            <w:r>
              <w:rPr>
                <w:rFonts w:hint="eastAsia" w:hAnsi="宋体" w:cs="宋体"/>
                <w:color w:val="auto"/>
                <w:szCs w:val="21"/>
                <w:highlight w:val="none"/>
              </w:rPr>
              <w:t>现有</w:t>
            </w:r>
            <w:r>
              <w:rPr>
                <w:rFonts w:hAnsi="宋体" w:cs="宋体"/>
                <w:color w:val="auto"/>
                <w:szCs w:val="21"/>
                <w:highlight w:val="none"/>
              </w:rPr>
              <w:t>摆臂式垃圾车的配套使用</w:t>
            </w:r>
          </w:p>
          <w:p>
            <w:pPr>
              <w:rPr>
                <w:rFonts w:hAnsi="宋体" w:cs="宋体"/>
                <w:color w:val="auto"/>
                <w:szCs w:val="21"/>
                <w:highlight w:val="none"/>
              </w:rPr>
            </w:pPr>
            <w:r>
              <w:rPr>
                <w:rFonts w:hAnsi="宋体" w:cs="宋体"/>
                <w:color w:val="auto"/>
                <w:szCs w:val="21"/>
                <w:highlight w:val="none"/>
              </w:rPr>
              <w:t>7：容积≥4m3</w:t>
            </w:r>
          </w:p>
        </w:tc>
        <w:tc>
          <w:tcPr>
            <w:tcW w:w="775" w:type="dxa"/>
            <w:shd w:val="clear" w:color="auto" w:fill="auto"/>
          </w:tcPr>
          <w:p>
            <w:pP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Merge w:val="continue"/>
            <w:shd w:val="clear" w:color="auto" w:fill="auto"/>
          </w:tcPr>
          <w:p>
            <w:pPr>
              <w:rPr>
                <w:rFonts w:hAnsi="宋体" w:cs="宋体"/>
                <w:color w:val="auto"/>
                <w:szCs w:val="21"/>
                <w:highlight w:val="none"/>
              </w:rPr>
            </w:pPr>
          </w:p>
        </w:tc>
        <w:tc>
          <w:tcPr>
            <w:tcW w:w="1063" w:type="dxa"/>
            <w:shd w:val="clear" w:color="auto" w:fill="auto"/>
          </w:tcPr>
          <w:p>
            <w:pPr>
              <w:spacing w:before="662" w:beforeLines="200"/>
              <w:rPr>
                <w:rFonts w:hAnsi="宋体" w:cs="宋体"/>
                <w:color w:val="auto"/>
                <w:szCs w:val="21"/>
                <w:highlight w:val="none"/>
              </w:rPr>
            </w:pPr>
            <w:r>
              <w:rPr>
                <w:rFonts w:hAnsi="宋体" w:cs="宋体"/>
                <w:color w:val="auto"/>
                <w:szCs w:val="21"/>
                <w:highlight w:val="none"/>
              </w:rPr>
              <w:t>铲车</w:t>
            </w:r>
          </w:p>
        </w:tc>
        <w:tc>
          <w:tcPr>
            <w:tcW w:w="574" w:type="dxa"/>
            <w:shd w:val="clear" w:color="auto" w:fill="auto"/>
          </w:tcPr>
          <w:p>
            <w:pPr>
              <w:spacing w:before="662" w:beforeLines="200"/>
              <w:rPr>
                <w:rFonts w:hAnsi="宋体" w:cs="宋体"/>
                <w:color w:val="auto"/>
                <w:szCs w:val="21"/>
                <w:highlight w:val="none"/>
              </w:rPr>
            </w:pPr>
            <w:r>
              <w:rPr>
                <w:rFonts w:hAnsi="宋体" w:cs="宋体"/>
                <w:color w:val="auto"/>
                <w:szCs w:val="21"/>
                <w:highlight w:val="none"/>
              </w:rPr>
              <w:t>1</w:t>
            </w:r>
            <w:r>
              <w:rPr>
                <w:rFonts w:hint="eastAsia" w:hAnsi="宋体" w:cs="宋体"/>
                <w:color w:val="auto"/>
                <w:szCs w:val="21"/>
                <w:highlight w:val="none"/>
              </w:rPr>
              <w:t>辆</w:t>
            </w:r>
          </w:p>
        </w:tc>
        <w:tc>
          <w:tcPr>
            <w:tcW w:w="5688" w:type="dxa"/>
            <w:shd w:val="clear" w:color="auto" w:fill="auto"/>
          </w:tcPr>
          <w:p>
            <w:pPr>
              <w:rPr>
                <w:rFonts w:hAnsi="宋体" w:cs="宋体"/>
                <w:color w:val="auto"/>
                <w:szCs w:val="21"/>
                <w:highlight w:val="none"/>
              </w:rPr>
            </w:pPr>
            <w:r>
              <w:rPr>
                <w:rFonts w:hAnsi="宋体" w:cs="宋体"/>
                <w:color w:val="auto"/>
                <w:szCs w:val="21"/>
                <w:highlight w:val="none"/>
              </w:rPr>
              <w:t>1：额度功率≥36.8kw</w:t>
            </w:r>
          </w:p>
          <w:p>
            <w:pPr>
              <w:rPr>
                <w:rFonts w:hAnsi="宋体" w:cs="宋体"/>
                <w:color w:val="auto"/>
                <w:szCs w:val="21"/>
                <w:highlight w:val="none"/>
              </w:rPr>
            </w:pPr>
            <w:r>
              <w:rPr>
                <w:rFonts w:hAnsi="宋体" w:cs="宋体"/>
                <w:color w:val="auto"/>
                <w:szCs w:val="21"/>
                <w:highlight w:val="none"/>
              </w:rPr>
              <w:t>2：额定载重量≥1200kg</w:t>
            </w:r>
          </w:p>
          <w:p>
            <w:pPr>
              <w:rPr>
                <w:rFonts w:hAnsi="宋体" w:cs="宋体"/>
                <w:color w:val="auto"/>
                <w:szCs w:val="21"/>
                <w:highlight w:val="none"/>
              </w:rPr>
            </w:pPr>
            <w:r>
              <w:rPr>
                <w:rFonts w:hAnsi="宋体" w:cs="宋体"/>
                <w:color w:val="auto"/>
                <w:szCs w:val="21"/>
                <w:highlight w:val="none"/>
              </w:rPr>
              <w:t>3：卸载高度≥3000mm</w:t>
            </w:r>
          </w:p>
          <w:p>
            <w:pPr>
              <w:pStyle w:val="7"/>
              <w:tabs>
                <w:tab w:val="right" w:pos="5975"/>
              </w:tabs>
              <w:ind w:left="0" w:leftChars="0" w:firstLine="0" w:firstLineChars="0"/>
              <w:rPr>
                <w:rFonts w:hAnsi="宋体" w:cs="宋体"/>
                <w:color w:val="auto"/>
                <w:szCs w:val="21"/>
                <w:highlight w:val="none"/>
              </w:rPr>
            </w:pPr>
            <w:r>
              <w:rPr>
                <w:rFonts w:hAnsi="宋体" w:cs="宋体"/>
                <w:color w:val="auto"/>
                <w:szCs w:val="21"/>
                <w:highlight w:val="none"/>
              </w:rPr>
              <w:t>4：外观尺寸：（长x宽x高）（mm）≤5500x1850x2700</w:t>
            </w:r>
            <w:r>
              <w:rPr>
                <w:rFonts w:hAnsi="宋体" w:cs="宋体"/>
                <w:color w:val="auto"/>
                <w:szCs w:val="21"/>
                <w:highlight w:val="none"/>
              </w:rPr>
              <w:tab/>
            </w:r>
          </w:p>
          <w:p>
            <w:pPr>
              <w:pStyle w:val="7"/>
              <w:tabs>
                <w:tab w:val="right" w:pos="5975"/>
              </w:tabs>
              <w:ind w:left="0" w:leftChars="0" w:firstLine="0" w:firstLineChars="0"/>
              <w:rPr>
                <w:rFonts w:hAnsi="宋体" w:cs="宋体"/>
                <w:color w:val="auto"/>
                <w:szCs w:val="21"/>
                <w:highlight w:val="none"/>
              </w:rPr>
            </w:pPr>
            <w:r>
              <w:rPr>
                <w:rFonts w:hAnsi="宋体" w:cs="宋体"/>
                <w:color w:val="auto"/>
                <w:szCs w:val="21"/>
                <w:highlight w:val="none"/>
              </w:rPr>
              <w:t>5：额定斗容量：≥0.55m3</w:t>
            </w:r>
          </w:p>
          <w:p>
            <w:pPr>
              <w:pStyle w:val="7"/>
              <w:tabs>
                <w:tab w:val="right" w:pos="5975"/>
              </w:tabs>
              <w:ind w:left="0" w:leftChars="0" w:firstLine="0" w:firstLineChars="0"/>
              <w:rPr>
                <w:rFonts w:hAnsi="宋体" w:cs="宋体"/>
                <w:color w:val="auto"/>
                <w:szCs w:val="21"/>
                <w:highlight w:val="none"/>
              </w:rPr>
            </w:pPr>
            <w:r>
              <w:rPr>
                <w:rFonts w:hAnsi="宋体" w:cs="宋体"/>
                <w:color w:val="auto"/>
                <w:szCs w:val="21"/>
                <w:highlight w:val="none"/>
              </w:rPr>
              <w:t>6：额度转速：≥2400r/min</w:t>
            </w:r>
          </w:p>
          <w:p>
            <w:pPr>
              <w:pStyle w:val="7"/>
              <w:tabs>
                <w:tab w:val="right" w:pos="5975"/>
              </w:tabs>
              <w:ind w:left="0" w:leftChars="0" w:firstLine="0" w:firstLineChars="0"/>
              <w:rPr>
                <w:rFonts w:hAnsi="宋体" w:cs="宋体"/>
                <w:color w:val="auto"/>
                <w:szCs w:val="21"/>
                <w:highlight w:val="none"/>
              </w:rPr>
            </w:pPr>
            <w:r>
              <w:rPr>
                <w:rFonts w:hAnsi="宋体" w:cs="宋体"/>
                <w:color w:val="auto"/>
                <w:szCs w:val="21"/>
                <w:highlight w:val="none"/>
              </w:rPr>
              <w:t>7:整机质量：≥2900kg</w:t>
            </w:r>
          </w:p>
          <w:p>
            <w:pPr>
              <w:pStyle w:val="7"/>
              <w:tabs>
                <w:tab w:val="right" w:pos="5975"/>
              </w:tabs>
              <w:ind w:left="0" w:leftChars="0" w:firstLine="0" w:firstLineChars="0"/>
              <w:rPr>
                <w:rFonts w:hAnsi="宋体" w:cs="宋体"/>
                <w:color w:val="auto"/>
                <w:szCs w:val="21"/>
                <w:highlight w:val="none"/>
              </w:rPr>
            </w:pPr>
            <w:r>
              <w:rPr>
                <w:rFonts w:hAnsi="宋体" w:cs="宋体"/>
                <w:color w:val="auto"/>
                <w:szCs w:val="21"/>
                <w:highlight w:val="none"/>
              </w:rPr>
              <w:t>8：变速箱类型：自动</w:t>
            </w:r>
          </w:p>
        </w:tc>
        <w:tc>
          <w:tcPr>
            <w:tcW w:w="775" w:type="dxa"/>
            <w:shd w:val="clear" w:color="auto" w:fill="auto"/>
          </w:tcPr>
          <w:p>
            <w:pP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shd w:val="clear" w:color="auto" w:fill="auto"/>
          </w:tcPr>
          <w:p>
            <w:pPr>
              <w:rPr>
                <w:rFonts w:hAnsi="宋体" w:cs="宋体"/>
                <w:color w:val="auto"/>
                <w:szCs w:val="21"/>
                <w:highlight w:val="none"/>
              </w:rPr>
            </w:pPr>
          </w:p>
        </w:tc>
        <w:tc>
          <w:tcPr>
            <w:tcW w:w="1063" w:type="dxa"/>
            <w:shd w:val="clear" w:color="auto" w:fill="auto"/>
          </w:tcPr>
          <w:p>
            <w:pPr>
              <w:spacing w:before="662" w:beforeLines="200"/>
              <w:rPr>
                <w:rFonts w:hAnsi="宋体" w:cs="宋体"/>
                <w:color w:val="auto"/>
                <w:szCs w:val="21"/>
                <w:highlight w:val="none"/>
              </w:rPr>
            </w:pPr>
            <w:r>
              <w:rPr>
                <w:rFonts w:hAnsi="宋体" w:cs="宋体"/>
                <w:color w:val="auto"/>
                <w:szCs w:val="21"/>
                <w:highlight w:val="none"/>
              </w:rPr>
              <w:t>自卸车</w:t>
            </w:r>
          </w:p>
        </w:tc>
        <w:tc>
          <w:tcPr>
            <w:tcW w:w="574" w:type="dxa"/>
            <w:shd w:val="clear" w:color="auto" w:fill="auto"/>
          </w:tcPr>
          <w:p>
            <w:pPr>
              <w:spacing w:before="662" w:beforeLines="200"/>
              <w:rPr>
                <w:rFonts w:hAnsi="宋体" w:cs="宋体"/>
                <w:color w:val="auto"/>
                <w:szCs w:val="21"/>
                <w:highlight w:val="none"/>
              </w:rPr>
            </w:pPr>
            <w:r>
              <w:rPr>
                <w:rFonts w:hAnsi="宋体" w:cs="宋体"/>
                <w:color w:val="auto"/>
                <w:szCs w:val="21"/>
                <w:highlight w:val="none"/>
              </w:rPr>
              <w:t>1</w:t>
            </w:r>
            <w:r>
              <w:rPr>
                <w:rFonts w:hint="eastAsia" w:hAnsi="宋体" w:cs="宋体"/>
                <w:color w:val="auto"/>
                <w:szCs w:val="21"/>
                <w:highlight w:val="none"/>
              </w:rPr>
              <w:t>辆</w:t>
            </w:r>
          </w:p>
        </w:tc>
        <w:tc>
          <w:tcPr>
            <w:tcW w:w="5688" w:type="dxa"/>
            <w:shd w:val="clear" w:color="auto" w:fill="auto"/>
          </w:tcPr>
          <w:p>
            <w:pPr>
              <w:rPr>
                <w:rFonts w:hAnsi="宋体" w:cs="宋体"/>
                <w:color w:val="auto"/>
                <w:szCs w:val="21"/>
                <w:highlight w:val="none"/>
              </w:rPr>
            </w:pPr>
            <w:r>
              <w:rPr>
                <w:rFonts w:hAnsi="宋体" w:cs="宋体"/>
                <w:color w:val="auto"/>
                <w:szCs w:val="21"/>
                <w:highlight w:val="none"/>
              </w:rPr>
              <w:t>1：外形尺寸（长x宽x高）（mm）： ≤6380x2360x2580</w:t>
            </w:r>
          </w:p>
          <w:p>
            <w:pPr>
              <w:rPr>
                <w:rFonts w:hAnsi="宋体" w:cs="宋体"/>
                <w:color w:val="auto"/>
                <w:szCs w:val="21"/>
                <w:highlight w:val="none"/>
              </w:rPr>
            </w:pPr>
            <w:r>
              <w:rPr>
                <w:rFonts w:hAnsi="宋体" w:cs="宋体"/>
                <w:color w:val="auto"/>
                <w:szCs w:val="21"/>
                <w:highlight w:val="none"/>
              </w:rPr>
              <w:t>2：最大总质量（kg）≤11995</w:t>
            </w:r>
          </w:p>
          <w:p>
            <w:pPr>
              <w:rPr>
                <w:rFonts w:hAnsi="宋体" w:cs="宋体"/>
                <w:color w:val="auto"/>
                <w:szCs w:val="21"/>
                <w:highlight w:val="none"/>
              </w:rPr>
            </w:pPr>
            <w:r>
              <w:rPr>
                <w:rFonts w:hAnsi="宋体" w:cs="宋体"/>
                <w:color w:val="auto"/>
                <w:szCs w:val="21"/>
                <w:highlight w:val="none"/>
              </w:rPr>
              <w:t>3:整备质量（kg） ≥5200</w:t>
            </w:r>
          </w:p>
          <w:p>
            <w:pPr>
              <w:rPr>
                <w:rFonts w:hAnsi="宋体" w:cs="宋体"/>
                <w:color w:val="auto"/>
                <w:szCs w:val="21"/>
                <w:highlight w:val="none"/>
              </w:rPr>
            </w:pPr>
            <w:r>
              <w:rPr>
                <w:rFonts w:hAnsi="宋体" w:cs="宋体"/>
                <w:color w:val="auto"/>
                <w:szCs w:val="21"/>
                <w:highlight w:val="none"/>
              </w:rPr>
              <w:t>4：额定载质量（kg）≥6100</w:t>
            </w:r>
          </w:p>
          <w:p>
            <w:pPr>
              <w:rPr>
                <w:rFonts w:hAnsi="宋体" w:cs="宋体"/>
                <w:color w:val="auto"/>
                <w:szCs w:val="21"/>
                <w:highlight w:val="none"/>
              </w:rPr>
            </w:pPr>
            <w:r>
              <w:rPr>
                <w:rFonts w:hAnsi="宋体" w:cs="宋体"/>
                <w:color w:val="auto"/>
                <w:szCs w:val="21"/>
                <w:highlight w:val="none"/>
              </w:rPr>
              <w:t>5:接去角/离去角≥18/14</w:t>
            </w:r>
          </w:p>
          <w:p>
            <w:pPr>
              <w:rPr>
                <w:rFonts w:hAnsi="宋体" w:cs="宋体"/>
                <w:color w:val="auto"/>
                <w:szCs w:val="21"/>
                <w:highlight w:val="none"/>
              </w:rPr>
            </w:pPr>
            <w:r>
              <w:rPr>
                <w:rFonts w:hAnsi="宋体" w:cs="宋体"/>
                <w:color w:val="auto"/>
                <w:szCs w:val="21"/>
                <w:highlight w:val="none"/>
              </w:rPr>
              <w:t>6：轴距（mm）≥3800</w:t>
            </w:r>
          </w:p>
          <w:p>
            <w:pPr>
              <w:rPr>
                <w:rFonts w:hAnsi="宋体" w:cs="宋体"/>
                <w:color w:val="auto"/>
                <w:szCs w:val="21"/>
                <w:highlight w:val="none"/>
              </w:rPr>
            </w:pPr>
            <w:r>
              <w:rPr>
                <w:rFonts w:hAnsi="宋体" w:cs="宋体"/>
                <w:color w:val="auto"/>
                <w:szCs w:val="21"/>
                <w:highlight w:val="none"/>
              </w:rPr>
              <w:t>7：最高车速（km/h）≥103</w:t>
            </w:r>
          </w:p>
          <w:p>
            <w:pPr>
              <w:rPr>
                <w:rFonts w:hAnsi="宋体" w:cs="宋体"/>
                <w:color w:val="auto"/>
                <w:szCs w:val="21"/>
                <w:highlight w:val="none"/>
              </w:rPr>
            </w:pPr>
            <w:r>
              <w:rPr>
                <w:rFonts w:hAnsi="宋体" w:cs="宋体"/>
                <w:color w:val="auto"/>
                <w:szCs w:val="21"/>
                <w:highlight w:val="none"/>
              </w:rPr>
              <w:t>8：轴荷：≥4350/7645</w:t>
            </w:r>
          </w:p>
          <w:p>
            <w:pPr>
              <w:rPr>
                <w:rFonts w:hAnsi="宋体" w:cs="宋体"/>
                <w:color w:val="auto"/>
                <w:szCs w:val="21"/>
                <w:highlight w:val="none"/>
              </w:rPr>
            </w:pPr>
            <w:r>
              <w:rPr>
                <w:rFonts w:hAnsi="宋体" w:cs="宋体"/>
                <w:color w:val="auto"/>
                <w:szCs w:val="21"/>
                <w:highlight w:val="none"/>
              </w:rPr>
              <w:t>9：发动机功率（kw）≥110</w:t>
            </w:r>
          </w:p>
          <w:p>
            <w:pPr>
              <w:pStyle w:val="7"/>
              <w:ind w:left="0" w:leftChars="0" w:firstLine="0" w:firstLineChars="0"/>
              <w:rPr>
                <w:rFonts w:hAnsi="宋体" w:cs="宋体"/>
                <w:color w:val="auto"/>
                <w:szCs w:val="21"/>
                <w:highlight w:val="none"/>
              </w:rPr>
            </w:pPr>
            <w:r>
              <w:rPr>
                <w:rFonts w:hAnsi="宋体" w:cs="宋体"/>
                <w:color w:val="auto"/>
                <w:szCs w:val="21"/>
                <w:highlight w:val="none"/>
              </w:rPr>
              <w:t>10：货箱尺寸（长x宽x高）（mm）≥4300x1950x600</w:t>
            </w:r>
          </w:p>
          <w:p>
            <w:pPr>
              <w:pStyle w:val="7"/>
              <w:ind w:left="0" w:leftChars="0" w:firstLine="0" w:firstLineChars="0"/>
              <w:rPr>
                <w:rFonts w:hAnsi="宋体" w:cs="宋体"/>
                <w:color w:val="auto"/>
                <w:szCs w:val="21"/>
                <w:highlight w:val="none"/>
              </w:rPr>
            </w:pPr>
            <w:r>
              <w:rPr>
                <w:rFonts w:hAnsi="宋体" w:cs="宋体"/>
                <w:color w:val="auto"/>
                <w:szCs w:val="21"/>
                <w:highlight w:val="none"/>
              </w:rPr>
              <w:t>11：货厢特征：采用优质碳钢制作，货厢边板≥3mm，货厢底板≥4mm。</w:t>
            </w:r>
          </w:p>
        </w:tc>
        <w:tc>
          <w:tcPr>
            <w:tcW w:w="775" w:type="dxa"/>
            <w:shd w:val="clear" w:color="auto" w:fill="auto"/>
          </w:tcPr>
          <w:p>
            <w:pP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shd w:val="clear" w:color="auto" w:fill="auto"/>
          </w:tcPr>
          <w:p>
            <w:pPr>
              <w:spacing w:before="4965" w:beforeLines="1500"/>
              <w:rPr>
                <w:rFonts w:hAnsi="宋体" w:cs="宋体"/>
                <w:color w:val="auto"/>
                <w:szCs w:val="21"/>
                <w:highlight w:val="none"/>
              </w:rPr>
            </w:pPr>
            <w:r>
              <w:rPr>
                <w:rFonts w:hAnsi="宋体" w:cs="宋体"/>
                <w:color w:val="auto"/>
                <w:szCs w:val="21"/>
                <w:highlight w:val="none"/>
              </w:rPr>
              <w:t>4望高镇</w:t>
            </w:r>
          </w:p>
        </w:tc>
        <w:tc>
          <w:tcPr>
            <w:tcW w:w="1063" w:type="dxa"/>
            <w:shd w:val="clear" w:color="auto" w:fill="auto"/>
          </w:tcPr>
          <w:p>
            <w:pPr>
              <w:spacing w:before="4965" w:beforeLines="1500"/>
              <w:rPr>
                <w:rFonts w:hAnsi="宋体" w:cs="宋体"/>
                <w:color w:val="auto"/>
                <w:szCs w:val="21"/>
                <w:highlight w:val="none"/>
              </w:rPr>
            </w:pPr>
            <w:r>
              <w:rPr>
                <w:rFonts w:hAnsi="宋体" w:cs="宋体"/>
                <w:color w:val="auto"/>
                <w:szCs w:val="21"/>
                <w:highlight w:val="none"/>
              </w:rPr>
              <w:t>水平地埋式压缩设备</w:t>
            </w:r>
          </w:p>
        </w:tc>
        <w:tc>
          <w:tcPr>
            <w:tcW w:w="574" w:type="dxa"/>
            <w:shd w:val="clear" w:color="auto" w:fill="auto"/>
          </w:tcPr>
          <w:p>
            <w:pPr>
              <w:spacing w:before="4965" w:beforeLines="1500"/>
              <w:rPr>
                <w:rFonts w:hAnsi="宋体" w:cs="宋体"/>
                <w:color w:val="auto"/>
                <w:szCs w:val="21"/>
                <w:highlight w:val="none"/>
              </w:rPr>
            </w:pPr>
            <w:r>
              <w:rPr>
                <w:rFonts w:hAnsi="宋体" w:cs="宋体"/>
                <w:color w:val="auto"/>
                <w:szCs w:val="21"/>
                <w:highlight w:val="none"/>
              </w:rPr>
              <w:t>1台</w:t>
            </w:r>
          </w:p>
        </w:tc>
        <w:tc>
          <w:tcPr>
            <w:tcW w:w="5688" w:type="dxa"/>
            <w:shd w:val="clear" w:color="auto" w:fill="auto"/>
          </w:tcPr>
          <w:p>
            <w:pPr>
              <w:rPr>
                <w:rFonts w:hAnsi="宋体" w:cs="宋体"/>
                <w:color w:val="auto"/>
                <w:szCs w:val="21"/>
                <w:highlight w:val="none"/>
              </w:rPr>
            </w:pPr>
            <w:r>
              <w:rPr>
                <w:rFonts w:hAnsi="宋体" w:cs="宋体"/>
                <w:color w:val="auto"/>
                <w:szCs w:val="21"/>
                <w:highlight w:val="none"/>
              </w:rPr>
              <w:t>1压缩方式水平压缩</w:t>
            </w:r>
          </w:p>
          <w:p>
            <w:pPr>
              <w:rPr>
                <w:rFonts w:hAnsi="宋体" w:cs="宋体"/>
                <w:color w:val="auto"/>
                <w:szCs w:val="21"/>
                <w:highlight w:val="none"/>
              </w:rPr>
            </w:pPr>
            <w:r>
              <w:rPr>
                <w:rFonts w:hAnsi="宋体" w:cs="宋体"/>
                <w:color w:val="auto"/>
                <w:szCs w:val="21"/>
                <w:highlight w:val="none"/>
              </w:rPr>
              <w:t>2外形尺寸(长×宽×高) ≥6000×3400× 1600 mm</w:t>
            </w:r>
          </w:p>
          <w:p>
            <w:pPr>
              <w:rPr>
                <w:rFonts w:hAnsi="宋体" w:cs="宋体"/>
                <w:color w:val="auto"/>
                <w:szCs w:val="21"/>
                <w:highlight w:val="none"/>
              </w:rPr>
            </w:pPr>
            <w:r>
              <w:rPr>
                <w:rFonts w:hAnsi="宋体" w:cs="宋体"/>
                <w:color w:val="auto"/>
                <w:szCs w:val="21"/>
                <w:highlight w:val="none"/>
              </w:rPr>
              <w:t>3液压系统最大压力21MPa</w:t>
            </w:r>
          </w:p>
          <w:p>
            <w:pPr>
              <w:rPr>
                <w:rFonts w:hAnsi="宋体" w:cs="宋体"/>
                <w:color w:val="auto"/>
                <w:szCs w:val="21"/>
                <w:highlight w:val="none"/>
              </w:rPr>
            </w:pPr>
            <w:r>
              <w:rPr>
                <w:rFonts w:hAnsi="宋体" w:cs="宋体"/>
                <w:color w:val="auto"/>
                <w:szCs w:val="21"/>
                <w:highlight w:val="none"/>
              </w:rPr>
              <w:t>4工作压力16-18Mpa</w:t>
            </w:r>
          </w:p>
          <w:p>
            <w:pPr>
              <w:rPr>
                <w:rFonts w:hAnsi="宋体" w:cs="宋体"/>
                <w:color w:val="auto"/>
                <w:szCs w:val="21"/>
                <w:highlight w:val="none"/>
              </w:rPr>
            </w:pPr>
            <w:r>
              <w:rPr>
                <w:rFonts w:hAnsi="宋体" w:cs="宋体"/>
                <w:color w:val="auto"/>
                <w:szCs w:val="21"/>
                <w:highlight w:val="none"/>
              </w:rPr>
              <w:t>5压缩箱容积 ≥8m³</w:t>
            </w:r>
          </w:p>
          <w:p>
            <w:pPr>
              <w:rPr>
                <w:rFonts w:hAnsi="宋体" w:cs="宋体"/>
                <w:color w:val="auto"/>
                <w:szCs w:val="21"/>
                <w:highlight w:val="none"/>
              </w:rPr>
            </w:pPr>
            <w:r>
              <w:rPr>
                <w:rFonts w:hAnsi="宋体" w:cs="宋体"/>
                <w:color w:val="auto"/>
                <w:szCs w:val="21"/>
                <w:highlight w:val="none"/>
              </w:rPr>
              <w:t>6工作电压380 V</w:t>
            </w:r>
          </w:p>
          <w:p>
            <w:pPr>
              <w:rPr>
                <w:rFonts w:hAnsi="宋体" w:cs="宋体"/>
                <w:color w:val="auto"/>
                <w:szCs w:val="21"/>
                <w:highlight w:val="none"/>
              </w:rPr>
            </w:pPr>
            <w:r>
              <w:rPr>
                <w:rFonts w:hAnsi="宋体" w:cs="宋体"/>
                <w:color w:val="auto"/>
                <w:szCs w:val="21"/>
                <w:highlight w:val="none"/>
              </w:rPr>
              <w:t>7配套电机功率≥11 kw</w:t>
            </w:r>
          </w:p>
          <w:p>
            <w:pPr>
              <w:rPr>
                <w:rFonts w:hAnsi="宋体" w:cs="宋体"/>
                <w:color w:val="auto"/>
                <w:szCs w:val="21"/>
                <w:highlight w:val="none"/>
              </w:rPr>
            </w:pPr>
            <w:r>
              <w:rPr>
                <w:rFonts w:hAnsi="宋体" w:cs="宋体"/>
                <w:color w:val="auto"/>
                <w:szCs w:val="21"/>
                <w:highlight w:val="none"/>
              </w:rPr>
              <w:t>8单机日处理量≥60 t</w:t>
            </w:r>
          </w:p>
          <w:p>
            <w:pPr>
              <w:rPr>
                <w:rFonts w:hAnsi="宋体" w:cs="宋体"/>
                <w:color w:val="auto"/>
                <w:szCs w:val="21"/>
                <w:highlight w:val="none"/>
              </w:rPr>
            </w:pPr>
            <w:r>
              <w:rPr>
                <w:rFonts w:hAnsi="宋体" w:cs="宋体"/>
                <w:color w:val="auto"/>
                <w:szCs w:val="21"/>
                <w:highlight w:val="none"/>
              </w:rPr>
              <w:t>9额定压缩力≥60 t</w:t>
            </w:r>
          </w:p>
          <w:p>
            <w:pPr>
              <w:rPr>
                <w:rFonts w:hAnsi="宋体" w:cs="宋体"/>
                <w:color w:val="auto"/>
                <w:szCs w:val="21"/>
                <w:highlight w:val="none"/>
              </w:rPr>
            </w:pPr>
            <w:r>
              <w:rPr>
                <w:rFonts w:hAnsi="宋体" w:cs="宋体"/>
                <w:color w:val="auto"/>
                <w:szCs w:val="21"/>
                <w:highlight w:val="none"/>
              </w:rPr>
              <w:t>10压缩缸最大行程≥3700 mm</w:t>
            </w:r>
          </w:p>
          <w:p>
            <w:pPr>
              <w:rPr>
                <w:rFonts w:hAnsi="宋体" w:cs="宋体"/>
                <w:color w:val="auto"/>
                <w:szCs w:val="21"/>
                <w:highlight w:val="none"/>
              </w:rPr>
            </w:pPr>
            <w:r>
              <w:rPr>
                <w:rFonts w:hAnsi="宋体" w:cs="宋体"/>
                <w:color w:val="auto"/>
                <w:szCs w:val="21"/>
                <w:highlight w:val="none"/>
              </w:rPr>
              <w:t>11压缩比1:2-1:4</w:t>
            </w:r>
          </w:p>
          <w:p>
            <w:pPr>
              <w:rPr>
                <w:rFonts w:hAnsi="宋体" w:cs="宋体"/>
                <w:color w:val="auto"/>
                <w:szCs w:val="21"/>
                <w:highlight w:val="none"/>
              </w:rPr>
            </w:pPr>
            <w:r>
              <w:rPr>
                <w:rFonts w:hAnsi="宋体" w:cs="宋体"/>
                <w:color w:val="auto"/>
                <w:szCs w:val="21"/>
                <w:highlight w:val="none"/>
              </w:rPr>
              <w:t>12最大装车高度≥1500 mm</w:t>
            </w:r>
          </w:p>
          <w:p>
            <w:pPr>
              <w:rPr>
                <w:rFonts w:hAnsi="宋体" w:cs="宋体"/>
                <w:color w:val="auto"/>
                <w:szCs w:val="21"/>
                <w:highlight w:val="none"/>
              </w:rPr>
            </w:pPr>
            <w:r>
              <w:rPr>
                <w:rFonts w:hAnsi="宋体" w:cs="宋体"/>
                <w:color w:val="auto"/>
                <w:szCs w:val="21"/>
                <w:highlight w:val="none"/>
              </w:rPr>
              <w:t>13投料口尺寸(长×宽)1500×800 mm</w:t>
            </w:r>
          </w:p>
          <w:p>
            <w:pPr>
              <w:rPr>
                <w:rFonts w:hAnsi="宋体" w:cs="宋体"/>
                <w:color w:val="auto"/>
                <w:szCs w:val="21"/>
                <w:highlight w:val="none"/>
              </w:rPr>
            </w:pPr>
            <w:r>
              <w:rPr>
                <w:rFonts w:hAnsi="宋体" w:cs="宋体"/>
                <w:color w:val="auto"/>
                <w:szCs w:val="21"/>
                <w:highlight w:val="none"/>
              </w:rPr>
              <w:t>14块垃圾重量≥4 t</w:t>
            </w:r>
          </w:p>
          <w:p>
            <w:pPr>
              <w:rPr>
                <w:rFonts w:hAnsi="宋体" w:cs="宋体"/>
                <w:color w:val="auto"/>
                <w:szCs w:val="21"/>
                <w:highlight w:val="none"/>
              </w:rPr>
            </w:pPr>
            <w:r>
              <w:rPr>
                <w:rFonts w:hAnsi="宋体" w:cs="宋体"/>
                <w:color w:val="auto"/>
                <w:szCs w:val="21"/>
                <w:highlight w:val="none"/>
              </w:rPr>
              <w:t>15控制方式PLC编程控制</w:t>
            </w:r>
          </w:p>
          <w:p>
            <w:pPr>
              <w:rPr>
                <w:rFonts w:hAnsi="宋体" w:cs="宋体"/>
                <w:color w:val="auto"/>
                <w:szCs w:val="21"/>
                <w:highlight w:val="none"/>
              </w:rPr>
            </w:pPr>
            <w:r>
              <w:rPr>
                <w:rFonts w:hAnsi="宋体" w:cs="宋体"/>
                <w:color w:val="auto"/>
                <w:szCs w:val="21"/>
                <w:highlight w:val="none"/>
              </w:rPr>
              <w:t>16垃圾日处理能力≥60T</w:t>
            </w:r>
          </w:p>
          <w:p>
            <w:pPr>
              <w:rPr>
                <w:rFonts w:hAnsi="宋体" w:cs="宋体"/>
                <w:color w:val="auto"/>
                <w:szCs w:val="21"/>
                <w:highlight w:val="none"/>
              </w:rPr>
            </w:pPr>
            <w:r>
              <w:rPr>
                <w:rFonts w:hAnsi="宋体" w:cs="宋体"/>
                <w:color w:val="auto"/>
                <w:szCs w:val="21"/>
                <w:highlight w:val="none"/>
              </w:rPr>
              <w:t>二：其他技术要求</w:t>
            </w:r>
          </w:p>
          <w:p>
            <w:pPr>
              <w:rPr>
                <w:rFonts w:hAnsi="宋体" w:cs="宋体"/>
                <w:color w:val="auto"/>
                <w:szCs w:val="21"/>
                <w:highlight w:val="none"/>
              </w:rPr>
            </w:pPr>
            <w:r>
              <w:rPr>
                <w:rFonts w:hAnsi="宋体" w:cs="宋体"/>
                <w:color w:val="auto"/>
                <w:szCs w:val="21"/>
                <w:highlight w:val="none"/>
              </w:rPr>
              <w:t>1、垃圾压缩密度≥0.7t/m³。</w:t>
            </w:r>
          </w:p>
          <w:p>
            <w:pPr>
              <w:rPr>
                <w:rFonts w:hAnsi="宋体" w:cs="宋体"/>
                <w:color w:val="auto"/>
                <w:szCs w:val="21"/>
                <w:highlight w:val="none"/>
              </w:rPr>
            </w:pPr>
            <w:r>
              <w:rPr>
                <w:rFonts w:hAnsi="宋体" w:cs="宋体"/>
                <w:color w:val="auto"/>
                <w:szCs w:val="21"/>
                <w:highlight w:val="none"/>
              </w:rPr>
              <w:t>2、设有固定式操作和遥控器两种操作模式，方便实用。采用PLC编程控制，自动化程度高。</w:t>
            </w:r>
          </w:p>
          <w:p>
            <w:pPr>
              <w:rPr>
                <w:rFonts w:hAnsi="宋体" w:cs="宋体"/>
                <w:color w:val="auto"/>
                <w:szCs w:val="21"/>
                <w:highlight w:val="none"/>
              </w:rPr>
            </w:pPr>
            <w:r>
              <w:rPr>
                <w:rFonts w:hAnsi="宋体" w:cs="宋体"/>
                <w:color w:val="auto"/>
                <w:szCs w:val="21"/>
                <w:highlight w:val="none"/>
              </w:rPr>
              <w:t>3、垃圾压缩箱采用厚度≥6㎜优质高强度碳钢板焊接，压缩箱体使用寿命不小于5年。</w:t>
            </w:r>
          </w:p>
          <w:p>
            <w:pPr>
              <w:rPr>
                <w:rFonts w:hAnsi="宋体" w:cs="宋体"/>
                <w:color w:val="auto"/>
                <w:szCs w:val="21"/>
                <w:highlight w:val="none"/>
              </w:rPr>
            </w:pPr>
            <w:r>
              <w:rPr>
                <w:rFonts w:hAnsi="宋体" w:cs="宋体"/>
                <w:color w:val="auto"/>
                <w:szCs w:val="21"/>
                <w:highlight w:val="none"/>
              </w:rPr>
              <w:t>4、举升架上须设有防箱体坠落安全装置，确保人身安全和设备安全；</w:t>
            </w:r>
          </w:p>
          <w:p>
            <w:pPr>
              <w:rPr>
                <w:rFonts w:hAnsi="宋体" w:cs="宋体"/>
                <w:color w:val="auto"/>
                <w:szCs w:val="21"/>
                <w:highlight w:val="none"/>
              </w:rPr>
            </w:pPr>
            <w:r>
              <w:rPr>
                <w:rFonts w:hAnsi="宋体" w:cs="宋体"/>
                <w:color w:val="auto"/>
                <w:szCs w:val="21"/>
                <w:highlight w:val="none"/>
              </w:rPr>
              <w:t>5、垃圾压缩箱须采用整体式：即压缩仓、储存仓、推铲放置仓连为一体，整体落于地下；箱体前闸门须采用内置式结构，以增加与转运车的对接长度，防止垃圾块装车过程中垃圾散落；</w:t>
            </w:r>
          </w:p>
          <w:p>
            <w:pPr>
              <w:rPr>
                <w:rFonts w:hAnsi="宋体" w:cs="宋体"/>
                <w:color w:val="auto"/>
                <w:szCs w:val="21"/>
                <w:highlight w:val="none"/>
              </w:rPr>
            </w:pPr>
            <w:r>
              <w:rPr>
                <w:rFonts w:hAnsi="宋体" w:cs="宋体"/>
                <w:color w:val="auto"/>
                <w:szCs w:val="21"/>
                <w:highlight w:val="none"/>
              </w:rPr>
              <w:t>6、</w:t>
            </w:r>
            <w:bookmarkStart w:id="180" w:name="_Hlk115079439"/>
            <w:r>
              <w:rPr>
                <w:rFonts w:hAnsi="宋体" w:cs="宋体"/>
                <w:color w:val="auto"/>
                <w:szCs w:val="21"/>
                <w:highlight w:val="none"/>
              </w:rPr>
              <w:t>液压系统选用国内厂家生产的产品；</w:t>
            </w:r>
            <w:bookmarkEnd w:id="180"/>
          </w:p>
          <w:p>
            <w:pPr>
              <w:rPr>
                <w:rFonts w:hAnsi="宋体" w:cs="宋体"/>
                <w:color w:val="auto"/>
                <w:szCs w:val="21"/>
                <w:highlight w:val="none"/>
              </w:rPr>
            </w:pPr>
            <w:r>
              <w:rPr>
                <w:rFonts w:hAnsi="宋体" w:cs="宋体"/>
                <w:color w:val="auto"/>
                <w:szCs w:val="21"/>
                <w:highlight w:val="none"/>
              </w:rPr>
              <w:t>7、控制系统应设有前闸门保护装置，防止误操作时损坏前闸门；</w:t>
            </w:r>
          </w:p>
          <w:p>
            <w:pPr>
              <w:rPr>
                <w:rFonts w:hAnsi="宋体" w:cs="宋体"/>
                <w:color w:val="auto"/>
                <w:szCs w:val="21"/>
                <w:highlight w:val="none"/>
              </w:rPr>
            </w:pPr>
            <w:r>
              <w:rPr>
                <w:rFonts w:hAnsi="宋体" w:cs="宋体"/>
                <w:color w:val="auto"/>
                <w:szCs w:val="21"/>
                <w:highlight w:val="none"/>
              </w:rPr>
              <w:t>8、设有不小于30mA漏电保护装置，确保设备及人身安全；</w:t>
            </w:r>
          </w:p>
          <w:p>
            <w:pPr>
              <w:rPr>
                <w:rFonts w:hAnsi="宋体" w:cs="宋体"/>
                <w:color w:val="auto"/>
                <w:szCs w:val="21"/>
                <w:highlight w:val="none"/>
              </w:rPr>
            </w:pPr>
            <w:r>
              <w:rPr>
                <w:rFonts w:hAnsi="宋体" w:cs="宋体"/>
                <w:color w:val="auto"/>
                <w:szCs w:val="21"/>
                <w:highlight w:val="none"/>
              </w:rPr>
              <w:t>9、设有污水泵，以便将压缩垃圾产生的污水排到污水管网。</w:t>
            </w:r>
          </w:p>
          <w:p>
            <w:pPr>
              <w:rPr>
                <w:rFonts w:hAnsi="宋体" w:cs="宋体"/>
                <w:color w:val="auto"/>
                <w:szCs w:val="21"/>
                <w:highlight w:val="none"/>
              </w:rPr>
            </w:pPr>
            <w:r>
              <w:rPr>
                <w:rFonts w:hAnsi="宋体" w:cs="宋体"/>
                <w:color w:val="auto"/>
                <w:szCs w:val="21"/>
                <w:highlight w:val="none"/>
              </w:rPr>
              <w:t>10、设备必须能够与垃圾转运车配套使用，压缩后垃圾块能够和垃圾转运车方便对接</w:t>
            </w:r>
          </w:p>
          <w:p>
            <w:pPr>
              <w:rPr>
                <w:rFonts w:hAnsi="宋体" w:cs="宋体"/>
                <w:color w:val="auto"/>
                <w:szCs w:val="21"/>
                <w:highlight w:val="none"/>
              </w:rPr>
            </w:pPr>
            <w:r>
              <w:rPr>
                <w:rFonts w:hAnsi="宋体" w:cs="宋体"/>
                <w:color w:val="auto"/>
                <w:szCs w:val="21"/>
                <w:highlight w:val="none"/>
              </w:rPr>
              <w:t>11、垃圾的压缩、储存全部在地面以下，地面上无垃圾散落和污水横流现象，经压缩后的垃圾压缩中产生的污水须排入集水井中及时抽出</w:t>
            </w:r>
          </w:p>
        </w:tc>
        <w:tc>
          <w:tcPr>
            <w:tcW w:w="775" w:type="dxa"/>
            <w:shd w:val="clear" w:color="auto" w:fill="auto"/>
          </w:tcPr>
          <w:p>
            <w:pP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shd w:val="clear" w:color="auto" w:fill="auto"/>
          </w:tcPr>
          <w:p>
            <w:pPr>
              <w:spacing w:before="662" w:beforeLines="200"/>
              <w:rPr>
                <w:rFonts w:hAnsi="宋体" w:cs="宋体"/>
                <w:color w:val="auto"/>
                <w:szCs w:val="21"/>
                <w:highlight w:val="none"/>
              </w:rPr>
            </w:pPr>
            <w:r>
              <w:rPr>
                <w:rFonts w:hAnsi="宋体" w:cs="宋体"/>
                <w:color w:val="auto"/>
                <w:szCs w:val="21"/>
                <w:highlight w:val="none"/>
              </w:rPr>
              <w:t>5鹅塘镇</w:t>
            </w:r>
          </w:p>
        </w:tc>
        <w:tc>
          <w:tcPr>
            <w:tcW w:w="1063" w:type="dxa"/>
            <w:shd w:val="clear" w:color="auto" w:fill="auto"/>
          </w:tcPr>
          <w:p>
            <w:pPr>
              <w:spacing w:before="662" w:beforeLines="200"/>
              <w:rPr>
                <w:rFonts w:hAnsi="宋体" w:cs="宋体"/>
                <w:color w:val="auto"/>
                <w:szCs w:val="21"/>
                <w:highlight w:val="none"/>
              </w:rPr>
            </w:pPr>
            <w:r>
              <w:rPr>
                <w:rFonts w:hAnsi="宋体" w:cs="宋体"/>
                <w:color w:val="auto"/>
                <w:szCs w:val="21"/>
                <w:highlight w:val="none"/>
              </w:rPr>
              <w:t>移动压缩箱维修</w:t>
            </w:r>
          </w:p>
        </w:tc>
        <w:tc>
          <w:tcPr>
            <w:tcW w:w="574" w:type="dxa"/>
            <w:shd w:val="clear" w:color="auto" w:fill="auto"/>
          </w:tcPr>
          <w:p>
            <w:pPr>
              <w:spacing w:before="662" w:beforeLines="200"/>
              <w:rPr>
                <w:rFonts w:hAnsi="宋体" w:cs="宋体"/>
                <w:color w:val="auto"/>
                <w:szCs w:val="21"/>
                <w:highlight w:val="none"/>
              </w:rPr>
            </w:pPr>
            <w:r>
              <w:rPr>
                <w:rFonts w:hAnsi="宋体" w:cs="宋体"/>
                <w:color w:val="auto"/>
                <w:szCs w:val="21"/>
                <w:highlight w:val="none"/>
              </w:rPr>
              <w:t>1</w:t>
            </w:r>
            <w:r>
              <w:rPr>
                <w:rFonts w:hint="eastAsia" w:hAnsi="宋体" w:cs="宋体"/>
                <w:color w:val="auto"/>
                <w:szCs w:val="21"/>
                <w:highlight w:val="none"/>
              </w:rPr>
              <w:t>项</w:t>
            </w:r>
          </w:p>
        </w:tc>
        <w:tc>
          <w:tcPr>
            <w:tcW w:w="5688" w:type="dxa"/>
            <w:shd w:val="clear" w:color="auto" w:fill="auto"/>
          </w:tcPr>
          <w:p>
            <w:pPr>
              <w:rPr>
                <w:rFonts w:hAnsi="宋体" w:cs="宋体"/>
                <w:color w:val="auto"/>
                <w:szCs w:val="21"/>
                <w:highlight w:val="none"/>
              </w:rPr>
            </w:pPr>
            <w:r>
              <w:rPr>
                <w:rFonts w:hAnsi="宋体" w:cs="宋体"/>
                <w:color w:val="auto"/>
                <w:szCs w:val="21"/>
                <w:highlight w:val="none"/>
              </w:rPr>
              <w:t>1：更换电磁转向阀4个</w:t>
            </w:r>
          </w:p>
          <w:p>
            <w:pPr>
              <w:rPr>
                <w:rFonts w:hAnsi="宋体" w:cs="宋体"/>
                <w:color w:val="auto"/>
                <w:szCs w:val="21"/>
                <w:highlight w:val="none"/>
              </w:rPr>
            </w:pPr>
            <w:r>
              <w:rPr>
                <w:rFonts w:hAnsi="宋体" w:cs="宋体"/>
                <w:color w:val="auto"/>
                <w:szCs w:val="21"/>
                <w:highlight w:val="none"/>
              </w:rPr>
              <w:t>2：液压锁1个</w:t>
            </w:r>
          </w:p>
          <w:p>
            <w:pPr>
              <w:rPr>
                <w:rFonts w:hAnsi="宋体" w:cs="宋体"/>
                <w:color w:val="auto"/>
                <w:szCs w:val="21"/>
                <w:highlight w:val="none"/>
              </w:rPr>
            </w:pPr>
            <w:r>
              <w:rPr>
                <w:rFonts w:hAnsi="宋体" w:cs="宋体"/>
                <w:color w:val="auto"/>
                <w:szCs w:val="21"/>
                <w:highlight w:val="none"/>
              </w:rPr>
              <w:t>3：交流接触器</w:t>
            </w:r>
          </w:p>
          <w:p>
            <w:pPr>
              <w:rPr>
                <w:rFonts w:hAnsi="宋体" w:cs="宋体"/>
                <w:color w:val="auto"/>
                <w:szCs w:val="21"/>
                <w:highlight w:val="none"/>
              </w:rPr>
            </w:pPr>
            <w:r>
              <w:rPr>
                <w:rFonts w:hAnsi="宋体" w:cs="宋体"/>
                <w:color w:val="auto"/>
                <w:szCs w:val="21"/>
                <w:highlight w:val="none"/>
              </w:rPr>
              <w:t>4：</w:t>
            </w:r>
            <w:r>
              <w:rPr>
                <w:rFonts w:hAnsi="宋体" w:cs="宋体"/>
                <w:color w:val="auto"/>
                <w:szCs w:val="21"/>
                <w:highlight w:val="none"/>
                <w:lang w:bidi="ar"/>
              </w:rPr>
              <w:t>★</w:t>
            </w:r>
            <w:r>
              <w:rPr>
                <w:rFonts w:hAnsi="宋体" w:cs="宋体"/>
                <w:color w:val="auto"/>
                <w:szCs w:val="21"/>
                <w:highlight w:val="none"/>
              </w:rPr>
              <w:t>整体设备维修达到正常使用</w:t>
            </w:r>
          </w:p>
        </w:tc>
        <w:tc>
          <w:tcPr>
            <w:tcW w:w="775" w:type="dxa"/>
            <w:shd w:val="clear" w:color="auto" w:fill="auto"/>
          </w:tcPr>
          <w:p>
            <w:pP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shd w:val="clear" w:color="auto" w:fill="auto"/>
          </w:tcPr>
          <w:p>
            <w:pPr>
              <w:spacing w:before="662" w:beforeLines="200"/>
              <w:rPr>
                <w:rFonts w:hAnsi="宋体" w:cs="宋体"/>
                <w:color w:val="auto"/>
                <w:szCs w:val="21"/>
                <w:highlight w:val="none"/>
              </w:rPr>
            </w:pPr>
          </w:p>
        </w:tc>
        <w:tc>
          <w:tcPr>
            <w:tcW w:w="1063" w:type="dxa"/>
            <w:shd w:val="clear" w:color="auto" w:fill="auto"/>
          </w:tcPr>
          <w:p>
            <w:pPr>
              <w:spacing w:before="4965" w:beforeLines="1500"/>
              <w:rPr>
                <w:rFonts w:hAnsi="宋体" w:cs="宋体"/>
                <w:color w:val="auto"/>
                <w:szCs w:val="21"/>
                <w:highlight w:val="none"/>
              </w:rPr>
            </w:pPr>
            <w:r>
              <w:rPr>
                <w:rFonts w:hAnsi="宋体" w:cs="宋体"/>
                <w:color w:val="auto"/>
                <w:szCs w:val="21"/>
                <w:highlight w:val="none"/>
              </w:rPr>
              <w:t>摩托三轮车</w:t>
            </w:r>
          </w:p>
        </w:tc>
        <w:tc>
          <w:tcPr>
            <w:tcW w:w="574" w:type="dxa"/>
            <w:shd w:val="clear" w:color="auto" w:fill="auto"/>
          </w:tcPr>
          <w:p>
            <w:pPr>
              <w:spacing w:before="4965" w:beforeLines="1500"/>
              <w:rPr>
                <w:rFonts w:hAnsi="宋体" w:cs="宋体"/>
                <w:color w:val="auto"/>
                <w:szCs w:val="21"/>
                <w:highlight w:val="none"/>
              </w:rPr>
            </w:pPr>
            <w:r>
              <w:rPr>
                <w:rFonts w:hAnsi="宋体" w:cs="宋体"/>
                <w:color w:val="auto"/>
                <w:szCs w:val="21"/>
                <w:highlight w:val="none"/>
              </w:rPr>
              <w:t>6辆</w:t>
            </w:r>
          </w:p>
        </w:tc>
        <w:tc>
          <w:tcPr>
            <w:tcW w:w="5688" w:type="dxa"/>
            <w:shd w:val="clear" w:color="auto" w:fill="auto"/>
          </w:tcPr>
          <w:p>
            <w:pPr>
              <w:tabs>
                <w:tab w:val="left" w:pos="180"/>
                <w:tab w:val="left" w:pos="1620"/>
              </w:tabs>
              <w:spacing w:line="360" w:lineRule="exact"/>
              <w:rPr>
                <w:rFonts w:hAnsi="宋体" w:cs="宋体"/>
                <w:color w:val="auto"/>
                <w:szCs w:val="21"/>
                <w:highlight w:val="none"/>
              </w:rPr>
            </w:pPr>
            <w:r>
              <w:rPr>
                <w:rFonts w:hAnsi="宋体" w:cs="宋体"/>
                <w:color w:val="auto"/>
                <w:szCs w:val="21"/>
                <w:highlight w:val="none"/>
              </w:rPr>
              <w:t>1：外</w:t>
            </w:r>
            <w:r>
              <w:rPr>
                <w:rFonts w:hint="eastAsia" w:hAnsi="宋体" w:cs="宋体"/>
                <w:color w:val="auto"/>
                <w:szCs w:val="21"/>
                <w:highlight w:val="none"/>
              </w:rPr>
              <w:t>廓</w:t>
            </w:r>
            <w:r>
              <w:rPr>
                <w:rFonts w:hAnsi="宋体" w:cs="宋体"/>
                <w:color w:val="auto"/>
                <w:szCs w:val="21"/>
                <w:highlight w:val="none"/>
              </w:rPr>
              <w:t>尺寸（长×宽×高）（mm）3490×1295×1480</w:t>
            </w:r>
            <w:r>
              <w:rPr>
                <w:rFonts w:hint="eastAsia" w:hAnsi="宋体" w:cs="宋体"/>
                <w:color w:val="auto"/>
                <w:szCs w:val="21"/>
                <w:highlight w:val="none"/>
              </w:rPr>
              <w:t>允许各尺寸正负偏离5mm</w:t>
            </w:r>
            <w:r>
              <w:rPr>
                <w:rFonts w:hAnsi="宋体" w:cs="宋体"/>
                <w:color w:val="auto"/>
                <w:szCs w:val="21"/>
                <w:highlight w:val="none"/>
              </w:rPr>
              <w:t>（须提供具有产品质量检验资质的</w:t>
            </w:r>
            <w:r>
              <w:rPr>
                <w:rFonts w:hint="eastAsia" w:hAnsi="宋体" w:cs="宋体"/>
                <w:color w:val="auto"/>
                <w:szCs w:val="21"/>
                <w:highlight w:val="none"/>
              </w:rPr>
              <w:t>地级</w:t>
            </w:r>
            <w:r>
              <w:rPr>
                <w:rFonts w:hAnsi="宋体" w:cs="宋体"/>
                <w:color w:val="auto"/>
                <w:szCs w:val="21"/>
                <w:highlight w:val="none"/>
              </w:rPr>
              <w:t>市（或以上）检测机构的产品检测报告（带CMA和CNAS资质标识）作为证明材料。）</w:t>
            </w:r>
          </w:p>
          <w:p>
            <w:pPr>
              <w:tabs>
                <w:tab w:val="left" w:pos="180"/>
                <w:tab w:val="left" w:pos="1620"/>
              </w:tabs>
              <w:spacing w:line="360" w:lineRule="exact"/>
              <w:rPr>
                <w:rFonts w:hAnsi="宋体" w:cs="宋体"/>
                <w:color w:val="auto"/>
                <w:szCs w:val="21"/>
                <w:highlight w:val="none"/>
              </w:rPr>
            </w:pPr>
            <w:r>
              <w:rPr>
                <w:rFonts w:hAnsi="宋体" w:cs="宋体"/>
                <w:color w:val="auto"/>
                <w:szCs w:val="21"/>
                <w:highlight w:val="none"/>
              </w:rPr>
              <w:t>2：货厢（不带顶蓬）尺寸（mmm）≥2000×1290×1000</w:t>
            </w:r>
          </w:p>
          <w:p>
            <w:pPr>
              <w:tabs>
                <w:tab w:val="left" w:pos="180"/>
                <w:tab w:val="left" w:pos="1620"/>
              </w:tabs>
              <w:spacing w:line="360" w:lineRule="exact"/>
              <w:rPr>
                <w:rFonts w:hAnsi="宋体" w:cs="宋体"/>
                <w:color w:val="auto"/>
                <w:szCs w:val="21"/>
                <w:highlight w:val="none"/>
              </w:rPr>
            </w:pPr>
            <w:r>
              <w:rPr>
                <w:rFonts w:hAnsi="宋体" w:cs="宋体"/>
                <w:color w:val="auto"/>
                <w:szCs w:val="21"/>
                <w:highlight w:val="none"/>
              </w:rPr>
              <w:t>3:</w:t>
            </w:r>
            <w:r>
              <w:rPr>
                <w:rStyle w:val="36"/>
                <w:rFonts w:hint="default"/>
                <w:color w:val="auto"/>
                <w:sz w:val="21"/>
                <w:szCs w:val="21"/>
                <w:highlight w:val="none"/>
                <w:lang w:bidi="ar"/>
              </w:rPr>
              <w:t xml:space="preserve"> </w:t>
            </w:r>
            <w:r>
              <w:rPr>
                <w:rFonts w:hAnsi="宋体" w:cs="宋体"/>
                <w:color w:val="auto"/>
                <w:szCs w:val="21"/>
                <w:highlight w:val="none"/>
              </w:rPr>
              <w:t>整备质量（kg）≧380（须提供具有产品质量检验资质的</w:t>
            </w:r>
            <w:r>
              <w:rPr>
                <w:rFonts w:hint="eastAsia" w:hAnsi="宋体" w:cs="宋体"/>
                <w:color w:val="auto"/>
                <w:szCs w:val="21"/>
                <w:highlight w:val="none"/>
              </w:rPr>
              <w:t>地级</w:t>
            </w:r>
            <w:r>
              <w:rPr>
                <w:rFonts w:hAnsi="宋体" w:cs="宋体"/>
                <w:color w:val="auto"/>
                <w:szCs w:val="21"/>
                <w:highlight w:val="none"/>
              </w:rPr>
              <w:t>市（或以上）检测机构的产品检测报告（带CMA和CNAS资质标识）作为证明材料。）</w:t>
            </w:r>
          </w:p>
          <w:p>
            <w:pPr>
              <w:tabs>
                <w:tab w:val="left" w:pos="180"/>
                <w:tab w:val="left" w:pos="1620"/>
              </w:tabs>
              <w:spacing w:line="360" w:lineRule="exact"/>
              <w:rPr>
                <w:rFonts w:hAnsi="宋体" w:cs="宋体"/>
                <w:color w:val="auto"/>
                <w:szCs w:val="21"/>
                <w:highlight w:val="none"/>
              </w:rPr>
            </w:pPr>
            <w:r>
              <w:rPr>
                <w:rFonts w:hAnsi="宋体" w:cs="宋体"/>
                <w:color w:val="auto"/>
                <w:szCs w:val="21"/>
                <w:highlight w:val="none"/>
              </w:rPr>
              <w:t>4:轴距（mm）：≧2450（须提供具有产品质量检验资质的</w:t>
            </w:r>
            <w:r>
              <w:rPr>
                <w:rFonts w:hint="eastAsia" w:hAnsi="宋体" w:cs="宋体"/>
                <w:color w:val="auto"/>
                <w:szCs w:val="21"/>
                <w:highlight w:val="none"/>
              </w:rPr>
              <w:t>地级</w:t>
            </w:r>
            <w:r>
              <w:rPr>
                <w:rFonts w:hAnsi="宋体" w:cs="宋体"/>
                <w:color w:val="auto"/>
                <w:szCs w:val="21"/>
                <w:highlight w:val="none"/>
              </w:rPr>
              <w:t>市（或以上）检测机构的产品检测报告（带CMA和CNAS资质标识）作为证明材料。）</w:t>
            </w:r>
          </w:p>
          <w:p>
            <w:pPr>
              <w:tabs>
                <w:tab w:val="left" w:pos="180"/>
                <w:tab w:val="left" w:pos="1620"/>
              </w:tabs>
              <w:spacing w:line="360" w:lineRule="exact"/>
              <w:rPr>
                <w:rFonts w:hAnsi="宋体" w:cs="宋体"/>
                <w:color w:val="auto"/>
                <w:szCs w:val="21"/>
                <w:highlight w:val="none"/>
              </w:rPr>
            </w:pPr>
            <w:r>
              <w:rPr>
                <w:rFonts w:hAnsi="宋体" w:cs="宋体"/>
                <w:color w:val="auto"/>
                <w:szCs w:val="21"/>
                <w:highlight w:val="none"/>
              </w:rPr>
              <w:t>5:</w:t>
            </w:r>
            <w:r>
              <w:rPr>
                <w:rStyle w:val="36"/>
                <w:rFonts w:hint="default"/>
                <w:color w:val="auto"/>
                <w:sz w:val="21"/>
                <w:szCs w:val="21"/>
                <w:highlight w:val="none"/>
                <w:lang w:bidi="ar"/>
              </w:rPr>
              <w:t xml:space="preserve"> ▲</w:t>
            </w:r>
            <w:r>
              <w:rPr>
                <w:rFonts w:hint="eastAsia" w:hAnsi="宋体" w:cs="宋体"/>
                <w:color w:val="auto"/>
                <w:szCs w:val="21"/>
                <w:highlight w:val="none"/>
              </w:rPr>
              <w:t>排放污染物：蒸发污染物总质量g</w:t>
            </w:r>
            <w:r>
              <w:rPr>
                <w:rFonts w:hAnsi="宋体" w:cs="宋体"/>
                <w:color w:val="auto"/>
                <w:szCs w:val="21"/>
                <w:highlight w:val="none"/>
                <w:lang w:bidi="ar"/>
              </w:rPr>
              <w:t>≤</w:t>
            </w:r>
            <w:r>
              <w:rPr>
                <w:rFonts w:hAnsi="宋体" w:cs="宋体"/>
                <w:color w:val="auto"/>
                <w:szCs w:val="21"/>
                <w:highlight w:val="none"/>
              </w:rPr>
              <w:t>0.25（须提供具有产品质量检验资质的</w:t>
            </w:r>
            <w:r>
              <w:rPr>
                <w:rFonts w:hint="eastAsia" w:hAnsi="宋体" w:cs="宋体"/>
                <w:color w:val="auto"/>
                <w:szCs w:val="21"/>
                <w:highlight w:val="none"/>
              </w:rPr>
              <w:t>地级</w:t>
            </w:r>
            <w:r>
              <w:rPr>
                <w:rFonts w:hAnsi="宋体" w:cs="宋体"/>
                <w:color w:val="auto"/>
                <w:szCs w:val="21"/>
                <w:highlight w:val="none"/>
              </w:rPr>
              <w:t>市（或以上）检测机构的产品检测报告（带CMA和CNAS资质标识）作为证明材料。）</w:t>
            </w:r>
          </w:p>
          <w:p>
            <w:pPr>
              <w:tabs>
                <w:tab w:val="left" w:pos="180"/>
                <w:tab w:val="left" w:pos="1620"/>
              </w:tabs>
              <w:spacing w:line="360" w:lineRule="exact"/>
              <w:rPr>
                <w:rFonts w:hAnsi="宋体" w:cs="宋体"/>
                <w:color w:val="auto"/>
                <w:szCs w:val="21"/>
                <w:highlight w:val="none"/>
              </w:rPr>
            </w:pPr>
            <w:r>
              <w:rPr>
                <w:rFonts w:hAnsi="宋体" w:cs="宋体"/>
                <w:color w:val="auto"/>
                <w:szCs w:val="21"/>
                <w:highlight w:val="none"/>
              </w:rPr>
              <w:t>6:转向型式：方向把</w:t>
            </w:r>
          </w:p>
          <w:p>
            <w:pPr>
              <w:tabs>
                <w:tab w:val="left" w:pos="180"/>
                <w:tab w:val="left" w:pos="1620"/>
              </w:tabs>
              <w:spacing w:line="360" w:lineRule="exact"/>
              <w:rPr>
                <w:rFonts w:hAnsi="宋体" w:cs="宋体"/>
                <w:color w:val="auto"/>
                <w:szCs w:val="21"/>
                <w:highlight w:val="none"/>
              </w:rPr>
            </w:pPr>
            <w:r>
              <w:rPr>
                <w:rFonts w:hAnsi="宋体" w:cs="宋体"/>
                <w:color w:val="auto"/>
                <w:szCs w:val="21"/>
                <w:highlight w:val="none"/>
              </w:rPr>
              <w:t>7:轮胎规格：前5.00-12ULT，后5.00-12ULT</w:t>
            </w:r>
          </w:p>
          <w:p>
            <w:pPr>
              <w:tabs>
                <w:tab w:val="left" w:pos="180"/>
                <w:tab w:val="left" w:pos="1620"/>
              </w:tabs>
              <w:spacing w:line="360" w:lineRule="exact"/>
              <w:rPr>
                <w:rFonts w:hAnsi="宋体" w:cs="宋体"/>
                <w:color w:val="auto"/>
                <w:szCs w:val="21"/>
                <w:highlight w:val="none"/>
              </w:rPr>
            </w:pPr>
            <w:r>
              <w:rPr>
                <w:rFonts w:hAnsi="宋体" w:cs="宋体"/>
                <w:color w:val="auto"/>
                <w:szCs w:val="21"/>
                <w:highlight w:val="none"/>
              </w:rPr>
              <w:t>8:燃料种类：汽油</w:t>
            </w:r>
          </w:p>
          <w:p>
            <w:pPr>
              <w:tabs>
                <w:tab w:val="left" w:pos="180"/>
                <w:tab w:val="left" w:pos="1620"/>
              </w:tabs>
              <w:spacing w:line="360" w:lineRule="exact"/>
              <w:rPr>
                <w:rFonts w:hAnsi="宋体" w:cs="宋体"/>
                <w:color w:val="auto"/>
                <w:szCs w:val="21"/>
                <w:highlight w:val="none"/>
              </w:rPr>
            </w:pPr>
            <w:r>
              <w:rPr>
                <w:rFonts w:hAnsi="宋体" w:cs="宋体"/>
                <w:color w:val="auto"/>
                <w:szCs w:val="21"/>
                <w:highlight w:val="none"/>
              </w:rPr>
              <w:t>9:排放依据标准：GB14622-2016</w:t>
            </w:r>
          </w:p>
          <w:p>
            <w:pPr>
              <w:tabs>
                <w:tab w:val="left" w:pos="180"/>
                <w:tab w:val="left" w:pos="1620"/>
              </w:tabs>
              <w:spacing w:line="360" w:lineRule="exact"/>
              <w:rPr>
                <w:rFonts w:hAnsi="宋体" w:cs="宋体"/>
                <w:color w:val="auto"/>
                <w:szCs w:val="21"/>
                <w:highlight w:val="none"/>
              </w:rPr>
            </w:pPr>
            <w:r>
              <w:rPr>
                <w:rFonts w:hAnsi="宋体" w:cs="宋体"/>
                <w:color w:val="auto"/>
                <w:szCs w:val="21"/>
                <w:highlight w:val="none"/>
              </w:rPr>
              <w:t>10:最高车速：≧50公里/每小时</w:t>
            </w:r>
          </w:p>
          <w:p>
            <w:pPr>
              <w:tabs>
                <w:tab w:val="left" w:pos="180"/>
                <w:tab w:val="left" w:pos="1620"/>
              </w:tabs>
              <w:spacing w:line="360" w:lineRule="exact"/>
              <w:rPr>
                <w:rFonts w:hAnsi="宋体" w:cs="宋体"/>
                <w:color w:val="auto"/>
                <w:szCs w:val="21"/>
                <w:highlight w:val="none"/>
              </w:rPr>
            </w:pPr>
            <w:r>
              <w:rPr>
                <w:rFonts w:hAnsi="宋体" w:cs="宋体"/>
                <w:color w:val="auto"/>
                <w:szCs w:val="21"/>
                <w:highlight w:val="none"/>
              </w:rPr>
              <w:t>11:制动方式：鼓式</w:t>
            </w:r>
          </w:p>
          <w:p>
            <w:pPr>
              <w:tabs>
                <w:tab w:val="left" w:pos="180"/>
                <w:tab w:val="left" w:pos="1620"/>
              </w:tabs>
              <w:spacing w:line="360" w:lineRule="exact"/>
              <w:rPr>
                <w:rFonts w:hAnsi="宋体" w:cs="宋体"/>
                <w:color w:val="auto"/>
                <w:szCs w:val="21"/>
                <w:highlight w:val="none"/>
              </w:rPr>
            </w:pPr>
            <w:r>
              <w:rPr>
                <w:rFonts w:hAnsi="宋体" w:cs="宋体"/>
                <w:color w:val="auto"/>
                <w:szCs w:val="21"/>
                <w:highlight w:val="none"/>
              </w:rPr>
              <w:t>12:制动操作方式：脚制动</w:t>
            </w:r>
          </w:p>
          <w:p>
            <w:pPr>
              <w:tabs>
                <w:tab w:val="left" w:pos="180"/>
                <w:tab w:val="left" w:pos="1620"/>
              </w:tabs>
              <w:spacing w:line="360" w:lineRule="exact"/>
              <w:rPr>
                <w:rFonts w:hAnsi="宋体" w:cs="宋体"/>
                <w:color w:val="auto"/>
                <w:szCs w:val="21"/>
                <w:highlight w:val="none"/>
              </w:rPr>
            </w:pPr>
            <w:r>
              <w:rPr>
                <w:rFonts w:hAnsi="宋体" w:cs="宋体"/>
                <w:color w:val="auto"/>
                <w:szCs w:val="21"/>
                <w:highlight w:val="none"/>
              </w:rPr>
              <w:t>13:发动机排量（ml）：≧149</w:t>
            </w:r>
          </w:p>
          <w:p>
            <w:pPr>
              <w:rPr>
                <w:rFonts w:hAnsi="宋体" w:cs="宋体"/>
                <w:color w:val="auto"/>
                <w:szCs w:val="21"/>
                <w:highlight w:val="none"/>
              </w:rPr>
            </w:pPr>
            <w:r>
              <w:rPr>
                <w:rFonts w:hAnsi="宋体" w:cs="宋体"/>
                <w:color w:val="auto"/>
                <w:szCs w:val="21"/>
                <w:highlight w:val="none"/>
              </w:rPr>
              <w:t>二：其他要求</w:t>
            </w:r>
          </w:p>
          <w:p>
            <w:pPr>
              <w:pStyle w:val="9"/>
              <w:jc w:val="both"/>
              <w:rPr>
                <w:rFonts w:hAnsi="宋体" w:cs="宋体"/>
                <w:color w:val="auto"/>
                <w:sz w:val="21"/>
                <w:szCs w:val="21"/>
                <w:highlight w:val="none"/>
              </w:rPr>
            </w:pPr>
            <w:r>
              <w:rPr>
                <w:rFonts w:hAnsi="宋体" w:cs="宋体"/>
                <w:color w:val="auto"/>
                <w:sz w:val="21"/>
                <w:szCs w:val="21"/>
                <w:highlight w:val="none"/>
              </w:rPr>
              <w:t>驾驶座配备顶篷，车架整体焊接+酸洗磷化电泳烤漆。</w:t>
            </w:r>
          </w:p>
        </w:tc>
        <w:tc>
          <w:tcPr>
            <w:tcW w:w="775" w:type="dxa"/>
            <w:shd w:val="clear" w:color="auto" w:fill="auto"/>
          </w:tcPr>
          <w:p>
            <w:pP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shd w:val="clear" w:color="auto" w:fill="auto"/>
          </w:tcPr>
          <w:p>
            <w:pPr>
              <w:rPr>
                <w:rFonts w:hAnsi="宋体" w:cs="宋体"/>
                <w:color w:val="auto"/>
                <w:szCs w:val="21"/>
                <w:highlight w:val="none"/>
              </w:rPr>
            </w:pPr>
          </w:p>
        </w:tc>
        <w:tc>
          <w:tcPr>
            <w:tcW w:w="1063" w:type="dxa"/>
            <w:shd w:val="clear" w:color="auto" w:fill="auto"/>
          </w:tcPr>
          <w:p>
            <w:pPr>
              <w:spacing w:before="2648" w:beforeLines="800"/>
              <w:rPr>
                <w:rFonts w:hAnsi="宋体" w:cs="宋体"/>
                <w:color w:val="auto"/>
                <w:szCs w:val="21"/>
                <w:highlight w:val="none"/>
              </w:rPr>
            </w:pPr>
            <w:r>
              <w:rPr>
                <w:rFonts w:hAnsi="宋体" w:cs="宋体"/>
                <w:color w:val="auto"/>
                <w:szCs w:val="21"/>
                <w:highlight w:val="none"/>
              </w:rPr>
              <w:t>电动三轮车</w:t>
            </w:r>
          </w:p>
        </w:tc>
        <w:tc>
          <w:tcPr>
            <w:tcW w:w="574" w:type="dxa"/>
            <w:shd w:val="clear" w:color="auto" w:fill="auto"/>
          </w:tcPr>
          <w:p>
            <w:pPr>
              <w:spacing w:before="2648" w:beforeLines="800"/>
              <w:rPr>
                <w:rFonts w:hAnsi="宋体" w:cs="宋体"/>
                <w:color w:val="auto"/>
                <w:szCs w:val="21"/>
                <w:highlight w:val="none"/>
              </w:rPr>
            </w:pPr>
            <w:r>
              <w:rPr>
                <w:rFonts w:hAnsi="宋体" w:cs="宋体"/>
                <w:color w:val="auto"/>
                <w:szCs w:val="21"/>
                <w:highlight w:val="none"/>
              </w:rPr>
              <w:t>11辆</w:t>
            </w:r>
          </w:p>
        </w:tc>
        <w:tc>
          <w:tcPr>
            <w:tcW w:w="5688" w:type="dxa"/>
            <w:shd w:val="clear" w:color="auto" w:fill="auto"/>
          </w:tcPr>
          <w:p>
            <w:pPr>
              <w:widowControl/>
              <w:textAlignment w:val="center"/>
              <w:rPr>
                <w:rFonts w:hAnsi="宋体" w:cs="宋体"/>
                <w:color w:val="auto"/>
                <w:szCs w:val="21"/>
                <w:highlight w:val="none"/>
              </w:rPr>
            </w:pPr>
            <w:r>
              <w:rPr>
                <w:rFonts w:hAnsi="宋体" w:cs="宋体"/>
                <w:color w:val="auto"/>
                <w:szCs w:val="21"/>
                <w:highlight w:val="none"/>
                <w:lang w:bidi="ar"/>
              </w:rPr>
              <w:t>1：承载重量载重≥500kg</w:t>
            </w:r>
          </w:p>
          <w:p>
            <w:pPr>
              <w:widowControl/>
              <w:textAlignment w:val="center"/>
              <w:rPr>
                <w:rFonts w:hAnsi="宋体" w:cs="宋体"/>
                <w:color w:val="auto"/>
                <w:szCs w:val="21"/>
                <w:highlight w:val="none"/>
              </w:rPr>
            </w:pPr>
            <w:r>
              <w:rPr>
                <w:rFonts w:hAnsi="宋体" w:cs="宋体"/>
                <w:color w:val="auto"/>
                <w:szCs w:val="21"/>
                <w:highlight w:val="none"/>
                <w:lang w:bidi="ar"/>
              </w:rPr>
              <w:t xml:space="preserve">2：最高车速≤26km/h </w:t>
            </w:r>
          </w:p>
          <w:p>
            <w:pPr>
              <w:widowControl/>
              <w:textAlignment w:val="center"/>
              <w:rPr>
                <w:rFonts w:hAnsi="宋体" w:cs="宋体"/>
                <w:color w:val="auto"/>
                <w:szCs w:val="21"/>
                <w:highlight w:val="none"/>
              </w:rPr>
            </w:pPr>
            <w:r>
              <w:rPr>
                <w:rFonts w:hAnsi="宋体" w:cs="宋体"/>
                <w:color w:val="auto"/>
                <w:szCs w:val="21"/>
                <w:highlight w:val="none"/>
                <w:lang w:bidi="ar"/>
              </w:rPr>
              <w:t xml:space="preserve">3：倒车车速≤12 km/h </w:t>
            </w:r>
          </w:p>
          <w:p>
            <w:pPr>
              <w:widowControl/>
              <w:textAlignment w:val="center"/>
              <w:rPr>
                <w:rFonts w:hAnsi="宋体" w:cs="宋体"/>
                <w:color w:val="auto"/>
                <w:szCs w:val="21"/>
                <w:highlight w:val="none"/>
              </w:rPr>
            </w:pPr>
            <w:r>
              <w:rPr>
                <w:rFonts w:hAnsi="宋体" w:cs="宋体"/>
                <w:color w:val="auto"/>
                <w:szCs w:val="21"/>
                <w:highlight w:val="none"/>
                <w:lang w:bidi="ar"/>
              </w:rPr>
              <w:t>4.续行里程≥50km</w:t>
            </w:r>
          </w:p>
          <w:p>
            <w:pPr>
              <w:widowControl/>
              <w:textAlignment w:val="center"/>
              <w:rPr>
                <w:rFonts w:hAnsi="宋体" w:cs="宋体"/>
                <w:color w:val="auto"/>
                <w:szCs w:val="21"/>
                <w:highlight w:val="none"/>
              </w:rPr>
            </w:pPr>
            <w:r>
              <w:rPr>
                <w:rFonts w:hAnsi="宋体" w:cs="宋体"/>
                <w:color w:val="auto"/>
                <w:szCs w:val="21"/>
                <w:highlight w:val="none"/>
                <w:lang w:bidi="ar"/>
              </w:rPr>
              <w:t>5.坡度≤15 °</w:t>
            </w:r>
          </w:p>
          <w:p>
            <w:pPr>
              <w:widowControl/>
              <w:textAlignment w:val="center"/>
              <w:rPr>
                <w:rFonts w:hAnsi="宋体" w:cs="宋体"/>
                <w:color w:val="auto"/>
                <w:szCs w:val="21"/>
                <w:highlight w:val="none"/>
              </w:rPr>
            </w:pPr>
            <w:r>
              <w:rPr>
                <w:rFonts w:hAnsi="宋体" w:cs="宋体"/>
                <w:color w:val="auto"/>
                <w:szCs w:val="21"/>
                <w:highlight w:val="none"/>
                <w:lang w:bidi="ar"/>
              </w:rPr>
              <w:t>6.重量≤255kg</w:t>
            </w:r>
          </w:p>
          <w:p>
            <w:pPr>
              <w:widowControl/>
              <w:textAlignment w:val="center"/>
              <w:rPr>
                <w:rFonts w:hAnsi="宋体" w:cs="宋体"/>
                <w:color w:val="auto"/>
                <w:szCs w:val="21"/>
                <w:highlight w:val="none"/>
              </w:rPr>
            </w:pPr>
            <w:r>
              <w:rPr>
                <w:rFonts w:hAnsi="宋体" w:cs="宋体"/>
                <w:color w:val="auto"/>
                <w:szCs w:val="21"/>
                <w:highlight w:val="none"/>
                <w:lang w:bidi="ar"/>
              </w:rPr>
              <w:t>7.外形尺寸</w:t>
            </w:r>
            <w:r>
              <w:rPr>
                <w:rStyle w:val="36"/>
                <w:rFonts w:hint="default"/>
                <w:color w:val="auto"/>
                <w:sz w:val="21"/>
                <w:szCs w:val="21"/>
                <w:highlight w:val="none"/>
                <w:lang w:bidi="ar"/>
              </w:rPr>
              <w:t>≥</w:t>
            </w:r>
            <w:r>
              <w:rPr>
                <w:rFonts w:hAnsi="宋体" w:cs="宋体"/>
                <w:color w:val="auto"/>
                <w:szCs w:val="21"/>
                <w:highlight w:val="none"/>
                <w:lang w:bidi="ar"/>
              </w:rPr>
              <w:t>3050x1100x1600mm</w:t>
            </w:r>
          </w:p>
          <w:p>
            <w:pPr>
              <w:widowControl/>
              <w:textAlignment w:val="center"/>
              <w:rPr>
                <w:rFonts w:hAnsi="宋体" w:cs="宋体"/>
                <w:color w:val="auto"/>
                <w:szCs w:val="21"/>
                <w:highlight w:val="none"/>
              </w:rPr>
            </w:pPr>
            <w:r>
              <w:rPr>
                <w:rFonts w:hAnsi="宋体" w:cs="宋体"/>
                <w:color w:val="auto"/>
                <w:szCs w:val="21"/>
                <w:highlight w:val="none"/>
                <w:lang w:bidi="ar"/>
              </w:rPr>
              <w:t>8.轮距</w:t>
            </w:r>
            <w:r>
              <w:rPr>
                <w:rStyle w:val="36"/>
                <w:rFonts w:hint="default"/>
                <w:color w:val="auto"/>
                <w:sz w:val="21"/>
                <w:szCs w:val="21"/>
                <w:highlight w:val="none"/>
                <w:lang w:bidi="ar"/>
              </w:rPr>
              <w:t>≥</w:t>
            </w:r>
            <w:r>
              <w:rPr>
                <w:rFonts w:hAnsi="宋体" w:cs="宋体"/>
                <w:color w:val="auto"/>
                <w:szCs w:val="21"/>
                <w:highlight w:val="none"/>
                <w:lang w:bidi="ar"/>
              </w:rPr>
              <w:t xml:space="preserve"> 900mm</w:t>
            </w:r>
          </w:p>
          <w:p>
            <w:pPr>
              <w:widowControl/>
              <w:textAlignment w:val="center"/>
              <w:rPr>
                <w:rFonts w:hAnsi="宋体" w:cs="宋体"/>
                <w:color w:val="auto"/>
                <w:szCs w:val="21"/>
                <w:highlight w:val="none"/>
              </w:rPr>
            </w:pPr>
            <w:r>
              <w:rPr>
                <w:rFonts w:hAnsi="宋体" w:cs="宋体"/>
                <w:color w:val="auto"/>
                <w:szCs w:val="21"/>
                <w:highlight w:val="none"/>
                <w:lang w:bidi="ar"/>
              </w:rPr>
              <w:t>9.轴距</w:t>
            </w:r>
            <w:r>
              <w:rPr>
                <w:rStyle w:val="36"/>
                <w:rFonts w:hint="default"/>
                <w:color w:val="auto"/>
                <w:sz w:val="21"/>
                <w:szCs w:val="21"/>
                <w:highlight w:val="none"/>
                <w:lang w:bidi="ar"/>
              </w:rPr>
              <w:t>≥</w:t>
            </w:r>
            <w:r>
              <w:rPr>
                <w:rFonts w:hAnsi="宋体" w:cs="宋体"/>
                <w:color w:val="auto"/>
                <w:szCs w:val="21"/>
                <w:highlight w:val="none"/>
                <w:lang w:bidi="ar"/>
              </w:rPr>
              <w:t>2000mm</w:t>
            </w:r>
          </w:p>
          <w:p>
            <w:pPr>
              <w:widowControl/>
              <w:textAlignment w:val="center"/>
              <w:rPr>
                <w:rFonts w:hAnsi="宋体" w:cs="宋体"/>
                <w:color w:val="auto"/>
                <w:szCs w:val="21"/>
                <w:highlight w:val="none"/>
              </w:rPr>
            </w:pPr>
            <w:r>
              <w:rPr>
                <w:rFonts w:hAnsi="宋体" w:cs="宋体"/>
                <w:color w:val="auto"/>
                <w:szCs w:val="21"/>
                <w:highlight w:val="none"/>
                <w:lang w:bidi="ar"/>
              </w:rPr>
              <w:t>10.电池位置车架电池盒</w:t>
            </w:r>
          </w:p>
          <w:p>
            <w:pPr>
              <w:widowControl/>
              <w:textAlignment w:val="center"/>
              <w:rPr>
                <w:rFonts w:hAnsi="宋体" w:cs="宋体"/>
                <w:color w:val="auto"/>
                <w:szCs w:val="21"/>
                <w:highlight w:val="none"/>
              </w:rPr>
            </w:pPr>
            <w:r>
              <w:rPr>
                <w:rFonts w:hAnsi="宋体" w:cs="宋体"/>
                <w:color w:val="auto"/>
                <w:szCs w:val="21"/>
                <w:highlight w:val="none"/>
                <w:lang w:bidi="ar"/>
              </w:rPr>
              <w:t>11.轮胎型号</w:t>
            </w:r>
            <w:r>
              <w:rPr>
                <w:rStyle w:val="36"/>
                <w:rFonts w:hint="default"/>
                <w:color w:val="auto"/>
                <w:sz w:val="21"/>
                <w:szCs w:val="21"/>
                <w:highlight w:val="none"/>
                <w:lang w:bidi="ar"/>
              </w:rPr>
              <w:t>≥</w:t>
            </w:r>
            <w:r>
              <w:rPr>
                <w:rFonts w:hAnsi="宋体" w:cs="宋体"/>
                <w:color w:val="auto"/>
                <w:szCs w:val="21"/>
                <w:highlight w:val="none"/>
                <w:lang w:bidi="ar"/>
              </w:rPr>
              <w:t xml:space="preserve"> 400-12</w:t>
            </w:r>
          </w:p>
          <w:p>
            <w:pPr>
              <w:widowControl/>
              <w:textAlignment w:val="center"/>
              <w:rPr>
                <w:rFonts w:hAnsi="宋体" w:cs="宋体"/>
                <w:color w:val="auto"/>
                <w:szCs w:val="21"/>
                <w:highlight w:val="none"/>
              </w:rPr>
            </w:pPr>
            <w:r>
              <w:rPr>
                <w:rFonts w:hAnsi="宋体" w:cs="宋体"/>
                <w:color w:val="auto"/>
                <w:szCs w:val="21"/>
                <w:highlight w:val="none"/>
                <w:lang w:bidi="ar"/>
              </w:rPr>
              <w:t>12.箱体尺寸（长x宽x高）</w:t>
            </w:r>
            <w:r>
              <w:rPr>
                <w:rStyle w:val="36"/>
                <w:rFonts w:hint="default"/>
                <w:color w:val="auto"/>
                <w:sz w:val="21"/>
                <w:szCs w:val="21"/>
                <w:highlight w:val="none"/>
                <w:lang w:bidi="ar"/>
              </w:rPr>
              <w:t>≥</w:t>
            </w:r>
            <w:r>
              <w:rPr>
                <w:rFonts w:hAnsi="宋体" w:cs="宋体"/>
                <w:color w:val="auto"/>
                <w:szCs w:val="21"/>
                <w:highlight w:val="none"/>
                <w:lang w:bidi="ar"/>
              </w:rPr>
              <w:t>1600x1100x780mm</w:t>
            </w:r>
          </w:p>
          <w:p>
            <w:pPr>
              <w:widowControl/>
              <w:textAlignment w:val="center"/>
              <w:rPr>
                <w:rFonts w:hAnsi="宋体" w:cs="宋体"/>
                <w:color w:val="auto"/>
                <w:szCs w:val="21"/>
                <w:highlight w:val="none"/>
              </w:rPr>
            </w:pPr>
            <w:r>
              <w:rPr>
                <w:rFonts w:hAnsi="宋体" w:cs="宋体"/>
                <w:color w:val="auto"/>
                <w:szCs w:val="21"/>
                <w:highlight w:val="none"/>
                <w:lang w:bidi="ar"/>
              </w:rPr>
              <w:t>13.开门方向：上门对开/后门上开</w:t>
            </w:r>
          </w:p>
          <w:p>
            <w:pPr>
              <w:widowControl/>
              <w:textAlignment w:val="center"/>
              <w:rPr>
                <w:rFonts w:hAnsi="宋体" w:cs="宋体"/>
                <w:color w:val="auto"/>
                <w:szCs w:val="21"/>
                <w:highlight w:val="none"/>
              </w:rPr>
            </w:pPr>
            <w:r>
              <w:rPr>
                <w:rFonts w:hAnsi="宋体" w:cs="宋体"/>
                <w:color w:val="auto"/>
                <w:szCs w:val="21"/>
                <w:highlight w:val="none"/>
                <w:lang w:bidi="ar"/>
              </w:rPr>
              <w:t>14.容积</w:t>
            </w:r>
            <w:r>
              <w:rPr>
                <w:rStyle w:val="36"/>
                <w:rFonts w:hint="default"/>
                <w:color w:val="auto"/>
                <w:sz w:val="21"/>
                <w:szCs w:val="21"/>
                <w:highlight w:val="none"/>
                <w:lang w:bidi="ar"/>
              </w:rPr>
              <w:t>≥</w:t>
            </w:r>
            <w:r>
              <w:rPr>
                <w:rFonts w:hAnsi="宋体" w:cs="宋体"/>
                <w:color w:val="auto"/>
                <w:szCs w:val="21"/>
                <w:highlight w:val="none"/>
                <w:lang w:bidi="ar"/>
              </w:rPr>
              <w:t>1300L</w:t>
            </w:r>
          </w:p>
          <w:p>
            <w:pPr>
              <w:widowControl/>
              <w:textAlignment w:val="center"/>
              <w:rPr>
                <w:rFonts w:hAnsi="宋体" w:cs="宋体"/>
                <w:color w:val="auto"/>
                <w:szCs w:val="21"/>
                <w:highlight w:val="none"/>
              </w:rPr>
            </w:pPr>
            <w:r>
              <w:rPr>
                <w:rFonts w:hAnsi="宋体" w:cs="宋体"/>
                <w:color w:val="auto"/>
                <w:szCs w:val="21"/>
                <w:highlight w:val="none"/>
                <w:lang w:bidi="ar"/>
              </w:rPr>
              <w:t>15.电池类型：品牌铅酸电池</w:t>
            </w:r>
          </w:p>
          <w:p>
            <w:pPr>
              <w:widowControl/>
              <w:textAlignment w:val="center"/>
              <w:rPr>
                <w:rFonts w:hAnsi="宋体" w:cs="宋体"/>
                <w:color w:val="auto"/>
                <w:szCs w:val="21"/>
                <w:highlight w:val="none"/>
              </w:rPr>
            </w:pPr>
            <w:r>
              <w:rPr>
                <w:rFonts w:hAnsi="宋体" w:cs="宋体"/>
                <w:color w:val="auto"/>
                <w:szCs w:val="21"/>
                <w:highlight w:val="none"/>
                <w:lang w:bidi="ar"/>
              </w:rPr>
              <w:t>16.电池容量</w:t>
            </w:r>
            <w:r>
              <w:rPr>
                <w:rStyle w:val="36"/>
                <w:rFonts w:hint="default"/>
                <w:color w:val="auto"/>
                <w:sz w:val="21"/>
                <w:szCs w:val="21"/>
                <w:highlight w:val="none"/>
                <w:lang w:bidi="ar"/>
              </w:rPr>
              <w:t>≥</w:t>
            </w:r>
            <w:r>
              <w:rPr>
                <w:color w:val="auto"/>
                <w:highlight w:val="none"/>
              </w:rPr>
              <w:t>32</w:t>
            </w:r>
            <w:r>
              <w:rPr>
                <w:rFonts w:hAnsi="宋体" w:cs="宋体"/>
                <w:color w:val="auto"/>
                <w:szCs w:val="21"/>
                <w:highlight w:val="none"/>
                <w:lang w:bidi="ar"/>
              </w:rPr>
              <w:t xml:space="preserve">A         </w:t>
            </w:r>
          </w:p>
          <w:p>
            <w:pPr>
              <w:pStyle w:val="9"/>
              <w:tabs>
                <w:tab w:val="clear" w:pos="4153"/>
              </w:tabs>
              <w:jc w:val="both"/>
              <w:rPr>
                <w:rFonts w:hAnsi="宋体" w:cs="宋体"/>
                <w:color w:val="auto"/>
                <w:sz w:val="21"/>
                <w:szCs w:val="21"/>
                <w:highlight w:val="none"/>
                <w:lang w:bidi="ar"/>
              </w:rPr>
            </w:pPr>
            <w:r>
              <w:rPr>
                <w:rFonts w:hAnsi="宋体" w:cs="宋体"/>
                <w:color w:val="auto"/>
                <w:sz w:val="21"/>
                <w:szCs w:val="21"/>
                <w:highlight w:val="none"/>
                <w:lang w:bidi="ar"/>
              </w:rPr>
              <w:t>17.电池电压</w:t>
            </w:r>
            <w:r>
              <w:rPr>
                <w:rStyle w:val="36"/>
                <w:rFonts w:hint="default"/>
                <w:color w:val="auto"/>
                <w:sz w:val="21"/>
                <w:szCs w:val="21"/>
                <w:highlight w:val="none"/>
                <w:lang w:bidi="ar"/>
              </w:rPr>
              <w:t>≥</w:t>
            </w:r>
            <w:r>
              <w:rPr>
                <w:rFonts w:hAnsi="宋体" w:cs="宋体"/>
                <w:color w:val="auto"/>
                <w:sz w:val="21"/>
                <w:szCs w:val="21"/>
                <w:highlight w:val="none"/>
                <w:lang w:bidi="ar"/>
              </w:rPr>
              <w:t>60V</w:t>
            </w:r>
          </w:p>
          <w:p>
            <w:pPr>
              <w:pStyle w:val="9"/>
              <w:tabs>
                <w:tab w:val="clear" w:pos="4153"/>
              </w:tabs>
              <w:jc w:val="both"/>
              <w:rPr>
                <w:rFonts w:hAnsi="宋体" w:cs="宋体"/>
                <w:color w:val="auto"/>
                <w:sz w:val="21"/>
                <w:szCs w:val="21"/>
                <w:highlight w:val="none"/>
                <w:lang w:bidi="ar"/>
              </w:rPr>
            </w:pPr>
            <w:r>
              <w:rPr>
                <w:rFonts w:hAnsi="宋体" w:cs="宋体"/>
                <w:color w:val="auto"/>
                <w:sz w:val="21"/>
                <w:szCs w:val="21"/>
                <w:highlight w:val="none"/>
                <w:lang w:bidi="ar"/>
              </w:rPr>
              <w:t>18.电机形式：无刷差速一体电机</w:t>
            </w:r>
          </w:p>
          <w:p>
            <w:pPr>
              <w:pStyle w:val="9"/>
              <w:tabs>
                <w:tab w:val="clear" w:pos="4153"/>
              </w:tabs>
              <w:jc w:val="both"/>
              <w:rPr>
                <w:rFonts w:hAnsi="宋体" w:cs="宋体"/>
                <w:color w:val="auto"/>
                <w:sz w:val="21"/>
                <w:szCs w:val="21"/>
                <w:highlight w:val="none"/>
                <w:lang w:bidi="ar"/>
              </w:rPr>
            </w:pPr>
            <w:r>
              <w:rPr>
                <w:rFonts w:hAnsi="宋体" w:cs="宋体"/>
                <w:color w:val="auto"/>
                <w:sz w:val="21"/>
                <w:szCs w:val="21"/>
                <w:highlight w:val="none"/>
                <w:lang w:bidi="ar"/>
              </w:rPr>
              <w:t>19.电机功率：</w:t>
            </w:r>
            <w:r>
              <w:rPr>
                <w:rStyle w:val="36"/>
                <w:rFonts w:hint="default"/>
                <w:color w:val="auto"/>
                <w:sz w:val="21"/>
                <w:szCs w:val="21"/>
                <w:highlight w:val="none"/>
                <w:lang w:bidi="ar"/>
              </w:rPr>
              <w:t>≥</w:t>
            </w:r>
            <w:r>
              <w:rPr>
                <w:color w:val="auto"/>
                <w:highlight w:val="none"/>
              </w:rPr>
              <w:t>800</w:t>
            </w:r>
            <w:r>
              <w:rPr>
                <w:rFonts w:hAnsi="宋体" w:cs="宋体"/>
                <w:color w:val="auto"/>
                <w:sz w:val="21"/>
                <w:szCs w:val="21"/>
                <w:highlight w:val="none"/>
                <w:lang w:bidi="ar"/>
              </w:rPr>
              <w:t>w</w:t>
            </w:r>
          </w:p>
        </w:tc>
        <w:tc>
          <w:tcPr>
            <w:tcW w:w="775" w:type="dxa"/>
            <w:shd w:val="clear" w:color="auto" w:fill="auto"/>
          </w:tcPr>
          <w:p>
            <w:pP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shd w:val="clear" w:color="auto" w:fill="auto"/>
          </w:tcPr>
          <w:p>
            <w:pPr>
              <w:rPr>
                <w:rFonts w:hAnsi="宋体" w:cs="宋体"/>
                <w:color w:val="auto"/>
                <w:szCs w:val="21"/>
                <w:highlight w:val="none"/>
              </w:rPr>
            </w:pPr>
          </w:p>
        </w:tc>
        <w:tc>
          <w:tcPr>
            <w:tcW w:w="1063" w:type="dxa"/>
            <w:shd w:val="clear" w:color="auto" w:fill="auto"/>
          </w:tcPr>
          <w:p>
            <w:pPr>
              <w:spacing w:before="3310" w:beforeLines="1000"/>
              <w:rPr>
                <w:rFonts w:hAnsi="宋体" w:cs="宋体"/>
                <w:color w:val="auto"/>
                <w:szCs w:val="21"/>
                <w:highlight w:val="none"/>
              </w:rPr>
            </w:pPr>
            <w:r>
              <w:rPr>
                <w:rFonts w:hAnsi="宋体" w:cs="宋体"/>
                <w:color w:val="auto"/>
                <w:szCs w:val="21"/>
                <w:highlight w:val="none"/>
              </w:rPr>
              <w:t>120L垃圾桶</w:t>
            </w:r>
          </w:p>
        </w:tc>
        <w:tc>
          <w:tcPr>
            <w:tcW w:w="574" w:type="dxa"/>
            <w:shd w:val="clear" w:color="auto" w:fill="auto"/>
          </w:tcPr>
          <w:p>
            <w:pPr>
              <w:spacing w:before="3310" w:beforeLines="1000"/>
              <w:rPr>
                <w:rFonts w:hAnsi="宋体" w:cs="宋体"/>
                <w:color w:val="auto"/>
                <w:szCs w:val="21"/>
                <w:highlight w:val="none"/>
              </w:rPr>
            </w:pPr>
            <w:r>
              <w:rPr>
                <w:rFonts w:hAnsi="宋体" w:cs="宋体"/>
                <w:color w:val="auto"/>
                <w:szCs w:val="21"/>
                <w:highlight w:val="none"/>
              </w:rPr>
              <w:t>170个</w:t>
            </w:r>
          </w:p>
        </w:tc>
        <w:tc>
          <w:tcPr>
            <w:tcW w:w="5688" w:type="dxa"/>
            <w:shd w:val="clear" w:color="auto" w:fill="auto"/>
          </w:tcPr>
          <w:p>
            <w:pPr>
              <w:pStyle w:val="9"/>
              <w:jc w:val="both"/>
              <w:rPr>
                <w:rStyle w:val="36"/>
                <w:rFonts w:hint="default"/>
                <w:color w:val="auto"/>
                <w:sz w:val="21"/>
                <w:szCs w:val="21"/>
                <w:highlight w:val="none"/>
                <w:lang w:bidi="ar"/>
              </w:rPr>
            </w:pPr>
            <w:r>
              <w:rPr>
                <w:rStyle w:val="36"/>
                <w:rFonts w:hint="default"/>
                <w:color w:val="auto"/>
                <w:sz w:val="21"/>
                <w:szCs w:val="21"/>
                <w:highlight w:val="none"/>
                <w:lang w:bidi="ar"/>
              </w:rPr>
              <w:t>1：▲尺寸：长*宽*高:560*480*930mm</w:t>
            </w:r>
            <w:r>
              <w:rPr>
                <w:rFonts w:hint="eastAsia" w:hAnsi="宋体" w:cs="宋体"/>
                <w:color w:val="auto"/>
                <w:szCs w:val="21"/>
                <w:highlight w:val="none"/>
              </w:rPr>
              <w:t>允许各尺寸正负偏离5mm</w:t>
            </w:r>
            <w:r>
              <w:rPr>
                <w:rStyle w:val="36"/>
                <w:rFonts w:hint="default"/>
                <w:color w:val="auto"/>
                <w:sz w:val="21"/>
                <w:szCs w:val="21"/>
                <w:highlight w:val="none"/>
                <w:lang w:bidi="ar"/>
              </w:rPr>
              <w:t>。</w:t>
            </w:r>
            <w:r>
              <w:rPr>
                <w:rFonts w:hAnsi="宋体" w:cs="宋体"/>
                <w:color w:val="auto"/>
                <w:sz w:val="21"/>
                <w:szCs w:val="21"/>
                <w:highlight w:val="none"/>
              </w:rPr>
              <w:t>（须提供2022年以来具有产品质量检验资质的</w:t>
            </w:r>
            <w:r>
              <w:rPr>
                <w:rFonts w:hint="eastAsia" w:hAnsi="宋体" w:cs="宋体"/>
                <w:color w:val="auto"/>
                <w:sz w:val="21"/>
                <w:szCs w:val="21"/>
                <w:highlight w:val="none"/>
              </w:rPr>
              <w:t>地级</w:t>
            </w:r>
            <w:r>
              <w:rPr>
                <w:rFonts w:hAnsi="宋体" w:cs="宋体"/>
                <w:color w:val="auto"/>
                <w:sz w:val="21"/>
                <w:szCs w:val="21"/>
                <w:highlight w:val="none"/>
              </w:rPr>
              <w:t>市（或以上）检测机构的产品检测报告（带CMA和CNAS资质标识）作为证明材料。）</w:t>
            </w:r>
          </w:p>
          <w:p>
            <w:pPr>
              <w:pStyle w:val="9"/>
              <w:jc w:val="both"/>
              <w:rPr>
                <w:rStyle w:val="36"/>
                <w:rFonts w:hint="default"/>
                <w:color w:val="auto"/>
                <w:sz w:val="21"/>
                <w:szCs w:val="21"/>
                <w:highlight w:val="none"/>
                <w:lang w:bidi="ar"/>
              </w:rPr>
            </w:pPr>
            <w:r>
              <w:rPr>
                <w:rStyle w:val="36"/>
                <w:rFonts w:hint="default"/>
                <w:color w:val="auto"/>
                <w:sz w:val="21"/>
                <w:szCs w:val="21"/>
                <w:highlight w:val="none"/>
                <w:lang w:bidi="ar"/>
              </w:rPr>
              <w:t>2：▲重量：垃圾桶总质量:≥10.5Kg；桶身重量：≥6Kg，桶盖重量：≥0.7kg，两个轮子≥2.5kg，实心轴≥1.1kg</w:t>
            </w:r>
            <w:r>
              <w:rPr>
                <w:rFonts w:hAnsi="宋体" w:cs="宋体"/>
                <w:color w:val="auto"/>
                <w:sz w:val="21"/>
                <w:szCs w:val="21"/>
                <w:highlight w:val="none"/>
              </w:rPr>
              <w:t>（须提供2022年以来具有产品质量检验资质的</w:t>
            </w:r>
            <w:r>
              <w:rPr>
                <w:rFonts w:hint="eastAsia" w:hAnsi="宋体" w:cs="宋体"/>
                <w:color w:val="auto"/>
                <w:sz w:val="21"/>
                <w:szCs w:val="21"/>
                <w:highlight w:val="none"/>
              </w:rPr>
              <w:t>地级</w:t>
            </w:r>
            <w:r>
              <w:rPr>
                <w:rFonts w:hAnsi="宋体" w:cs="宋体"/>
                <w:color w:val="auto"/>
                <w:sz w:val="21"/>
                <w:szCs w:val="21"/>
                <w:highlight w:val="none"/>
              </w:rPr>
              <w:t>市（或以上）检测机构的产品检测报告（带CMA和CNAS资质标识）作为证明材料。）</w:t>
            </w:r>
          </w:p>
          <w:p>
            <w:pPr>
              <w:pStyle w:val="9"/>
              <w:spacing w:line="288" w:lineRule="auto"/>
              <w:jc w:val="both"/>
              <w:rPr>
                <w:rStyle w:val="36"/>
                <w:rFonts w:hint="default"/>
                <w:color w:val="auto"/>
                <w:sz w:val="21"/>
                <w:szCs w:val="21"/>
                <w:highlight w:val="none"/>
                <w:lang w:bidi="ar"/>
              </w:rPr>
            </w:pPr>
            <w:r>
              <w:rPr>
                <w:rStyle w:val="36"/>
                <w:rFonts w:hint="default"/>
                <w:color w:val="auto"/>
                <w:sz w:val="21"/>
                <w:szCs w:val="21"/>
                <w:highlight w:val="none"/>
                <w:lang w:bidi="ar"/>
              </w:rPr>
              <w:t>3：橡胶轮：ф195*50*100mm，内圈聚乙烯，外圈橡胶轮；钢轴规格：ф21*455mm实心钢轴</w:t>
            </w:r>
          </w:p>
          <w:p>
            <w:pPr>
              <w:pStyle w:val="9"/>
              <w:spacing w:line="288" w:lineRule="auto"/>
              <w:jc w:val="both"/>
              <w:rPr>
                <w:rStyle w:val="36"/>
                <w:rFonts w:hint="default"/>
                <w:color w:val="auto"/>
                <w:sz w:val="21"/>
                <w:szCs w:val="21"/>
                <w:highlight w:val="none"/>
                <w:lang w:bidi="ar"/>
              </w:rPr>
            </w:pPr>
            <w:r>
              <w:rPr>
                <w:rStyle w:val="36"/>
                <w:rFonts w:hint="default"/>
                <w:color w:val="auto"/>
                <w:sz w:val="21"/>
                <w:szCs w:val="21"/>
                <w:highlight w:val="none"/>
                <w:lang w:bidi="ar"/>
              </w:rPr>
              <w:t>4：▲桶盖两侧设计有两个拉耳，每个拉耳上均设计有四条加强筋，增加桶盖拉耳的抗冲击能力，提高其使用寿命，桶盖跟桶体连接处设计有四条加强筋，桶盖与桶体之间采用两条长插销连接，连接处牢固，方便快速安装且不易脱盖。</w:t>
            </w:r>
          </w:p>
          <w:p>
            <w:pPr>
              <w:pStyle w:val="9"/>
              <w:spacing w:line="288" w:lineRule="auto"/>
              <w:jc w:val="both"/>
              <w:rPr>
                <w:rStyle w:val="36"/>
                <w:rFonts w:hint="default"/>
                <w:color w:val="auto"/>
                <w:sz w:val="21"/>
                <w:szCs w:val="21"/>
                <w:highlight w:val="none"/>
                <w:lang w:bidi="ar"/>
              </w:rPr>
            </w:pPr>
            <w:r>
              <w:rPr>
                <w:rStyle w:val="36"/>
                <w:rFonts w:hint="default"/>
                <w:color w:val="auto"/>
                <w:sz w:val="21"/>
                <w:szCs w:val="21"/>
                <w:highlight w:val="none"/>
                <w:lang w:bidi="ar"/>
              </w:rPr>
              <w:t>5：垃圾桶底部创新采用“回”字型边框加强并结合放射状加蜂窝型加强筋设计；桶底设计有结实可靠的防磨加强结构设计，该防磨加强结构与垃圾桶一体注塑成型，无需后加工，底部在注塑生产过程中镶≥22个桶底耐磨钉,</w:t>
            </w:r>
            <w:r>
              <w:rPr>
                <w:rFonts w:hAnsi="宋体" w:cs="宋体"/>
                <w:color w:val="auto"/>
                <w:sz w:val="21"/>
                <w:szCs w:val="21"/>
                <w:highlight w:val="none"/>
              </w:rPr>
              <w:t>（须提供2022年以来具有产品质量检验资质的</w:t>
            </w:r>
            <w:r>
              <w:rPr>
                <w:rFonts w:hint="eastAsia" w:hAnsi="宋体" w:cs="宋体"/>
                <w:color w:val="auto"/>
                <w:sz w:val="21"/>
                <w:szCs w:val="21"/>
                <w:highlight w:val="none"/>
              </w:rPr>
              <w:t>地级市</w:t>
            </w:r>
            <w:r>
              <w:rPr>
                <w:rFonts w:hAnsi="宋体" w:cs="宋体"/>
                <w:color w:val="auto"/>
                <w:sz w:val="21"/>
                <w:szCs w:val="21"/>
                <w:highlight w:val="none"/>
              </w:rPr>
              <w:t>（或以上）检测机构的产品检测报告（带CMA和CNAS资质标识）作为证明材料。）</w:t>
            </w:r>
            <w:r>
              <w:rPr>
                <w:rStyle w:val="36"/>
                <w:rFonts w:hint="default"/>
                <w:color w:val="auto"/>
                <w:sz w:val="21"/>
                <w:szCs w:val="21"/>
                <w:highlight w:val="none"/>
                <w:lang w:bidi="ar"/>
              </w:rPr>
              <w:t>增强桶底耐磨；为防止垃圾桶被盗，易于单位监管，桶底应一体成型有“2022垃圾治理”字体钢印，该凸起字体结构尺寸：80*30mm，凸起1.5mm，该结构是注塑一体成型，不能后加工，字体清晰，保证使用寿命内不脱落。</w:t>
            </w:r>
          </w:p>
          <w:p>
            <w:pPr>
              <w:pStyle w:val="9"/>
              <w:jc w:val="both"/>
              <w:rPr>
                <w:rStyle w:val="36"/>
                <w:rFonts w:hint="default"/>
                <w:color w:val="auto"/>
                <w:sz w:val="21"/>
                <w:szCs w:val="21"/>
                <w:highlight w:val="none"/>
                <w:lang w:bidi="ar"/>
              </w:rPr>
            </w:pPr>
            <w:r>
              <w:rPr>
                <w:rStyle w:val="36"/>
                <w:rFonts w:hint="default"/>
                <w:color w:val="auto"/>
                <w:sz w:val="21"/>
                <w:szCs w:val="21"/>
                <w:highlight w:val="none"/>
                <w:lang w:bidi="ar"/>
              </w:rPr>
              <w:t>6：桶盖厚度≥2.0mm，桶壁厚度≥3.5mm，桶底厚度≥4.2mm，</w:t>
            </w:r>
            <w:r>
              <w:rPr>
                <w:rFonts w:hAnsi="宋体" w:cs="宋体"/>
                <w:color w:val="auto"/>
                <w:sz w:val="21"/>
                <w:szCs w:val="21"/>
                <w:highlight w:val="none"/>
              </w:rPr>
              <w:t>（须提供2022年以来具有产品质量检验资质的</w:t>
            </w:r>
            <w:r>
              <w:rPr>
                <w:rFonts w:hint="eastAsia" w:hAnsi="宋体" w:cs="宋体"/>
                <w:color w:val="auto"/>
                <w:sz w:val="21"/>
                <w:szCs w:val="21"/>
                <w:highlight w:val="none"/>
              </w:rPr>
              <w:t>地级</w:t>
            </w:r>
            <w:r>
              <w:rPr>
                <w:rFonts w:hAnsi="宋体" w:cs="宋体"/>
                <w:color w:val="auto"/>
                <w:sz w:val="21"/>
                <w:szCs w:val="21"/>
                <w:highlight w:val="none"/>
              </w:rPr>
              <w:t>市（或以上）检测机构的产品检测报告（带CMA和CNAS资质标识）作为证明材料。）</w:t>
            </w:r>
          </w:p>
          <w:p>
            <w:pPr>
              <w:pStyle w:val="9"/>
              <w:jc w:val="both"/>
              <w:rPr>
                <w:rStyle w:val="36"/>
                <w:rFonts w:hint="default"/>
                <w:color w:val="auto"/>
                <w:sz w:val="21"/>
                <w:szCs w:val="21"/>
                <w:highlight w:val="none"/>
                <w:lang w:bidi="ar"/>
              </w:rPr>
            </w:pPr>
            <w:r>
              <w:rPr>
                <w:rStyle w:val="36"/>
                <w:rFonts w:hint="default"/>
                <w:color w:val="auto"/>
                <w:sz w:val="21"/>
                <w:szCs w:val="21"/>
                <w:highlight w:val="none"/>
                <w:lang w:bidi="ar"/>
              </w:rPr>
              <w:t>7: ▲ 加强筋数量≥16条，加强筋厚度≥6.4mm，</w:t>
            </w:r>
            <w:r>
              <w:rPr>
                <w:rFonts w:hAnsi="宋体" w:cs="宋体"/>
                <w:color w:val="auto"/>
                <w:sz w:val="21"/>
                <w:szCs w:val="21"/>
                <w:highlight w:val="none"/>
              </w:rPr>
              <w:t>（须提供2022年以来具有产品质量检验资质的</w:t>
            </w:r>
            <w:r>
              <w:rPr>
                <w:rFonts w:hint="eastAsia" w:hAnsi="宋体" w:cs="宋体"/>
                <w:color w:val="auto"/>
                <w:sz w:val="21"/>
                <w:szCs w:val="21"/>
                <w:highlight w:val="none"/>
              </w:rPr>
              <w:t>地级</w:t>
            </w:r>
            <w:r>
              <w:rPr>
                <w:rFonts w:hAnsi="宋体" w:cs="宋体"/>
                <w:color w:val="auto"/>
                <w:sz w:val="21"/>
                <w:szCs w:val="21"/>
                <w:highlight w:val="none"/>
              </w:rPr>
              <w:t>市（或以上）检测机构的产品检测报告（带CMA和CNAS资质标识）</w:t>
            </w:r>
            <w:r>
              <w:rPr>
                <w:rStyle w:val="36"/>
                <w:rFonts w:hint="default"/>
                <w:color w:val="auto"/>
                <w:sz w:val="21"/>
                <w:szCs w:val="21"/>
                <w:highlight w:val="none"/>
                <w:lang w:bidi="ar"/>
              </w:rPr>
              <w:t>桶体两侧表面设计有内凹的“</w:t>
            </w:r>
            <w:r>
              <w:rPr>
                <w:rStyle w:val="36"/>
                <w:rFonts w:hint="default"/>
                <w:b/>
                <w:bCs/>
                <w:color w:val="auto"/>
                <w:sz w:val="21"/>
                <w:szCs w:val="21"/>
                <w:highlight w:val="none"/>
                <w:lang w:bidi="ar"/>
              </w:rPr>
              <w:t>n</w:t>
            </w:r>
            <w:r>
              <w:rPr>
                <w:rStyle w:val="36"/>
                <w:rFonts w:hint="default"/>
                <w:color w:val="auto"/>
                <w:sz w:val="21"/>
                <w:szCs w:val="21"/>
                <w:highlight w:val="none"/>
                <w:lang w:bidi="ar"/>
              </w:rPr>
              <w:t>”形加强筋，该结构既增强了桶身刚度和受力度，也增加了桶身美观性；正面外沿设纵向加强筋4条；桶身背面下方采用最新U型设计，轮轴与桶之间留有提桶间隙，使得工作人员在垃圾桶负荷工作的情况下，仍能轻松的翻倒垃圾桶便于清理垃圾。</w:t>
            </w:r>
          </w:p>
          <w:p>
            <w:pPr>
              <w:pStyle w:val="9"/>
              <w:jc w:val="both"/>
              <w:rPr>
                <w:rStyle w:val="36"/>
                <w:rFonts w:hint="default"/>
                <w:color w:val="auto"/>
                <w:sz w:val="21"/>
                <w:szCs w:val="21"/>
                <w:highlight w:val="none"/>
                <w:lang w:bidi="ar"/>
              </w:rPr>
            </w:pPr>
            <w:r>
              <w:rPr>
                <w:rStyle w:val="36"/>
                <w:rFonts w:hint="default"/>
                <w:color w:val="auto"/>
                <w:sz w:val="21"/>
                <w:szCs w:val="21"/>
                <w:highlight w:val="none"/>
                <w:lang w:bidi="ar"/>
              </w:rPr>
              <w:t>8：▲桶体沿口上方的右侧创新设计有智能芯片预留安装位，该结构按照通用IC/ID智能芯片规格预留，方便后期使用方能隐藏式安装智能芯片，增强了智能芯片的使用安全性及桶体的整体美观性；把手两端设计有注塑一体成型的垃圾袋挂耳，方便操作人员能将垃圾袋收紧扣牢且不易松脱；手柄处根据人体工程学创新设计有注塑一体成型的防滑结构，把手上方采用了“点状”凸起防滑结构，下方采用了“波浪形”设计，使用时能够更好的握紧把手，更具人性化。桶身内侧前后均设计有注塑一体成型的刻度标识，刻度从30L--110L，方便快速的计算垃圾的容量，该刻度与桶身一体注塑成型，不能后加工，保证字体清晰，永不脱落。</w:t>
            </w:r>
          </w:p>
          <w:p>
            <w:pPr>
              <w:pStyle w:val="9"/>
              <w:jc w:val="both"/>
              <w:rPr>
                <w:rStyle w:val="36"/>
                <w:rFonts w:hint="default"/>
                <w:color w:val="auto"/>
                <w:sz w:val="21"/>
                <w:szCs w:val="21"/>
                <w:highlight w:val="none"/>
                <w:lang w:bidi="ar"/>
              </w:rPr>
            </w:pPr>
            <w:r>
              <w:rPr>
                <w:rStyle w:val="36"/>
                <w:rFonts w:hint="default"/>
                <w:color w:val="auto"/>
                <w:sz w:val="21"/>
                <w:szCs w:val="21"/>
                <w:highlight w:val="none"/>
                <w:lang w:bidi="ar"/>
              </w:rPr>
              <w:t>9：▲</w:t>
            </w:r>
            <w:r>
              <w:rPr>
                <w:rFonts w:hAnsi="宋体" w:cs="宋体"/>
                <w:color w:val="auto"/>
                <w:sz w:val="21"/>
                <w:szCs w:val="21"/>
                <w:highlight w:val="none"/>
                <w:lang w:bidi="ar"/>
              </w:rPr>
              <w:t>垃圾桶拉伸强度≥19.8MPa,垃圾桶弯曲强度≥18.9MPa，垃圾桶冲击强度≥13.8kj/ ㎡，垃圾桶断裂伸长率≥640%； 耐酸性：23℃ 10%醋酸浸泡168h，试验后外观应无变化。 耐碱性：23℃10%NaOH溶液浸泡168h， 试验后外观应无变化； 跌落测试：载荷： 48KG,跌落高度3米，重复2次，桶体无变形、无裂纹、无损坏； 重锤冲击试验：试验条件：重锤质量：5Kg;冲击高度：0.8m,桶体无裂纹、无损坏； 抗冷性： 部分桶体放入 -40℃的冷藏箱5h，外观无变化； 维卡软化温度：≥120℃。</w:t>
            </w:r>
            <w:r>
              <w:rPr>
                <w:rFonts w:hAnsi="宋体" w:cs="宋体"/>
                <w:color w:val="auto"/>
                <w:sz w:val="21"/>
                <w:szCs w:val="21"/>
                <w:highlight w:val="none"/>
              </w:rPr>
              <w:t>（须提供2022年以来具有产品质量检验资质的</w:t>
            </w:r>
            <w:r>
              <w:rPr>
                <w:rFonts w:hint="eastAsia" w:hAnsi="宋体" w:cs="宋体"/>
                <w:color w:val="auto"/>
                <w:sz w:val="21"/>
                <w:szCs w:val="21"/>
                <w:highlight w:val="none"/>
              </w:rPr>
              <w:t>地级</w:t>
            </w:r>
            <w:r>
              <w:rPr>
                <w:rFonts w:hAnsi="宋体" w:cs="宋体"/>
                <w:color w:val="auto"/>
                <w:sz w:val="21"/>
                <w:szCs w:val="21"/>
                <w:highlight w:val="none"/>
              </w:rPr>
              <w:t>市（或以上）检测机构的产品检测报告（带CMA和CNAS资质标识）作为证明材料。）</w:t>
            </w:r>
          </w:p>
          <w:p>
            <w:pPr>
              <w:pStyle w:val="9"/>
              <w:spacing w:line="288" w:lineRule="auto"/>
              <w:jc w:val="both"/>
              <w:rPr>
                <w:rStyle w:val="36"/>
                <w:rFonts w:hint="default"/>
                <w:color w:val="auto"/>
                <w:sz w:val="21"/>
                <w:szCs w:val="21"/>
                <w:highlight w:val="none"/>
                <w:lang w:bidi="ar"/>
              </w:rPr>
            </w:pPr>
            <w:r>
              <w:rPr>
                <w:rStyle w:val="36"/>
                <w:rFonts w:hint="default"/>
                <w:color w:val="auto"/>
                <w:sz w:val="21"/>
                <w:szCs w:val="21"/>
                <w:highlight w:val="none"/>
                <w:lang w:bidi="ar"/>
              </w:rPr>
              <w:t>10：材质：采用全新高密度聚乙烯（HDPE）材料；桶体材料热重分析剩余量：600℃条件下剩余量≤0.2%；</w:t>
            </w:r>
            <w:r>
              <w:rPr>
                <w:rFonts w:hAnsi="宋体" w:cs="宋体"/>
                <w:color w:val="auto"/>
                <w:sz w:val="21"/>
                <w:szCs w:val="21"/>
                <w:highlight w:val="none"/>
              </w:rPr>
              <w:t>（须提供2022年以来具有产品质量检验资质的</w:t>
            </w:r>
            <w:r>
              <w:rPr>
                <w:rFonts w:hint="eastAsia" w:hAnsi="宋体" w:cs="宋体"/>
                <w:color w:val="auto"/>
                <w:sz w:val="21"/>
                <w:szCs w:val="21"/>
                <w:highlight w:val="none"/>
              </w:rPr>
              <w:t>地级市</w:t>
            </w:r>
            <w:r>
              <w:rPr>
                <w:rFonts w:hAnsi="宋体" w:cs="宋体"/>
                <w:color w:val="auto"/>
                <w:sz w:val="21"/>
                <w:szCs w:val="21"/>
                <w:highlight w:val="none"/>
              </w:rPr>
              <w:t>（或以上）检测机构的产品检测报告（带CMA和CNAS资质标识）作为证明材料。）</w:t>
            </w:r>
            <w:r>
              <w:rPr>
                <w:rStyle w:val="36"/>
                <w:rFonts w:hint="default"/>
                <w:color w:val="auto"/>
                <w:sz w:val="21"/>
                <w:szCs w:val="21"/>
                <w:highlight w:val="none"/>
                <w:lang w:bidi="ar"/>
              </w:rPr>
              <w:t>原料中注入高质量防紫外线原料，颜料色素；确保塑料桶颜色保持鲜艳耐久不褪色。</w:t>
            </w:r>
          </w:p>
          <w:p>
            <w:pPr>
              <w:pStyle w:val="9"/>
              <w:spacing w:line="288" w:lineRule="auto"/>
              <w:jc w:val="both"/>
              <w:rPr>
                <w:rStyle w:val="36"/>
                <w:rFonts w:hint="default"/>
                <w:color w:val="auto"/>
                <w:sz w:val="21"/>
                <w:szCs w:val="21"/>
                <w:highlight w:val="none"/>
                <w:lang w:bidi="ar"/>
              </w:rPr>
            </w:pPr>
            <w:r>
              <w:rPr>
                <w:rStyle w:val="36"/>
                <w:rFonts w:hint="default"/>
                <w:color w:val="auto"/>
                <w:sz w:val="21"/>
                <w:szCs w:val="21"/>
                <w:highlight w:val="none"/>
                <w:lang w:bidi="ar"/>
              </w:rPr>
              <w:t>11：橡胶轮与底轴：轮子采用优质橡胶材质、耐磨；轴采用Ф21低碳实心钢材，三次酸洗彻底清除氧化面，经过电镀锌特殊工艺制成的钢轮轴。坚固耐用、抗氧化、防锈功能，橡胶轮与底轴之间采用防盗卸设计连接，防止轮轴丢失。</w:t>
            </w:r>
          </w:p>
          <w:p>
            <w:pPr>
              <w:pStyle w:val="9"/>
              <w:spacing w:line="288" w:lineRule="auto"/>
              <w:jc w:val="both"/>
              <w:rPr>
                <w:rStyle w:val="36"/>
                <w:rFonts w:hint="default"/>
                <w:color w:val="auto"/>
                <w:sz w:val="21"/>
                <w:szCs w:val="21"/>
                <w:highlight w:val="none"/>
                <w:lang w:bidi="ar"/>
              </w:rPr>
            </w:pPr>
            <w:r>
              <w:rPr>
                <w:rStyle w:val="36"/>
                <w:rFonts w:hint="default"/>
                <w:color w:val="auto"/>
                <w:sz w:val="21"/>
                <w:szCs w:val="21"/>
                <w:highlight w:val="none"/>
                <w:lang w:bidi="ar"/>
              </w:rPr>
              <w:t>1</w:t>
            </w:r>
            <w:r>
              <w:rPr>
                <w:rStyle w:val="36"/>
                <w:rFonts w:hint="eastAsia"/>
                <w:color w:val="auto"/>
                <w:sz w:val="21"/>
                <w:szCs w:val="21"/>
                <w:highlight w:val="none"/>
                <w:lang w:val="en-US" w:eastAsia="zh-CN" w:bidi="ar"/>
              </w:rPr>
              <w:t>2</w:t>
            </w:r>
            <w:r>
              <w:rPr>
                <w:rStyle w:val="36"/>
                <w:rFonts w:hint="default"/>
                <w:color w:val="auto"/>
                <w:sz w:val="21"/>
                <w:szCs w:val="21"/>
                <w:highlight w:val="none"/>
                <w:lang w:bidi="ar"/>
              </w:rPr>
              <w:t>：垃圾桶表面光滑平整，无波纹、黑点、杂质、气泡和裂纹。垃圾桶投放标志采用印刷工艺与桶体连接一体，桶体表面印图案经过特殊处理，牢固不易脱落。</w:t>
            </w:r>
          </w:p>
          <w:p>
            <w:pPr>
              <w:pStyle w:val="9"/>
              <w:spacing w:line="288" w:lineRule="auto"/>
              <w:jc w:val="both"/>
              <w:rPr>
                <w:rStyle w:val="36"/>
                <w:rFonts w:hint="default"/>
                <w:color w:val="auto"/>
                <w:sz w:val="21"/>
                <w:szCs w:val="21"/>
                <w:highlight w:val="none"/>
                <w:lang w:bidi="ar"/>
              </w:rPr>
            </w:pPr>
            <w:r>
              <w:rPr>
                <w:rStyle w:val="36"/>
                <w:rFonts w:hint="default"/>
                <w:color w:val="auto"/>
                <w:sz w:val="21"/>
                <w:szCs w:val="21"/>
                <w:highlight w:val="none"/>
                <w:lang w:bidi="ar"/>
              </w:rPr>
              <w:t>1</w:t>
            </w:r>
            <w:r>
              <w:rPr>
                <w:rStyle w:val="36"/>
                <w:rFonts w:hint="eastAsia"/>
                <w:color w:val="auto"/>
                <w:sz w:val="21"/>
                <w:szCs w:val="21"/>
                <w:highlight w:val="none"/>
                <w:lang w:val="en-US" w:eastAsia="zh-CN" w:bidi="ar"/>
              </w:rPr>
              <w:t>3</w:t>
            </w:r>
            <w:r>
              <w:rPr>
                <w:rStyle w:val="36"/>
                <w:rFonts w:hint="default"/>
                <w:color w:val="auto"/>
                <w:sz w:val="21"/>
                <w:szCs w:val="21"/>
                <w:highlight w:val="none"/>
                <w:lang w:bidi="ar"/>
              </w:rPr>
              <w:t>：垃圾桶需耐腐蚀，并且有足够的机械强度和良好的冲击韧性；能与垃圾车配套使用；垃圾桶裙边内部设有网状加强筋，可确保塑料桶和翻桶架（后压车配套装置）在衔接作业时的紧密结合。</w:t>
            </w:r>
          </w:p>
          <w:p>
            <w:pPr>
              <w:pStyle w:val="9"/>
              <w:spacing w:line="288" w:lineRule="auto"/>
              <w:jc w:val="both"/>
              <w:rPr>
                <w:rFonts w:hAnsi="宋体" w:cs="宋体"/>
                <w:color w:val="auto"/>
                <w:sz w:val="21"/>
                <w:szCs w:val="21"/>
                <w:highlight w:val="none"/>
                <w:lang w:bidi="ar"/>
              </w:rPr>
            </w:pPr>
            <w:r>
              <w:rPr>
                <w:rStyle w:val="36"/>
                <w:rFonts w:hint="default"/>
                <w:color w:val="auto"/>
                <w:sz w:val="21"/>
                <w:szCs w:val="21"/>
                <w:highlight w:val="none"/>
                <w:lang w:bidi="ar"/>
              </w:rPr>
              <w:t>1</w:t>
            </w:r>
            <w:r>
              <w:rPr>
                <w:rStyle w:val="36"/>
                <w:rFonts w:hint="eastAsia"/>
                <w:color w:val="auto"/>
                <w:sz w:val="21"/>
                <w:szCs w:val="21"/>
                <w:highlight w:val="none"/>
                <w:lang w:val="en-US" w:eastAsia="zh-CN" w:bidi="ar"/>
              </w:rPr>
              <w:t>4</w:t>
            </w:r>
            <w:r>
              <w:rPr>
                <w:rStyle w:val="36"/>
                <w:rFonts w:hint="default"/>
                <w:color w:val="auto"/>
                <w:sz w:val="21"/>
                <w:szCs w:val="21"/>
                <w:highlight w:val="none"/>
                <w:lang w:bidi="ar"/>
              </w:rPr>
              <w:t>：垃圾桶应符合中华人民共和国城镇建设行业标准《塑料垃圾桶通用技术条件》CJ/T 280-2008标准</w:t>
            </w:r>
          </w:p>
        </w:tc>
        <w:tc>
          <w:tcPr>
            <w:tcW w:w="775" w:type="dxa"/>
            <w:shd w:val="clear" w:color="auto" w:fill="auto"/>
          </w:tcPr>
          <w:p>
            <w:pP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shd w:val="clear" w:color="auto" w:fill="auto"/>
          </w:tcPr>
          <w:p>
            <w:pPr>
              <w:rPr>
                <w:rFonts w:hAnsi="宋体" w:cs="宋体"/>
                <w:color w:val="auto"/>
                <w:szCs w:val="21"/>
                <w:highlight w:val="none"/>
              </w:rPr>
            </w:pPr>
          </w:p>
        </w:tc>
        <w:tc>
          <w:tcPr>
            <w:tcW w:w="1063" w:type="dxa"/>
            <w:shd w:val="clear" w:color="auto" w:fill="auto"/>
          </w:tcPr>
          <w:p>
            <w:pPr>
              <w:spacing w:before="3310" w:beforeLines="1000"/>
              <w:rPr>
                <w:rFonts w:hAnsi="宋体" w:cs="宋体"/>
                <w:color w:val="auto"/>
                <w:szCs w:val="21"/>
                <w:highlight w:val="none"/>
              </w:rPr>
            </w:pPr>
            <w:r>
              <w:rPr>
                <w:rFonts w:hAnsi="宋体" w:cs="宋体"/>
                <w:color w:val="auto"/>
                <w:szCs w:val="21"/>
                <w:highlight w:val="none"/>
              </w:rPr>
              <w:t>60L垃圾桶</w:t>
            </w:r>
          </w:p>
        </w:tc>
        <w:tc>
          <w:tcPr>
            <w:tcW w:w="574" w:type="dxa"/>
            <w:shd w:val="clear" w:color="auto" w:fill="auto"/>
          </w:tcPr>
          <w:p>
            <w:pPr>
              <w:spacing w:before="3310" w:beforeLines="1000"/>
              <w:rPr>
                <w:rFonts w:hAnsi="宋体" w:cs="宋体"/>
                <w:color w:val="auto"/>
                <w:szCs w:val="21"/>
                <w:highlight w:val="none"/>
              </w:rPr>
            </w:pPr>
            <w:r>
              <w:rPr>
                <w:rFonts w:hAnsi="宋体" w:cs="宋体"/>
                <w:color w:val="auto"/>
                <w:szCs w:val="21"/>
                <w:highlight w:val="none"/>
              </w:rPr>
              <w:t>300个</w:t>
            </w:r>
          </w:p>
        </w:tc>
        <w:tc>
          <w:tcPr>
            <w:tcW w:w="5688" w:type="dxa"/>
            <w:shd w:val="clear" w:color="auto" w:fill="auto"/>
            <w:vAlign w:val="center"/>
          </w:tcPr>
          <w:p>
            <w:pPr>
              <w:spacing w:line="288" w:lineRule="auto"/>
              <w:rPr>
                <w:rFonts w:hAnsi="宋体" w:cs="宋体"/>
                <w:color w:val="auto"/>
                <w:szCs w:val="21"/>
                <w:highlight w:val="none"/>
              </w:rPr>
            </w:pPr>
            <w:r>
              <w:rPr>
                <w:rFonts w:hAnsi="宋体" w:cs="宋体"/>
                <w:color w:val="auto"/>
                <w:szCs w:val="21"/>
                <w:highlight w:val="none"/>
              </w:rPr>
              <w:t>1：容积：60 L（±5%）</w:t>
            </w:r>
          </w:p>
          <w:p>
            <w:pPr>
              <w:rPr>
                <w:rFonts w:hAnsi="宋体" w:cs="宋体"/>
                <w:color w:val="auto"/>
                <w:szCs w:val="21"/>
                <w:highlight w:val="none"/>
              </w:rPr>
            </w:pPr>
            <w:r>
              <w:rPr>
                <w:rFonts w:hAnsi="宋体" w:cs="宋体"/>
                <w:color w:val="auto"/>
                <w:szCs w:val="21"/>
                <w:highlight w:val="none"/>
              </w:rPr>
              <w:t>2：</w:t>
            </w:r>
            <w:r>
              <w:rPr>
                <w:rStyle w:val="36"/>
                <w:rFonts w:hint="default"/>
                <w:color w:val="auto"/>
                <w:sz w:val="21"/>
                <w:szCs w:val="21"/>
                <w:highlight w:val="none"/>
                <w:lang w:bidi="ar"/>
              </w:rPr>
              <w:t>▲尺寸：</w:t>
            </w:r>
            <w:r>
              <w:rPr>
                <w:rFonts w:hAnsi="宋体" w:cs="宋体"/>
                <w:color w:val="auto"/>
                <w:szCs w:val="21"/>
                <w:highlight w:val="none"/>
              </w:rPr>
              <w:t>长×宽×高:495*405*650</w:t>
            </w:r>
            <w:r>
              <w:rPr>
                <w:rFonts w:hint="eastAsia" w:hAnsi="宋体" w:cs="宋体"/>
                <w:color w:val="auto"/>
                <w:szCs w:val="21"/>
                <w:highlight w:val="none"/>
              </w:rPr>
              <w:t>mm允许各尺寸正负偏离5mm</w:t>
            </w:r>
            <w:r>
              <w:rPr>
                <w:rFonts w:hAnsi="宋体" w:cs="宋体"/>
                <w:color w:val="auto"/>
                <w:szCs w:val="21"/>
                <w:highlight w:val="none"/>
              </w:rPr>
              <w:t>（须提供2022年以来具有产品质量检验资质的</w:t>
            </w:r>
            <w:r>
              <w:rPr>
                <w:rFonts w:hint="eastAsia" w:hAnsi="宋体" w:cs="宋体"/>
                <w:color w:val="auto"/>
                <w:szCs w:val="21"/>
                <w:highlight w:val="none"/>
              </w:rPr>
              <w:t>地级</w:t>
            </w:r>
            <w:r>
              <w:rPr>
                <w:rFonts w:hAnsi="宋体" w:cs="宋体"/>
                <w:color w:val="auto"/>
                <w:szCs w:val="21"/>
                <w:highlight w:val="none"/>
              </w:rPr>
              <w:t>市（或以上）检测机构的产品检测报告（带CMA和CNAS资质标识）作为证明材料。）</w:t>
            </w:r>
          </w:p>
          <w:p>
            <w:pPr>
              <w:rPr>
                <w:rFonts w:hAnsi="宋体" w:cs="宋体"/>
                <w:color w:val="auto"/>
                <w:szCs w:val="21"/>
                <w:highlight w:val="none"/>
              </w:rPr>
            </w:pPr>
            <w:r>
              <w:rPr>
                <w:rFonts w:hAnsi="宋体" w:cs="宋体"/>
                <w:color w:val="auto"/>
                <w:szCs w:val="21"/>
                <w:highlight w:val="none"/>
              </w:rPr>
              <w:t>3：</w:t>
            </w:r>
            <w:r>
              <w:rPr>
                <w:rStyle w:val="36"/>
                <w:rFonts w:hint="default"/>
                <w:color w:val="auto"/>
                <w:highlight w:val="none"/>
                <w:lang w:bidi="ar"/>
              </w:rPr>
              <w:t>垃圾桶</w:t>
            </w:r>
            <w:r>
              <w:rPr>
                <w:rFonts w:hint="eastAsia"/>
                <w:color w:val="auto"/>
                <w:szCs w:val="21"/>
                <w:highlight w:val="none"/>
              </w:rPr>
              <w:t>总质</w:t>
            </w:r>
            <w:r>
              <w:rPr>
                <w:rFonts w:hAnsi="宋体" w:cs="宋体"/>
                <w:color w:val="auto"/>
                <w:szCs w:val="21"/>
                <w:highlight w:val="none"/>
              </w:rPr>
              <w:t>量:≥3.3Kg；桶身重量：≥2.8Kg，</w:t>
            </w:r>
            <w:r>
              <w:rPr>
                <w:rFonts w:hint="eastAsia" w:hAnsi="宋体" w:cs="宋体"/>
                <w:color w:val="auto"/>
                <w:szCs w:val="21"/>
                <w:highlight w:val="none"/>
              </w:rPr>
              <w:t>桶盖</w:t>
            </w:r>
            <w:r>
              <w:rPr>
                <w:rFonts w:hAnsi="宋体" w:cs="宋体"/>
                <w:color w:val="auto"/>
                <w:szCs w:val="21"/>
                <w:highlight w:val="none"/>
              </w:rPr>
              <w:t>重量：≥0.5kg。（须提供2022年以来具有产品质量检验资质的</w:t>
            </w:r>
            <w:r>
              <w:rPr>
                <w:rFonts w:hint="eastAsia" w:hAnsi="宋体" w:cs="宋体"/>
                <w:color w:val="auto"/>
                <w:szCs w:val="21"/>
                <w:highlight w:val="none"/>
              </w:rPr>
              <w:t>地级</w:t>
            </w:r>
            <w:r>
              <w:rPr>
                <w:rFonts w:hAnsi="宋体" w:cs="宋体"/>
                <w:color w:val="auto"/>
                <w:szCs w:val="21"/>
                <w:highlight w:val="none"/>
              </w:rPr>
              <w:t>市（或以上）检测机构的产品检测报告（带CMA和CNAS资质标识）作为证明材料。）</w:t>
            </w:r>
          </w:p>
          <w:p>
            <w:pPr>
              <w:rPr>
                <w:rFonts w:hAnsi="宋体" w:cs="宋体"/>
                <w:color w:val="auto"/>
                <w:szCs w:val="21"/>
                <w:highlight w:val="none"/>
              </w:rPr>
            </w:pPr>
            <w:r>
              <w:rPr>
                <w:rFonts w:hint="eastAsia"/>
                <w:color w:val="auto"/>
                <w:highlight w:val="none"/>
              </w:rPr>
              <w:t>4</w:t>
            </w:r>
            <w:r>
              <w:rPr>
                <w:color w:val="auto"/>
                <w:highlight w:val="none"/>
              </w:rPr>
              <w:t>:</w:t>
            </w:r>
            <w:r>
              <w:rPr>
                <w:rStyle w:val="36"/>
                <w:rFonts w:hint="default"/>
                <w:color w:val="auto"/>
                <w:sz w:val="21"/>
                <w:szCs w:val="21"/>
                <w:highlight w:val="none"/>
                <w:lang w:bidi="ar"/>
              </w:rPr>
              <w:t xml:space="preserve"> ▲</w:t>
            </w:r>
            <w:r>
              <w:rPr>
                <w:rFonts w:hint="eastAsia"/>
                <w:color w:val="auto"/>
                <w:highlight w:val="none"/>
              </w:rPr>
              <w:t>桶盖厚度</w:t>
            </w:r>
            <w:r>
              <w:rPr>
                <w:rFonts w:hint="eastAsia" w:hAnsi="宋体" w:cs="宋体"/>
                <w:color w:val="auto"/>
                <w:szCs w:val="21"/>
                <w:highlight w:val="none"/>
              </w:rPr>
              <w:t>≥</w:t>
            </w:r>
            <w:r>
              <w:rPr>
                <w:rFonts w:hAnsi="宋体" w:cs="宋体"/>
                <w:color w:val="auto"/>
                <w:szCs w:val="21"/>
                <w:highlight w:val="none"/>
              </w:rPr>
              <w:t>2.</w:t>
            </w:r>
            <w:r>
              <w:rPr>
                <w:rFonts w:hint="eastAsia" w:hAnsi="宋体" w:cs="宋体"/>
                <w:color w:val="auto"/>
                <w:szCs w:val="21"/>
                <w:highlight w:val="none"/>
              </w:rPr>
              <w:t>4mm，桶壁厚度</w:t>
            </w:r>
            <w:r>
              <w:rPr>
                <w:rFonts w:hAnsi="宋体" w:cs="宋体"/>
                <w:color w:val="auto"/>
                <w:szCs w:val="21"/>
                <w:highlight w:val="none"/>
              </w:rPr>
              <w:t>≥2.6</w:t>
            </w:r>
            <w:r>
              <w:rPr>
                <w:rFonts w:hint="eastAsia" w:hAnsi="宋体" w:cs="宋体"/>
                <w:color w:val="auto"/>
                <w:szCs w:val="21"/>
                <w:highlight w:val="none"/>
              </w:rPr>
              <w:t>mm，桶底厚度</w:t>
            </w:r>
            <w:r>
              <w:rPr>
                <w:rFonts w:hAnsi="宋体" w:cs="宋体"/>
                <w:color w:val="auto"/>
                <w:szCs w:val="21"/>
                <w:highlight w:val="none"/>
              </w:rPr>
              <w:t>≥2.7</w:t>
            </w:r>
            <w:r>
              <w:rPr>
                <w:rFonts w:hint="eastAsia" w:hAnsi="宋体" w:cs="宋体"/>
                <w:color w:val="auto"/>
                <w:szCs w:val="21"/>
                <w:highlight w:val="none"/>
              </w:rPr>
              <w:t>mm，</w:t>
            </w:r>
            <w:r>
              <w:rPr>
                <w:rFonts w:hAnsi="宋体" w:cs="宋体"/>
                <w:color w:val="auto"/>
                <w:szCs w:val="21"/>
                <w:highlight w:val="none"/>
              </w:rPr>
              <w:t>（须提供2022年以来具有产品质量检验资质的</w:t>
            </w:r>
            <w:r>
              <w:rPr>
                <w:rFonts w:hint="eastAsia" w:hAnsi="宋体" w:cs="宋体"/>
                <w:color w:val="auto"/>
                <w:szCs w:val="21"/>
                <w:highlight w:val="none"/>
              </w:rPr>
              <w:t>地级</w:t>
            </w:r>
            <w:r>
              <w:rPr>
                <w:rFonts w:hAnsi="宋体" w:cs="宋体"/>
                <w:color w:val="auto"/>
                <w:szCs w:val="21"/>
                <w:highlight w:val="none"/>
              </w:rPr>
              <w:t>市（或以上）检测机构的产品检测报告（带CMA和CNAS资质标识）作为证明材料。）</w:t>
            </w:r>
          </w:p>
          <w:p>
            <w:pPr>
              <w:spacing w:line="288" w:lineRule="auto"/>
              <w:rPr>
                <w:rFonts w:hAnsi="宋体" w:cs="宋体"/>
                <w:color w:val="auto"/>
                <w:szCs w:val="21"/>
                <w:highlight w:val="none"/>
              </w:rPr>
            </w:pPr>
            <w:r>
              <w:rPr>
                <w:rFonts w:hAnsi="宋体" w:cs="宋体"/>
                <w:color w:val="auto"/>
                <w:szCs w:val="21"/>
                <w:highlight w:val="none"/>
              </w:rPr>
              <w:t>5：桶盖面上平整光滑,前沿左右两侧各有一个嵌凹开盖提手，正面伴有两条曲形加强筋，增强使用寿命。</w:t>
            </w:r>
          </w:p>
          <w:p>
            <w:pPr>
              <w:spacing w:line="288" w:lineRule="auto"/>
              <w:rPr>
                <w:rFonts w:hAnsi="宋体" w:cs="宋体"/>
                <w:color w:val="auto"/>
                <w:szCs w:val="21"/>
                <w:highlight w:val="none"/>
              </w:rPr>
            </w:pPr>
            <w:r>
              <w:rPr>
                <w:rFonts w:hAnsi="宋体" w:cs="宋体"/>
                <w:color w:val="auto"/>
                <w:szCs w:val="21"/>
                <w:highlight w:val="none"/>
              </w:rPr>
              <w:t>6：桶盖与桶身之间采用PE材质采销长度为65mm，具有易安装，不掉落的特点；经久耐用，能保证在垃圾桶使用寿命内不掉落，桶体把手处左右两边设有垃圾袋挂口，方便工人挂靠垃圾袋更人性化。</w:t>
            </w:r>
          </w:p>
          <w:p>
            <w:pPr>
              <w:pStyle w:val="4"/>
              <w:spacing w:line="288" w:lineRule="auto"/>
              <w:ind w:firstLine="0"/>
              <w:rPr>
                <w:rFonts w:hAnsi="宋体" w:cs="宋体"/>
                <w:color w:val="auto"/>
                <w:sz w:val="21"/>
                <w:szCs w:val="21"/>
                <w:highlight w:val="none"/>
              </w:rPr>
            </w:pPr>
            <w:r>
              <w:rPr>
                <w:rFonts w:hAnsi="宋体" w:cs="宋体"/>
                <w:color w:val="auto"/>
                <w:sz w:val="21"/>
                <w:szCs w:val="21"/>
                <w:highlight w:val="none"/>
              </w:rPr>
              <w:t>7：桶身正面带有两条弧形加强筋，增强冲击韧性，桶身内背面有一体成型刻度标识，刻度从15L-55L；更加方便快速的计算垃圾的容量，刻度与桶身一体注塑成型，不能后加工，保证字体清晰，永不脱落。</w:t>
            </w:r>
          </w:p>
          <w:p>
            <w:pPr>
              <w:pStyle w:val="4"/>
              <w:spacing w:line="288" w:lineRule="auto"/>
              <w:ind w:firstLine="0"/>
              <w:rPr>
                <w:rFonts w:hAnsi="宋体" w:cs="宋体"/>
                <w:color w:val="auto"/>
                <w:sz w:val="21"/>
                <w:szCs w:val="21"/>
                <w:highlight w:val="none"/>
              </w:rPr>
            </w:pPr>
            <w:r>
              <w:rPr>
                <w:rFonts w:hAnsi="宋体" w:cs="宋体"/>
                <w:color w:val="auto"/>
                <w:sz w:val="21"/>
                <w:szCs w:val="21"/>
                <w:highlight w:val="none"/>
              </w:rPr>
              <w:t>8：脚踏器采用塑料踏板与塑料顶杆相结合形式，更加环保，脚踏开启灵活方便，为了方便垃圾的投放，开启宽度≥300mm，用脚踏开启时盖子不能后翻。</w:t>
            </w:r>
          </w:p>
          <w:p>
            <w:pPr>
              <w:spacing w:line="288" w:lineRule="auto"/>
              <w:rPr>
                <w:rFonts w:hAnsi="宋体" w:cs="宋体"/>
                <w:color w:val="auto"/>
                <w:szCs w:val="21"/>
                <w:highlight w:val="none"/>
              </w:rPr>
            </w:pPr>
            <w:r>
              <w:rPr>
                <w:rFonts w:hAnsi="宋体" w:cs="宋体"/>
                <w:color w:val="auto"/>
                <w:szCs w:val="21"/>
                <w:highlight w:val="none"/>
              </w:rPr>
              <w:t>9：采用全新聚丙烯（PP）材料；桶体材料热重分析剩余量：600℃条件下剩余量≤0.2%。（须提供2022年以来具有产品质量检验资质的</w:t>
            </w:r>
            <w:r>
              <w:rPr>
                <w:rFonts w:hint="eastAsia" w:hAnsi="宋体" w:cs="宋体"/>
                <w:color w:val="auto"/>
                <w:szCs w:val="21"/>
                <w:highlight w:val="none"/>
              </w:rPr>
              <w:t>地级市</w:t>
            </w:r>
            <w:r>
              <w:rPr>
                <w:rFonts w:hAnsi="宋体" w:cs="宋体"/>
                <w:color w:val="auto"/>
                <w:szCs w:val="21"/>
                <w:highlight w:val="none"/>
              </w:rPr>
              <w:t>（或以上）检测机构的产品检测报告（带CMA和CNAS资质标识）作为证明材料。）原料中注入高质量防紫外线原料，颜料色素；确保塑料桶颜色保持鲜艳耐久不褪色</w:t>
            </w:r>
            <w:r>
              <w:rPr>
                <w:rFonts w:hint="eastAsia" w:hAnsi="宋体" w:cs="宋体"/>
                <w:color w:val="auto"/>
                <w:szCs w:val="21"/>
                <w:highlight w:val="none"/>
              </w:rPr>
              <w:t>。</w:t>
            </w:r>
          </w:p>
          <w:p>
            <w:pPr>
              <w:rPr>
                <w:rFonts w:hAnsi="宋体" w:cs="宋体"/>
                <w:color w:val="auto"/>
                <w:szCs w:val="21"/>
                <w:highlight w:val="none"/>
              </w:rPr>
            </w:pPr>
            <w:r>
              <w:rPr>
                <w:rFonts w:hAnsi="宋体" w:cs="宋体"/>
                <w:color w:val="auto"/>
                <w:szCs w:val="21"/>
                <w:highlight w:val="none"/>
              </w:rPr>
              <w:t>10：</w:t>
            </w:r>
            <w:r>
              <w:rPr>
                <w:rStyle w:val="36"/>
                <w:rFonts w:hint="default"/>
                <w:color w:val="auto"/>
                <w:sz w:val="21"/>
                <w:szCs w:val="21"/>
                <w:highlight w:val="none"/>
                <w:lang w:bidi="ar"/>
              </w:rPr>
              <w:t>▲</w:t>
            </w:r>
            <w:r>
              <w:rPr>
                <w:rFonts w:hAnsi="宋体" w:cs="宋体"/>
                <w:color w:val="auto"/>
                <w:szCs w:val="21"/>
                <w:highlight w:val="none"/>
              </w:rPr>
              <w:t>垃圾桶拉伸强度≥27.5MPa；垃圾桶断裂伸长率%≥210；垃圾桶弯曲强度≥45Mpa。耐酸性：23℃醋酸浸泡168h，试验后外观应无变化。耐碱性：23℃10%NaOH溶液浸泡168h，试验后外观应无变化。跌落测试：载荷；24KG,在0.8米高处自由坠落，重复2次，桶体应无变形、无裂纹、无损坏。重锤冲击测试：重锤质量1KG，冲击高度0.5m,桶体应无裂纹，无损坏。抗冷性： 部分桶体放入-40℃的冷藏箱5h，外观应无变化；维卡软化温度：≥150 ℃。（须提供2022年以来具有产品质量检验资质的</w:t>
            </w:r>
            <w:r>
              <w:rPr>
                <w:rFonts w:hint="eastAsia" w:hAnsi="宋体" w:cs="宋体"/>
                <w:color w:val="auto"/>
                <w:szCs w:val="21"/>
                <w:highlight w:val="none"/>
              </w:rPr>
              <w:t>地级</w:t>
            </w:r>
            <w:r>
              <w:rPr>
                <w:rFonts w:hAnsi="宋体" w:cs="宋体"/>
                <w:color w:val="auto"/>
                <w:szCs w:val="21"/>
                <w:highlight w:val="none"/>
              </w:rPr>
              <w:t>市（或以上）检测机构的产品检测报告（带CMA和CNAS资质标识）作为证明材料。）</w:t>
            </w:r>
          </w:p>
          <w:p>
            <w:pPr>
              <w:spacing w:line="288" w:lineRule="auto"/>
              <w:rPr>
                <w:rFonts w:hAnsi="宋体" w:cs="宋体"/>
                <w:color w:val="auto"/>
                <w:szCs w:val="21"/>
                <w:highlight w:val="none"/>
              </w:rPr>
            </w:pPr>
            <w:r>
              <w:rPr>
                <w:rFonts w:hAnsi="宋体" w:cs="宋体"/>
                <w:color w:val="auto"/>
                <w:szCs w:val="21"/>
                <w:highlight w:val="none"/>
              </w:rPr>
              <w:t>11：垃圾桶表面光滑平整，无波纹、黑点、杂质、气泡和裂纹。垃圾桶投放标志采用印刷工艺与桶体连接一体，桶体表面印图案经过特殊处理，牢固不易脱落。</w:t>
            </w:r>
          </w:p>
        </w:tc>
        <w:tc>
          <w:tcPr>
            <w:tcW w:w="775" w:type="dxa"/>
            <w:shd w:val="clear" w:color="auto" w:fill="auto"/>
          </w:tcPr>
          <w:p>
            <w:pPr>
              <w:rPr>
                <w:rFonts w:hAnsi="宋体" w:cs="宋体"/>
                <w:color w:val="auto"/>
                <w:szCs w:val="21"/>
                <w:highlight w:val="none"/>
              </w:rPr>
            </w:pPr>
          </w:p>
          <w:p>
            <w:pPr>
              <w:pStyle w:val="4"/>
              <w:rPr>
                <w:rFonts w:hAnsi="宋体" w:cs="宋体"/>
                <w:color w:val="auto"/>
                <w:sz w:val="21"/>
                <w:szCs w:val="21"/>
                <w:highlight w:val="none"/>
              </w:rPr>
            </w:pPr>
          </w:p>
        </w:tc>
      </w:tr>
    </w:tbl>
    <w:p>
      <w:pPr>
        <w:spacing w:before="165" w:beforeLines="50"/>
        <w:rPr>
          <w:rFonts w:ascii="Times New Roman" w:hAnsi="Times New Roman"/>
          <w:b/>
          <w:color w:val="auto"/>
          <w:szCs w:val="21"/>
          <w:highlight w:val="none"/>
        </w:rPr>
      </w:pPr>
      <w:r>
        <w:rPr>
          <w:rFonts w:hint="eastAsia" w:ascii="Times New Roman" w:hAnsi="Times New Roman"/>
          <w:b/>
          <w:color w:val="auto"/>
          <w:szCs w:val="21"/>
          <w:highlight w:val="none"/>
        </w:rPr>
        <w:t>售后服务及其他要求</w:t>
      </w:r>
    </w:p>
    <w:p>
      <w:pPr>
        <w:spacing w:line="30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1.产品由供应商免费送货上门、安装合格，售后服务按国家有关产品“三包”规定执行；</w:t>
      </w:r>
    </w:p>
    <w:p>
      <w:pPr>
        <w:spacing w:line="30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2.知识产权保护要求：</w:t>
      </w:r>
      <w:r>
        <w:rPr>
          <w:rFonts w:hint="eastAsia" w:ascii="Times New Roman" w:hAnsi="宋体" w:cs="宋体"/>
          <w:color w:val="auto"/>
          <w:kern w:val="0"/>
          <w:szCs w:val="24"/>
          <w:highlight w:val="none"/>
        </w:rPr>
        <w:t>供应商</w:t>
      </w:r>
      <w:r>
        <w:rPr>
          <w:rFonts w:hint="eastAsia" w:ascii="Times New Roman" w:hAnsi="Times New Roman"/>
          <w:color w:val="auto"/>
          <w:szCs w:val="21"/>
          <w:highlight w:val="none"/>
        </w:rPr>
        <w:t>应对投标内容所涉及的专利承担责任，并负责保护用户的利益不受任何损害。一切由于文字、商标、技术和软件专利授权引起的法律裁决、诉讼和赔偿费用均由成交人负责。所使用的设备、材料须符合国家有关标准要求。</w:t>
      </w:r>
    </w:p>
    <w:p>
      <w:pPr>
        <w:spacing w:line="300" w:lineRule="auto"/>
        <w:ind w:firstLine="420" w:firstLineChars="200"/>
        <w:rPr>
          <w:rFonts w:ascii="Times New Roman" w:hAnsi="宋体" w:cs="宋体"/>
          <w:color w:val="auto"/>
          <w:kern w:val="0"/>
          <w:szCs w:val="21"/>
          <w:highlight w:val="none"/>
        </w:rPr>
      </w:pPr>
      <w:r>
        <w:rPr>
          <w:rFonts w:ascii="Times New Roman" w:hAnsi="宋体" w:cs="宋体"/>
          <w:color w:val="auto"/>
          <w:kern w:val="0"/>
          <w:szCs w:val="21"/>
          <w:highlight w:val="none"/>
        </w:rPr>
        <w:t>3.</w:t>
      </w:r>
      <w:r>
        <w:rPr>
          <w:rFonts w:hint="eastAsia" w:ascii="Times New Roman" w:hAnsi="宋体" w:cs="宋体"/>
          <w:color w:val="auto"/>
          <w:kern w:val="0"/>
          <w:szCs w:val="21"/>
          <w:highlight w:val="none"/>
        </w:rPr>
        <w:t>保修期内非用户原因引起的质量问题由供应商负全部责任。</w:t>
      </w:r>
    </w:p>
    <w:p>
      <w:pPr>
        <w:spacing w:line="300" w:lineRule="auto"/>
        <w:ind w:firstLine="420" w:firstLineChars="200"/>
        <w:rPr>
          <w:rFonts w:ascii="Times New Roman" w:hAnsi="宋体" w:cs="宋体"/>
          <w:color w:val="auto"/>
          <w:kern w:val="0"/>
          <w:szCs w:val="21"/>
          <w:highlight w:val="none"/>
        </w:rPr>
      </w:pPr>
      <w:r>
        <w:rPr>
          <w:rFonts w:ascii="Times New Roman" w:hAnsi="宋体" w:cs="宋体"/>
          <w:color w:val="auto"/>
          <w:kern w:val="0"/>
          <w:szCs w:val="21"/>
          <w:highlight w:val="none"/>
        </w:rPr>
        <w:t>4.</w:t>
      </w:r>
      <w:r>
        <w:rPr>
          <w:rFonts w:hint="eastAsia" w:ascii="Times New Roman" w:hAnsi="宋体" w:cs="宋体"/>
          <w:color w:val="auto"/>
          <w:kern w:val="0"/>
          <w:szCs w:val="21"/>
          <w:highlight w:val="none"/>
        </w:rPr>
        <w:t>维修响应：</w:t>
      </w:r>
      <w:r>
        <w:rPr>
          <w:rFonts w:hint="eastAsia" w:ascii="Times New Roman" w:hAnsi="宋体" w:cs="宋体"/>
          <w:color w:val="auto"/>
          <w:kern w:val="0"/>
          <w:szCs w:val="24"/>
          <w:highlight w:val="none"/>
        </w:rPr>
        <w:t>供应商</w:t>
      </w:r>
      <w:r>
        <w:rPr>
          <w:rFonts w:hint="eastAsia" w:ascii="Times New Roman" w:hAnsi="宋体" w:cs="宋体"/>
          <w:color w:val="auto"/>
          <w:kern w:val="0"/>
          <w:szCs w:val="21"/>
          <w:highlight w:val="none"/>
        </w:rPr>
        <w:t>在接到用户的维修电话后12小时内响应。在质量保证期内，</w:t>
      </w:r>
      <w:r>
        <w:rPr>
          <w:rFonts w:hint="eastAsia" w:ascii="Times New Roman" w:hAnsi="宋体" w:cs="宋体"/>
          <w:color w:val="auto"/>
          <w:kern w:val="0"/>
          <w:szCs w:val="24"/>
          <w:highlight w:val="none"/>
        </w:rPr>
        <w:t>供应商</w:t>
      </w:r>
      <w:r>
        <w:rPr>
          <w:rFonts w:hint="eastAsia" w:ascii="Times New Roman" w:hAnsi="宋体" w:cs="宋体"/>
          <w:color w:val="auto"/>
          <w:kern w:val="0"/>
          <w:szCs w:val="21"/>
          <w:highlight w:val="none"/>
        </w:rPr>
        <w:t>在收到设备用户第一个报修电话后，应在24小时内赶到事故现场，并免费维修更换有缺陷的货物或部件。</w:t>
      </w:r>
    </w:p>
    <w:p>
      <w:pPr>
        <w:spacing w:line="30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w:t>
      </w:r>
      <w:r>
        <w:rPr>
          <w:rFonts w:hint="eastAsia" w:ascii="Times New Roman" w:hAnsi="Times New Roman"/>
          <w:color w:val="auto"/>
          <w:szCs w:val="21"/>
          <w:highlight w:val="none"/>
        </w:rPr>
        <w:t>.交货地点：公会镇、大平瑶族乡、羊头镇、望高镇、鹅塘镇。</w:t>
      </w:r>
    </w:p>
    <w:p>
      <w:pPr>
        <w:spacing w:line="300" w:lineRule="auto"/>
        <w:ind w:firstLine="420" w:firstLineChars="200"/>
        <w:rPr>
          <w:rFonts w:ascii="Times New Roman" w:hAnsi="宋体"/>
          <w:color w:val="auto"/>
          <w:szCs w:val="21"/>
          <w:highlight w:val="none"/>
        </w:rPr>
      </w:pPr>
      <w:r>
        <w:rPr>
          <w:rFonts w:ascii="Times New Roman" w:hAnsi="Times New Roman"/>
          <w:color w:val="auto"/>
          <w:szCs w:val="21"/>
          <w:highlight w:val="none"/>
        </w:rPr>
        <w:t>6</w:t>
      </w:r>
      <w:r>
        <w:rPr>
          <w:rFonts w:hint="eastAsia" w:ascii="Times New Roman" w:hAnsi="Times New Roman"/>
          <w:color w:val="auto"/>
          <w:szCs w:val="21"/>
          <w:highlight w:val="none"/>
        </w:rPr>
        <w:t>.合同履行期限：</w:t>
      </w:r>
      <w:r>
        <w:rPr>
          <w:rFonts w:hint="eastAsia" w:ascii="Times New Roman" w:hAnsi="宋体"/>
          <w:color w:val="auto"/>
          <w:szCs w:val="21"/>
          <w:highlight w:val="none"/>
        </w:rPr>
        <w:t>供货期为自合同签订之日起35日历日内完成交货，并验收合格后交付使用；质保期不少于1年（从安装、验收合格并交付使用之日算起）。</w:t>
      </w:r>
    </w:p>
    <w:p>
      <w:pPr>
        <w:spacing w:line="300" w:lineRule="auto"/>
        <w:ind w:firstLine="315" w:firstLineChars="150"/>
        <w:rPr>
          <w:rFonts w:ascii="Times New Roman" w:hAnsi="Times New Roman"/>
          <w:color w:val="auto"/>
          <w:szCs w:val="21"/>
          <w:highlight w:val="none"/>
        </w:rPr>
      </w:pPr>
      <w:r>
        <w:rPr>
          <w:rFonts w:ascii="Times New Roman" w:hAnsi="Times New Roman"/>
          <w:color w:val="auto"/>
          <w:szCs w:val="21"/>
          <w:highlight w:val="none"/>
        </w:rPr>
        <w:t xml:space="preserve"> 7.</w:t>
      </w:r>
      <w:r>
        <w:rPr>
          <w:rFonts w:hint="eastAsia" w:ascii="Times New Roman" w:hAnsi="Times New Roman"/>
          <w:color w:val="auto"/>
          <w:szCs w:val="21"/>
          <w:highlight w:val="none"/>
        </w:rPr>
        <w:t>付款方式：自合同签订之日起，采购单位向中标方预付60%的合同价款项，待所有货物交付验收合格后，一次性付清项目余款（无息）。</w:t>
      </w:r>
    </w:p>
    <w:p>
      <w:pPr>
        <w:spacing w:line="30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8</w:t>
      </w:r>
      <w:r>
        <w:rPr>
          <w:rFonts w:ascii="Times New Roman" w:hAnsi="Times New Roman"/>
          <w:color w:val="auto"/>
          <w:szCs w:val="21"/>
          <w:highlight w:val="none"/>
        </w:rPr>
        <w:t>.</w:t>
      </w:r>
      <w:r>
        <w:rPr>
          <w:rFonts w:hint="eastAsia" w:ascii="Times New Roman" w:hAnsi="Times New Roman"/>
          <w:color w:val="auto"/>
          <w:szCs w:val="21"/>
          <w:highlight w:val="none"/>
        </w:rPr>
        <w:t xml:space="preserve"> 投标报价要求：为完成本项目所有服务内容所需的一切费用和售后服务、税金和其它所有成本费用。</w:t>
      </w:r>
    </w:p>
    <w:p>
      <w:pPr>
        <w:pStyle w:val="3"/>
        <w:spacing w:before="331" w:beforeLines="100"/>
        <w:jc w:val="center"/>
        <w:rPr>
          <w:rFonts w:ascii="黑体" w:eastAsia="黑体"/>
          <w:b/>
          <w:color w:val="auto"/>
          <w:sz w:val="28"/>
          <w:szCs w:val="28"/>
          <w:highlight w:val="none"/>
          <w:u w:val="none"/>
        </w:rPr>
      </w:pPr>
    </w:p>
    <w:p>
      <w:pPr>
        <w:rPr>
          <w:rFonts w:ascii="黑体" w:eastAsia="黑体"/>
          <w:b/>
          <w:color w:val="auto"/>
          <w:sz w:val="28"/>
          <w:szCs w:val="28"/>
          <w:highlight w:val="none"/>
          <w:u w:val="none"/>
        </w:rPr>
      </w:pPr>
    </w:p>
    <w:p>
      <w:pPr>
        <w:pStyle w:val="2"/>
        <w:rPr>
          <w:rFonts w:ascii="黑体" w:eastAsia="黑体"/>
          <w:b/>
          <w:color w:val="auto"/>
          <w:sz w:val="28"/>
          <w:szCs w:val="28"/>
          <w:highlight w:val="none"/>
          <w:u w:val="none"/>
        </w:rPr>
      </w:pPr>
    </w:p>
    <w:p>
      <w:pPr>
        <w:rPr>
          <w:rFonts w:ascii="黑体" w:eastAsia="黑体"/>
          <w:b/>
          <w:color w:val="auto"/>
          <w:sz w:val="28"/>
          <w:szCs w:val="28"/>
          <w:highlight w:val="none"/>
          <w:u w:val="none"/>
        </w:rPr>
      </w:pPr>
    </w:p>
    <w:p>
      <w:pPr>
        <w:pStyle w:val="2"/>
        <w:rPr>
          <w:color w:val="auto"/>
          <w:highlight w:val="none"/>
        </w:rPr>
      </w:pPr>
    </w:p>
    <w:p>
      <w:pPr>
        <w:pStyle w:val="3"/>
        <w:spacing w:before="331" w:beforeLines="100"/>
        <w:jc w:val="center"/>
        <w:rPr>
          <w:rFonts w:ascii="黑体" w:eastAsia="黑体"/>
          <w:b/>
          <w:color w:val="auto"/>
          <w:sz w:val="40"/>
          <w:szCs w:val="40"/>
          <w:highlight w:val="none"/>
          <w:u w:val="none"/>
        </w:rPr>
      </w:pPr>
      <w:bookmarkStart w:id="181" w:name="_Toc24481"/>
      <w:r>
        <w:rPr>
          <w:rFonts w:hint="eastAsia" w:ascii="黑体" w:eastAsia="黑体"/>
          <w:b/>
          <w:color w:val="auto"/>
          <w:sz w:val="40"/>
          <w:szCs w:val="40"/>
          <w:highlight w:val="none"/>
          <w:u w:val="none"/>
        </w:rPr>
        <w:t>第四章</w:t>
      </w:r>
      <w:bookmarkStart w:id="182" w:name="_Toc114052386"/>
      <w:bookmarkStart w:id="183" w:name="_Toc114052450"/>
      <w:bookmarkStart w:id="184" w:name="_Toc114303737"/>
      <w:r>
        <w:rPr>
          <w:rFonts w:ascii="黑体" w:eastAsia="黑体"/>
          <w:b/>
          <w:color w:val="auto"/>
          <w:sz w:val="40"/>
          <w:szCs w:val="40"/>
          <w:highlight w:val="none"/>
          <w:u w:val="none"/>
        </w:rPr>
        <w:t xml:space="preserve">  </w:t>
      </w:r>
      <w:r>
        <w:rPr>
          <w:rFonts w:hint="eastAsia" w:ascii="黑体" w:eastAsia="黑体"/>
          <w:b/>
          <w:color w:val="auto"/>
          <w:sz w:val="40"/>
          <w:szCs w:val="40"/>
          <w:highlight w:val="none"/>
          <w:u w:val="none"/>
        </w:rPr>
        <w:t>合同书（格式）</w:t>
      </w:r>
      <w:bookmarkEnd w:id="178"/>
      <w:bookmarkEnd w:id="181"/>
    </w:p>
    <w:bookmarkEnd w:id="182"/>
    <w:bookmarkEnd w:id="183"/>
    <w:bookmarkEnd w:id="184"/>
    <w:p>
      <w:pPr>
        <w:jc w:val="center"/>
        <w:rPr>
          <w:rFonts w:hAnsi="宋体"/>
          <w:b/>
          <w:color w:val="auto"/>
          <w:kern w:val="0"/>
          <w:sz w:val="84"/>
          <w:szCs w:val="84"/>
          <w:highlight w:val="none"/>
        </w:rPr>
      </w:pPr>
      <w:bookmarkStart w:id="185" w:name="_Toc114303738"/>
      <w:bookmarkStart w:id="186" w:name="_Toc114052451"/>
      <w:bookmarkStart w:id="187" w:name="_Toc295204458"/>
      <w:bookmarkStart w:id="188" w:name="_Toc114052387"/>
      <w:bookmarkStart w:id="189" w:name="_Toc78441068"/>
    </w:p>
    <w:p>
      <w:pPr>
        <w:jc w:val="center"/>
        <w:rPr>
          <w:rFonts w:hAnsi="宋体"/>
          <w:b/>
          <w:color w:val="auto"/>
          <w:kern w:val="0"/>
          <w:sz w:val="84"/>
          <w:szCs w:val="84"/>
          <w:highlight w:val="none"/>
        </w:rPr>
      </w:pPr>
      <w:r>
        <w:rPr>
          <w:rFonts w:hint="eastAsia" w:hAnsi="宋体"/>
          <w:b/>
          <w:color w:val="auto"/>
          <w:kern w:val="0"/>
          <w:sz w:val="84"/>
          <w:szCs w:val="84"/>
          <w:highlight w:val="none"/>
        </w:rPr>
        <w:t>政府采购合同书</w:t>
      </w:r>
    </w:p>
    <w:p>
      <w:pPr>
        <w:jc w:val="center"/>
        <w:rPr>
          <w:rFonts w:hAnsi="宋体"/>
          <w:b/>
          <w:color w:val="auto"/>
          <w:kern w:val="0"/>
          <w:sz w:val="32"/>
          <w:highlight w:val="none"/>
        </w:rPr>
      </w:pPr>
    </w:p>
    <w:p>
      <w:pPr>
        <w:jc w:val="center"/>
        <w:rPr>
          <w:rFonts w:hAnsi="宋体"/>
          <w:b/>
          <w:color w:val="auto"/>
          <w:kern w:val="0"/>
          <w:sz w:val="32"/>
          <w:highlight w:val="none"/>
        </w:rPr>
      </w:pPr>
    </w:p>
    <w:p>
      <w:pPr>
        <w:jc w:val="center"/>
        <w:rPr>
          <w:rFonts w:hAnsi="宋体"/>
          <w:b/>
          <w:color w:val="auto"/>
          <w:kern w:val="0"/>
          <w:sz w:val="32"/>
          <w:highlight w:val="none"/>
        </w:rPr>
      </w:pPr>
    </w:p>
    <w:p>
      <w:pPr>
        <w:ind w:firstLine="1799" w:firstLineChars="640"/>
        <w:jc w:val="center"/>
        <w:rPr>
          <w:rFonts w:hAnsi="宋体"/>
          <w:b/>
          <w:color w:val="auto"/>
          <w:kern w:val="0"/>
          <w:sz w:val="28"/>
          <w:szCs w:val="28"/>
          <w:highlight w:val="none"/>
        </w:rPr>
      </w:pPr>
    </w:p>
    <w:p>
      <w:pPr>
        <w:spacing w:line="360" w:lineRule="auto"/>
        <w:ind w:firstLine="2168" w:firstLineChars="600"/>
        <w:rPr>
          <w:rFonts w:hAnsi="宋体"/>
          <w:b/>
          <w:color w:val="auto"/>
          <w:spacing w:val="-20"/>
          <w:sz w:val="36"/>
          <w:szCs w:val="36"/>
          <w:highlight w:val="none"/>
          <w:u w:val="single"/>
        </w:rPr>
      </w:pPr>
      <w:r>
        <w:rPr>
          <w:rFonts w:hint="eastAsia" w:hAnsi="宋体"/>
          <w:b/>
          <w:color w:val="auto"/>
          <w:sz w:val="36"/>
          <w:szCs w:val="36"/>
          <w:highlight w:val="none"/>
        </w:rPr>
        <w:t>项目名称：</w:t>
      </w:r>
      <w:r>
        <w:rPr>
          <w:rFonts w:hint="eastAsia" w:hAnsi="宋体"/>
          <w:b/>
          <w:color w:val="auto"/>
          <w:sz w:val="36"/>
          <w:szCs w:val="36"/>
          <w:highlight w:val="none"/>
          <w:u w:val="single"/>
        </w:rPr>
        <w:t xml:space="preserve"> </w:t>
      </w:r>
      <w:r>
        <w:rPr>
          <w:rFonts w:hAnsi="宋体"/>
          <w:b/>
          <w:color w:val="auto"/>
          <w:sz w:val="36"/>
          <w:szCs w:val="36"/>
          <w:highlight w:val="none"/>
          <w:u w:val="single"/>
        </w:rPr>
        <w:t xml:space="preserve">                       </w:t>
      </w:r>
    </w:p>
    <w:p>
      <w:pPr>
        <w:spacing w:line="360" w:lineRule="auto"/>
        <w:ind w:firstLine="2168" w:firstLineChars="600"/>
        <w:rPr>
          <w:rFonts w:hAnsi="宋体"/>
          <w:b/>
          <w:color w:val="auto"/>
          <w:spacing w:val="-20"/>
          <w:sz w:val="36"/>
          <w:szCs w:val="36"/>
          <w:highlight w:val="none"/>
          <w:u w:val="single"/>
        </w:rPr>
      </w:pPr>
      <w:r>
        <w:rPr>
          <w:rFonts w:hint="eastAsia" w:hAnsi="宋体"/>
          <w:b/>
          <w:color w:val="auto"/>
          <w:sz w:val="36"/>
          <w:szCs w:val="36"/>
          <w:highlight w:val="none"/>
        </w:rPr>
        <w:t>项目编号：</w:t>
      </w:r>
      <w:r>
        <w:rPr>
          <w:rFonts w:hint="eastAsia" w:hAnsi="宋体"/>
          <w:b/>
          <w:color w:val="auto"/>
          <w:sz w:val="36"/>
          <w:szCs w:val="36"/>
          <w:highlight w:val="none"/>
          <w:u w:val="single"/>
        </w:rPr>
        <w:t xml:space="preserve"> </w:t>
      </w:r>
      <w:r>
        <w:rPr>
          <w:rFonts w:hAnsi="宋体"/>
          <w:b/>
          <w:color w:val="auto"/>
          <w:sz w:val="36"/>
          <w:szCs w:val="36"/>
          <w:highlight w:val="none"/>
          <w:u w:val="single"/>
        </w:rPr>
        <w:t xml:space="preserve">                       </w:t>
      </w:r>
    </w:p>
    <w:p>
      <w:pPr>
        <w:spacing w:line="360" w:lineRule="auto"/>
        <w:ind w:firstLine="1761" w:firstLineChars="548"/>
        <w:rPr>
          <w:rFonts w:hAnsi="宋体"/>
          <w:b/>
          <w:color w:val="auto"/>
          <w:spacing w:val="-20"/>
          <w:sz w:val="36"/>
          <w:szCs w:val="36"/>
          <w:highlight w:val="none"/>
        </w:rPr>
      </w:pPr>
    </w:p>
    <w:p>
      <w:pPr>
        <w:ind w:left="2159" w:leftChars="1028" w:firstLine="1102" w:firstLineChars="392"/>
        <w:jc w:val="center"/>
        <w:rPr>
          <w:rFonts w:hAnsi="宋体"/>
          <w:b/>
          <w:color w:val="auto"/>
          <w:kern w:val="0"/>
          <w:sz w:val="28"/>
          <w:szCs w:val="28"/>
          <w:highlight w:val="none"/>
        </w:rPr>
      </w:pPr>
    </w:p>
    <w:p>
      <w:pPr>
        <w:jc w:val="center"/>
        <w:rPr>
          <w:rFonts w:hAnsi="宋体"/>
          <w:b/>
          <w:color w:val="auto"/>
          <w:kern w:val="0"/>
          <w:sz w:val="30"/>
          <w:szCs w:val="30"/>
          <w:highlight w:val="none"/>
        </w:rPr>
      </w:pPr>
    </w:p>
    <w:p>
      <w:pPr>
        <w:jc w:val="center"/>
        <w:rPr>
          <w:rFonts w:hAnsi="宋体"/>
          <w:b/>
          <w:color w:val="auto"/>
          <w:kern w:val="0"/>
          <w:sz w:val="30"/>
          <w:szCs w:val="30"/>
          <w:highlight w:val="none"/>
        </w:rPr>
      </w:pPr>
    </w:p>
    <w:p>
      <w:pPr>
        <w:ind w:firstLine="1958" w:firstLineChars="650"/>
        <w:jc w:val="left"/>
        <w:rPr>
          <w:rFonts w:hAnsi="宋体"/>
          <w:b/>
          <w:color w:val="auto"/>
          <w:kern w:val="0"/>
          <w:sz w:val="30"/>
          <w:szCs w:val="30"/>
          <w:highlight w:val="none"/>
        </w:rPr>
      </w:pPr>
      <w:r>
        <w:rPr>
          <w:rFonts w:hint="eastAsia" w:hAnsi="宋体"/>
          <w:b/>
          <w:color w:val="auto"/>
          <w:kern w:val="0"/>
          <w:sz w:val="30"/>
          <w:szCs w:val="30"/>
          <w:highlight w:val="none"/>
        </w:rPr>
        <w:t>签订合同地点：</w:t>
      </w:r>
      <w:r>
        <w:rPr>
          <w:rFonts w:hint="eastAsia" w:ascii="黑体" w:eastAsia="黑体"/>
          <w:b/>
          <w:color w:val="auto"/>
          <w:kern w:val="0"/>
          <w:sz w:val="30"/>
          <w:szCs w:val="30"/>
          <w:highlight w:val="none"/>
          <w:u w:val="single"/>
        </w:rPr>
        <w:t xml:space="preserve"> </w:t>
      </w:r>
      <w:r>
        <w:rPr>
          <w:rFonts w:ascii="黑体" w:eastAsia="黑体"/>
          <w:b/>
          <w:color w:val="auto"/>
          <w:kern w:val="0"/>
          <w:sz w:val="30"/>
          <w:szCs w:val="30"/>
          <w:highlight w:val="none"/>
          <w:u w:val="single"/>
        </w:rPr>
        <w:t xml:space="preserve">               </w:t>
      </w:r>
    </w:p>
    <w:p>
      <w:pPr>
        <w:jc w:val="center"/>
        <w:rPr>
          <w:rFonts w:hAnsi="宋体"/>
          <w:b/>
          <w:color w:val="auto"/>
          <w:kern w:val="0"/>
          <w:sz w:val="30"/>
          <w:szCs w:val="30"/>
          <w:highlight w:val="none"/>
        </w:rPr>
      </w:pPr>
      <w:r>
        <w:rPr>
          <w:rFonts w:hint="eastAsia" w:hAnsi="宋体"/>
          <w:b/>
          <w:color w:val="auto"/>
          <w:kern w:val="0"/>
          <w:sz w:val="30"/>
          <w:szCs w:val="30"/>
          <w:highlight w:val="none"/>
        </w:rPr>
        <w:t>签订合同时间：　　　年　　　月　　　日</w:t>
      </w:r>
    </w:p>
    <w:p>
      <w:pPr>
        <w:snapToGrid w:val="0"/>
        <w:spacing w:line="400" w:lineRule="exact"/>
        <w:jc w:val="center"/>
        <w:rPr>
          <w:rFonts w:hAnsi="宋体"/>
          <w:b/>
          <w:bCs/>
          <w:color w:val="auto"/>
          <w:sz w:val="32"/>
          <w:szCs w:val="32"/>
          <w:highlight w:val="none"/>
        </w:rPr>
      </w:pPr>
    </w:p>
    <w:p>
      <w:pPr>
        <w:snapToGrid w:val="0"/>
        <w:spacing w:line="400" w:lineRule="exact"/>
        <w:jc w:val="center"/>
        <w:rPr>
          <w:rFonts w:hAnsi="宋体"/>
          <w:b/>
          <w:bCs/>
          <w:color w:val="auto"/>
          <w:sz w:val="32"/>
          <w:szCs w:val="32"/>
          <w:highlight w:val="none"/>
        </w:rPr>
      </w:pPr>
    </w:p>
    <w:p>
      <w:pPr>
        <w:snapToGrid w:val="0"/>
        <w:spacing w:line="400" w:lineRule="exact"/>
        <w:jc w:val="center"/>
        <w:rPr>
          <w:rFonts w:hAnsi="宋体"/>
          <w:b/>
          <w:bCs/>
          <w:color w:val="auto"/>
          <w:sz w:val="32"/>
          <w:szCs w:val="32"/>
          <w:highlight w:val="none"/>
        </w:rPr>
      </w:pPr>
    </w:p>
    <w:p>
      <w:pPr>
        <w:widowControl/>
        <w:jc w:val="left"/>
        <w:rPr>
          <w:rFonts w:hAnsi="宋体"/>
          <w:b/>
          <w:bCs/>
          <w:color w:val="auto"/>
          <w:sz w:val="32"/>
          <w:szCs w:val="32"/>
          <w:highlight w:val="none"/>
        </w:rPr>
      </w:pPr>
      <w:r>
        <w:rPr>
          <w:rFonts w:hAnsi="宋体"/>
          <w:b/>
          <w:bCs/>
          <w:color w:val="auto"/>
          <w:sz w:val="32"/>
          <w:szCs w:val="32"/>
          <w:highlight w:val="none"/>
        </w:rPr>
        <w:br w:type="page"/>
      </w:r>
    </w:p>
    <w:p>
      <w:pPr>
        <w:snapToGrid w:val="0"/>
        <w:spacing w:before="331" w:beforeLines="100" w:line="400" w:lineRule="exact"/>
        <w:jc w:val="center"/>
        <w:rPr>
          <w:rFonts w:hAnsi="宋体"/>
          <w:b/>
          <w:bCs/>
          <w:color w:val="auto"/>
          <w:sz w:val="32"/>
          <w:szCs w:val="32"/>
          <w:highlight w:val="none"/>
        </w:rPr>
      </w:pPr>
    </w:p>
    <w:p>
      <w:pPr>
        <w:snapToGrid w:val="0"/>
        <w:spacing w:before="331" w:beforeLines="100" w:line="360" w:lineRule="auto"/>
        <w:jc w:val="center"/>
        <w:rPr>
          <w:rFonts w:hAnsi="宋体"/>
          <w:b/>
          <w:bCs/>
          <w:color w:val="auto"/>
          <w:sz w:val="32"/>
          <w:szCs w:val="32"/>
          <w:highlight w:val="none"/>
        </w:rPr>
      </w:pPr>
      <w:r>
        <w:rPr>
          <w:rFonts w:hint="eastAsia" w:hAnsi="宋体"/>
          <w:b/>
          <w:bCs/>
          <w:color w:val="auto"/>
          <w:sz w:val="32"/>
          <w:szCs w:val="32"/>
          <w:highlight w:val="none"/>
        </w:rPr>
        <w:t>广西壮族自治区政府采购合同</w:t>
      </w:r>
    </w:p>
    <w:p>
      <w:pPr>
        <w:snapToGrid w:val="0"/>
        <w:spacing w:line="360" w:lineRule="auto"/>
        <w:ind w:left="-50" w:right="518"/>
        <w:jc w:val="center"/>
        <w:rPr>
          <w:rFonts w:hAnsi="宋体"/>
          <w:bCs/>
          <w:color w:val="auto"/>
          <w:szCs w:val="21"/>
          <w:highlight w:val="none"/>
        </w:rPr>
      </w:pPr>
      <w:r>
        <w:rPr>
          <w:rFonts w:hint="eastAsia" w:hAnsi="宋体"/>
          <w:bCs/>
          <w:color w:val="auto"/>
          <w:szCs w:val="21"/>
          <w:highlight w:val="none"/>
        </w:rPr>
        <w:t xml:space="preserve">  ( 合同编号：          )</w:t>
      </w:r>
    </w:p>
    <w:p>
      <w:pPr>
        <w:snapToGrid w:val="0"/>
        <w:spacing w:line="480" w:lineRule="auto"/>
        <w:rPr>
          <w:rFonts w:hAnsi="宋体"/>
          <w:color w:val="auto"/>
          <w:szCs w:val="21"/>
          <w:highlight w:val="none"/>
        </w:rPr>
      </w:pPr>
    </w:p>
    <w:p>
      <w:pPr>
        <w:snapToGrid w:val="0"/>
        <w:spacing w:line="480" w:lineRule="auto"/>
        <w:rPr>
          <w:rFonts w:hAnsi="宋体"/>
          <w:color w:val="auto"/>
          <w:szCs w:val="21"/>
          <w:highlight w:val="none"/>
        </w:rPr>
      </w:pPr>
      <w:r>
        <w:rPr>
          <w:rFonts w:hint="eastAsia" w:hAnsi="宋体"/>
          <w:color w:val="auto"/>
          <w:szCs w:val="21"/>
          <w:highlight w:val="none"/>
        </w:rPr>
        <w:t>采购人（甲方）：</w:t>
      </w:r>
      <w:r>
        <w:rPr>
          <w:rFonts w:hint="eastAsia" w:hAnsi="宋体"/>
          <w:color w:val="auto"/>
          <w:szCs w:val="21"/>
          <w:highlight w:val="none"/>
          <w:u w:val="single"/>
        </w:rPr>
        <w:t xml:space="preserve">                        </w:t>
      </w:r>
      <w:r>
        <w:rPr>
          <w:rFonts w:hint="eastAsia" w:hAnsi="宋体"/>
          <w:color w:val="auto"/>
          <w:szCs w:val="21"/>
          <w:highlight w:val="none"/>
        </w:rPr>
        <w:t xml:space="preserve">         </w:t>
      </w:r>
    </w:p>
    <w:p>
      <w:pPr>
        <w:snapToGrid w:val="0"/>
        <w:spacing w:line="480" w:lineRule="auto"/>
        <w:rPr>
          <w:rFonts w:hAnsi="宋体"/>
          <w:color w:val="auto"/>
          <w:szCs w:val="21"/>
          <w:highlight w:val="none"/>
        </w:rPr>
      </w:pPr>
      <w:r>
        <w:rPr>
          <w:rFonts w:hint="eastAsia" w:hAnsi="宋体"/>
          <w:color w:val="auto"/>
          <w:szCs w:val="21"/>
          <w:highlight w:val="none"/>
        </w:rPr>
        <w:t>供应商（乙方）：</w:t>
      </w:r>
      <w:r>
        <w:rPr>
          <w:rFonts w:hint="eastAsia" w:hAnsi="宋体"/>
          <w:color w:val="auto"/>
          <w:szCs w:val="21"/>
          <w:highlight w:val="none"/>
          <w:u w:val="single"/>
        </w:rPr>
        <w:t xml:space="preserve">                        </w:t>
      </w:r>
      <w:r>
        <w:rPr>
          <w:rFonts w:hint="eastAsia" w:hAnsi="宋体"/>
          <w:color w:val="auto"/>
          <w:szCs w:val="21"/>
          <w:highlight w:val="none"/>
        </w:rPr>
        <w:t xml:space="preserve">        </w:t>
      </w:r>
      <w:r>
        <w:rPr>
          <w:rFonts w:hint="eastAsia" w:hAnsi="宋体"/>
          <w:color w:val="auto"/>
          <w:spacing w:val="-20"/>
          <w:szCs w:val="21"/>
          <w:highlight w:val="none"/>
        </w:rPr>
        <w:t>招 标 编 号：</w:t>
      </w:r>
      <w:r>
        <w:rPr>
          <w:rFonts w:hint="eastAsia" w:hAnsi="宋体"/>
          <w:bCs/>
          <w:color w:val="auto"/>
          <w:szCs w:val="21"/>
          <w:highlight w:val="none"/>
          <w:u w:val="single"/>
        </w:rPr>
        <w:t xml:space="preserve">             </w:t>
      </w:r>
      <w:r>
        <w:rPr>
          <w:rFonts w:hint="eastAsia" w:hAnsi="宋体"/>
          <w:bCs/>
          <w:color w:val="auto"/>
          <w:szCs w:val="21"/>
          <w:highlight w:val="none"/>
        </w:rPr>
        <w:t xml:space="preserve">  </w:t>
      </w:r>
    </w:p>
    <w:p>
      <w:pPr>
        <w:snapToGrid w:val="0"/>
        <w:spacing w:line="480" w:lineRule="auto"/>
        <w:rPr>
          <w:rFonts w:hAnsi="宋体"/>
          <w:color w:val="auto"/>
          <w:szCs w:val="21"/>
          <w:highlight w:val="none"/>
          <w:u w:val="single"/>
        </w:rPr>
      </w:pPr>
      <w:r>
        <w:rPr>
          <w:rFonts w:hint="eastAsia" w:hAnsi="宋体"/>
          <w:color w:val="auto"/>
          <w:szCs w:val="21"/>
          <w:highlight w:val="none"/>
        </w:rPr>
        <w:t>签订点：</w:t>
      </w:r>
      <w:r>
        <w:rPr>
          <w:rFonts w:hint="eastAsia" w:hAnsi="宋体"/>
          <w:color w:val="auto"/>
          <w:szCs w:val="21"/>
          <w:highlight w:val="none"/>
          <w:u w:val="single"/>
        </w:rPr>
        <w:t>采购人所在地</w:t>
      </w:r>
      <w:r>
        <w:rPr>
          <w:rFonts w:hint="eastAsia" w:hAnsi="宋体"/>
          <w:color w:val="auto"/>
          <w:szCs w:val="21"/>
          <w:highlight w:val="none"/>
        </w:rPr>
        <w:t xml:space="preserve">                            签订时间：</w:t>
      </w:r>
      <w:r>
        <w:rPr>
          <w:rFonts w:hint="eastAsia" w:hAnsi="宋体"/>
          <w:color w:val="auto"/>
          <w:szCs w:val="21"/>
          <w:highlight w:val="none"/>
          <w:u w:val="single"/>
        </w:rPr>
        <w:t xml:space="preserve">                    </w:t>
      </w:r>
    </w:p>
    <w:p>
      <w:pPr>
        <w:snapToGrid w:val="0"/>
        <w:spacing w:line="400" w:lineRule="exact"/>
        <w:rPr>
          <w:rFonts w:hAnsi="宋体"/>
          <w:color w:val="auto"/>
          <w:szCs w:val="21"/>
          <w:highlight w:val="none"/>
          <w:u w:val="single"/>
        </w:rPr>
      </w:pPr>
    </w:p>
    <w:p>
      <w:pPr>
        <w:snapToGrid w:val="0"/>
        <w:spacing w:line="400" w:lineRule="exact"/>
        <w:ind w:firstLine="420" w:firstLineChars="200"/>
        <w:rPr>
          <w:rFonts w:hAnsi="宋体"/>
          <w:color w:val="auto"/>
          <w:szCs w:val="21"/>
          <w:highlight w:val="none"/>
        </w:rPr>
      </w:pP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根据《中华人民共和国政府采购法》、《中华人民共和国民法典》等法律、法规规定，按照招标文件规定条款和中标供应商承诺，甲乙双方签订本合同。</w:t>
      </w:r>
    </w:p>
    <w:p>
      <w:pPr>
        <w:snapToGrid w:val="0"/>
        <w:spacing w:line="400" w:lineRule="exact"/>
        <w:ind w:firstLine="422" w:firstLineChars="200"/>
        <w:rPr>
          <w:rFonts w:hAnsi="宋体"/>
          <w:b/>
          <w:color w:val="auto"/>
          <w:szCs w:val="21"/>
          <w:highlight w:val="none"/>
        </w:rPr>
      </w:pPr>
      <w:r>
        <w:rPr>
          <w:rFonts w:hint="eastAsia" w:hAnsi="宋体"/>
          <w:b/>
          <w:color w:val="auto"/>
          <w:szCs w:val="21"/>
          <w:highlight w:val="none"/>
        </w:rPr>
        <w:t>第一条　合同标的</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1、供货一览表</w:t>
      </w:r>
    </w:p>
    <w:tbl>
      <w:tblPr>
        <w:tblStyle w:val="17"/>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496"/>
        <w:gridCol w:w="733"/>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96" w:type="dxa"/>
            <w:vAlign w:val="center"/>
          </w:tcPr>
          <w:p>
            <w:pPr>
              <w:snapToGrid w:val="0"/>
              <w:spacing w:line="400" w:lineRule="exact"/>
              <w:jc w:val="center"/>
              <w:rPr>
                <w:rFonts w:hAnsi="宋体"/>
                <w:color w:val="auto"/>
                <w:szCs w:val="21"/>
                <w:highlight w:val="none"/>
              </w:rPr>
            </w:pPr>
            <w:r>
              <w:rPr>
                <w:rFonts w:hint="eastAsia" w:hAnsi="宋体"/>
                <w:color w:val="auto"/>
                <w:szCs w:val="21"/>
                <w:highlight w:val="none"/>
              </w:rPr>
              <w:t>序号</w:t>
            </w:r>
          </w:p>
        </w:tc>
        <w:tc>
          <w:tcPr>
            <w:tcW w:w="1304" w:type="dxa"/>
            <w:vAlign w:val="center"/>
          </w:tcPr>
          <w:p>
            <w:pPr>
              <w:snapToGrid w:val="0"/>
              <w:spacing w:line="400" w:lineRule="exact"/>
              <w:jc w:val="center"/>
              <w:rPr>
                <w:rFonts w:hAnsi="宋体"/>
                <w:color w:val="auto"/>
                <w:szCs w:val="21"/>
                <w:highlight w:val="none"/>
              </w:rPr>
            </w:pPr>
            <w:r>
              <w:rPr>
                <w:rFonts w:hint="eastAsia" w:hAnsi="宋体"/>
                <w:color w:val="auto"/>
                <w:szCs w:val="21"/>
                <w:highlight w:val="none"/>
              </w:rPr>
              <w:t>产品</w:t>
            </w:r>
          </w:p>
          <w:p>
            <w:pPr>
              <w:snapToGrid w:val="0"/>
              <w:spacing w:line="400" w:lineRule="exact"/>
              <w:jc w:val="center"/>
              <w:rPr>
                <w:rFonts w:hAnsi="宋体"/>
                <w:color w:val="auto"/>
                <w:szCs w:val="21"/>
                <w:highlight w:val="none"/>
              </w:rPr>
            </w:pPr>
            <w:r>
              <w:rPr>
                <w:rFonts w:hint="eastAsia" w:hAnsi="宋体"/>
                <w:color w:val="auto"/>
                <w:szCs w:val="21"/>
                <w:highlight w:val="none"/>
              </w:rPr>
              <w:t>名称</w:t>
            </w:r>
          </w:p>
        </w:tc>
        <w:tc>
          <w:tcPr>
            <w:tcW w:w="1081" w:type="dxa"/>
            <w:vAlign w:val="center"/>
          </w:tcPr>
          <w:p>
            <w:pPr>
              <w:snapToGrid w:val="0"/>
              <w:spacing w:line="400" w:lineRule="exact"/>
              <w:jc w:val="center"/>
              <w:rPr>
                <w:rFonts w:hAnsi="宋体"/>
                <w:color w:val="auto"/>
                <w:szCs w:val="21"/>
                <w:highlight w:val="none"/>
              </w:rPr>
            </w:pPr>
            <w:r>
              <w:rPr>
                <w:rFonts w:hint="eastAsia" w:hAnsi="宋体"/>
                <w:color w:val="auto"/>
                <w:szCs w:val="21"/>
                <w:highlight w:val="none"/>
              </w:rPr>
              <w:t>商标</w:t>
            </w:r>
          </w:p>
          <w:p>
            <w:pPr>
              <w:snapToGrid w:val="0"/>
              <w:spacing w:line="400" w:lineRule="exact"/>
              <w:jc w:val="center"/>
              <w:rPr>
                <w:rFonts w:hAnsi="宋体"/>
                <w:color w:val="auto"/>
                <w:szCs w:val="21"/>
                <w:highlight w:val="none"/>
              </w:rPr>
            </w:pPr>
            <w:r>
              <w:rPr>
                <w:rFonts w:hint="eastAsia" w:hAnsi="宋体"/>
                <w:color w:val="auto"/>
                <w:szCs w:val="21"/>
                <w:highlight w:val="none"/>
              </w:rPr>
              <w:t>品牌</w:t>
            </w:r>
          </w:p>
        </w:tc>
        <w:tc>
          <w:tcPr>
            <w:tcW w:w="1194" w:type="dxa"/>
            <w:vAlign w:val="center"/>
          </w:tcPr>
          <w:p>
            <w:pPr>
              <w:snapToGrid w:val="0"/>
              <w:spacing w:line="400" w:lineRule="exact"/>
              <w:jc w:val="center"/>
              <w:rPr>
                <w:rFonts w:hAnsi="宋体"/>
                <w:color w:val="auto"/>
                <w:szCs w:val="21"/>
                <w:highlight w:val="none"/>
              </w:rPr>
            </w:pPr>
            <w:r>
              <w:rPr>
                <w:rFonts w:hint="eastAsia" w:hAnsi="宋体"/>
                <w:color w:val="auto"/>
                <w:szCs w:val="21"/>
                <w:highlight w:val="none"/>
              </w:rPr>
              <w:t>规格</w:t>
            </w:r>
          </w:p>
          <w:p>
            <w:pPr>
              <w:snapToGrid w:val="0"/>
              <w:spacing w:line="400" w:lineRule="exact"/>
              <w:jc w:val="center"/>
              <w:rPr>
                <w:rFonts w:hAnsi="宋体"/>
                <w:color w:val="auto"/>
                <w:szCs w:val="21"/>
                <w:highlight w:val="none"/>
              </w:rPr>
            </w:pPr>
            <w:r>
              <w:rPr>
                <w:rFonts w:hint="eastAsia" w:hAnsi="宋体"/>
                <w:color w:val="auto"/>
                <w:szCs w:val="21"/>
                <w:highlight w:val="none"/>
              </w:rPr>
              <w:t>型号</w:t>
            </w:r>
          </w:p>
        </w:tc>
        <w:tc>
          <w:tcPr>
            <w:tcW w:w="1193" w:type="dxa"/>
            <w:vAlign w:val="center"/>
          </w:tcPr>
          <w:p>
            <w:pPr>
              <w:snapToGrid w:val="0"/>
              <w:spacing w:line="400" w:lineRule="exact"/>
              <w:jc w:val="center"/>
              <w:rPr>
                <w:rFonts w:hAnsi="宋体"/>
                <w:color w:val="auto"/>
                <w:szCs w:val="21"/>
                <w:highlight w:val="none"/>
              </w:rPr>
            </w:pPr>
            <w:r>
              <w:rPr>
                <w:rFonts w:hint="eastAsia" w:hAnsi="宋体"/>
                <w:color w:val="auto"/>
                <w:szCs w:val="21"/>
                <w:highlight w:val="none"/>
              </w:rPr>
              <w:t>生产</w:t>
            </w:r>
          </w:p>
          <w:p>
            <w:pPr>
              <w:snapToGrid w:val="0"/>
              <w:spacing w:line="400" w:lineRule="exact"/>
              <w:jc w:val="center"/>
              <w:rPr>
                <w:rFonts w:hAnsi="宋体"/>
                <w:color w:val="auto"/>
                <w:szCs w:val="21"/>
                <w:highlight w:val="none"/>
              </w:rPr>
            </w:pPr>
            <w:r>
              <w:rPr>
                <w:rFonts w:hint="eastAsia" w:hAnsi="宋体"/>
                <w:color w:val="auto"/>
                <w:szCs w:val="21"/>
                <w:highlight w:val="none"/>
              </w:rPr>
              <w:t>厂家</w:t>
            </w:r>
          </w:p>
        </w:tc>
        <w:tc>
          <w:tcPr>
            <w:tcW w:w="496" w:type="dxa"/>
            <w:vAlign w:val="center"/>
          </w:tcPr>
          <w:p>
            <w:pPr>
              <w:snapToGrid w:val="0"/>
              <w:spacing w:line="400" w:lineRule="exact"/>
              <w:jc w:val="center"/>
              <w:rPr>
                <w:rFonts w:hAnsi="宋体"/>
                <w:color w:val="auto"/>
                <w:szCs w:val="21"/>
                <w:highlight w:val="none"/>
              </w:rPr>
            </w:pPr>
            <w:r>
              <w:rPr>
                <w:rFonts w:hint="eastAsia" w:hAnsi="宋体"/>
                <w:color w:val="auto"/>
                <w:szCs w:val="21"/>
                <w:highlight w:val="none"/>
              </w:rPr>
              <w:t>数  量</w:t>
            </w:r>
          </w:p>
        </w:tc>
        <w:tc>
          <w:tcPr>
            <w:tcW w:w="733" w:type="dxa"/>
            <w:vAlign w:val="center"/>
          </w:tcPr>
          <w:p>
            <w:pPr>
              <w:snapToGrid w:val="0"/>
              <w:spacing w:line="400" w:lineRule="exact"/>
              <w:jc w:val="center"/>
              <w:rPr>
                <w:rFonts w:hAnsi="宋体"/>
                <w:color w:val="auto"/>
                <w:szCs w:val="21"/>
                <w:highlight w:val="none"/>
              </w:rPr>
            </w:pPr>
            <w:r>
              <w:rPr>
                <w:rFonts w:hint="eastAsia" w:hAnsi="宋体"/>
                <w:color w:val="auto"/>
                <w:szCs w:val="21"/>
                <w:highlight w:val="none"/>
              </w:rPr>
              <w:t>单位</w:t>
            </w:r>
          </w:p>
        </w:tc>
        <w:tc>
          <w:tcPr>
            <w:tcW w:w="1199" w:type="dxa"/>
            <w:vAlign w:val="center"/>
          </w:tcPr>
          <w:p>
            <w:pPr>
              <w:snapToGrid w:val="0"/>
              <w:spacing w:line="400" w:lineRule="exact"/>
              <w:jc w:val="center"/>
              <w:rPr>
                <w:rFonts w:hAnsi="宋体"/>
                <w:color w:val="auto"/>
                <w:szCs w:val="21"/>
                <w:highlight w:val="none"/>
              </w:rPr>
            </w:pPr>
            <w:r>
              <w:rPr>
                <w:rFonts w:hint="eastAsia" w:hAnsi="宋体"/>
                <w:color w:val="auto"/>
                <w:szCs w:val="21"/>
                <w:highlight w:val="none"/>
              </w:rPr>
              <w:t>单  价</w:t>
            </w:r>
          </w:p>
          <w:p>
            <w:pPr>
              <w:snapToGrid w:val="0"/>
              <w:spacing w:line="400" w:lineRule="exact"/>
              <w:jc w:val="center"/>
              <w:rPr>
                <w:rFonts w:hAnsi="宋体"/>
                <w:color w:val="auto"/>
                <w:szCs w:val="21"/>
                <w:highlight w:val="none"/>
              </w:rPr>
            </w:pPr>
            <w:r>
              <w:rPr>
                <w:rFonts w:hint="eastAsia" w:hAnsi="宋体"/>
                <w:color w:val="auto"/>
                <w:szCs w:val="21"/>
                <w:highlight w:val="none"/>
              </w:rPr>
              <w:t>（元）</w:t>
            </w:r>
          </w:p>
        </w:tc>
        <w:tc>
          <w:tcPr>
            <w:tcW w:w="1199" w:type="dxa"/>
            <w:vAlign w:val="center"/>
          </w:tcPr>
          <w:p>
            <w:pPr>
              <w:snapToGrid w:val="0"/>
              <w:spacing w:line="400" w:lineRule="exact"/>
              <w:jc w:val="center"/>
              <w:rPr>
                <w:rFonts w:hAnsi="宋体"/>
                <w:color w:val="auto"/>
                <w:szCs w:val="21"/>
                <w:highlight w:val="none"/>
              </w:rPr>
            </w:pPr>
            <w:r>
              <w:rPr>
                <w:rFonts w:hint="eastAsia" w:hAnsi="宋体"/>
                <w:color w:val="auto"/>
                <w:szCs w:val="21"/>
                <w:highlight w:val="none"/>
              </w:rPr>
              <w:t>金  额</w:t>
            </w:r>
          </w:p>
          <w:p>
            <w:pPr>
              <w:snapToGrid w:val="0"/>
              <w:spacing w:line="400" w:lineRule="exact"/>
              <w:jc w:val="center"/>
              <w:rPr>
                <w:rFonts w:hAnsi="宋体"/>
                <w:color w:val="auto"/>
                <w:szCs w:val="21"/>
                <w:highlight w:val="none"/>
              </w:rPr>
            </w:pPr>
            <w:r>
              <w:rPr>
                <w:rFonts w:hint="eastAsia"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vAlign w:val="center"/>
          </w:tcPr>
          <w:p>
            <w:pPr>
              <w:snapToGrid w:val="0"/>
              <w:spacing w:line="400" w:lineRule="exact"/>
              <w:jc w:val="center"/>
              <w:rPr>
                <w:rFonts w:hAnsi="宋体"/>
                <w:color w:val="auto"/>
                <w:szCs w:val="21"/>
                <w:highlight w:val="none"/>
              </w:rPr>
            </w:pPr>
            <w:r>
              <w:rPr>
                <w:rFonts w:hint="eastAsia" w:hAnsi="宋体"/>
                <w:color w:val="auto"/>
                <w:szCs w:val="21"/>
                <w:highlight w:val="none"/>
              </w:rPr>
              <w:t>1</w:t>
            </w:r>
          </w:p>
        </w:tc>
        <w:tc>
          <w:tcPr>
            <w:tcW w:w="1304" w:type="dxa"/>
            <w:vAlign w:val="center"/>
          </w:tcPr>
          <w:p>
            <w:pPr>
              <w:snapToGrid w:val="0"/>
              <w:spacing w:line="400" w:lineRule="exact"/>
              <w:jc w:val="center"/>
              <w:rPr>
                <w:rFonts w:hAnsi="宋体"/>
                <w:color w:val="auto"/>
                <w:szCs w:val="21"/>
                <w:highlight w:val="none"/>
              </w:rPr>
            </w:pPr>
          </w:p>
        </w:tc>
        <w:tc>
          <w:tcPr>
            <w:tcW w:w="1081" w:type="dxa"/>
            <w:vAlign w:val="center"/>
          </w:tcPr>
          <w:p>
            <w:pPr>
              <w:snapToGrid w:val="0"/>
              <w:spacing w:line="400" w:lineRule="exact"/>
              <w:jc w:val="center"/>
              <w:rPr>
                <w:rFonts w:hAnsi="宋体"/>
                <w:color w:val="auto"/>
                <w:szCs w:val="21"/>
                <w:highlight w:val="none"/>
              </w:rPr>
            </w:pPr>
          </w:p>
        </w:tc>
        <w:tc>
          <w:tcPr>
            <w:tcW w:w="1194" w:type="dxa"/>
            <w:vAlign w:val="center"/>
          </w:tcPr>
          <w:p>
            <w:pPr>
              <w:snapToGrid w:val="0"/>
              <w:spacing w:line="400" w:lineRule="exact"/>
              <w:jc w:val="center"/>
              <w:rPr>
                <w:rFonts w:hAnsi="宋体"/>
                <w:color w:val="auto"/>
                <w:szCs w:val="21"/>
                <w:highlight w:val="none"/>
              </w:rPr>
            </w:pPr>
          </w:p>
        </w:tc>
        <w:tc>
          <w:tcPr>
            <w:tcW w:w="1193" w:type="dxa"/>
          </w:tcPr>
          <w:p>
            <w:pPr>
              <w:snapToGrid w:val="0"/>
              <w:spacing w:line="400" w:lineRule="exact"/>
              <w:jc w:val="center"/>
              <w:rPr>
                <w:rFonts w:hAnsi="宋体"/>
                <w:color w:val="auto"/>
                <w:szCs w:val="21"/>
                <w:highlight w:val="none"/>
              </w:rPr>
            </w:pPr>
          </w:p>
        </w:tc>
        <w:tc>
          <w:tcPr>
            <w:tcW w:w="496" w:type="dxa"/>
          </w:tcPr>
          <w:p>
            <w:pPr>
              <w:snapToGrid w:val="0"/>
              <w:spacing w:line="400" w:lineRule="exact"/>
              <w:jc w:val="center"/>
              <w:rPr>
                <w:rFonts w:hAnsi="宋体"/>
                <w:color w:val="auto"/>
                <w:szCs w:val="21"/>
                <w:highlight w:val="none"/>
              </w:rPr>
            </w:pPr>
          </w:p>
        </w:tc>
        <w:tc>
          <w:tcPr>
            <w:tcW w:w="733" w:type="dxa"/>
          </w:tcPr>
          <w:p>
            <w:pPr>
              <w:snapToGrid w:val="0"/>
              <w:spacing w:line="400" w:lineRule="exact"/>
              <w:jc w:val="center"/>
              <w:rPr>
                <w:rFonts w:hAnsi="宋体"/>
                <w:color w:val="auto"/>
                <w:szCs w:val="21"/>
                <w:highlight w:val="none"/>
              </w:rPr>
            </w:pPr>
          </w:p>
        </w:tc>
        <w:tc>
          <w:tcPr>
            <w:tcW w:w="1199" w:type="dxa"/>
            <w:vAlign w:val="center"/>
          </w:tcPr>
          <w:p>
            <w:pPr>
              <w:snapToGrid w:val="0"/>
              <w:spacing w:line="400" w:lineRule="exact"/>
              <w:jc w:val="center"/>
              <w:rPr>
                <w:rFonts w:hAnsi="宋体"/>
                <w:color w:val="auto"/>
                <w:szCs w:val="21"/>
                <w:highlight w:val="none"/>
              </w:rPr>
            </w:pPr>
          </w:p>
        </w:tc>
        <w:tc>
          <w:tcPr>
            <w:tcW w:w="1199" w:type="dxa"/>
            <w:vAlign w:val="center"/>
          </w:tcPr>
          <w:p>
            <w:pPr>
              <w:snapToGrid w:val="0"/>
              <w:spacing w:line="40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vAlign w:val="center"/>
          </w:tcPr>
          <w:p>
            <w:pPr>
              <w:snapToGrid w:val="0"/>
              <w:spacing w:line="400" w:lineRule="exact"/>
              <w:jc w:val="center"/>
              <w:rPr>
                <w:rFonts w:hAnsi="宋体"/>
                <w:color w:val="auto"/>
                <w:szCs w:val="21"/>
                <w:highlight w:val="none"/>
              </w:rPr>
            </w:pPr>
            <w:r>
              <w:rPr>
                <w:rFonts w:hint="eastAsia" w:hAnsi="宋体"/>
                <w:color w:val="auto"/>
                <w:szCs w:val="21"/>
                <w:highlight w:val="none"/>
              </w:rPr>
              <w:t>2</w:t>
            </w:r>
          </w:p>
        </w:tc>
        <w:tc>
          <w:tcPr>
            <w:tcW w:w="1304" w:type="dxa"/>
            <w:vAlign w:val="center"/>
          </w:tcPr>
          <w:p>
            <w:pPr>
              <w:snapToGrid w:val="0"/>
              <w:spacing w:line="400" w:lineRule="exact"/>
              <w:jc w:val="center"/>
              <w:rPr>
                <w:rFonts w:hAnsi="宋体"/>
                <w:color w:val="auto"/>
                <w:szCs w:val="21"/>
                <w:highlight w:val="none"/>
              </w:rPr>
            </w:pPr>
          </w:p>
        </w:tc>
        <w:tc>
          <w:tcPr>
            <w:tcW w:w="1081" w:type="dxa"/>
            <w:vAlign w:val="center"/>
          </w:tcPr>
          <w:p>
            <w:pPr>
              <w:snapToGrid w:val="0"/>
              <w:spacing w:line="400" w:lineRule="exact"/>
              <w:jc w:val="center"/>
              <w:rPr>
                <w:rFonts w:hAnsi="宋体"/>
                <w:color w:val="auto"/>
                <w:szCs w:val="21"/>
                <w:highlight w:val="none"/>
              </w:rPr>
            </w:pPr>
          </w:p>
        </w:tc>
        <w:tc>
          <w:tcPr>
            <w:tcW w:w="1194" w:type="dxa"/>
            <w:vAlign w:val="center"/>
          </w:tcPr>
          <w:p>
            <w:pPr>
              <w:snapToGrid w:val="0"/>
              <w:spacing w:line="400" w:lineRule="exact"/>
              <w:jc w:val="center"/>
              <w:rPr>
                <w:rFonts w:hAnsi="宋体"/>
                <w:color w:val="auto"/>
                <w:szCs w:val="21"/>
                <w:highlight w:val="none"/>
              </w:rPr>
            </w:pPr>
          </w:p>
        </w:tc>
        <w:tc>
          <w:tcPr>
            <w:tcW w:w="1193" w:type="dxa"/>
          </w:tcPr>
          <w:p>
            <w:pPr>
              <w:snapToGrid w:val="0"/>
              <w:spacing w:line="400" w:lineRule="exact"/>
              <w:jc w:val="center"/>
              <w:rPr>
                <w:rFonts w:hAnsi="宋体"/>
                <w:color w:val="auto"/>
                <w:szCs w:val="21"/>
                <w:highlight w:val="none"/>
              </w:rPr>
            </w:pPr>
          </w:p>
        </w:tc>
        <w:tc>
          <w:tcPr>
            <w:tcW w:w="496" w:type="dxa"/>
          </w:tcPr>
          <w:p>
            <w:pPr>
              <w:snapToGrid w:val="0"/>
              <w:spacing w:line="400" w:lineRule="exact"/>
              <w:jc w:val="center"/>
              <w:rPr>
                <w:rFonts w:hAnsi="宋体"/>
                <w:color w:val="auto"/>
                <w:szCs w:val="21"/>
                <w:highlight w:val="none"/>
              </w:rPr>
            </w:pPr>
          </w:p>
        </w:tc>
        <w:tc>
          <w:tcPr>
            <w:tcW w:w="733" w:type="dxa"/>
          </w:tcPr>
          <w:p>
            <w:pPr>
              <w:snapToGrid w:val="0"/>
              <w:spacing w:line="400" w:lineRule="exact"/>
              <w:jc w:val="center"/>
              <w:rPr>
                <w:rFonts w:hAnsi="宋体"/>
                <w:color w:val="auto"/>
                <w:szCs w:val="21"/>
                <w:highlight w:val="none"/>
              </w:rPr>
            </w:pPr>
          </w:p>
        </w:tc>
        <w:tc>
          <w:tcPr>
            <w:tcW w:w="1199" w:type="dxa"/>
            <w:vAlign w:val="center"/>
          </w:tcPr>
          <w:p>
            <w:pPr>
              <w:snapToGrid w:val="0"/>
              <w:spacing w:line="400" w:lineRule="exact"/>
              <w:jc w:val="center"/>
              <w:rPr>
                <w:rFonts w:hAnsi="宋体"/>
                <w:color w:val="auto"/>
                <w:szCs w:val="21"/>
                <w:highlight w:val="none"/>
              </w:rPr>
            </w:pPr>
          </w:p>
        </w:tc>
        <w:tc>
          <w:tcPr>
            <w:tcW w:w="1199" w:type="dxa"/>
            <w:vAlign w:val="center"/>
          </w:tcPr>
          <w:p>
            <w:pPr>
              <w:snapToGrid w:val="0"/>
              <w:spacing w:line="40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vAlign w:val="center"/>
          </w:tcPr>
          <w:p>
            <w:pPr>
              <w:snapToGrid w:val="0"/>
              <w:spacing w:line="400" w:lineRule="exact"/>
              <w:jc w:val="center"/>
              <w:rPr>
                <w:rFonts w:hAnsi="宋体"/>
                <w:color w:val="auto"/>
                <w:szCs w:val="21"/>
                <w:highlight w:val="none"/>
              </w:rPr>
            </w:pPr>
            <w:r>
              <w:rPr>
                <w:rFonts w:hint="eastAsia" w:hAnsi="宋体"/>
                <w:color w:val="auto"/>
                <w:szCs w:val="21"/>
                <w:highlight w:val="none"/>
              </w:rPr>
              <w:t>3</w:t>
            </w:r>
          </w:p>
        </w:tc>
        <w:tc>
          <w:tcPr>
            <w:tcW w:w="1304" w:type="dxa"/>
            <w:vAlign w:val="center"/>
          </w:tcPr>
          <w:p>
            <w:pPr>
              <w:snapToGrid w:val="0"/>
              <w:spacing w:line="400" w:lineRule="exact"/>
              <w:jc w:val="center"/>
              <w:rPr>
                <w:rFonts w:hAnsi="宋体"/>
                <w:color w:val="auto"/>
                <w:szCs w:val="21"/>
                <w:highlight w:val="none"/>
              </w:rPr>
            </w:pPr>
          </w:p>
        </w:tc>
        <w:tc>
          <w:tcPr>
            <w:tcW w:w="1081" w:type="dxa"/>
            <w:vAlign w:val="center"/>
          </w:tcPr>
          <w:p>
            <w:pPr>
              <w:snapToGrid w:val="0"/>
              <w:spacing w:line="400" w:lineRule="exact"/>
              <w:jc w:val="center"/>
              <w:rPr>
                <w:rFonts w:hAnsi="宋体"/>
                <w:color w:val="auto"/>
                <w:szCs w:val="21"/>
                <w:highlight w:val="none"/>
              </w:rPr>
            </w:pPr>
          </w:p>
        </w:tc>
        <w:tc>
          <w:tcPr>
            <w:tcW w:w="1194" w:type="dxa"/>
            <w:vAlign w:val="center"/>
          </w:tcPr>
          <w:p>
            <w:pPr>
              <w:snapToGrid w:val="0"/>
              <w:spacing w:line="400" w:lineRule="exact"/>
              <w:jc w:val="center"/>
              <w:rPr>
                <w:rFonts w:hAnsi="宋体"/>
                <w:color w:val="auto"/>
                <w:szCs w:val="21"/>
                <w:highlight w:val="none"/>
              </w:rPr>
            </w:pPr>
          </w:p>
        </w:tc>
        <w:tc>
          <w:tcPr>
            <w:tcW w:w="1193" w:type="dxa"/>
          </w:tcPr>
          <w:p>
            <w:pPr>
              <w:snapToGrid w:val="0"/>
              <w:spacing w:line="400" w:lineRule="exact"/>
              <w:jc w:val="center"/>
              <w:rPr>
                <w:rFonts w:hAnsi="宋体"/>
                <w:color w:val="auto"/>
                <w:szCs w:val="21"/>
                <w:highlight w:val="none"/>
              </w:rPr>
            </w:pPr>
          </w:p>
        </w:tc>
        <w:tc>
          <w:tcPr>
            <w:tcW w:w="496" w:type="dxa"/>
          </w:tcPr>
          <w:p>
            <w:pPr>
              <w:snapToGrid w:val="0"/>
              <w:spacing w:line="400" w:lineRule="exact"/>
              <w:jc w:val="center"/>
              <w:rPr>
                <w:rFonts w:hAnsi="宋体"/>
                <w:color w:val="auto"/>
                <w:szCs w:val="21"/>
                <w:highlight w:val="none"/>
              </w:rPr>
            </w:pPr>
          </w:p>
        </w:tc>
        <w:tc>
          <w:tcPr>
            <w:tcW w:w="733" w:type="dxa"/>
          </w:tcPr>
          <w:p>
            <w:pPr>
              <w:snapToGrid w:val="0"/>
              <w:spacing w:line="400" w:lineRule="exact"/>
              <w:jc w:val="center"/>
              <w:rPr>
                <w:rFonts w:hAnsi="宋体"/>
                <w:color w:val="auto"/>
                <w:szCs w:val="21"/>
                <w:highlight w:val="none"/>
              </w:rPr>
            </w:pPr>
          </w:p>
        </w:tc>
        <w:tc>
          <w:tcPr>
            <w:tcW w:w="1199" w:type="dxa"/>
            <w:vAlign w:val="center"/>
          </w:tcPr>
          <w:p>
            <w:pPr>
              <w:snapToGrid w:val="0"/>
              <w:spacing w:line="400" w:lineRule="exact"/>
              <w:jc w:val="center"/>
              <w:rPr>
                <w:rFonts w:hAnsi="宋体"/>
                <w:color w:val="auto"/>
                <w:szCs w:val="21"/>
                <w:highlight w:val="none"/>
              </w:rPr>
            </w:pPr>
          </w:p>
        </w:tc>
        <w:tc>
          <w:tcPr>
            <w:tcW w:w="1199" w:type="dxa"/>
            <w:vAlign w:val="center"/>
          </w:tcPr>
          <w:p>
            <w:pPr>
              <w:snapToGrid w:val="0"/>
              <w:spacing w:line="40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895" w:type="dxa"/>
            <w:gridSpan w:val="9"/>
            <w:vAlign w:val="center"/>
          </w:tcPr>
          <w:p>
            <w:pPr>
              <w:snapToGrid w:val="0"/>
              <w:spacing w:line="400" w:lineRule="exact"/>
              <w:rPr>
                <w:rFonts w:hAnsi="宋体"/>
                <w:color w:val="auto"/>
                <w:szCs w:val="21"/>
                <w:highlight w:val="none"/>
              </w:rPr>
            </w:pPr>
            <w:r>
              <w:rPr>
                <w:rFonts w:hint="eastAsia" w:hAnsi="宋体"/>
                <w:color w:val="auto"/>
                <w:szCs w:val="21"/>
                <w:highlight w:val="none"/>
              </w:rPr>
              <w:t xml:space="preserve">合计金额（大写）：人民币                                （￥            ）  </w:t>
            </w:r>
          </w:p>
        </w:tc>
      </w:tr>
    </w:tbl>
    <w:p>
      <w:pPr>
        <w:snapToGrid w:val="0"/>
        <w:spacing w:line="400" w:lineRule="exact"/>
        <w:ind w:right="420" w:firstLine="420" w:firstLineChars="200"/>
        <w:rPr>
          <w:rFonts w:hAnsi="宋体"/>
          <w:color w:val="auto"/>
          <w:szCs w:val="21"/>
          <w:highlight w:val="none"/>
        </w:rPr>
      </w:pPr>
      <w:r>
        <w:rPr>
          <w:rFonts w:hint="eastAsia" w:hAnsi="宋体"/>
          <w:color w:val="auto"/>
          <w:szCs w:val="21"/>
          <w:highlight w:val="none"/>
        </w:rPr>
        <w:t>2、合同合计金额包括货物价款，备件、专用工具、安装、调试、检验、技术培训及技术资料和包装、运输等全部费用。如招标文件对其另有规定的，从其规定。</w:t>
      </w:r>
    </w:p>
    <w:p>
      <w:pPr>
        <w:snapToGrid w:val="0"/>
        <w:spacing w:line="400" w:lineRule="exact"/>
        <w:ind w:firstLine="422" w:firstLineChars="200"/>
        <w:rPr>
          <w:rFonts w:hAnsi="宋体"/>
          <w:color w:val="auto"/>
          <w:szCs w:val="21"/>
          <w:highlight w:val="none"/>
        </w:rPr>
      </w:pPr>
      <w:r>
        <w:rPr>
          <w:rFonts w:hint="eastAsia" w:hAnsi="宋体"/>
          <w:b/>
          <w:color w:val="auto"/>
          <w:szCs w:val="21"/>
          <w:highlight w:val="none"/>
        </w:rPr>
        <w:t>第二条　质量保证</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1、乙方所提供的货物型号、技术规格、技术参数等质量必须与招标文件和承诺相一致。乙方提供的节能和环保产品必须是列入政府采购清单的产品。</w:t>
      </w:r>
    </w:p>
    <w:p>
      <w:pPr>
        <w:snapToGrid w:val="0"/>
        <w:spacing w:line="400" w:lineRule="exact"/>
        <w:ind w:firstLine="420" w:firstLineChars="200"/>
        <w:rPr>
          <w:rFonts w:hAnsi="宋体"/>
          <w:color w:val="auto"/>
          <w:szCs w:val="21"/>
          <w:highlight w:val="none"/>
          <w:u w:val="single"/>
        </w:rPr>
      </w:pPr>
      <w:r>
        <w:rPr>
          <w:rFonts w:hint="eastAsia" w:hAnsi="宋体"/>
          <w:color w:val="auto"/>
          <w:szCs w:val="21"/>
          <w:highlight w:val="none"/>
        </w:rPr>
        <w:t>2、乙方所提供的货物必须是全新、未使用的原装产品，且在正常安装、使用和保养条件下，其使用寿命期内各项指标均达到质量要求。</w:t>
      </w:r>
    </w:p>
    <w:p>
      <w:pPr>
        <w:snapToGrid w:val="0"/>
        <w:spacing w:line="400" w:lineRule="exact"/>
        <w:ind w:firstLine="422" w:firstLineChars="200"/>
        <w:rPr>
          <w:rFonts w:hAnsi="宋体"/>
          <w:color w:val="auto"/>
          <w:szCs w:val="21"/>
          <w:highlight w:val="none"/>
        </w:rPr>
      </w:pPr>
      <w:r>
        <w:rPr>
          <w:rFonts w:hint="eastAsia" w:hAnsi="宋体"/>
          <w:b/>
          <w:color w:val="auto"/>
          <w:szCs w:val="21"/>
          <w:highlight w:val="none"/>
        </w:rPr>
        <w:t>第三条　权力保证</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乙方应保证所提供货物在使用时不会侵犯任何第三方的专利权、商标权、工业设计权或其他权利。</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乙方应按招标文件规定的时间向甲方提供使用货物的有关技术资料。</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乙方保证所交付的货物的所有权完全属于乙方且无任何抵押、质押、查封等产权瑕疵。</w:t>
      </w:r>
    </w:p>
    <w:p>
      <w:pPr>
        <w:snapToGrid w:val="0"/>
        <w:spacing w:line="400" w:lineRule="exact"/>
        <w:ind w:firstLine="422" w:firstLineChars="200"/>
        <w:rPr>
          <w:rFonts w:hAnsi="宋体"/>
          <w:b/>
          <w:color w:val="auto"/>
          <w:szCs w:val="21"/>
          <w:highlight w:val="none"/>
        </w:rPr>
      </w:pPr>
      <w:r>
        <w:rPr>
          <w:rFonts w:hint="eastAsia" w:hAnsi="宋体"/>
          <w:b/>
          <w:color w:val="auto"/>
          <w:szCs w:val="21"/>
          <w:highlight w:val="none"/>
        </w:rPr>
        <w:t>第四条　包装和运输</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1、乙方提供的货物均应按招标文件要求的包装材料、包装标准、包装方式进行包装，每一包装单元内应附详细的装箱单和质量合格证。</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2、货物的运输方式：汽车、火车等安全运输方式。</w:t>
      </w:r>
    </w:p>
    <w:p>
      <w:pPr>
        <w:snapToGrid w:val="0"/>
        <w:spacing w:line="400" w:lineRule="exact"/>
        <w:ind w:firstLine="420" w:firstLineChars="200"/>
        <w:rPr>
          <w:rFonts w:hAnsi="宋体"/>
          <w:color w:val="auto"/>
          <w:szCs w:val="21"/>
          <w:highlight w:val="none"/>
          <w:u w:val="single"/>
        </w:rPr>
      </w:pPr>
      <w:r>
        <w:rPr>
          <w:rFonts w:hint="eastAsia" w:hAnsi="宋体"/>
          <w:color w:val="auto"/>
          <w:szCs w:val="21"/>
          <w:highlight w:val="none"/>
        </w:rPr>
        <w:t>3、乙方负责货物运输，货物运输合理损耗及计算方法：</w:t>
      </w:r>
      <w:r>
        <w:rPr>
          <w:rFonts w:hint="eastAsia" w:hAnsi="宋体" w:cs="Courier New"/>
          <w:color w:val="auto"/>
          <w:szCs w:val="21"/>
          <w:highlight w:val="none"/>
        </w:rPr>
        <w:t>所有损耗由乙方负责。</w:t>
      </w:r>
    </w:p>
    <w:p>
      <w:pPr>
        <w:snapToGrid w:val="0"/>
        <w:spacing w:line="400" w:lineRule="exact"/>
        <w:ind w:firstLine="422" w:firstLineChars="200"/>
        <w:rPr>
          <w:rFonts w:hAnsi="宋体"/>
          <w:color w:val="auto"/>
          <w:szCs w:val="21"/>
          <w:highlight w:val="none"/>
        </w:rPr>
      </w:pPr>
      <w:r>
        <w:rPr>
          <w:rFonts w:hint="eastAsia" w:hAnsi="宋体"/>
          <w:b/>
          <w:color w:val="auto"/>
          <w:szCs w:val="21"/>
          <w:highlight w:val="none"/>
        </w:rPr>
        <w:t>第五条　交付和验收</w:t>
      </w:r>
    </w:p>
    <w:p>
      <w:pPr>
        <w:widowControl/>
        <w:spacing w:line="360" w:lineRule="exact"/>
        <w:ind w:firstLine="420" w:firstLineChars="200"/>
        <w:jc w:val="left"/>
        <w:rPr>
          <w:rFonts w:hAnsi="宋体"/>
          <w:color w:val="auto"/>
          <w:kern w:val="0"/>
          <w:szCs w:val="21"/>
          <w:highlight w:val="none"/>
        </w:rPr>
      </w:pPr>
      <w:r>
        <w:rPr>
          <w:rFonts w:hint="eastAsia" w:hAnsi="宋体"/>
          <w:color w:val="auto"/>
          <w:kern w:val="0"/>
          <w:szCs w:val="21"/>
          <w:highlight w:val="none"/>
        </w:rPr>
        <w:t>1、交货时间：</w:t>
      </w:r>
      <w:r>
        <w:rPr>
          <w:rFonts w:hint="eastAsia" w:hAnsi="宋体"/>
          <w:color w:val="auto"/>
          <w:kern w:val="0"/>
          <w:szCs w:val="21"/>
          <w:highlight w:val="none"/>
          <w:u w:val="single"/>
        </w:rPr>
        <w:t xml:space="preserve"> </w:t>
      </w:r>
      <w:r>
        <w:rPr>
          <w:rFonts w:hint="eastAsia" w:ascii="Times New Roman" w:hAnsi="宋体"/>
          <w:color w:val="auto"/>
          <w:kern w:val="0"/>
          <w:szCs w:val="21"/>
          <w:highlight w:val="none"/>
          <w:u w:val="single"/>
        </w:rPr>
        <w:t xml:space="preserve"> </w:t>
      </w:r>
      <w:r>
        <w:rPr>
          <w:rFonts w:ascii="Times New Roman" w:hAnsi="宋体"/>
          <w:color w:val="auto"/>
          <w:kern w:val="0"/>
          <w:szCs w:val="21"/>
          <w:highlight w:val="none"/>
          <w:u w:val="single"/>
        </w:rPr>
        <w:t xml:space="preserve">                                 </w:t>
      </w:r>
      <w:r>
        <w:rPr>
          <w:rFonts w:hAnsi="宋体"/>
          <w:color w:val="auto"/>
          <w:kern w:val="0"/>
          <w:szCs w:val="21"/>
          <w:highlight w:val="none"/>
          <w:u w:val="single"/>
        </w:rPr>
        <w:t xml:space="preserve"> </w:t>
      </w:r>
      <w:r>
        <w:rPr>
          <w:rFonts w:hint="eastAsia" w:hAnsi="宋体" w:cs="Courier New"/>
          <w:color w:val="auto"/>
          <w:kern w:val="0"/>
          <w:szCs w:val="21"/>
          <w:highlight w:val="none"/>
        </w:rPr>
        <w:t>；地点：</w:t>
      </w:r>
      <w:r>
        <w:rPr>
          <w:rFonts w:hint="eastAsia" w:hAnsi="宋体"/>
          <w:color w:val="auto"/>
          <w:kern w:val="0"/>
          <w:szCs w:val="21"/>
          <w:highlight w:val="none"/>
          <w:u w:val="single"/>
        </w:rPr>
        <w:t>广西区内公会镇、大平瑶族乡、羊头镇、望高镇、鹅塘镇</w:t>
      </w:r>
      <w:r>
        <w:rPr>
          <w:rFonts w:hint="eastAsia" w:hAnsi="宋体" w:cs="Courier New"/>
          <w:color w:val="auto"/>
          <w:kern w:val="0"/>
          <w:szCs w:val="21"/>
          <w:highlight w:val="none"/>
        </w:rPr>
        <w:t>。</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2、乙方提供不符合招标文件和本合同规定的货物，甲方有权拒绝接受。</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3、乙方应将所提供货物的装箱清单、用户手册、原厂保修卡、随机资料、工具和备品、备件等交付给甲方，如有缺失应及时补齐，否则视为逾期交货。</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4、甲方应当在到货（安装、调试完）后15个工作日内进行验收，逾期不验收的，乙方可视同验收合格。验收合格后由甲乙双方签署货物验收单并加盖采购单位公章，甲乙双方各执一份。</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6、甲方对验收有异议的，在验收后5个工作日内以书面形式向乙方提出，乙方应自收到甲方书面异议后</w:t>
      </w:r>
      <w:r>
        <w:rPr>
          <w:rFonts w:hint="eastAsia" w:hAnsi="宋体"/>
          <w:color w:val="auto"/>
          <w:szCs w:val="21"/>
          <w:highlight w:val="none"/>
          <w:u w:val="single"/>
        </w:rPr>
        <w:t>30</w:t>
      </w:r>
      <w:r>
        <w:rPr>
          <w:rFonts w:hint="eastAsia" w:hAnsi="宋体"/>
          <w:color w:val="auto"/>
          <w:szCs w:val="21"/>
          <w:highlight w:val="none"/>
        </w:rPr>
        <w:t>日内及时予以解决。</w:t>
      </w:r>
    </w:p>
    <w:p>
      <w:pPr>
        <w:snapToGrid w:val="0"/>
        <w:spacing w:line="400" w:lineRule="exact"/>
        <w:ind w:firstLine="422" w:firstLineChars="200"/>
        <w:rPr>
          <w:rFonts w:hAnsi="宋体"/>
          <w:b/>
          <w:color w:val="auto"/>
          <w:szCs w:val="21"/>
          <w:highlight w:val="none"/>
        </w:rPr>
      </w:pPr>
      <w:r>
        <w:rPr>
          <w:rFonts w:hint="eastAsia" w:hAnsi="宋体"/>
          <w:b/>
          <w:color w:val="auto"/>
          <w:szCs w:val="21"/>
          <w:highlight w:val="none"/>
        </w:rPr>
        <w:t>第六条　安装和培训</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1、甲方应提供必要安装条件（如场地、电源、水源等）。</w:t>
      </w:r>
    </w:p>
    <w:p>
      <w:pPr>
        <w:snapToGrid w:val="0"/>
        <w:spacing w:line="400" w:lineRule="exact"/>
        <w:ind w:firstLine="420" w:firstLineChars="200"/>
        <w:rPr>
          <w:rFonts w:hAnsi="宋体" w:cs="宋体"/>
          <w:color w:val="auto"/>
          <w:szCs w:val="21"/>
          <w:highlight w:val="none"/>
          <w:u w:val="single"/>
        </w:rPr>
      </w:pPr>
      <w:r>
        <w:rPr>
          <w:rFonts w:hint="eastAsia" w:hAnsi="宋体" w:cs="宋体"/>
          <w:color w:val="auto"/>
          <w:szCs w:val="21"/>
          <w:highlight w:val="none"/>
        </w:rPr>
        <w:t>2、乙方负责甲方有关人员的培训，中标单位需负责培训人员的培训费、材料费等费用。保证所培训人员能独立正确操作项目中所有设备，能初步判定和解决系统简单故障等。培训的内容为：系统功能（性能）介绍，设备安装和连线介绍，系统和单个设备操作使用；配套软件使用介绍；故障判定和维修联系方式；培训时间、地点：采购人指定时间、地点。</w:t>
      </w:r>
    </w:p>
    <w:p>
      <w:pPr>
        <w:snapToGrid w:val="0"/>
        <w:spacing w:line="400" w:lineRule="exact"/>
        <w:ind w:firstLine="422" w:firstLineChars="200"/>
        <w:rPr>
          <w:rFonts w:hAnsi="宋体"/>
          <w:b/>
          <w:color w:val="auto"/>
          <w:szCs w:val="21"/>
          <w:highlight w:val="none"/>
        </w:rPr>
      </w:pPr>
      <w:r>
        <w:rPr>
          <w:rFonts w:hint="eastAsia" w:hAnsi="宋体"/>
          <w:b/>
          <w:color w:val="auto"/>
          <w:szCs w:val="21"/>
          <w:highlight w:val="none"/>
        </w:rPr>
        <w:t>第七条  售后服务、质保期</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1、乙方应按照国家有关法律法规和“三包”规定以及招标文件和本合同所附的《服务承诺》，为甲方提供售后服务。</w:t>
      </w:r>
    </w:p>
    <w:p>
      <w:pPr>
        <w:snapToGrid w:val="0"/>
        <w:spacing w:line="400" w:lineRule="exact"/>
        <w:ind w:firstLine="420" w:firstLineChars="200"/>
        <w:rPr>
          <w:rFonts w:hAnsi="宋体"/>
          <w:color w:val="auto"/>
          <w:szCs w:val="21"/>
          <w:highlight w:val="none"/>
          <w:u w:val="single"/>
        </w:rPr>
      </w:pPr>
      <w:r>
        <w:rPr>
          <w:rFonts w:hint="eastAsia" w:hAnsi="宋体"/>
          <w:color w:val="auto"/>
          <w:szCs w:val="21"/>
          <w:highlight w:val="none"/>
        </w:rPr>
        <w:t>2、货物质保期；</w:t>
      </w:r>
      <w:r>
        <w:rPr>
          <w:rFonts w:hint="eastAsia" w:hAnsi="宋体"/>
          <w:color w:val="auto"/>
          <w:szCs w:val="21"/>
          <w:highlight w:val="none"/>
          <w:u w:val="single"/>
        </w:rPr>
        <w:t>按乙方投标文件中的承诺执行</w:t>
      </w:r>
      <w:r>
        <w:rPr>
          <w:rFonts w:hint="eastAsia" w:hAnsi="宋体"/>
          <w:color w:val="auto"/>
          <w:szCs w:val="21"/>
          <w:highlight w:val="none"/>
        </w:rPr>
        <w:t>。</w:t>
      </w:r>
    </w:p>
    <w:p>
      <w:pPr>
        <w:snapToGrid w:val="0"/>
        <w:spacing w:line="400" w:lineRule="exact"/>
        <w:ind w:firstLine="420" w:firstLineChars="200"/>
        <w:rPr>
          <w:rFonts w:hAnsi="宋体"/>
          <w:color w:val="auto"/>
          <w:szCs w:val="21"/>
          <w:highlight w:val="none"/>
          <w:u w:val="single"/>
        </w:rPr>
      </w:pPr>
      <w:r>
        <w:rPr>
          <w:rFonts w:hint="eastAsia" w:hAnsi="宋体"/>
          <w:color w:val="auto"/>
          <w:szCs w:val="21"/>
          <w:highlight w:val="none"/>
        </w:rPr>
        <w:t>3、乙方提供的服务承诺和售后服务及质保期责任等其它具体约定事项。（见合同附件）</w:t>
      </w:r>
    </w:p>
    <w:p>
      <w:pPr>
        <w:snapToGrid w:val="0"/>
        <w:spacing w:line="400" w:lineRule="exact"/>
        <w:ind w:firstLine="422" w:firstLineChars="200"/>
        <w:rPr>
          <w:rFonts w:hAnsi="宋体"/>
          <w:color w:val="auto"/>
          <w:szCs w:val="21"/>
          <w:highlight w:val="none"/>
        </w:rPr>
      </w:pPr>
      <w:r>
        <w:rPr>
          <w:rFonts w:hint="eastAsia" w:hAnsi="宋体"/>
          <w:b/>
          <w:color w:val="auto"/>
          <w:szCs w:val="21"/>
          <w:highlight w:val="none"/>
        </w:rPr>
        <w:t>第八条　付款方式</w:t>
      </w:r>
    </w:p>
    <w:p>
      <w:pPr>
        <w:snapToGrid w:val="0"/>
        <w:spacing w:line="400" w:lineRule="exact"/>
        <w:ind w:left="420" w:leftChars="200"/>
        <w:rPr>
          <w:rFonts w:hAnsi="宋体"/>
          <w:color w:val="auto"/>
          <w:kern w:val="0"/>
          <w:highlight w:val="none"/>
        </w:rPr>
      </w:pPr>
      <w:r>
        <w:rPr>
          <w:rFonts w:hint="eastAsia" w:hAnsi="宋体"/>
          <w:bCs/>
          <w:color w:val="auto"/>
          <w:kern w:val="0"/>
          <w:highlight w:val="none"/>
        </w:rPr>
        <w:t>1、</w:t>
      </w:r>
      <w:r>
        <w:rPr>
          <w:rFonts w:hint="eastAsia" w:hAnsi="宋体"/>
          <w:color w:val="auto"/>
          <w:kern w:val="0"/>
          <w:highlight w:val="none"/>
        </w:rPr>
        <w:t>当采购数量与实际使用数量不一致时，乙方应根据实际使用量供货，合同的最终结算金额按实际使用量乘以成交单价进行计算。</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2、资金性质：</w:t>
      </w:r>
      <w:r>
        <w:rPr>
          <w:rFonts w:hint="eastAsia" w:hAnsi="宋体"/>
          <w:color w:val="auto"/>
          <w:szCs w:val="21"/>
          <w:highlight w:val="none"/>
          <w:u w:val="single"/>
        </w:rPr>
        <w:t>财政资金</w:t>
      </w:r>
      <w:r>
        <w:rPr>
          <w:rFonts w:hint="eastAsia" w:hAnsi="宋体"/>
          <w:color w:val="auto"/>
          <w:szCs w:val="21"/>
          <w:highlight w:val="none"/>
        </w:rPr>
        <w:t>。</w:t>
      </w:r>
    </w:p>
    <w:p>
      <w:pPr>
        <w:snapToGrid w:val="0"/>
        <w:spacing w:line="400" w:lineRule="exact"/>
        <w:ind w:left="420" w:leftChars="200"/>
        <w:rPr>
          <w:rFonts w:hAnsi="宋体"/>
          <w:color w:val="auto"/>
          <w:kern w:val="0"/>
          <w:highlight w:val="none"/>
        </w:rPr>
      </w:pPr>
      <w:r>
        <w:rPr>
          <w:rFonts w:hint="eastAsia" w:hAnsi="宋体"/>
          <w:color w:val="auto"/>
          <w:kern w:val="0"/>
          <w:highlight w:val="none"/>
        </w:rPr>
        <w:t>3、付款方式：自合同签订之日起，采购单位向中标方预付60%的合同价款项，待所有货物交付验收合格后，一次性付清项目余款（无息）。</w:t>
      </w:r>
    </w:p>
    <w:p>
      <w:pPr>
        <w:snapToGrid w:val="0"/>
        <w:spacing w:line="400" w:lineRule="exact"/>
        <w:ind w:right="33" w:firstLine="422" w:firstLineChars="200"/>
        <w:rPr>
          <w:rFonts w:hAnsi="宋体"/>
          <w:b/>
          <w:color w:val="auto"/>
          <w:szCs w:val="21"/>
          <w:highlight w:val="none"/>
        </w:rPr>
      </w:pPr>
      <w:r>
        <w:rPr>
          <w:rFonts w:hint="eastAsia" w:hAnsi="宋体"/>
          <w:b/>
          <w:color w:val="auto"/>
          <w:szCs w:val="21"/>
          <w:highlight w:val="none"/>
        </w:rPr>
        <w:t>第九条　履约保证金：无</w:t>
      </w:r>
      <w:r>
        <w:rPr>
          <w:rFonts w:hAnsi="宋体"/>
          <w:b/>
          <w:color w:val="auto"/>
          <w:szCs w:val="21"/>
          <w:highlight w:val="none"/>
        </w:rPr>
        <w:t>。</w:t>
      </w:r>
    </w:p>
    <w:p>
      <w:pPr>
        <w:snapToGrid w:val="0"/>
        <w:spacing w:line="400" w:lineRule="exact"/>
        <w:ind w:firstLine="422" w:firstLineChars="200"/>
        <w:rPr>
          <w:rFonts w:hAnsi="宋体"/>
          <w:b/>
          <w:color w:val="auto"/>
          <w:szCs w:val="21"/>
          <w:highlight w:val="none"/>
        </w:rPr>
      </w:pPr>
      <w:r>
        <w:rPr>
          <w:rFonts w:hint="eastAsia" w:hAnsi="宋体"/>
          <w:b/>
          <w:color w:val="auto"/>
          <w:szCs w:val="21"/>
          <w:highlight w:val="none"/>
        </w:rPr>
        <w:t>第十条、税费本合同执行中相关的一切税费均由乙方负担。</w:t>
      </w:r>
    </w:p>
    <w:p>
      <w:pPr>
        <w:snapToGrid w:val="0"/>
        <w:spacing w:line="400" w:lineRule="exact"/>
        <w:ind w:firstLine="422" w:firstLineChars="200"/>
        <w:rPr>
          <w:rFonts w:hAnsi="宋体"/>
          <w:b/>
          <w:color w:val="auto"/>
          <w:szCs w:val="21"/>
          <w:highlight w:val="none"/>
        </w:rPr>
      </w:pPr>
      <w:r>
        <w:rPr>
          <w:rFonts w:hint="eastAsia" w:hAnsi="宋体"/>
          <w:b/>
          <w:color w:val="auto"/>
          <w:szCs w:val="21"/>
          <w:highlight w:val="none"/>
        </w:rPr>
        <w:t>第十一条、质量保证及售后服务</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1、乙方应按招标文件规定的货物性能、技术要求、质量标准向甲方提供未经使用的全新产品。不满足要求的，根据实际情况，经双方协商，可按以下办法处理：</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⑴ 更换：由乙方承担所发生的全部费用。</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⑵ 贬值处理：由甲乙双方合议定价。</w:t>
      </w:r>
    </w:p>
    <w:p>
      <w:pPr>
        <w:snapToGrid w:val="0"/>
        <w:spacing w:line="400" w:lineRule="exact"/>
        <w:ind w:firstLine="420" w:firstLineChars="200"/>
        <w:rPr>
          <w:color w:val="auto"/>
          <w:highlight w:val="none"/>
        </w:rPr>
      </w:pPr>
      <w:r>
        <w:rPr>
          <w:rFonts w:hint="eastAsia"/>
          <w:color w:val="auto"/>
          <w:highlight w:val="none"/>
        </w:rPr>
        <w:t>⑶ 退货处理：乙方应退还甲方支付的合同款，同时应承担该货物的直接费用（运输、保险、检验、货款利息及银行手续费等）。</w:t>
      </w:r>
    </w:p>
    <w:p>
      <w:pPr>
        <w:snapToGrid w:val="0"/>
        <w:spacing w:line="400" w:lineRule="exact"/>
        <w:ind w:firstLine="420" w:firstLineChars="200"/>
        <w:rPr>
          <w:rFonts w:hAnsi="宋体"/>
          <w:color w:val="auto"/>
          <w:kern w:val="0"/>
          <w:highlight w:val="none"/>
        </w:rPr>
      </w:pPr>
      <w:r>
        <w:rPr>
          <w:rFonts w:hint="eastAsia" w:hAnsi="宋体"/>
          <w:color w:val="auto"/>
          <w:kern w:val="0"/>
          <w:highlight w:val="none"/>
        </w:rPr>
        <w:t>2、如在使用过程中发生质量问题，乙方在接到甲方通知后在</w:t>
      </w:r>
      <w:r>
        <w:rPr>
          <w:rFonts w:hint="eastAsia" w:hAnsi="宋体"/>
          <w:color w:val="auto"/>
          <w:kern w:val="0"/>
          <w:highlight w:val="none"/>
          <w:u w:val="single"/>
        </w:rPr>
        <w:t xml:space="preserve">      </w:t>
      </w:r>
      <w:r>
        <w:rPr>
          <w:rFonts w:hint="eastAsia" w:hAnsi="宋体"/>
          <w:color w:val="auto"/>
          <w:kern w:val="0"/>
          <w:highlight w:val="none"/>
        </w:rPr>
        <w:t>小时内到达甲方现场。</w:t>
      </w:r>
    </w:p>
    <w:p>
      <w:pPr>
        <w:snapToGrid w:val="0"/>
        <w:spacing w:line="400" w:lineRule="exact"/>
        <w:ind w:firstLine="420" w:firstLineChars="200"/>
        <w:rPr>
          <w:rFonts w:hAnsi="宋体"/>
          <w:color w:val="auto"/>
          <w:kern w:val="0"/>
          <w:highlight w:val="none"/>
        </w:rPr>
      </w:pPr>
      <w:r>
        <w:rPr>
          <w:rFonts w:hint="eastAsia" w:hAnsi="宋体"/>
          <w:color w:val="auto"/>
          <w:kern w:val="0"/>
          <w:highlight w:val="none"/>
        </w:rPr>
        <w:t>3、在质保期内，乙方应对货物出现的质量及安全问题负责处理解决并承担一切费用。</w:t>
      </w:r>
    </w:p>
    <w:p>
      <w:pPr>
        <w:snapToGrid w:val="0"/>
        <w:spacing w:line="400" w:lineRule="exact"/>
        <w:ind w:firstLine="420" w:firstLineChars="200"/>
        <w:rPr>
          <w:rFonts w:hAnsi="宋体"/>
          <w:color w:val="auto"/>
          <w:kern w:val="0"/>
          <w:highlight w:val="none"/>
        </w:rPr>
      </w:pPr>
      <w:r>
        <w:rPr>
          <w:rFonts w:hint="eastAsia" w:hAnsi="宋体"/>
          <w:color w:val="auto"/>
          <w:kern w:val="0"/>
          <w:highlight w:val="none"/>
        </w:rPr>
        <w:t>4、上述的货物免费质保期为</w:t>
      </w:r>
      <w:r>
        <w:rPr>
          <w:rFonts w:hint="eastAsia" w:hAnsi="宋体"/>
          <w:color w:val="auto"/>
          <w:kern w:val="0"/>
          <w:highlight w:val="none"/>
          <w:u w:val="single"/>
        </w:rPr>
        <w:t xml:space="preserve">      </w:t>
      </w:r>
      <w:r>
        <w:rPr>
          <w:rFonts w:hint="eastAsia" w:hAnsi="宋体"/>
          <w:color w:val="auto"/>
          <w:kern w:val="0"/>
          <w:highlight w:val="none"/>
        </w:rPr>
        <w:t>年，因人为因素出现的故障不在免费保修范围内。超过质保期的机器设备，终生维修，维修时只收部件成本费。</w:t>
      </w:r>
    </w:p>
    <w:p>
      <w:pPr>
        <w:snapToGrid w:val="0"/>
        <w:spacing w:line="400" w:lineRule="exact"/>
        <w:ind w:firstLine="413" w:firstLineChars="196"/>
        <w:rPr>
          <w:rFonts w:hAnsi="宋体"/>
          <w:b/>
          <w:color w:val="auto"/>
          <w:kern w:val="0"/>
          <w:highlight w:val="none"/>
        </w:rPr>
      </w:pPr>
      <w:r>
        <w:rPr>
          <w:rFonts w:hint="eastAsia" w:hAnsi="宋体"/>
          <w:b/>
          <w:color w:val="auto"/>
          <w:kern w:val="0"/>
          <w:highlight w:val="none"/>
        </w:rPr>
        <w:t>第十二条、调试和验收</w:t>
      </w:r>
    </w:p>
    <w:p>
      <w:pPr>
        <w:snapToGrid w:val="0"/>
        <w:spacing w:line="400" w:lineRule="exact"/>
        <w:ind w:firstLine="420" w:firstLineChars="200"/>
        <w:jc w:val="left"/>
        <w:rPr>
          <w:rFonts w:hAnsi="宋体"/>
          <w:color w:val="auto"/>
          <w:kern w:val="0"/>
          <w:highlight w:val="none"/>
        </w:rPr>
      </w:pPr>
      <w:r>
        <w:rPr>
          <w:rFonts w:hint="eastAsia" w:hAnsi="宋体"/>
          <w:color w:val="auto"/>
          <w:kern w:val="0"/>
          <w:highlight w:val="none"/>
        </w:rPr>
        <w:t>1、甲方对乙方提交的货物依据招标文件上的技术规格要求和国家有关质量标准进行现场初步验收，外观、说明书符合招标文件技术要求的，给予签收，初步验收不合格的不予签收。货到后，</w:t>
      </w:r>
      <w:r>
        <w:rPr>
          <w:rFonts w:hint="eastAsia" w:hAnsi="宋体"/>
          <w:bCs/>
          <w:color w:val="auto"/>
          <w:kern w:val="0"/>
          <w:highlight w:val="none"/>
        </w:rPr>
        <w:t>甲方应当在到货（安装、调试完）后7个工作日内进行验收</w:t>
      </w:r>
      <w:r>
        <w:rPr>
          <w:rFonts w:hint="eastAsia" w:hAnsi="宋体"/>
          <w:color w:val="auto"/>
          <w:kern w:val="0"/>
          <w:highlight w:val="none"/>
        </w:rPr>
        <w:t>。</w:t>
      </w:r>
    </w:p>
    <w:p>
      <w:pPr>
        <w:snapToGrid w:val="0"/>
        <w:spacing w:line="400" w:lineRule="exact"/>
        <w:ind w:firstLine="420" w:firstLineChars="200"/>
        <w:rPr>
          <w:rFonts w:hAnsi="宋体"/>
          <w:color w:val="auto"/>
          <w:kern w:val="0"/>
          <w:highlight w:val="none"/>
        </w:rPr>
      </w:pPr>
      <w:r>
        <w:rPr>
          <w:rFonts w:hint="eastAsia" w:hAnsi="宋体"/>
          <w:color w:val="auto"/>
          <w:kern w:val="0"/>
          <w:highlight w:val="none"/>
        </w:rPr>
        <w:t>2、乙方交货前应对产品作出全面检查和对验收文件进行整理，并列出清单，作为甲方收货验收和使用的技术条件依据，检验的结果应随货物交甲方。</w:t>
      </w:r>
    </w:p>
    <w:p>
      <w:pPr>
        <w:snapToGrid w:val="0"/>
        <w:spacing w:line="400" w:lineRule="exact"/>
        <w:ind w:firstLine="420" w:firstLineChars="200"/>
        <w:rPr>
          <w:rFonts w:hAnsi="宋体"/>
          <w:color w:val="auto"/>
          <w:kern w:val="0"/>
          <w:highlight w:val="none"/>
          <w:u w:val="single"/>
        </w:rPr>
      </w:pPr>
      <w:r>
        <w:rPr>
          <w:rFonts w:hint="eastAsia" w:hAnsi="宋体"/>
          <w:color w:val="auto"/>
          <w:kern w:val="0"/>
          <w:highlight w:val="none"/>
        </w:rPr>
        <w:t>3、甲方对乙方提供的货物在使用前进行调试时，乙方需负责安装并培训甲方的使用操作人员，并协助甲方一起调试，直到符合技术要求，甲方才做最终验收。</w:t>
      </w:r>
    </w:p>
    <w:p>
      <w:pPr>
        <w:snapToGrid w:val="0"/>
        <w:spacing w:line="400" w:lineRule="exact"/>
        <w:ind w:firstLine="420" w:firstLineChars="200"/>
        <w:rPr>
          <w:rFonts w:hAnsi="宋体"/>
          <w:color w:val="auto"/>
          <w:kern w:val="0"/>
          <w:highlight w:val="none"/>
        </w:rPr>
      </w:pPr>
      <w:r>
        <w:rPr>
          <w:rFonts w:hint="eastAsia" w:hAnsi="宋体"/>
          <w:color w:val="auto"/>
          <w:kern w:val="0"/>
          <w:highlight w:val="none"/>
        </w:rPr>
        <w:t>4、对技术复杂的货物，甲方应请国家认可的专业检测机构参与初步验收及最终验收，并由其出具质量检测报告。</w:t>
      </w:r>
    </w:p>
    <w:p>
      <w:pPr>
        <w:snapToGrid w:val="0"/>
        <w:spacing w:line="400" w:lineRule="exact"/>
        <w:ind w:firstLine="420" w:firstLineChars="200"/>
        <w:rPr>
          <w:rFonts w:hAnsi="宋体"/>
          <w:color w:val="auto"/>
          <w:kern w:val="0"/>
          <w:highlight w:val="none"/>
        </w:rPr>
      </w:pPr>
      <w:r>
        <w:rPr>
          <w:rFonts w:hint="eastAsia" w:hAnsi="宋体"/>
          <w:color w:val="auto"/>
          <w:kern w:val="0"/>
          <w:highlight w:val="none"/>
        </w:rPr>
        <w:t>5、验收时乙方必须在现场，验收完毕后作出验收结果报告；验收费用由乙方负责。</w:t>
      </w:r>
    </w:p>
    <w:p>
      <w:pPr>
        <w:snapToGrid w:val="0"/>
        <w:spacing w:line="400" w:lineRule="exact"/>
        <w:ind w:firstLine="413" w:firstLineChars="196"/>
        <w:rPr>
          <w:rFonts w:hAnsi="宋体"/>
          <w:b/>
          <w:color w:val="auto"/>
          <w:kern w:val="0"/>
          <w:highlight w:val="none"/>
        </w:rPr>
      </w:pPr>
      <w:r>
        <w:rPr>
          <w:rFonts w:hint="eastAsia" w:hAnsi="宋体"/>
          <w:b/>
          <w:color w:val="auto"/>
          <w:kern w:val="0"/>
          <w:highlight w:val="none"/>
        </w:rPr>
        <w:t>第十三条、货物包装、发运及运输</w:t>
      </w:r>
    </w:p>
    <w:p>
      <w:pPr>
        <w:snapToGrid w:val="0"/>
        <w:spacing w:line="400" w:lineRule="exact"/>
        <w:ind w:firstLine="420" w:firstLineChars="200"/>
        <w:rPr>
          <w:rFonts w:hAnsi="宋体"/>
          <w:color w:val="auto"/>
          <w:kern w:val="0"/>
          <w:highlight w:val="none"/>
        </w:rPr>
      </w:pPr>
      <w:r>
        <w:rPr>
          <w:rFonts w:hint="eastAsia" w:hAnsi="宋体"/>
          <w:color w:val="auto"/>
          <w:kern w:val="0"/>
          <w:highlight w:val="none"/>
        </w:rPr>
        <w:t>1、乙方应在货物发运前对其进行满足运输距离、防潮、防震、防锈和防破损装卸等要求包装，以保证货物安全运达甲方指定地点。</w:t>
      </w:r>
    </w:p>
    <w:p>
      <w:pPr>
        <w:snapToGrid w:val="0"/>
        <w:spacing w:line="400" w:lineRule="exact"/>
        <w:ind w:firstLine="420" w:firstLineChars="200"/>
        <w:rPr>
          <w:rFonts w:hAnsi="宋体"/>
          <w:color w:val="auto"/>
          <w:kern w:val="0"/>
          <w:highlight w:val="none"/>
        </w:rPr>
      </w:pPr>
      <w:r>
        <w:rPr>
          <w:rFonts w:hint="eastAsia" w:hAnsi="宋体"/>
          <w:color w:val="auto"/>
          <w:kern w:val="0"/>
          <w:highlight w:val="none"/>
        </w:rPr>
        <w:t>2、使用说明书、质量检验证明书、随配附件和工具以及清单一并附于货物内。</w:t>
      </w:r>
    </w:p>
    <w:p>
      <w:pPr>
        <w:snapToGrid w:val="0"/>
        <w:spacing w:line="400" w:lineRule="exact"/>
        <w:ind w:firstLine="420" w:firstLineChars="200"/>
        <w:rPr>
          <w:rFonts w:hAnsi="宋体"/>
          <w:color w:val="auto"/>
          <w:kern w:val="0"/>
          <w:highlight w:val="none"/>
        </w:rPr>
      </w:pPr>
      <w:r>
        <w:rPr>
          <w:rFonts w:hint="eastAsia" w:hAnsi="宋体"/>
          <w:color w:val="auto"/>
          <w:kern w:val="0"/>
          <w:highlight w:val="none"/>
        </w:rPr>
        <w:t>3、乙方在货物发运手续办理完毕后24小时内或货到甲方48小时前通知甲方，以准备接货。</w:t>
      </w:r>
    </w:p>
    <w:p>
      <w:pPr>
        <w:snapToGrid w:val="0"/>
        <w:spacing w:line="400" w:lineRule="exact"/>
        <w:ind w:firstLine="420" w:firstLineChars="200"/>
        <w:rPr>
          <w:rFonts w:hAnsi="宋体"/>
          <w:color w:val="auto"/>
          <w:kern w:val="0"/>
          <w:highlight w:val="none"/>
        </w:rPr>
      </w:pPr>
      <w:r>
        <w:rPr>
          <w:rFonts w:hint="eastAsia" w:hAnsi="宋体"/>
          <w:color w:val="auto"/>
          <w:kern w:val="0"/>
          <w:highlight w:val="none"/>
        </w:rPr>
        <w:t>4、货物在交付甲方前发生的风险均由乙方负责。</w:t>
      </w:r>
    </w:p>
    <w:p>
      <w:pPr>
        <w:snapToGrid w:val="0"/>
        <w:spacing w:line="400" w:lineRule="exact"/>
        <w:ind w:firstLine="420" w:firstLineChars="200"/>
        <w:rPr>
          <w:rFonts w:hAnsi="宋体"/>
          <w:color w:val="auto"/>
          <w:kern w:val="0"/>
          <w:highlight w:val="none"/>
        </w:rPr>
      </w:pPr>
      <w:r>
        <w:rPr>
          <w:rFonts w:hint="eastAsia" w:hAnsi="宋体"/>
          <w:color w:val="auto"/>
          <w:kern w:val="0"/>
          <w:highlight w:val="none"/>
        </w:rPr>
        <w:t>5、货物在规定的交付期限内由乙方送达甲方指定的地点视为交付，乙方同时需通知甲方货物已送达。</w:t>
      </w:r>
    </w:p>
    <w:p>
      <w:pPr>
        <w:snapToGrid w:val="0"/>
        <w:spacing w:line="400" w:lineRule="exact"/>
        <w:ind w:firstLine="422" w:firstLineChars="200"/>
        <w:rPr>
          <w:rFonts w:hAnsi="宋体"/>
          <w:b/>
          <w:color w:val="auto"/>
          <w:szCs w:val="21"/>
          <w:highlight w:val="none"/>
        </w:rPr>
      </w:pPr>
      <w:r>
        <w:rPr>
          <w:rFonts w:hint="eastAsia" w:hAnsi="宋体"/>
          <w:b/>
          <w:color w:val="auto"/>
          <w:szCs w:val="21"/>
          <w:highlight w:val="none"/>
        </w:rPr>
        <w:t>第十四条　违约责任</w:t>
      </w:r>
    </w:p>
    <w:p>
      <w:pPr>
        <w:snapToGrid w:val="0"/>
        <w:spacing w:line="400" w:lineRule="exact"/>
        <w:ind w:firstLine="420" w:firstLineChars="200"/>
        <w:rPr>
          <w:rFonts w:hAnsi="宋体"/>
          <w:color w:val="auto"/>
          <w:kern w:val="0"/>
          <w:highlight w:val="none"/>
        </w:rPr>
      </w:pPr>
      <w:r>
        <w:rPr>
          <w:rFonts w:hint="eastAsia" w:hAnsi="宋体"/>
          <w:color w:val="auto"/>
          <w:kern w:val="0"/>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400" w:lineRule="exact"/>
        <w:ind w:firstLine="420" w:firstLineChars="200"/>
        <w:rPr>
          <w:rFonts w:hAnsi="宋体"/>
          <w:color w:val="auto"/>
          <w:kern w:val="0"/>
          <w:highlight w:val="none"/>
        </w:rPr>
      </w:pPr>
      <w:r>
        <w:rPr>
          <w:rFonts w:hint="eastAsia" w:hAnsi="宋体"/>
          <w:color w:val="auto"/>
          <w:kern w:val="0"/>
          <w:highlight w:val="none"/>
        </w:rPr>
        <w:t>2、乙方提供的货物如侵犯了第三方合法权益而引发的任何纠纷或诉讼，均由乙方负责交涉并承担全部责任。</w:t>
      </w:r>
    </w:p>
    <w:p>
      <w:pPr>
        <w:snapToGrid w:val="0"/>
        <w:spacing w:line="400" w:lineRule="exact"/>
        <w:ind w:firstLine="420" w:firstLineChars="200"/>
        <w:rPr>
          <w:rFonts w:hAnsi="宋体"/>
          <w:color w:val="auto"/>
          <w:kern w:val="0"/>
          <w:highlight w:val="none"/>
        </w:rPr>
      </w:pPr>
      <w:r>
        <w:rPr>
          <w:rFonts w:hint="eastAsia" w:hAnsi="宋体"/>
          <w:color w:val="auto"/>
          <w:kern w:val="0"/>
          <w:highlight w:val="none"/>
        </w:rPr>
        <w:t>3、因包装、运输引起的货物损坏，按质量不合格处罚。</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4、甲方无故延期接收货物、乙方逾期交货的，每天向对方偿付违约货款额3‰违约金，但违约金累计不得超过违约货款额5%，超过</w:t>
      </w:r>
      <w:r>
        <w:rPr>
          <w:rFonts w:hint="eastAsia" w:hAnsi="宋体"/>
          <w:color w:val="auto"/>
          <w:szCs w:val="21"/>
          <w:highlight w:val="none"/>
          <w:u w:val="single"/>
        </w:rPr>
        <w:t>10</w:t>
      </w:r>
      <w:r>
        <w:rPr>
          <w:rFonts w:hint="eastAsia" w:hAnsi="宋体"/>
          <w:color w:val="auto"/>
          <w:szCs w:val="21"/>
          <w:highlight w:val="none"/>
        </w:rPr>
        <w:t>天对方有权解除合同，违约方承担因此给对方造成经济损失；甲方延期付货款的，每天向乙方偿付延期货款额3‰滞纳金，但滞纳金累计不得超过延期货款额5%。</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5、乙方未按本合同和投标文件中规定的服务承诺提供售后服务的，乙方应按本合同合计金额 5%向甲方支付违约金，违约金从乙方缴纳的履约保证金中扣除。</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6、乙方提供的货物在质量保证期内，因设计、工艺或材料的缺陷和其它质量原因造成的问题，由乙方负责。</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7、其它违约行为按违约货款额5%收取违约金并赔偿经济损失。</w:t>
      </w:r>
    </w:p>
    <w:p>
      <w:pPr>
        <w:snapToGrid w:val="0"/>
        <w:spacing w:line="400" w:lineRule="exact"/>
        <w:ind w:firstLine="413" w:firstLineChars="196"/>
        <w:rPr>
          <w:rFonts w:hAnsi="宋体"/>
          <w:b/>
          <w:color w:val="auto"/>
          <w:kern w:val="0"/>
          <w:highlight w:val="none"/>
        </w:rPr>
      </w:pPr>
      <w:r>
        <w:rPr>
          <w:rFonts w:hint="eastAsia" w:hAnsi="宋体"/>
          <w:b/>
          <w:color w:val="auto"/>
          <w:kern w:val="0"/>
          <w:highlight w:val="none"/>
        </w:rPr>
        <w:t>第十五条、不可抗力事件处理</w:t>
      </w:r>
    </w:p>
    <w:p>
      <w:pPr>
        <w:snapToGrid w:val="0"/>
        <w:spacing w:line="400" w:lineRule="exact"/>
        <w:ind w:firstLine="420" w:firstLineChars="200"/>
        <w:rPr>
          <w:rFonts w:hAnsi="宋体"/>
          <w:color w:val="auto"/>
          <w:kern w:val="0"/>
          <w:highlight w:val="none"/>
        </w:rPr>
      </w:pPr>
      <w:r>
        <w:rPr>
          <w:rFonts w:hint="eastAsia" w:hAnsi="宋体"/>
          <w:color w:val="auto"/>
          <w:kern w:val="0"/>
          <w:highlight w:val="none"/>
        </w:rPr>
        <w:t>1、在合同有效期内，任何一方因不可抗力事件导致不能履行合同，则合同履行期可延长，其延长期与不可抗力影响期相同。</w:t>
      </w:r>
    </w:p>
    <w:p>
      <w:pPr>
        <w:snapToGrid w:val="0"/>
        <w:spacing w:line="400" w:lineRule="exact"/>
        <w:ind w:firstLine="420" w:firstLineChars="200"/>
        <w:rPr>
          <w:rFonts w:hAnsi="宋体"/>
          <w:color w:val="auto"/>
          <w:kern w:val="0"/>
          <w:highlight w:val="none"/>
        </w:rPr>
      </w:pPr>
      <w:r>
        <w:rPr>
          <w:rFonts w:hint="eastAsia" w:hAnsi="宋体"/>
          <w:color w:val="auto"/>
          <w:kern w:val="0"/>
          <w:highlight w:val="none"/>
        </w:rPr>
        <w:t>2、不可抗力事件发生后，应立即通知对方，并寄送有关权威机构出具的证明。</w:t>
      </w:r>
    </w:p>
    <w:p>
      <w:pPr>
        <w:snapToGrid w:val="0"/>
        <w:spacing w:line="400" w:lineRule="exact"/>
        <w:ind w:firstLine="420" w:firstLineChars="200"/>
        <w:rPr>
          <w:rFonts w:hAnsi="宋体"/>
          <w:color w:val="auto"/>
          <w:kern w:val="0"/>
          <w:highlight w:val="none"/>
        </w:rPr>
      </w:pPr>
      <w:r>
        <w:rPr>
          <w:rFonts w:hint="eastAsia" w:hAnsi="宋体"/>
          <w:color w:val="auto"/>
          <w:kern w:val="0"/>
          <w:highlight w:val="none"/>
        </w:rPr>
        <w:t>3、不可抗力事件延续120天以上，双方应通过友好协商，确定是否继续履行合同。</w:t>
      </w:r>
    </w:p>
    <w:p>
      <w:pPr>
        <w:snapToGrid w:val="0"/>
        <w:spacing w:line="400" w:lineRule="exact"/>
        <w:ind w:firstLine="422" w:firstLineChars="200"/>
        <w:rPr>
          <w:rFonts w:hAnsi="宋体"/>
          <w:color w:val="auto"/>
          <w:szCs w:val="21"/>
          <w:highlight w:val="none"/>
        </w:rPr>
      </w:pPr>
      <w:r>
        <w:rPr>
          <w:rFonts w:hint="eastAsia" w:hAnsi="宋体"/>
          <w:b/>
          <w:color w:val="auto"/>
          <w:szCs w:val="21"/>
          <w:highlight w:val="none"/>
        </w:rPr>
        <w:t>第十六条  合同争议解决</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1、因货物质量问题发生争议的，应邀请国家认可的质量检测机构对货物质量进行鉴定。货物符合标准的，鉴定费由甲方承担；货物不符合标准的，鉴定费由乙方承担。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2、因履行本合同引起的或与本合同有关的争议，甲乙双方应首先通过友好协商解决，如果协商不能解决，可向甲方所在地人民法院提起诉讼。</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3、诉讼期间，本合同继续履行。</w:t>
      </w:r>
    </w:p>
    <w:p>
      <w:pPr>
        <w:snapToGrid w:val="0"/>
        <w:spacing w:line="400" w:lineRule="exact"/>
        <w:ind w:firstLine="413" w:firstLineChars="196"/>
        <w:rPr>
          <w:rFonts w:hAnsi="宋体"/>
          <w:b/>
          <w:color w:val="auto"/>
          <w:kern w:val="0"/>
          <w:highlight w:val="none"/>
        </w:rPr>
      </w:pPr>
      <w:r>
        <w:rPr>
          <w:rFonts w:hint="eastAsia" w:hAnsi="宋体"/>
          <w:b/>
          <w:color w:val="auto"/>
          <w:kern w:val="0"/>
          <w:highlight w:val="none"/>
        </w:rPr>
        <w:t>第十七条、诉讼</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双方在执行合同中所发生的一切争议，应通过协商解决。如果协商不能解决，可向甲方所在地有管辖权的人民法院提起诉讼。</w:t>
      </w:r>
    </w:p>
    <w:p>
      <w:pPr>
        <w:snapToGrid w:val="0"/>
        <w:spacing w:line="400" w:lineRule="exact"/>
        <w:ind w:firstLine="413" w:firstLineChars="196"/>
        <w:rPr>
          <w:rFonts w:hAnsi="宋体"/>
          <w:b/>
          <w:color w:val="auto"/>
          <w:kern w:val="0"/>
          <w:highlight w:val="none"/>
        </w:rPr>
      </w:pPr>
      <w:r>
        <w:rPr>
          <w:rFonts w:hint="eastAsia" w:hAnsi="宋体"/>
          <w:b/>
          <w:color w:val="auto"/>
          <w:kern w:val="0"/>
          <w:highlight w:val="none"/>
        </w:rPr>
        <w:t>第十八条、合同生效及其它</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1．合同经双方法定代表人或授权代表签字并加盖单位公章后生效。</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2．合同执行中涉及采购资金和采购内容修改或补充的，须经财政部门审批，并签书面补充协议报财政部门备案，方可作为主合同不可分割的一部分。</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3．本合同未尽事宜，遵照《中华人民共和国民法典》等法律、法规规定执行。</w:t>
      </w:r>
    </w:p>
    <w:p>
      <w:pPr>
        <w:snapToGrid w:val="0"/>
        <w:spacing w:line="400" w:lineRule="exact"/>
        <w:ind w:firstLine="422" w:firstLineChars="200"/>
        <w:rPr>
          <w:rFonts w:hAnsi="宋体"/>
          <w:b/>
          <w:color w:val="auto"/>
          <w:szCs w:val="21"/>
          <w:highlight w:val="none"/>
        </w:rPr>
      </w:pPr>
      <w:r>
        <w:rPr>
          <w:rFonts w:hint="eastAsia" w:hAnsi="宋体"/>
          <w:b/>
          <w:color w:val="auto"/>
          <w:szCs w:val="21"/>
          <w:highlight w:val="none"/>
        </w:rPr>
        <w:t>第十九条　合同的变更、终止与转让</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1、除《中华人民共和国政府采购法》第50条规定的情形外，本合同一经签订，甲乙双方不得擅自变更、中止或终止。</w:t>
      </w:r>
    </w:p>
    <w:p>
      <w:pPr>
        <w:snapToGrid w:val="0"/>
        <w:spacing w:line="400" w:lineRule="exact"/>
        <w:ind w:firstLine="411" w:firstLineChars="196"/>
        <w:rPr>
          <w:rFonts w:hAnsi="宋体"/>
          <w:b/>
          <w:color w:val="auto"/>
          <w:kern w:val="0"/>
          <w:highlight w:val="none"/>
        </w:rPr>
      </w:pPr>
      <w:r>
        <w:rPr>
          <w:rFonts w:hint="eastAsia" w:hAnsi="宋体"/>
          <w:color w:val="auto"/>
          <w:kern w:val="0"/>
          <w:highlight w:val="none"/>
        </w:rPr>
        <w:t>2、乙方不得擅自转让（无进口资格的供应商委托进口货物除外）其应履行的合同义务。</w:t>
      </w:r>
    </w:p>
    <w:p>
      <w:pPr>
        <w:snapToGrid w:val="0"/>
        <w:spacing w:line="400" w:lineRule="exact"/>
        <w:ind w:firstLine="422" w:firstLineChars="200"/>
        <w:rPr>
          <w:rFonts w:hAnsi="宋体"/>
          <w:b/>
          <w:color w:val="auto"/>
          <w:szCs w:val="21"/>
          <w:highlight w:val="none"/>
        </w:rPr>
      </w:pPr>
      <w:r>
        <w:rPr>
          <w:rFonts w:hint="eastAsia" w:hAnsi="宋体"/>
          <w:b/>
          <w:color w:val="auto"/>
          <w:szCs w:val="21"/>
          <w:highlight w:val="none"/>
        </w:rPr>
        <w:t>第二十条　签订本合同依据</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1、政府采购招标文件；</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2、乙方提供的投标文件；</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3、投标承诺书；</w:t>
      </w:r>
    </w:p>
    <w:p>
      <w:pPr>
        <w:snapToGrid w:val="0"/>
        <w:spacing w:line="400" w:lineRule="exact"/>
        <w:ind w:firstLine="420" w:firstLineChars="200"/>
        <w:rPr>
          <w:rFonts w:hAnsi="宋体"/>
          <w:color w:val="auto"/>
          <w:szCs w:val="21"/>
          <w:highlight w:val="none"/>
          <w:u w:val="single"/>
        </w:rPr>
      </w:pPr>
      <w:r>
        <w:rPr>
          <w:rFonts w:hint="eastAsia" w:hAnsi="宋体"/>
          <w:color w:val="auto"/>
          <w:szCs w:val="21"/>
          <w:highlight w:val="none"/>
        </w:rPr>
        <w:t>4、中标或成交通知书。</w:t>
      </w:r>
    </w:p>
    <w:p>
      <w:pPr>
        <w:snapToGrid w:val="0"/>
        <w:spacing w:line="400" w:lineRule="exact"/>
        <w:ind w:firstLine="422" w:firstLineChars="200"/>
        <w:rPr>
          <w:rFonts w:hAnsi="宋体"/>
          <w:color w:val="auto"/>
          <w:szCs w:val="21"/>
          <w:highlight w:val="none"/>
        </w:rPr>
      </w:pPr>
      <w:r>
        <w:rPr>
          <w:rFonts w:hint="eastAsia" w:hAnsi="宋体"/>
          <w:b/>
          <w:color w:val="auto"/>
          <w:szCs w:val="21"/>
          <w:highlight w:val="none"/>
        </w:rPr>
        <w:t>第二十一条　</w:t>
      </w:r>
      <w:r>
        <w:rPr>
          <w:rFonts w:hint="eastAsia" w:hAnsi="宋体"/>
          <w:color w:val="auto"/>
          <w:szCs w:val="21"/>
          <w:highlight w:val="none"/>
        </w:rPr>
        <w:t>本合同一式玖份，具有同等法律效力，采购监管部门、采购代理机构、贺州市公共资源交易中心各一份，甲方执肆份，乙方执二份。</w:t>
      </w:r>
    </w:p>
    <w:p>
      <w:pPr>
        <w:snapToGrid w:val="0"/>
        <w:spacing w:line="400" w:lineRule="exact"/>
        <w:ind w:firstLine="420" w:firstLineChars="200"/>
        <w:rPr>
          <w:rFonts w:hAnsi="宋体"/>
          <w:color w:val="auto"/>
          <w:szCs w:val="21"/>
          <w:highlight w:val="none"/>
        </w:rPr>
      </w:pPr>
      <w:r>
        <w:rPr>
          <w:rFonts w:hint="eastAsia" w:hAnsi="宋体"/>
          <w:color w:val="auto"/>
          <w:szCs w:val="21"/>
          <w:highlight w:val="none"/>
        </w:rPr>
        <w:t>本合同甲乙双方签字盖章后生效，自签订之日起七个工作日内，采购人或采购代理机构应当将合同副本报同级财政部门备案。</w:t>
      </w:r>
    </w:p>
    <w:tbl>
      <w:tblPr>
        <w:tblStyle w:val="1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00" w:lineRule="exact"/>
              <w:rPr>
                <w:rFonts w:hAnsi="宋体"/>
                <w:color w:val="auto"/>
                <w:szCs w:val="21"/>
                <w:highlight w:val="none"/>
              </w:rPr>
            </w:pPr>
            <w:r>
              <w:rPr>
                <w:rFonts w:hint="eastAsia" w:hAnsi="宋体"/>
                <w:color w:val="auto"/>
                <w:szCs w:val="21"/>
                <w:highlight w:val="none"/>
              </w:rPr>
              <w:t xml:space="preserve">甲方（章）           </w:t>
            </w:r>
          </w:p>
          <w:p>
            <w:pPr>
              <w:snapToGrid w:val="0"/>
              <w:spacing w:line="400" w:lineRule="exact"/>
              <w:rPr>
                <w:rFonts w:hAnsi="宋体"/>
                <w:color w:val="auto"/>
                <w:szCs w:val="21"/>
                <w:highlight w:val="none"/>
              </w:rPr>
            </w:pPr>
          </w:p>
          <w:p>
            <w:pPr>
              <w:snapToGrid w:val="0"/>
              <w:spacing w:line="400" w:lineRule="exact"/>
              <w:ind w:firstLine="945" w:firstLineChars="450"/>
              <w:jc w:val="right"/>
              <w:rPr>
                <w:rFonts w:hAnsi="宋体"/>
                <w:color w:val="auto"/>
                <w:szCs w:val="21"/>
                <w:highlight w:val="none"/>
              </w:rPr>
            </w:pPr>
            <w:r>
              <w:rPr>
                <w:rFonts w:hint="eastAsia" w:hAnsi="宋体"/>
                <w:color w:val="auto"/>
                <w:szCs w:val="21"/>
                <w:highlight w:val="none"/>
              </w:rPr>
              <w:t>年   月   日</w:t>
            </w:r>
          </w:p>
        </w:tc>
        <w:tc>
          <w:tcPr>
            <w:tcW w:w="4517" w:type="dxa"/>
            <w:vAlign w:val="center"/>
          </w:tcPr>
          <w:p>
            <w:pPr>
              <w:snapToGrid w:val="0"/>
              <w:spacing w:line="400" w:lineRule="exact"/>
              <w:rPr>
                <w:rFonts w:hAnsi="宋体"/>
                <w:color w:val="auto"/>
                <w:szCs w:val="21"/>
                <w:highlight w:val="none"/>
              </w:rPr>
            </w:pPr>
            <w:r>
              <w:rPr>
                <w:rFonts w:hint="eastAsia" w:hAnsi="宋体"/>
                <w:color w:val="auto"/>
                <w:szCs w:val="21"/>
                <w:highlight w:val="none"/>
              </w:rPr>
              <w:t xml:space="preserve">乙方（章）              </w:t>
            </w:r>
          </w:p>
          <w:p>
            <w:pPr>
              <w:snapToGrid w:val="0"/>
              <w:spacing w:line="400" w:lineRule="exact"/>
              <w:rPr>
                <w:rFonts w:hAnsi="宋体"/>
                <w:color w:val="auto"/>
                <w:szCs w:val="21"/>
                <w:highlight w:val="none"/>
              </w:rPr>
            </w:pPr>
          </w:p>
          <w:p>
            <w:pPr>
              <w:snapToGrid w:val="0"/>
              <w:spacing w:line="400" w:lineRule="exact"/>
              <w:jc w:val="right"/>
              <w:rPr>
                <w:rFonts w:hAnsi="宋体"/>
                <w:color w:val="auto"/>
                <w:szCs w:val="21"/>
                <w:highlight w:val="none"/>
              </w:rPr>
            </w:pPr>
            <w:r>
              <w:rPr>
                <w:rFonts w:hint="eastAsia"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00" w:lineRule="exact"/>
              <w:rPr>
                <w:rFonts w:hAnsi="宋体"/>
                <w:color w:val="auto"/>
                <w:szCs w:val="21"/>
                <w:highlight w:val="none"/>
              </w:rPr>
            </w:pPr>
            <w:r>
              <w:rPr>
                <w:rFonts w:hint="eastAsia" w:hAnsi="宋体"/>
                <w:color w:val="auto"/>
                <w:szCs w:val="21"/>
                <w:highlight w:val="none"/>
              </w:rPr>
              <w:t>单位地址：</w:t>
            </w:r>
          </w:p>
        </w:tc>
        <w:tc>
          <w:tcPr>
            <w:tcW w:w="4517" w:type="dxa"/>
            <w:vAlign w:val="center"/>
          </w:tcPr>
          <w:p>
            <w:pPr>
              <w:snapToGrid w:val="0"/>
              <w:spacing w:line="400" w:lineRule="exact"/>
              <w:rPr>
                <w:rFonts w:hAnsi="宋体"/>
                <w:color w:val="auto"/>
                <w:szCs w:val="21"/>
                <w:highlight w:val="none"/>
              </w:rPr>
            </w:pPr>
            <w:r>
              <w:rPr>
                <w:rFonts w:hint="eastAsia"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spacing w:line="400" w:lineRule="exact"/>
              <w:rPr>
                <w:rFonts w:hAnsi="宋体"/>
                <w:color w:val="auto"/>
                <w:szCs w:val="21"/>
                <w:highlight w:val="none"/>
              </w:rPr>
            </w:pPr>
            <w:r>
              <w:rPr>
                <w:rFonts w:hint="eastAsia" w:hAnsi="宋体"/>
                <w:color w:val="auto"/>
                <w:szCs w:val="21"/>
                <w:highlight w:val="none"/>
              </w:rPr>
              <w:t>法定代表人：</w:t>
            </w:r>
          </w:p>
        </w:tc>
        <w:tc>
          <w:tcPr>
            <w:tcW w:w="4517" w:type="dxa"/>
            <w:vAlign w:val="center"/>
          </w:tcPr>
          <w:p>
            <w:pPr>
              <w:snapToGrid w:val="0"/>
              <w:spacing w:line="400" w:lineRule="exact"/>
              <w:rPr>
                <w:rFonts w:hAnsi="宋体"/>
                <w:color w:val="auto"/>
                <w:szCs w:val="21"/>
                <w:highlight w:val="none"/>
              </w:rPr>
            </w:pPr>
            <w:r>
              <w:rPr>
                <w:rFonts w:hint="eastAsia" w:hAnsi="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00" w:lineRule="exact"/>
              <w:rPr>
                <w:rFonts w:hAnsi="宋体"/>
                <w:color w:val="auto"/>
                <w:szCs w:val="21"/>
                <w:highlight w:val="none"/>
              </w:rPr>
            </w:pPr>
            <w:r>
              <w:rPr>
                <w:rFonts w:hint="eastAsia" w:hAnsi="宋体"/>
                <w:color w:val="auto"/>
                <w:szCs w:val="21"/>
                <w:highlight w:val="none"/>
              </w:rPr>
              <w:t>委托代理人：</w:t>
            </w:r>
          </w:p>
        </w:tc>
        <w:tc>
          <w:tcPr>
            <w:tcW w:w="4517" w:type="dxa"/>
            <w:vAlign w:val="center"/>
          </w:tcPr>
          <w:p>
            <w:pPr>
              <w:snapToGrid w:val="0"/>
              <w:spacing w:line="400" w:lineRule="exact"/>
              <w:rPr>
                <w:rFonts w:hAnsi="宋体"/>
                <w:color w:val="auto"/>
                <w:szCs w:val="21"/>
                <w:highlight w:val="none"/>
              </w:rPr>
            </w:pPr>
            <w:r>
              <w:rPr>
                <w:rFonts w:hint="eastAsia" w:hAns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400" w:lineRule="exact"/>
              <w:rPr>
                <w:rFonts w:hAnsi="宋体"/>
                <w:color w:val="auto"/>
                <w:szCs w:val="21"/>
                <w:highlight w:val="none"/>
              </w:rPr>
            </w:pPr>
            <w:r>
              <w:rPr>
                <w:rFonts w:hint="eastAsia" w:hAnsi="宋体"/>
                <w:color w:val="auto"/>
                <w:szCs w:val="21"/>
                <w:highlight w:val="none"/>
              </w:rPr>
              <w:t>电话：</w:t>
            </w:r>
          </w:p>
        </w:tc>
        <w:tc>
          <w:tcPr>
            <w:tcW w:w="4517" w:type="dxa"/>
            <w:vAlign w:val="center"/>
          </w:tcPr>
          <w:p>
            <w:pPr>
              <w:snapToGrid w:val="0"/>
              <w:spacing w:line="400" w:lineRule="exact"/>
              <w:rPr>
                <w:rFonts w:hAnsi="宋体"/>
                <w:color w:val="auto"/>
                <w:szCs w:val="21"/>
                <w:highlight w:val="none"/>
              </w:rPr>
            </w:pPr>
            <w:r>
              <w:rPr>
                <w:rFonts w:hint="eastAsia"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00" w:lineRule="exact"/>
              <w:rPr>
                <w:rFonts w:hAnsi="宋体"/>
                <w:color w:val="auto"/>
                <w:szCs w:val="21"/>
                <w:highlight w:val="none"/>
              </w:rPr>
            </w:pPr>
            <w:r>
              <w:rPr>
                <w:rFonts w:hint="eastAsia" w:hAnsi="宋体"/>
                <w:color w:val="auto"/>
                <w:szCs w:val="21"/>
                <w:highlight w:val="none"/>
              </w:rPr>
              <w:t>电子邮箱：</w:t>
            </w:r>
          </w:p>
        </w:tc>
        <w:tc>
          <w:tcPr>
            <w:tcW w:w="4517" w:type="dxa"/>
            <w:vAlign w:val="center"/>
          </w:tcPr>
          <w:p>
            <w:pPr>
              <w:snapToGrid w:val="0"/>
              <w:spacing w:line="400" w:lineRule="exact"/>
              <w:rPr>
                <w:rFonts w:hAnsi="宋体"/>
                <w:color w:val="auto"/>
                <w:szCs w:val="21"/>
                <w:highlight w:val="none"/>
              </w:rPr>
            </w:pPr>
            <w:r>
              <w:rPr>
                <w:rFonts w:hint="eastAsia"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400" w:lineRule="exact"/>
              <w:rPr>
                <w:rFonts w:hAnsi="宋体"/>
                <w:color w:val="auto"/>
                <w:szCs w:val="21"/>
                <w:highlight w:val="none"/>
              </w:rPr>
            </w:pPr>
            <w:r>
              <w:rPr>
                <w:rFonts w:hint="eastAsia" w:hAnsi="宋体"/>
                <w:color w:val="auto"/>
                <w:szCs w:val="21"/>
                <w:highlight w:val="none"/>
              </w:rPr>
              <w:t>开户银行：</w:t>
            </w:r>
          </w:p>
        </w:tc>
        <w:tc>
          <w:tcPr>
            <w:tcW w:w="4517" w:type="dxa"/>
            <w:vAlign w:val="center"/>
          </w:tcPr>
          <w:p>
            <w:pPr>
              <w:snapToGrid w:val="0"/>
              <w:spacing w:line="400" w:lineRule="exact"/>
              <w:rPr>
                <w:rFonts w:hAnsi="宋体"/>
                <w:color w:val="auto"/>
                <w:szCs w:val="21"/>
                <w:highlight w:val="none"/>
              </w:rPr>
            </w:pPr>
            <w:r>
              <w:rPr>
                <w:rFonts w:hint="eastAsia"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00" w:lineRule="exact"/>
              <w:rPr>
                <w:rFonts w:hAnsi="宋体"/>
                <w:color w:val="auto"/>
                <w:szCs w:val="21"/>
                <w:highlight w:val="none"/>
              </w:rPr>
            </w:pPr>
            <w:r>
              <w:rPr>
                <w:rFonts w:hint="eastAsia" w:hAnsi="宋体"/>
                <w:color w:val="auto"/>
                <w:szCs w:val="21"/>
                <w:highlight w:val="none"/>
              </w:rPr>
              <w:t>账号：</w:t>
            </w:r>
          </w:p>
        </w:tc>
        <w:tc>
          <w:tcPr>
            <w:tcW w:w="4517" w:type="dxa"/>
            <w:vAlign w:val="center"/>
          </w:tcPr>
          <w:p>
            <w:pPr>
              <w:snapToGrid w:val="0"/>
              <w:spacing w:line="400" w:lineRule="exact"/>
              <w:rPr>
                <w:rFonts w:hAnsi="宋体"/>
                <w:color w:val="auto"/>
                <w:szCs w:val="21"/>
                <w:highlight w:val="none"/>
              </w:rPr>
            </w:pPr>
            <w:r>
              <w:rPr>
                <w:rFonts w:hint="eastAsia"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rFonts w:hAnsi="宋体"/>
                <w:color w:val="auto"/>
                <w:szCs w:val="21"/>
                <w:highlight w:val="none"/>
              </w:rPr>
            </w:pPr>
            <w:r>
              <w:rPr>
                <w:rFonts w:hint="eastAsia" w:hAnsi="宋体"/>
                <w:color w:val="auto"/>
                <w:szCs w:val="21"/>
                <w:highlight w:val="none"/>
              </w:rPr>
              <w:t>邮政编码：</w:t>
            </w:r>
          </w:p>
        </w:tc>
        <w:tc>
          <w:tcPr>
            <w:tcW w:w="4517" w:type="dxa"/>
            <w:vAlign w:val="center"/>
          </w:tcPr>
          <w:p>
            <w:pPr>
              <w:snapToGrid w:val="0"/>
              <w:spacing w:line="400" w:lineRule="exact"/>
              <w:rPr>
                <w:rFonts w:hAnsi="宋体"/>
                <w:color w:val="auto"/>
                <w:szCs w:val="21"/>
                <w:highlight w:val="none"/>
              </w:rPr>
            </w:pPr>
            <w:r>
              <w:rPr>
                <w:rFonts w:hint="eastAsia" w:hAnsi="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9033" w:type="dxa"/>
            <w:gridSpan w:val="2"/>
          </w:tcPr>
          <w:p>
            <w:pPr>
              <w:snapToGrid w:val="0"/>
              <w:spacing w:line="400" w:lineRule="exact"/>
              <w:ind w:left="2430" w:leftChars="1007" w:hanging="315" w:hangingChars="150"/>
              <w:rPr>
                <w:rFonts w:hAnsi="宋体"/>
                <w:color w:val="auto"/>
                <w:szCs w:val="21"/>
                <w:highlight w:val="none"/>
              </w:rPr>
            </w:pPr>
            <w:r>
              <w:rPr>
                <w:rFonts w:hint="eastAsia" w:hAnsi="宋体"/>
                <w:color w:val="auto"/>
                <w:szCs w:val="21"/>
                <w:highlight w:val="none"/>
              </w:rPr>
              <w:t xml:space="preserve">                            </w:t>
            </w:r>
          </w:p>
          <w:p>
            <w:pPr>
              <w:snapToGrid w:val="0"/>
              <w:spacing w:line="400" w:lineRule="exact"/>
              <w:ind w:firstLine="1890" w:firstLineChars="900"/>
              <w:rPr>
                <w:rFonts w:hAnsi="宋体"/>
                <w:color w:val="auto"/>
                <w:szCs w:val="21"/>
                <w:highlight w:val="none"/>
              </w:rPr>
            </w:pPr>
          </w:p>
          <w:p>
            <w:pPr>
              <w:snapToGrid w:val="0"/>
              <w:spacing w:line="400" w:lineRule="exact"/>
              <w:rPr>
                <w:rFonts w:hAnsi="宋体"/>
                <w:color w:val="auto"/>
                <w:szCs w:val="21"/>
                <w:highlight w:val="none"/>
              </w:rPr>
            </w:pPr>
            <w:r>
              <w:rPr>
                <w:rFonts w:hint="eastAsia" w:hAnsi="宋体"/>
                <w:color w:val="auto"/>
                <w:szCs w:val="21"/>
                <w:highlight w:val="none"/>
              </w:rPr>
              <w:t>经办人：</w:t>
            </w:r>
          </w:p>
          <w:p>
            <w:pPr>
              <w:snapToGrid w:val="0"/>
              <w:spacing w:line="400" w:lineRule="exact"/>
              <w:ind w:firstLine="630" w:firstLineChars="300"/>
              <w:jc w:val="right"/>
              <w:rPr>
                <w:rFonts w:hAnsi="宋体"/>
                <w:color w:val="auto"/>
                <w:szCs w:val="21"/>
                <w:highlight w:val="none"/>
              </w:rPr>
            </w:pPr>
            <w:r>
              <w:rPr>
                <w:rFonts w:hint="eastAsia" w:hAnsi="宋体"/>
                <w:color w:val="auto"/>
                <w:szCs w:val="21"/>
                <w:highlight w:val="none"/>
              </w:rPr>
              <w:t>年    月    日</w:t>
            </w:r>
          </w:p>
        </w:tc>
      </w:tr>
    </w:tbl>
    <w:p>
      <w:pPr>
        <w:widowControl/>
        <w:jc w:val="left"/>
        <w:rPr>
          <w:rFonts w:ascii="黑体" w:hAnsi="Verdana" w:eastAsia="黑体"/>
          <w:b/>
          <w:color w:val="auto"/>
          <w:sz w:val="36"/>
          <w:szCs w:val="36"/>
          <w:highlight w:val="none"/>
        </w:rPr>
      </w:pPr>
      <w:r>
        <w:rPr>
          <w:rFonts w:hAnsi="宋体"/>
          <w:color w:val="auto"/>
          <w:szCs w:val="21"/>
          <w:highlight w:val="none"/>
        </w:rPr>
        <w:br w:type="page"/>
      </w:r>
    </w:p>
    <w:p>
      <w:pPr>
        <w:widowControl/>
        <w:jc w:val="center"/>
        <w:rPr>
          <w:rFonts w:ascii="黑体" w:hAnsi="Verdana" w:eastAsia="黑体"/>
          <w:b/>
          <w:color w:val="auto"/>
          <w:sz w:val="36"/>
          <w:szCs w:val="36"/>
          <w:highlight w:val="none"/>
        </w:rPr>
      </w:pPr>
    </w:p>
    <w:p>
      <w:pPr>
        <w:widowControl/>
        <w:jc w:val="center"/>
        <w:rPr>
          <w:rFonts w:ascii="黑体" w:hAnsi="Verdana" w:eastAsia="黑体"/>
          <w:b/>
          <w:color w:val="auto"/>
          <w:sz w:val="36"/>
          <w:szCs w:val="36"/>
          <w:highlight w:val="none"/>
        </w:rPr>
      </w:pPr>
    </w:p>
    <w:p>
      <w:pPr>
        <w:pStyle w:val="3"/>
        <w:jc w:val="center"/>
        <w:rPr>
          <w:rFonts w:ascii="黑体" w:hAnsi="Verdana" w:eastAsia="黑体"/>
          <w:b/>
          <w:color w:val="auto"/>
          <w:sz w:val="36"/>
          <w:szCs w:val="36"/>
          <w:highlight w:val="none"/>
          <w:u w:val="none"/>
        </w:rPr>
      </w:pPr>
      <w:bookmarkStart w:id="190" w:name="_Toc23731"/>
      <w:r>
        <w:rPr>
          <w:rFonts w:hint="eastAsia" w:ascii="黑体" w:hAnsi="Verdana" w:eastAsia="黑体"/>
          <w:b/>
          <w:color w:val="auto"/>
          <w:sz w:val="36"/>
          <w:szCs w:val="36"/>
          <w:highlight w:val="none"/>
          <w:u w:val="none"/>
        </w:rPr>
        <w:t>第五章</w:t>
      </w:r>
      <w:r>
        <w:rPr>
          <w:rFonts w:ascii="黑体" w:hAnsi="Verdana" w:eastAsia="黑体"/>
          <w:b/>
          <w:color w:val="auto"/>
          <w:sz w:val="36"/>
          <w:szCs w:val="36"/>
          <w:highlight w:val="none"/>
          <w:u w:val="none"/>
        </w:rPr>
        <w:t xml:space="preserve">  </w:t>
      </w:r>
      <w:r>
        <w:rPr>
          <w:rFonts w:hint="eastAsia" w:ascii="黑体" w:hAnsi="Verdana" w:eastAsia="黑体"/>
          <w:b/>
          <w:color w:val="auto"/>
          <w:sz w:val="36"/>
          <w:szCs w:val="36"/>
          <w:highlight w:val="none"/>
          <w:u w:val="none"/>
        </w:rPr>
        <w:t>投标文件</w:t>
      </w:r>
      <w:r>
        <w:rPr>
          <w:rFonts w:ascii="黑体" w:hAnsi="Verdana" w:eastAsia="黑体"/>
          <w:b/>
          <w:color w:val="auto"/>
          <w:sz w:val="36"/>
          <w:szCs w:val="36"/>
          <w:highlight w:val="none"/>
          <w:u w:val="none"/>
        </w:rPr>
        <w:t>(</w:t>
      </w:r>
      <w:r>
        <w:rPr>
          <w:rFonts w:hint="eastAsia" w:ascii="黑体" w:hAnsi="Verdana" w:eastAsia="黑体"/>
          <w:b/>
          <w:color w:val="auto"/>
          <w:sz w:val="36"/>
          <w:szCs w:val="36"/>
          <w:highlight w:val="none"/>
          <w:u w:val="none"/>
        </w:rPr>
        <w:t>格式</w:t>
      </w:r>
      <w:bookmarkEnd w:id="185"/>
      <w:bookmarkEnd w:id="186"/>
      <w:bookmarkEnd w:id="187"/>
      <w:bookmarkEnd w:id="188"/>
      <w:r>
        <w:rPr>
          <w:rFonts w:ascii="黑体" w:hAnsi="Verdana" w:eastAsia="黑体"/>
          <w:b/>
          <w:color w:val="auto"/>
          <w:sz w:val="36"/>
          <w:szCs w:val="36"/>
          <w:highlight w:val="none"/>
          <w:u w:val="none"/>
        </w:rPr>
        <w:t>)</w:t>
      </w:r>
      <w:bookmarkEnd w:id="189"/>
      <w:bookmarkEnd w:id="190"/>
    </w:p>
    <w:p>
      <w:pPr>
        <w:spacing w:line="400" w:lineRule="exact"/>
        <w:rPr>
          <w:rFonts w:ascii="黑体" w:hAnsi="Verdana" w:eastAsia="黑体"/>
          <w:color w:val="auto"/>
          <w:szCs w:val="21"/>
          <w:highlight w:val="none"/>
        </w:rPr>
      </w:pPr>
      <w:bookmarkStart w:id="191" w:name="_Toc114052388"/>
      <w:bookmarkStart w:id="192" w:name="_Toc114052452"/>
    </w:p>
    <w:p>
      <w:pPr>
        <w:spacing w:line="400" w:lineRule="exact"/>
        <w:jc w:val="center"/>
        <w:rPr>
          <w:rFonts w:ascii="黑体" w:hAnsi="Verdana" w:eastAsia="黑体"/>
          <w:color w:val="auto"/>
          <w:sz w:val="28"/>
          <w:szCs w:val="28"/>
          <w:highlight w:val="none"/>
        </w:rPr>
      </w:pPr>
      <w:r>
        <w:rPr>
          <w:rFonts w:hint="eastAsia" w:ascii="黑体" w:hAnsi="Verdana" w:eastAsia="黑体"/>
          <w:color w:val="auto"/>
          <w:sz w:val="28"/>
          <w:szCs w:val="28"/>
          <w:highlight w:val="none"/>
        </w:rPr>
        <w:t>投标书封面格式</w:t>
      </w:r>
      <w:bookmarkEnd w:id="191"/>
      <w:bookmarkEnd w:id="192"/>
    </w:p>
    <w:p>
      <w:pPr>
        <w:jc w:val="right"/>
        <w:rPr>
          <w:rFonts w:hAnsi="宋体"/>
          <w:bCs/>
          <w:color w:val="auto"/>
          <w:kern w:val="0"/>
          <w:szCs w:val="21"/>
          <w:highlight w:val="none"/>
        </w:rPr>
      </w:pPr>
      <w:r>
        <w:rPr>
          <w:rFonts w:hint="eastAsia" w:hAnsi="宋体"/>
          <w:bCs/>
          <w:color w:val="auto"/>
          <w:kern w:val="0"/>
          <w:szCs w:val="21"/>
          <w:highlight w:val="none"/>
        </w:rPr>
        <w:t>（</w:t>
      </w:r>
      <w:r>
        <w:rPr>
          <w:rFonts w:hint="eastAsia" w:hAnsi="宋体"/>
          <w:bCs/>
          <w:color w:val="auto"/>
          <w:kern w:val="0"/>
          <w:szCs w:val="21"/>
          <w:highlight w:val="none"/>
          <w:u w:val="single"/>
        </w:rPr>
        <w:t>正</w:t>
      </w:r>
      <w:r>
        <w:rPr>
          <w:rFonts w:hAnsi="宋体"/>
          <w:bCs/>
          <w:color w:val="auto"/>
          <w:kern w:val="0"/>
          <w:szCs w:val="21"/>
          <w:highlight w:val="none"/>
          <w:u w:val="single"/>
        </w:rPr>
        <w:t>/</w:t>
      </w:r>
      <w:r>
        <w:rPr>
          <w:rFonts w:hint="eastAsia" w:hAnsi="宋体"/>
          <w:bCs/>
          <w:color w:val="auto"/>
          <w:kern w:val="0"/>
          <w:szCs w:val="21"/>
          <w:highlight w:val="none"/>
          <w:u w:val="single"/>
        </w:rPr>
        <w:t>副</w:t>
      </w:r>
      <w:r>
        <w:rPr>
          <w:rFonts w:hint="eastAsia" w:hAnsi="宋体"/>
          <w:bCs/>
          <w:color w:val="auto"/>
          <w:kern w:val="0"/>
          <w:szCs w:val="21"/>
          <w:highlight w:val="none"/>
        </w:rPr>
        <w:t>本）</w:t>
      </w:r>
    </w:p>
    <w:p>
      <w:pPr>
        <w:rPr>
          <w:rFonts w:hAnsi="宋体"/>
          <w:bCs/>
          <w:color w:val="auto"/>
          <w:kern w:val="0"/>
          <w:szCs w:val="21"/>
          <w:highlight w:val="none"/>
        </w:rPr>
      </w:pPr>
    </w:p>
    <w:p>
      <w:pPr>
        <w:jc w:val="center"/>
        <w:rPr>
          <w:rFonts w:hAnsi="宋体"/>
          <w:bCs/>
          <w:color w:val="auto"/>
          <w:kern w:val="0"/>
          <w:szCs w:val="21"/>
          <w:highlight w:val="none"/>
          <w:u w:val="single"/>
        </w:rPr>
      </w:pPr>
    </w:p>
    <w:p>
      <w:pPr>
        <w:jc w:val="center"/>
        <w:rPr>
          <w:rFonts w:hAnsi="宋体"/>
          <w:color w:val="auto"/>
          <w:kern w:val="0"/>
          <w:sz w:val="32"/>
          <w:szCs w:val="32"/>
          <w:highlight w:val="none"/>
          <w:u w:val="single"/>
        </w:rPr>
      </w:pPr>
      <w:r>
        <w:rPr>
          <w:rFonts w:hint="eastAsia" w:hAnsi="宋体"/>
          <w:color w:val="auto"/>
          <w:kern w:val="0"/>
          <w:sz w:val="32"/>
          <w:szCs w:val="32"/>
          <w:highlight w:val="none"/>
          <w:u w:val="single"/>
        </w:rPr>
        <w:t>（项目名称）</w:t>
      </w:r>
    </w:p>
    <w:p>
      <w:pPr>
        <w:jc w:val="center"/>
        <w:rPr>
          <w:rFonts w:hAnsi="宋体"/>
          <w:color w:val="auto"/>
          <w:sz w:val="32"/>
          <w:szCs w:val="32"/>
          <w:highlight w:val="none"/>
        </w:rPr>
      </w:pPr>
      <w:r>
        <w:rPr>
          <w:rFonts w:hAnsi="宋体"/>
          <w:bCs/>
          <w:color w:val="auto"/>
          <w:kern w:val="0"/>
          <w:sz w:val="32"/>
          <w:szCs w:val="32"/>
          <w:highlight w:val="none"/>
        </w:rPr>
        <w:t xml:space="preserve">( </w:t>
      </w:r>
      <w:r>
        <w:rPr>
          <w:rFonts w:hint="eastAsia" w:hAnsi="宋体"/>
          <w:bCs/>
          <w:color w:val="auto"/>
          <w:kern w:val="0"/>
          <w:sz w:val="32"/>
          <w:szCs w:val="32"/>
          <w:highlight w:val="none"/>
        </w:rPr>
        <w:t>项目编号：</w:t>
      </w:r>
      <w:r>
        <w:rPr>
          <w:rFonts w:hAnsi="宋体"/>
          <w:color w:val="auto"/>
          <w:kern w:val="0"/>
          <w:sz w:val="32"/>
          <w:szCs w:val="32"/>
          <w:highlight w:val="none"/>
        </w:rPr>
        <w:t xml:space="preserve"> </w:t>
      </w:r>
      <w:r>
        <w:rPr>
          <w:rFonts w:hAnsi="宋体"/>
          <w:bCs/>
          <w:color w:val="auto"/>
          <w:kern w:val="0"/>
          <w:sz w:val="32"/>
          <w:szCs w:val="32"/>
          <w:highlight w:val="none"/>
        </w:rPr>
        <w:t xml:space="preserve"> )</w:t>
      </w:r>
    </w:p>
    <w:p>
      <w:pPr>
        <w:rPr>
          <w:rFonts w:hAnsi="宋体"/>
          <w:color w:val="auto"/>
          <w:sz w:val="32"/>
          <w:szCs w:val="32"/>
          <w:highlight w:val="none"/>
        </w:rPr>
      </w:pPr>
    </w:p>
    <w:p>
      <w:pPr>
        <w:jc w:val="center"/>
        <w:rPr>
          <w:rFonts w:hAnsi="宋体"/>
          <w:b/>
          <w:color w:val="auto"/>
          <w:sz w:val="52"/>
          <w:szCs w:val="52"/>
          <w:highlight w:val="none"/>
        </w:rPr>
      </w:pPr>
      <w:r>
        <w:rPr>
          <w:rFonts w:hint="eastAsia" w:hAnsi="宋体"/>
          <w:b/>
          <w:color w:val="auto"/>
          <w:sz w:val="52"/>
          <w:szCs w:val="52"/>
          <w:highlight w:val="none"/>
        </w:rPr>
        <w:t>投标文件</w:t>
      </w:r>
    </w:p>
    <w:p>
      <w:pPr>
        <w:rPr>
          <w:rFonts w:hAnsi="宋体"/>
          <w:color w:val="auto"/>
          <w:sz w:val="32"/>
          <w:szCs w:val="32"/>
          <w:highlight w:val="none"/>
        </w:rPr>
      </w:pPr>
      <w:r>
        <w:rPr>
          <w:rFonts w:hAnsi="宋体"/>
          <w:color w:val="auto"/>
          <w:sz w:val="32"/>
          <w:szCs w:val="32"/>
          <w:highlight w:val="none"/>
        </w:rPr>
        <w:t xml:space="preserve">                  </w:t>
      </w:r>
    </w:p>
    <w:p>
      <w:pPr>
        <w:rPr>
          <w:rFonts w:hAnsi="宋体"/>
          <w:color w:val="auto"/>
          <w:sz w:val="32"/>
          <w:szCs w:val="32"/>
          <w:highlight w:val="none"/>
        </w:rPr>
      </w:pPr>
    </w:p>
    <w:p>
      <w:pPr>
        <w:rPr>
          <w:rFonts w:hAnsi="宋体"/>
          <w:color w:val="auto"/>
          <w:sz w:val="32"/>
          <w:szCs w:val="32"/>
          <w:highlight w:val="none"/>
        </w:rPr>
      </w:pPr>
      <w:r>
        <w:rPr>
          <w:rFonts w:hAnsi="宋体"/>
          <w:color w:val="auto"/>
          <w:sz w:val="32"/>
          <w:szCs w:val="32"/>
          <w:highlight w:val="none"/>
        </w:rPr>
        <w:t xml:space="preserve"> </w:t>
      </w:r>
    </w:p>
    <w:p>
      <w:pPr>
        <w:rPr>
          <w:rFonts w:hAnsi="宋体"/>
          <w:color w:val="auto"/>
          <w:szCs w:val="21"/>
          <w:highlight w:val="none"/>
        </w:rPr>
      </w:pPr>
    </w:p>
    <w:p>
      <w:pPr>
        <w:ind w:firstLine="2551" w:firstLineChars="1215"/>
        <w:jc w:val="left"/>
        <w:rPr>
          <w:rFonts w:hAnsi="宋体"/>
          <w:color w:val="auto"/>
          <w:szCs w:val="21"/>
          <w:highlight w:val="none"/>
          <w:u w:val="single"/>
        </w:rPr>
      </w:pPr>
      <w:r>
        <w:rPr>
          <w:rFonts w:hint="eastAsia" w:hAnsi="宋体"/>
          <w:color w:val="auto"/>
          <w:szCs w:val="21"/>
          <w:highlight w:val="none"/>
        </w:rPr>
        <w:t>投标内容：</w:t>
      </w:r>
      <w:r>
        <w:rPr>
          <w:rFonts w:hint="eastAsia" w:hAnsi="宋体"/>
          <w:color w:val="auto"/>
          <w:szCs w:val="21"/>
          <w:highlight w:val="none"/>
          <w:u w:val="single"/>
        </w:rPr>
        <w:t>资格审查部分</w:t>
      </w:r>
      <w:r>
        <w:rPr>
          <w:rFonts w:hAnsi="宋体"/>
          <w:color w:val="auto"/>
          <w:szCs w:val="21"/>
          <w:highlight w:val="none"/>
          <w:u w:val="single"/>
        </w:rPr>
        <w:t>/</w:t>
      </w:r>
      <w:r>
        <w:rPr>
          <w:rFonts w:hint="eastAsia" w:hAnsi="宋体"/>
          <w:color w:val="auto"/>
          <w:szCs w:val="21"/>
          <w:highlight w:val="none"/>
          <w:u w:val="single"/>
        </w:rPr>
        <w:t>商务标部分</w:t>
      </w:r>
      <w:r>
        <w:rPr>
          <w:rFonts w:hAnsi="宋体"/>
          <w:color w:val="auto"/>
          <w:szCs w:val="21"/>
          <w:highlight w:val="none"/>
          <w:u w:val="single"/>
        </w:rPr>
        <w:t>/</w:t>
      </w:r>
      <w:r>
        <w:rPr>
          <w:rFonts w:hint="eastAsia" w:hAnsi="宋体"/>
          <w:color w:val="auto"/>
          <w:szCs w:val="21"/>
          <w:highlight w:val="none"/>
          <w:u w:val="single"/>
        </w:rPr>
        <w:t>技术标部分</w:t>
      </w:r>
    </w:p>
    <w:p>
      <w:pPr>
        <w:ind w:firstLine="1984" w:firstLineChars="945"/>
        <w:jc w:val="left"/>
        <w:rPr>
          <w:rFonts w:hAnsi="宋体"/>
          <w:color w:val="auto"/>
          <w:szCs w:val="21"/>
          <w:highlight w:val="none"/>
          <w:u w:val="single"/>
        </w:rPr>
      </w:pPr>
    </w:p>
    <w:p>
      <w:pPr>
        <w:jc w:val="center"/>
        <w:rPr>
          <w:rFonts w:hAnsi="宋体"/>
          <w:color w:val="auto"/>
          <w:szCs w:val="21"/>
          <w:highlight w:val="none"/>
        </w:rPr>
      </w:pPr>
      <w:r>
        <w:rPr>
          <w:rFonts w:hint="eastAsia" w:hAnsi="宋体"/>
          <w:color w:val="auto"/>
          <w:szCs w:val="21"/>
          <w:highlight w:val="none"/>
        </w:rPr>
        <w:t>投标人：</w:t>
      </w:r>
      <w:r>
        <w:rPr>
          <w:rFonts w:hAnsi="宋体"/>
          <w:color w:val="auto"/>
          <w:szCs w:val="21"/>
          <w:highlight w:val="none"/>
          <w:u w:val="single"/>
        </w:rPr>
        <w:t xml:space="preserve">                         </w:t>
      </w:r>
      <w:r>
        <w:rPr>
          <w:rFonts w:hint="eastAsia" w:hAnsi="宋体"/>
          <w:color w:val="auto"/>
          <w:szCs w:val="21"/>
          <w:highlight w:val="none"/>
        </w:rPr>
        <w:t>（盖章）</w:t>
      </w:r>
    </w:p>
    <w:p>
      <w:pPr>
        <w:jc w:val="center"/>
        <w:rPr>
          <w:rFonts w:hAnsi="宋体"/>
          <w:color w:val="auto"/>
          <w:szCs w:val="21"/>
          <w:highlight w:val="none"/>
        </w:rPr>
      </w:pPr>
    </w:p>
    <w:p>
      <w:pPr>
        <w:jc w:val="center"/>
        <w:rPr>
          <w:rFonts w:hAnsi="宋体"/>
          <w:color w:val="auto"/>
          <w:szCs w:val="21"/>
          <w:highlight w:val="none"/>
        </w:rPr>
      </w:pPr>
      <w:r>
        <w:rPr>
          <w:rFonts w:hint="eastAsia" w:hAnsi="宋体"/>
          <w:color w:val="auto"/>
          <w:szCs w:val="21"/>
          <w:highlight w:val="none"/>
        </w:rPr>
        <w:t>日</w:t>
      </w:r>
      <w:r>
        <w:rPr>
          <w:rFonts w:hAnsi="宋体"/>
          <w:color w:val="auto"/>
          <w:szCs w:val="21"/>
          <w:highlight w:val="none"/>
        </w:rPr>
        <w:t xml:space="preserve">   </w:t>
      </w:r>
      <w:r>
        <w:rPr>
          <w:rFonts w:hint="eastAsia" w:hAnsi="宋体"/>
          <w:color w:val="auto"/>
          <w:szCs w:val="21"/>
          <w:highlight w:val="none"/>
        </w:rPr>
        <w:t>期：</w:t>
      </w:r>
      <w:r>
        <w:rPr>
          <w:rFonts w:hAnsi="宋体"/>
          <w:color w:val="auto"/>
          <w:szCs w:val="21"/>
          <w:highlight w:val="none"/>
        </w:rPr>
        <w:t xml:space="preserve">     </w:t>
      </w:r>
      <w:r>
        <w:rPr>
          <w:rFonts w:hint="eastAsia" w:hAnsi="宋体"/>
          <w:color w:val="auto"/>
          <w:szCs w:val="21"/>
          <w:highlight w:val="none"/>
        </w:rPr>
        <w:t>年</w:t>
      </w:r>
      <w:r>
        <w:rPr>
          <w:rFonts w:hAnsi="宋体"/>
          <w:color w:val="auto"/>
          <w:szCs w:val="21"/>
          <w:highlight w:val="none"/>
        </w:rPr>
        <w:t xml:space="preserve">   </w:t>
      </w:r>
      <w:r>
        <w:rPr>
          <w:rFonts w:hint="eastAsia" w:hAnsi="宋体"/>
          <w:color w:val="auto"/>
          <w:szCs w:val="21"/>
          <w:highlight w:val="none"/>
        </w:rPr>
        <w:t>月</w:t>
      </w:r>
      <w:r>
        <w:rPr>
          <w:rFonts w:hAnsi="宋体"/>
          <w:color w:val="auto"/>
          <w:szCs w:val="21"/>
          <w:highlight w:val="none"/>
        </w:rPr>
        <w:t xml:space="preserve">   </w:t>
      </w:r>
      <w:r>
        <w:rPr>
          <w:rFonts w:hint="eastAsia" w:hAnsi="宋体"/>
          <w:color w:val="auto"/>
          <w:szCs w:val="21"/>
          <w:highlight w:val="none"/>
        </w:rPr>
        <w:t>日</w:t>
      </w:r>
    </w:p>
    <w:p>
      <w:pPr>
        <w:jc w:val="left"/>
        <w:rPr>
          <w:rFonts w:hAnsi="宋体"/>
          <w:color w:val="auto"/>
          <w:szCs w:val="21"/>
          <w:highlight w:val="none"/>
        </w:rPr>
      </w:pPr>
      <w:r>
        <w:rPr>
          <w:rFonts w:hAnsi="宋体"/>
          <w:color w:val="auto"/>
          <w:szCs w:val="21"/>
          <w:highlight w:val="none"/>
        </w:rPr>
        <w:br w:type="page"/>
      </w:r>
    </w:p>
    <w:p>
      <w:pPr>
        <w:jc w:val="left"/>
        <w:rPr>
          <w:rFonts w:hAnsi="宋体"/>
          <w:b/>
          <w:color w:val="auto"/>
          <w:sz w:val="24"/>
          <w:szCs w:val="24"/>
          <w:highlight w:val="none"/>
        </w:rPr>
      </w:pPr>
    </w:p>
    <w:p>
      <w:pPr>
        <w:jc w:val="left"/>
        <w:rPr>
          <w:rFonts w:hAnsi="宋体"/>
          <w:b/>
          <w:color w:val="auto"/>
          <w:sz w:val="24"/>
          <w:szCs w:val="24"/>
          <w:highlight w:val="none"/>
        </w:rPr>
      </w:pPr>
      <w:r>
        <w:rPr>
          <w:rFonts w:hint="eastAsia" w:hAnsi="宋体"/>
          <w:b/>
          <w:color w:val="auto"/>
          <w:sz w:val="24"/>
          <w:szCs w:val="24"/>
          <w:highlight w:val="none"/>
        </w:rPr>
        <w:t>一、资格审查部分</w:t>
      </w:r>
    </w:p>
    <w:p>
      <w:pPr>
        <w:ind w:firstLine="562" w:firstLineChars="200"/>
        <w:jc w:val="center"/>
        <w:rPr>
          <w:rFonts w:hAnsi="宋体"/>
          <w:b/>
          <w:color w:val="auto"/>
          <w:sz w:val="28"/>
          <w:szCs w:val="28"/>
          <w:highlight w:val="none"/>
        </w:rPr>
      </w:pPr>
      <w:r>
        <w:rPr>
          <w:rFonts w:hint="eastAsia" w:hAnsi="宋体"/>
          <w:b/>
          <w:color w:val="auto"/>
          <w:sz w:val="28"/>
          <w:szCs w:val="28"/>
          <w:highlight w:val="none"/>
        </w:rPr>
        <w:t>目录</w:t>
      </w:r>
    </w:p>
    <w:p>
      <w:pPr>
        <w:ind w:firstLine="562" w:firstLineChars="200"/>
        <w:jc w:val="center"/>
        <w:rPr>
          <w:rFonts w:hAnsi="宋体"/>
          <w:color w:val="auto"/>
          <w:szCs w:val="21"/>
          <w:highlight w:val="none"/>
        </w:rPr>
      </w:pPr>
      <w:r>
        <w:rPr>
          <w:rFonts w:hint="eastAsia"/>
          <w:b/>
          <w:color w:val="auto"/>
          <w:sz w:val="28"/>
          <w:szCs w:val="28"/>
          <w:highlight w:val="none"/>
        </w:rPr>
        <w:t>（应附有页码，由投标人自行编制）</w:t>
      </w:r>
    </w:p>
    <w:p>
      <w:pPr>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）法定代表人身份证明书原件（</w:t>
      </w:r>
      <w:r>
        <w:rPr>
          <w:rFonts w:hint="eastAsia" w:asciiTheme="minorEastAsia" w:hAnsiTheme="minorEastAsia" w:eastAsiaTheme="minorEastAsia"/>
          <w:b/>
          <w:color w:val="auto"/>
          <w:szCs w:val="21"/>
          <w:highlight w:val="none"/>
        </w:rPr>
        <w:t>必须提供</w:t>
      </w:r>
      <w:r>
        <w:rPr>
          <w:rFonts w:hint="eastAsia" w:asciiTheme="minorEastAsia" w:hAnsiTheme="minorEastAsia" w:eastAsiaTheme="minorEastAsia"/>
          <w:color w:val="auto"/>
          <w:szCs w:val="21"/>
          <w:highlight w:val="none"/>
        </w:rPr>
        <w:t>）；</w:t>
      </w:r>
    </w:p>
    <w:p>
      <w:pPr>
        <w:tabs>
          <w:tab w:val="left" w:pos="1305"/>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）法定代表人授权委托书原件</w:t>
      </w:r>
      <w:r>
        <w:rPr>
          <w:rFonts w:hint="eastAsia" w:asciiTheme="minorEastAsia" w:hAnsiTheme="minorEastAsia" w:eastAsiaTheme="minorEastAsia"/>
          <w:b/>
          <w:color w:val="auto"/>
          <w:szCs w:val="21"/>
          <w:highlight w:val="none"/>
        </w:rPr>
        <w:t>（委托代理时必须提供）</w:t>
      </w:r>
      <w:r>
        <w:rPr>
          <w:rFonts w:hint="eastAsia" w:asciiTheme="minorEastAsia" w:hAnsiTheme="minorEastAsia" w:eastAsiaTheme="minorEastAsia"/>
          <w:color w:val="auto"/>
          <w:szCs w:val="21"/>
          <w:highlight w:val="none"/>
        </w:rPr>
        <w:t>；</w:t>
      </w:r>
    </w:p>
    <w:p>
      <w:pPr>
        <w:tabs>
          <w:tab w:val="left" w:pos="1305"/>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）投标人参加此次政府采购活动前</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年内在经营活动中没有重大违法记录的书面声明</w:t>
      </w:r>
      <w:r>
        <w:rPr>
          <w:rFonts w:hint="eastAsia" w:asciiTheme="minorEastAsia" w:hAnsiTheme="minorEastAsia" w:eastAsiaTheme="minorEastAsia"/>
          <w:b/>
          <w:color w:val="auto"/>
          <w:szCs w:val="21"/>
          <w:highlight w:val="none"/>
        </w:rPr>
        <w:t>（必须提供</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并加盖投标人单位电子签章）</w:t>
      </w:r>
      <w:r>
        <w:rPr>
          <w:rFonts w:hint="eastAsia" w:asciiTheme="minorEastAsia" w:hAnsiTheme="minorEastAsia" w:eastAsiaTheme="minorEastAsia"/>
          <w:color w:val="auto"/>
          <w:szCs w:val="21"/>
          <w:highlight w:val="none"/>
        </w:rPr>
        <w:t>；</w:t>
      </w:r>
    </w:p>
    <w:p>
      <w:pPr>
        <w:tabs>
          <w:tab w:val="left" w:pos="1305"/>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）投标保证金证明材料（附：①金融机构、担保机构出具的保函（担保）或投标保证金银行转账（电汇）底单扫描件</w:t>
      </w:r>
      <w:r>
        <w:rPr>
          <w:rFonts w:hint="eastAsia"/>
          <w:b/>
          <w:color w:val="auto"/>
          <w:szCs w:val="22"/>
          <w:highlight w:val="none"/>
        </w:rPr>
        <w:t>，中小微企业只需提供</w:t>
      </w:r>
      <w:r>
        <w:rPr>
          <w:rFonts w:hint="eastAsia"/>
          <w:b/>
          <w:color w:val="auto"/>
          <w:highlight w:val="none"/>
        </w:rPr>
        <w:t>《中小企业申明函》</w:t>
      </w:r>
      <w:r>
        <w:rPr>
          <w:rFonts w:hint="eastAsia" w:asciiTheme="minorEastAsia" w:hAnsiTheme="minorEastAsia" w:eastAsiaTheme="minorEastAsia"/>
          <w:color w:val="auto"/>
          <w:szCs w:val="21"/>
          <w:highlight w:val="none"/>
        </w:rPr>
        <w:t>，②投标人基本账户开户许可证或《基本存款账户信息》凭证扫描件</w:t>
      </w:r>
      <w:r>
        <w:rPr>
          <w:rFonts w:hint="eastAsia" w:asciiTheme="minorEastAsia" w:hAnsiTheme="minorEastAsia" w:eastAsiaTheme="minorEastAsia"/>
          <w:b/>
          <w:color w:val="auto"/>
          <w:szCs w:val="21"/>
          <w:highlight w:val="none"/>
        </w:rPr>
        <w:t>（必须提供</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并加盖投标人单位电子签章）</w:t>
      </w:r>
      <w:r>
        <w:rPr>
          <w:rFonts w:hint="eastAsia" w:asciiTheme="minorEastAsia" w:hAnsiTheme="minorEastAsia" w:eastAsiaTheme="minorEastAsia"/>
          <w:color w:val="auto"/>
          <w:szCs w:val="21"/>
          <w:highlight w:val="none"/>
        </w:rPr>
        <w:t>；</w:t>
      </w:r>
    </w:p>
    <w:p>
      <w:pPr>
        <w:tabs>
          <w:tab w:val="left" w:pos="1305"/>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）投标人有效的法人营业执照副本扫描件</w:t>
      </w:r>
      <w:r>
        <w:rPr>
          <w:rFonts w:hint="eastAsia" w:asciiTheme="minorEastAsia" w:hAnsiTheme="minorEastAsia" w:eastAsiaTheme="minorEastAsia"/>
          <w:b/>
          <w:color w:val="auto"/>
          <w:szCs w:val="21"/>
          <w:highlight w:val="none"/>
        </w:rPr>
        <w:t>（必须提供</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并加盖投标人单位电子签章）</w:t>
      </w:r>
      <w:r>
        <w:rPr>
          <w:rFonts w:hint="eastAsia" w:asciiTheme="minorEastAsia" w:hAnsiTheme="minorEastAsia" w:eastAsiaTheme="minorEastAsia"/>
          <w:color w:val="auto"/>
          <w:szCs w:val="21"/>
          <w:highlight w:val="none"/>
        </w:rPr>
        <w:t>；</w:t>
      </w:r>
    </w:p>
    <w:p>
      <w:pPr>
        <w:tabs>
          <w:tab w:val="left" w:pos="1305"/>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（6）投标人</w:t>
      </w:r>
      <w:r>
        <w:rPr>
          <w:rFonts w:hint="eastAsia" w:hAnsi="宋体" w:cs="宋体"/>
          <w:color w:val="auto"/>
          <w:szCs w:val="21"/>
          <w:highlight w:val="none"/>
        </w:rPr>
        <w:t>近半年内连续三个月</w:t>
      </w:r>
      <w:r>
        <w:rPr>
          <w:rFonts w:hint="eastAsia" w:asciiTheme="minorEastAsia" w:hAnsiTheme="minorEastAsia" w:eastAsiaTheme="minorEastAsia"/>
          <w:color w:val="auto"/>
          <w:szCs w:val="21"/>
          <w:highlight w:val="none"/>
        </w:rPr>
        <w:t>纳税完税证明或税务部门出具的无需缴纳证明的证明材料扫描件（</w:t>
      </w:r>
      <w:r>
        <w:rPr>
          <w:rFonts w:asciiTheme="minorEastAsia" w:hAnsiTheme="minorEastAsia" w:eastAsiaTheme="minorEastAsia"/>
          <w:color w:val="auto"/>
          <w:szCs w:val="21"/>
          <w:highlight w:val="none"/>
        </w:rPr>
        <w:t>对于从注册、登记或者备案时间起到提交投标文件截止时间为止不足要求月份的投标人，只需提交注册、登记或者备案月份至所要求最近月份的证明材料；对于</w:t>
      </w:r>
      <w:r>
        <w:rPr>
          <w:rFonts w:hint="eastAsia" w:asciiTheme="minorEastAsia" w:hAnsiTheme="minorEastAsia" w:eastAsiaTheme="minorEastAsia"/>
          <w:color w:val="auto"/>
          <w:szCs w:val="21"/>
          <w:highlight w:val="none"/>
        </w:rPr>
        <w:t>依法免税</w:t>
      </w:r>
      <w:r>
        <w:rPr>
          <w:rFonts w:asciiTheme="minorEastAsia" w:hAnsiTheme="minorEastAsia" w:eastAsiaTheme="minorEastAsia"/>
          <w:color w:val="auto"/>
          <w:szCs w:val="21"/>
          <w:highlight w:val="none"/>
        </w:rPr>
        <w:t>的投标人，应提供</w:t>
      </w:r>
      <w:r>
        <w:rPr>
          <w:rFonts w:hint="eastAsia" w:asciiTheme="minorEastAsia" w:hAnsiTheme="minorEastAsia" w:eastAsiaTheme="minorEastAsia"/>
          <w:color w:val="auto"/>
          <w:szCs w:val="21"/>
          <w:highlight w:val="none"/>
        </w:rPr>
        <w:t>依法免税</w:t>
      </w:r>
      <w:r>
        <w:rPr>
          <w:rFonts w:asciiTheme="minorEastAsia" w:hAnsiTheme="minorEastAsia" w:eastAsiaTheme="minorEastAsia"/>
          <w:color w:val="auto"/>
          <w:szCs w:val="21"/>
          <w:highlight w:val="none"/>
        </w:rPr>
        <w:t>的相应文件证明）</w:t>
      </w:r>
      <w:r>
        <w:rPr>
          <w:rFonts w:hint="eastAsia" w:asciiTheme="minorEastAsia" w:hAnsiTheme="minorEastAsia" w:eastAsiaTheme="minorEastAsia"/>
          <w:b/>
          <w:color w:val="auto"/>
          <w:szCs w:val="21"/>
          <w:highlight w:val="none"/>
        </w:rPr>
        <w:t>（必须提供</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并加盖投标人单位电子签章）</w:t>
      </w:r>
      <w:r>
        <w:rPr>
          <w:rFonts w:hint="eastAsia" w:asciiTheme="minorEastAsia" w:hAnsiTheme="minorEastAsia" w:eastAsiaTheme="minorEastAsia"/>
          <w:color w:val="auto"/>
          <w:szCs w:val="21"/>
          <w:highlight w:val="none"/>
        </w:rPr>
        <w:t>；</w:t>
      </w:r>
    </w:p>
    <w:p>
      <w:pPr>
        <w:tabs>
          <w:tab w:val="left" w:pos="1305"/>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投标人</w:t>
      </w:r>
      <w:r>
        <w:rPr>
          <w:rFonts w:hint="eastAsia" w:hAnsi="宋体" w:cs="宋体"/>
          <w:color w:val="auto"/>
          <w:szCs w:val="21"/>
          <w:highlight w:val="none"/>
        </w:rPr>
        <w:t>近半年内连续三个月</w:t>
      </w:r>
      <w:r>
        <w:rPr>
          <w:rFonts w:asciiTheme="minorEastAsia" w:hAnsiTheme="minorEastAsia" w:eastAsiaTheme="minorEastAsia"/>
          <w:color w:val="auto"/>
          <w:szCs w:val="21"/>
          <w:highlight w:val="none"/>
        </w:rPr>
        <w:t>依法缴纳社会保障金</w:t>
      </w:r>
      <w:r>
        <w:rPr>
          <w:rFonts w:hint="eastAsia" w:asciiTheme="minorEastAsia" w:hAnsiTheme="minorEastAsia" w:eastAsiaTheme="minorEastAsia"/>
          <w:color w:val="auto"/>
          <w:szCs w:val="21"/>
          <w:highlight w:val="none"/>
        </w:rPr>
        <w:t>的证明材料扫描件</w:t>
      </w:r>
      <w:r>
        <w:rPr>
          <w:rFonts w:hint="eastAsia" w:hAnsi="宋体" w:cs="宋体"/>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对于从注册、登记或者备案时间起到提交投标文件截止时间为止不足要求月份的投标人，只需提交注册、登记或者备案月份至所要求最近月份的证明材料；对于依法不需要缴纳社会保障金的投标人，应提供依法不需要缴纳社会保障金的相应文件证明）</w:t>
      </w:r>
      <w:r>
        <w:rPr>
          <w:rFonts w:hint="eastAsia" w:asciiTheme="minorEastAsia" w:hAnsiTheme="minorEastAsia" w:eastAsiaTheme="minorEastAsia"/>
          <w:b/>
          <w:color w:val="auto"/>
          <w:szCs w:val="21"/>
          <w:highlight w:val="none"/>
        </w:rPr>
        <w:t>（必须提供</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并加盖投标人单位电子签章）</w:t>
      </w:r>
      <w:r>
        <w:rPr>
          <w:rFonts w:hint="eastAsia" w:asciiTheme="minorEastAsia" w:hAnsiTheme="minorEastAsia" w:eastAsiaTheme="minorEastAsia"/>
          <w:color w:val="auto"/>
          <w:szCs w:val="21"/>
          <w:highlight w:val="none"/>
        </w:rPr>
        <w:t>；</w:t>
      </w:r>
    </w:p>
    <w:p>
      <w:pPr>
        <w:tabs>
          <w:tab w:val="left" w:pos="1305"/>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w:t>
      </w:r>
      <w:r>
        <w:rPr>
          <w:rFonts w:hint="eastAsia" w:asciiTheme="minorEastAsia" w:hAnsiTheme="minorEastAsia" w:eastAsiaTheme="minorEastAsia"/>
          <w:bCs/>
          <w:color w:val="auto"/>
          <w:szCs w:val="21"/>
          <w:highlight w:val="none"/>
        </w:rPr>
        <w:t>投标人2021年财务报表</w:t>
      </w:r>
      <w:r>
        <w:rPr>
          <w:rFonts w:hint="eastAsia" w:asciiTheme="minorEastAsia" w:hAnsiTheme="minorEastAsia" w:eastAsiaTheme="minorEastAsia"/>
          <w:color w:val="auto"/>
          <w:szCs w:val="21"/>
          <w:highlight w:val="none"/>
        </w:rPr>
        <w:t>扫描件</w:t>
      </w:r>
      <w:r>
        <w:rPr>
          <w:rFonts w:hint="eastAsia" w:asciiTheme="minorEastAsia" w:hAnsiTheme="minorEastAsia" w:eastAsiaTheme="minorEastAsia"/>
          <w:bCs/>
          <w:color w:val="auto"/>
          <w:szCs w:val="21"/>
          <w:highlight w:val="none"/>
        </w:rPr>
        <w:t>（对于从取得营业执照时间起到投标截止时间为止不足要求年数的企业，只需提交企业营业执照）；</w:t>
      </w:r>
      <w:r>
        <w:rPr>
          <w:rFonts w:hint="eastAsia" w:asciiTheme="minorEastAsia" w:hAnsiTheme="minorEastAsia" w:eastAsiaTheme="minorEastAsia"/>
          <w:b/>
          <w:color w:val="auto"/>
          <w:szCs w:val="21"/>
          <w:highlight w:val="none"/>
        </w:rPr>
        <w:t>（必须提供</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并加盖投标人单位电子签章）</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w:t>
      </w:r>
    </w:p>
    <w:p>
      <w:pPr>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投标人认为必要提供的声明文件或证明材料。</w:t>
      </w:r>
    </w:p>
    <w:p>
      <w:pPr>
        <w:tabs>
          <w:tab w:val="left" w:pos="1305"/>
        </w:tabs>
        <w:spacing w:line="360" w:lineRule="auto"/>
        <w:rPr>
          <w:rFonts w:asciiTheme="minorEastAsia" w:hAnsiTheme="minorEastAsia" w:eastAsiaTheme="minorEastAsia"/>
          <w:color w:val="auto"/>
          <w:szCs w:val="21"/>
          <w:highlight w:val="none"/>
        </w:rPr>
      </w:pPr>
      <w:r>
        <w:rPr>
          <w:rFonts w:hAnsi="宋体"/>
          <w:color w:val="auto"/>
          <w:szCs w:val="21"/>
          <w:highlight w:val="none"/>
        </w:rPr>
        <w:br w:type="page"/>
      </w:r>
      <w:bookmarkStart w:id="193" w:name="_Toc114052396"/>
      <w:bookmarkStart w:id="194" w:name="_Toc114052455"/>
    </w:p>
    <w:bookmarkEnd w:id="193"/>
    <w:bookmarkEnd w:id="194"/>
    <w:p>
      <w:pPr>
        <w:tabs>
          <w:tab w:val="left" w:pos="1305"/>
        </w:tabs>
        <w:spacing w:before="165" w:beforeLines="50" w:line="400" w:lineRule="exact"/>
        <w:rPr>
          <w:rFonts w:ascii="黑体" w:hAnsi="宋体" w:eastAsia="黑体"/>
          <w:b/>
          <w:color w:val="auto"/>
          <w:sz w:val="28"/>
          <w:szCs w:val="28"/>
          <w:highlight w:val="none"/>
        </w:rPr>
      </w:pPr>
    </w:p>
    <w:p>
      <w:pPr>
        <w:tabs>
          <w:tab w:val="left" w:pos="1305"/>
        </w:tabs>
        <w:spacing w:before="165" w:beforeLines="50" w:line="400" w:lineRule="exact"/>
        <w:rPr>
          <w:rFonts w:ascii="黑体" w:hAnsi="宋体" w:eastAsia="黑体"/>
          <w:b/>
          <w:color w:val="auto"/>
          <w:sz w:val="28"/>
          <w:szCs w:val="28"/>
          <w:highlight w:val="none"/>
        </w:rPr>
      </w:pPr>
      <w:r>
        <w:rPr>
          <w:rFonts w:hint="eastAsia" w:ascii="黑体" w:hAnsi="宋体" w:eastAsia="黑体"/>
          <w:b/>
          <w:color w:val="auto"/>
          <w:sz w:val="28"/>
          <w:szCs w:val="28"/>
          <w:highlight w:val="none"/>
        </w:rPr>
        <w:t>（</w:t>
      </w:r>
      <w:r>
        <w:rPr>
          <w:rFonts w:ascii="黑体" w:hAnsi="宋体" w:eastAsia="黑体"/>
          <w:b/>
          <w:color w:val="auto"/>
          <w:sz w:val="28"/>
          <w:szCs w:val="28"/>
          <w:highlight w:val="none"/>
        </w:rPr>
        <w:t>1</w:t>
      </w:r>
      <w:r>
        <w:rPr>
          <w:rFonts w:hint="eastAsia" w:ascii="黑体" w:hAnsi="宋体" w:eastAsia="黑体"/>
          <w:b/>
          <w:color w:val="auto"/>
          <w:sz w:val="28"/>
          <w:szCs w:val="28"/>
          <w:highlight w:val="none"/>
        </w:rPr>
        <w:t>）</w:t>
      </w:r>
      <w:r>
        <w:rPr>
          <w:rFonts w:hint="eastAsia" w:hAnsi="宋体"/>
          <w:b/>
          <w:color w:val="auto"/>
          <w:sz w:val="28"/>
          <w:szCs w:val="28"/>
          <w:highlight w:val="none"/>
        </w:rPr>
        <w:t>法定代表人身份证明书</w:t>
      </w:r>
      <w:r>
        <w:rPr>
          <w:rFonts w:hint="eastAsia" w:ascii="黑体" w:hAnsi="宋体" w:eastAsia="黑体"/>
          <w:b/>
          <w:color w:val="auto"/>
          <w:sz w:val="28"/>
          <w:szCs w:val="28"/>
          <w:highlight w:val="none"/>
        </w:rPr>
        <w:t>（格式）</w:t>
      </w:r>
    </w:p>
    <w:p>
      <w:pPr>
        <w:pStyle w:val="8"/>
        <w:spacing w:line="400" w:lineRule="exact"/>
        <w:jc w:val="center"/>
        <w:rPr>
          <w:rFonts w:hAnsi="宋体"/>
          <w:b/>
          <w:color w:val="auto"/>
          <w:sz w:val="28"/>
          <w:szCs w:val="28"/>
          <w:highlight w:val="none"/>
        </w:rPr>
      </w:pPr>
    </w:p>
    <w:p>
      <w:pPr>
        <w:pStyle w:val="8"/>
        <w:spacing w:line="400" w:lineRule="exact"/>
        <w:jc w:val="center"/>
        <w:rPr>
          <w:rFonts w:hAnsi="宋体"/>
          <w:b/>
          <w:color w:val="auto"/>
          <w:sz w:val="28"/>
          <w:szCs w:val="28"/>
          <w:highlight w:val="none"/>
        </w:rPr>
      </w:pPr>
      <w:r>
        <w:rPr>
          <w:rFonts w:hint="eastAsia" w:hAnsi="宋体"/>
          <w:b/>
          <w:color w:val="auto"/>
          <w:sz w:val="28"/>
          <w:szCs w:val="28"/>
          <w:highlight w:val="none"/>
        </w:rPr>
        <w:t>法定代表人身份证明书</w:t>
      </w:r>
    </w:p>
    <w:p>
      <w:pPr>
        <w:pStyle w:val="8"/>
        <w:spacing w:line="400" w:lineRule="exact"/>
        <w:rPr>
          <w:rFonts w:hAnsi="宋体"/>
          <w:b/>
          <w:color w:val="auto"/>
          <w:szCs w:val="21"/>
          <w:highlight w:val="none"/>
        </w:rPr>
      </w:pPr>
    </w:p>
    <w:p>
      <w:pPr>
        <w:pStyle w:val="8"/>
        <w:spacing w:line="400" w:lineRule="exact"/>
        <w:rPr>
          <w:rFonts w:hAnsi="宋体"/>
          <w:color w:val="auto"/>
          <w:szCs w:val="21"/>
          <w:highlight w:val="none"/>
        </w:rPr>
      </w:pPr>
      <w:r>
        <w:rPr>
          <w:rFonts w:hint="eastAsia" w:hAnsi="宋体"/>
          <w:color w:val="auto"/>
          <w:szCs w:val="21"/>
          <w:highlight w:val="none"/>
        </w:rPr>
        <w:t>单位名称：</w:t>
      </w:r>
      <w:r>
        <w:rPr>
          <w:rFonts w:hAnsi="宋体"/>
          <w:color w:val="auto"/>
          <w:szCs w:val="21"/>
          <w:highlight w:val="none"/>
          <w:u w:val="single"/>
        </w:rPr>
        <w:t xml:space="preserve">                                 </w:t>
      </w:r>
    </w:p>
    <w:p>
      <w:pPr>
        <w:pStyle w:val="8"/>
        <w:spacing w:line="400" w:lineRule="exact"/>
        <w:rPr>
          <w:rFonts w:hAnsi="宋体"/>
          <w:color w:val="auto"/>
          <w:szCs w:val="21"/>
          <w:highlight w:val="none"/>
        </w:rPr>
      </w:pPr>
    </w:p>
    <w:p>
      <w:pPr>
        <w:pStyle w:val="8"/>
        <w:spacing w:line="400" w:lineRule="exact"/>
        <w:rPr>
          <w:rFonts w:hAnsi="宋体"/>
          <w:color w:val="auto"/>
          <w:szCs w:val="21"/>
          <w:highlight w:val="none"/>
        </w:rPr>
      </w:pPr>
      <w:r>
        <w:rPr>
          <w:rFonts w:hint="eastAsia" w:hAnsi="宋体"/>
          <w:color w:val="auto"/>
          <w:szCs w:val="21"/>
          <w:highlight w:val="none"/>
        </w:rPr>
        <w:t>单位性质：</w:t>
      </w:r>
      <w:r>
        <w:rPr>
          <w:rFonts w:hAnsi="宋体"/>
          <w:color w:val="auto"/>
          <w:szCs w:val="21"/>
          <w:highlight w:val="none"/>
          <w:u w:val="single"/>
        </w:rPr>
        <w:t xml:space="preserve">                                 </w:t>
      </w:r>
    </w:p>
    <w:p>
      <w:pPr>
        <w:pStyle w:val="8"/>
        <w:spacing w:line="400" w:lineRule="exact"/>
        <w:rPr>
          <w:rFonts w:hAnsi="宋体"/>
          <w:color w:val="auto"/>
          <w:szCs w:val="21"/>
          <w:highlight w:val="none"/>
        </w:rPr>
      </w:pPr>
    </w:p>
    <w:p>
      <w:pPr>
        <w:pStyle w:val="8"/>
        <w:spacing w:line="400" w:lineRule="exact"/>
        <w:rPr>
          <w:rFonts w:hAnsi="宋体"/>
          <w:color w:val="auto"/>
          <w:szCs w:val="21"/>
          <w:highlight w:val="none"/>
        </w:rPr>
      </w:pPr>
      <w:r>
        <w:rPr>
          <w:rFonts w:hint="eastAsia" w:hAnsi="宋体"/>
          <w:color w:val="auto"/>
          <w:szCs w:val="21"/>
          <w:highlight w:val="none"/>
        </w:rPr>
        <w:t>地址：</w:t>
      </w:r>
      <w:r>
        <w:rPr>
          <w:rFonts w:hAnsi="宋体"/>
          <w:color w:val="auto"/>
          <w:szCs w:val="21"/>
          <w:highlight w:val="none"/>
          <w:u w:val="single"/>
        </w:rPr>
        <w:t xml:space="preserve">                                     </w:t>
      </w:r>
    </w:p>
    <w:p>
      <w:pPr>
        <w:pStyle w:val="8"/>
        <w:spacing w:line="400" w:lineRule="exact"/>
        <w:rPr>
          <w:rFonts w:hAnsi="宋体"/>
          <w:color w:val="auto"/>
          <w:szCs w:val="21"/>
          <w:highlight w:val="none"/>
        </w:rPr>
      </w:pPr>
    </w:p>
    <w:p>
      <w:pPr>
        <w:pStyle w:val="8"/>
        <w:spacing w:line="400" w:lineRule="exact"/>
        <w:rPr>
          <w:rFonts w:hAnsi="宋体"/>
          <w:color w:val="auto"/>
          <w:szCs w:val="21"/>
          <w:highlight w:val="none"/>
        </w:rPr>
      </w:pPr>
      <w:r>
        <w:rPr>
          <w:rFonts w:hint="eastAsia" w:hAnsi="宋体"/>
          <w:color w:val="auto"/>
          <w:szCs w:val="21"/>
          <w:highlight w:val="none"/>
        </w:rPr>
        <w:t>成立时间：</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rPr>
        <w:t xml:space="preserve"> </w:t>
      </w:r>
      <w:r>
        <w:rPr>
          <w:rFonts w:hAnsi="宋体"/>
          <w:color w:val="auto"/>
          <w:szCs w:val="21"/>
          <w:highlight w:val="none"/>
          <w:u w:val="single"/>
        </w:rPr>
        <w:t xml:space="preserve">     </w:t>
      </w:r>
      <w:r>
        <w:rPr>
          <w:rFonts w:hint="eastAsia" w:hAnsi="宋体"/>
          <w:color w:val="auto"/>
          <w:szCs w:val="21"/>
          <w:highlight w:val="none"/>
        </w:rPr>
        <w:t>日</w:t>
      </w:r>
    </w:p>
    <w:p>
      <w:pPr>
        <w:pStyle w:val="8"/>
        <w:spacing w:line="400" w:lineRule="exact"/>
        <w:rPr>
          <w:rFonts w:hAnsi="宋体"/>
          <w:color w:val="auto"/>
          <w:szCs w:val="21"/>
          <w:highlight w:val="none"/>
        </w:rPr>
      </w:pPr>
    </w:p>
    <w:p>
      <w:pPr>
        <w:pStyle w:val="8"/>
        <w:spacing w:line="400" w:lineRule="exact"/>
        <w:rPr>
          <w:rFonts w:hAnsi="宋体"/>
          <w:color w:val="auto"/>
          <w:szCs w:val="21"/>
          <w:highlight w:val="none"/>
        </w:rPr>
      </w:pPr>
      <w:r>
        <w:rPr>
          <w:rFonts w:hint="eastAsia" w:hAnsi="宋体"/>
          <w:color w:val="auto"/>
          <w:szCs w:val="21"/>
          <w:highlight w:val="none"/>
        </w:rPr>
        <w:t>经营期限：</w:t>
      </w:r>
      <w:r>
        <w:rPr>
          <w:rFonts w:hAnsi="宋体"/>
          <w:color w:val="auto"/>
          <w:szCs w:val="21"/>
          <w:highlight w:val="none"/>
          <w:u w:val="single"/>
        </w:rPr>
        <w:t xml:space="preserve">                                 </w:t>
      </w:r>
    </w:p>
    <w:p>
      <w:pPr>
        <w:pStyle w:val="8"/>
        <w:spacing w:line="400" w:lineRule="exact"/>
        <w:rPr>
          <w:rFonts w:hAnsi="宋体"/>
          <w:color w:val="auto"/>
          <w:szCs w:val="21"/>
          <w:highlight w:val="none"/>
        </w:rPr>
      </w:pPr>
    </w:p>
    <w:p>
      <w:pPr>
        <w:pStyle w:val="8"/>
        <w:spacing w:line="400" w:lineRule="exact"/>
        <w:rPr>
          <w:rFonts w:hAnsi="宋体"/>
          <w:color w:val="auto"/>
          <w:szCs w:val="21"/>
          <w:highlight w:val="none"/>
          <w:u w:val="single"/>
        </w:rPr>
      </w:pPr>
      <w:r>
        <w:rPr>
          <w:rFonts w:hint="eastAsia" w:hAnsi="宋体"/>
          <w:color w:val="auto"/>
          <w:szCs w:val="21"/>
          <w:highlight w:val="none"/>
        </w:rPr>
        <w:t>姓名：</w:t>
      </w:r>
      <w:r>
        <w:rPr>
          <w:rFonts w:hAnsi="宋体"/>
          <w:color w:val="auto"/>
          <w:szCs w:val="21"/>
          <w:highlight w:val="none"/>
          <w:u w:val="single"/>
        </w:rPr>
        <w:t xml:space="preserve">             </w:t>
      </w:r>
      <w:r>
        <w:rPr>
          <w:rFonts w:hint="eastAsia" w:hAnsi="宋体"/>
          <w:color w:val="auto"/>
          <w:szCs w:val="21"/>
          <w:highlight w:val="none"/>
        </w:rPr>
        <w:t>性别：</w:t>
      </w:r>
      <w:r>
        <w:rPr>
          <w:rFonts w:hAnsi="宋体"/>
          <w:color w:val="auto"/>
          <w:szCs w:val="21"/>
          <w:highlight w:val="none"/>
          <w:u w:val="single"/>
        </w:rPr>
        <w:t xml:space="preserve">             </w:t>
      </w:r>
      <w:r>
        <w:rPr>
          <w:rFonts w:hint="eastAsia" w:hAnsi="宋体"/>
          <w:color w:val="auto"/>
          <w:szCs w:val="21"/>
          <w:highlight w:val="none"/>
        </w:rPr>
        <w:t>年龄：</w:t>
      </w:r>
      <w:r>
        <w:rPr>
          <w:rFonts w:hAnsi="宋体"/>
          <w:color w:val="auto"/>
          <w:szCs w:val="21"/>
          <w:highlight w:val="none"/>
          <w:u w:val="single"/>
        </w:rPr>
        <w:t xml:space="preserve">             </w:t>
      </w:r>
      <w:r>
        <w:rPr>
          <w:rFonts w:hint="eastAsia" w:hAnsi="宋体"/>
          <w:color w:val="auto"/>
          <w:szCs w:val="21"/>
          <w:highlight w:val="none"/>
        </w:rPr>
        <w:t>职务：</w:t>
      </w:r>
      <w:r>
        <w:rPr>
          <w:rFonts w:hAnsi="宋体"/>
          <w:color w:val="auto"/>
          <w:szCs w:val="21"/>
          <w:highlight w:val="none"/>
          <w:u w:val="single"/>
        </w:rPr>
        <w:t xml:space="preserve">             </w:t>
      </w:r>
    </w:p>
    <w:p>
      <w:pPr>
        <w:pStyle w:val="8"/>
        <w:spacing w:line="400" w:lineRule="exact"/>
        <w:rPr>
          <w:rFonts w:hAnsi="宋体"/>
          <w:color w:val="auto"/>
          <w:szCs w:val="21"/>
          <w:highlight w:val="none"/>
        </w:rPr>
      </w:pPr>
    </w:p>
    <w:p>
      <w:pPr>
        <w:pStyle w:val="8"/>
        <w:spacing w:line="400" w:lineRule="exact"/>
        <w:rPr>
          <w:rFonts w:hAnsi="宋体"/>
          <w:color w:val="auto"/>
          <w:szCs w:val="21"/>
          <w:highlight w:val="none"/>
        </w:rPr>
      </w:pPr>
      <w:r>
        <w:rPr>
          <w:rFonts w:hint="eastAsia" w:hAnsi="宋体"/>
          <w:color w:val="auto"/>
          <w:szCs w:val="21"/>
          <w:highlight w:val="none"/>
        </w:rPr>
        <w:t>系</w:t>
      </w:r>
      <w:r>
        <w:rPr>
          <w:rFonts w:hAnsi="宋体"/>
          <w:color w:val="auto"/>
          <w:szCs w:val="21"/>
          <w:highlight w:val="none"/>
          <w:u w:val="single"/>
        </w:rPr>
        <w:t xml:space="preserve">     </w:t>
      </w:r>
      <w:r>
        <w:rPr>
          <w:rFonts w:hint="eastAsia" w:hAnsi="宋体"/>
          <w:color w:val="auto"/>
          <w:szCs w:val="21"/>
          <w:highlight w:val="none"/>
          <w:u w:val="single"/>
        </w:rPr>
        <w:t>（投标人名称）</w:t>
      </w:r>
      <w:r>
        <w:rPr>
          <w:rFonts w:hAnsi="宋体"/>
          <w:color w:val="auto"/>
          <w:szCs w:val="21"/>
          <w:highlight w:val="none"/>
          <w:u w:val="single"/>
        </w:rPr>
        <w:t xml:space="preserve">     </w:t>
      </w:r>
      <w:r>
        <w:rPr>
          <w:rFonts w:hint="eastAsia" w:hAnsi="宋体"/>
          <w:color w:val="auto"/>
          <w:szCs w:val="21"/>
          <w:highlight w:val="none"/>
        </w:rPr>
        <w:t>的法定代表人。</w:t>
      </w:r>
    </w:p>
    <w:p>
      <w:pPr>
        <w:pStyle w:val="8"/>
        <w:spacing w:line="400" w:lineRule="exact"/>
        <w:rPr>
          <w:rFonts w:hAnsi="宋体"/>
          <w:color w:val="auto"/>
          <w:szCs w:val="21"/>
          <w:highlight w:val="none"/>
        </w:rPr>
      </w:pPr>
    </w:p>
    <w:p>
      <w:pPr>
        <w:pStyle w:val="8"/>
        <w:spacing w:line="400" w:lineRule="exact"/>
        <w:rPr>
          <w:rFonts w:hAnsi="宋体"/>
          <w:color w:val="auto"/>
          <w:szCs w:val="21"/>
          <w:highlight w:val="none"/>
        </w:rPr>
      </w:pPr>
    </w:p>
    <w:p>
      <w:pPr>
        <w:pStyle w:val="8"/>
        <w:spacing w:line="400" w:lineRule="exact"/>
        <w:rPr>
          <w:rFonts w:hAnsi="宋体"/>
          <w:color w:val="auto"/>
          <w:szCs w:val="21"/>
          <w:highlight w:val="none"/>
        </w:rPr>
      </w:pPr>
      <w:r>
        <w:rPr>
          <w:rFonts w:hint="eastAsia" w:hAnsi="宋体"/>
          <w:color w:val="auto"/>
          <w:szCs w:val="21"/>
          <w:highlight w:val="none"/>
        </w:rPr>
        <w:t>特此证明。</w:t>
      </w:r>
    </w:p>
    <w:p>
      <w:pPr>
        <w:pStyle w:val="8"/>
        <w:spacing w:line="400" w:lineRule="exact"/>
        <w:rPr>
          <w:rFonts w:hAnsi="宋体"/>
          <w:color w:val="auto"/>
          <w:szCs w:val="21"/>
          <w:highlight w:val="none"/>
        </w:rPr>
      </w:pPr>
      <w:r>
        <w:rPr>
          <w:rFonts w:hint="eastAsia" w:hAnsi="宋体"/>
          <w:color w:val="auto"/>
          <w:szCs w:val="21"/>
          <w:highlight w:val="none"/>
        </w:rPr>
        <w:t>后附：法定代表人二代居民身份证复印件。</w:t>
      </w:r>
    </w:p>
    <w:p>
      <w:pPr>
        <w:pStyle w:val="8"/>
        <w:spacing w:line="400" w:lineRule="exact"/>
        <w:rPr>
          <w:rFonts w:hAnsi="宋体"/>
          <w:color w:val="auto"/>
          <w:szCs w:val="21"/>
          <w:highlight w:val="none"/>
        </w:rPr>
      </w:pPr>
    </w:p>
    <w:p>
      <w:pPr>
        <w:pStyle w:val="8"/>
        <w:spacing w:line="400" w:lineRule="exact"/>
        <w:rPr>
          <w:rFonts w:hAnsi="宋体"/>
          <w:color w:val="auto"/>
          <w:szCs w:val="21"/>
          <w:highlight w:val="none"/>
        </w:rPr>
      </w:pPr>
    </w:p>
    <w:p>
      <w:pPr>
        <w:pStyle w:val="8"/>
        <w:spacing w:line="400" w:lineRule="exact"/>
        <w:rPr>
          <w:rFonts w:hAnsi="宋体"/>
          <w:color w:val="auto"/>
          <w:szCs w:val="21"/>
          <w:highlight w:val="none"/>
          <w:u w:val="single"/>
        </w:rPr>
      </w:pPr>
      <w:r>
        <w:rPr>
          <w:rFonts w:hint="eastAsia" w:hAnsi="宋体"/>
          <w:color w:val="auto"/>
          <w:szCs w:val="21"/>
          <w:highlight w:val="none"/>
        </w:rPr>
        <w:t>法定代表人身份证号码：</w:t>
      </w:r>
      <w:r>
        <w:rPr>
          <w:rFonts w:hAnsi="宋体"/>
          <w:color w:val="auto"/>
          <w:szCs w:val="21"/>
          <w:highlight w:val="none"/>
          <w:u w:val="single"/>
        </w:rPr>
        <w:t xml:space="preserve">                                 </w:t>
      </w:r>
    </w:p>
    <w:p>
      <w:pPr>
        <w:pStyle w:val="8"/>
        <w:spacing w:line="400" w:lineRule="exact"/>
        <w:rPr>
          <w:rFonts w:hAnsi="宋体"/>
          <w:color w:val="auto"/>
          <w:szCs w:val="21"/>
          <w:highlight w:val="none"/>
        </w:rPr>
      </w:pPr>
      <w:r>
        <w:rPr>
          <w:rFonts w:hint="eastAsia" w:hAnsi="宋体"/>
          <w:color w:val="auto"/>
          <w:szCs w:val="21"/>
          <w:highlight w:val="none"/>
        </w:rPr>
        <w:t>联系电话：</w:t>
      </w:r>
      <w:r>
        <w:rPr>
          <w:rFonts w:hAnsi="宋体"/>
          <w:color w:val="auto"/>
          <w:szCs w:val="21"/>
          <w:highlight w:val="none"/>
          <w:u w:val="single"/>
        </w:rPr>
        <w:t xml:space="preserve">                                             </w:t>
      </w:r>
    </w:p>
    <w:p>
      <w:pPr>
        <w:pStyle w:val="8"/>
        <w:spacing w:line="400" w:lineRule="exact"/>
        <w:rPr>
          <w:rFonts w:hAnsi="宋体"/>
          <w:color w:val="auto"/>
          <w:szCs w:val="21"/>
          <w:highlight w:val="none"/>
        </w:rPr>
      </w:pPr>
    </w:p>
    <w:p>
      <w:pPr>
        <w:pStyle w:val="8"/>
        <w:spacing w:line="400" w:lineRule="exact"/>
        <w:rPr>
          <w:rFonts w:hAnsi="宋体"/>
          <w:color w:val="auto"/>
          <w:szCs w:val="21"/>
          <w:highlight w:val="none"/>
          <w:u w:val="single"/>
        </w:rPr>
      </w:pPr>
      <w:r>
        <w:rPr>
          <w:rFonts w:hint="eastAsia" w:hAnsi="宋体"/>
          <w:color w:val="auto"/>
          <w:szCs w:val="21"/>
          <w:highlight w:val="none"/>
        </w:rPr>
        <w:t>投标人名称(电子签章)：</w:t>
      </w:r>
      <w:r>
        <w:rPr>
          <w:rFonts w:hint="eastAsia" w:hAnsi="宋体"/>
          <w:color w:val="auto"/>
          <w:szCs w:val="21"/>
          <w:highlight w:val="none"/>
          <w:u w:val="single"/>
        </w:rPr>
        <w:t xml:space="preserve">                                   </w:t>
      </w:r>
    </w:p>
    <w:p>
      <w:pPr>
        <w:pStyle w:val="8"/>
        <w:spacing w:line="400" w:lineRule="exact"/>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pPr>
        <w:tabs>
          <w:tab w:val="left" w:pos="1305"/>
        </w:tabs>
        <w:spacing w:line="400" w:lineRule="exact"/>
        <w:rPr>
          <w:rFonts w:hAnsi="宋体"/>
          <w:b/>
          <w:color w:val="auto"/>
          <w:szCs w:val="21"/>
          <w:highlight w:val="none"/>
        </w:rPr>
      </w:pPr>
      <w:r>
        <w:rPr>
          <w:rFonts w:hAnsi="宋体"/>
          <w:b/>
          <w:color w:val="auto"/>
          <w:szCs w:val="21"/>
          <w:highlight w:val="none"/>
        </w:rPr>
        <w:br w:type="page"/>
      </w:r>
    </w:p>
    <w:p>
      <w:pPr>
        <w:tabs>
          <w:tab w:val="left" w:pos="1305"/>
        </w:tabs>
        <w:spacing w:line="400" w:lineRule="exact"/>
        <w:rPr>
          <w:rFonts w:hAnsi="宋体"/>
          <w:b/>
          <w:color w:val="auto"/>
          <w:sz w:val="28"/>
          <w:szCs w:val="28"/>
          <w:highlight w:val="none"/>
        </w:rPr>
      </w:pPr>
    </w:p>
    <w:p>
      <w:pPr>
        <w:tabs>
          <w:tab w:val="left" w:pos="1305"/>
        </w:tabs>
        <w:spacing w:line="400" w:lineRule="exact"/>
        <w:rPr>
          <w:rFonts w:hAnsi="宋体"/>
          <w:b/>
          <w:color w:val="auto"/>
          <w:sz w:val="28"/>
          <w:szCs w:val="28"/>
          <w:highlight w:val="none"/>
        </w:rPr>
      </w:pPr>
      <w:r>
        <w:rPr>
          <w:rFonts w:hint="eastAsia" w:hAnsi="宋体"/>
          <w:b/>
          <w:color w:val="auto"/>
          <w:sz w:val="28"/>
          <w:szCs w:val="28"/>
          <w:highlight w:val="none"/>
        </w:rPr>
        <w:t>（</w:t>
      </w:r>
      <w:r>
        <w:rPr>
          <w:rFonts w:hAnsi="宋体"/>
          <w:b/>
          <w:color w:val="auto"/>
          <w:sz w:val="28"/>
          <w:szCs w:val="28"/>
          <w:highlight w:val="none"/>
        </w:rPr>
        <w:t>2</w:t>
      </w:r>
      <w:r>
        <w:rPr>
          <w:rFonts w:hint="eastAsia" w:hAnsi="宋体"/>
          <w:b/>
          <w:color w:val="auto"/>
          <w:sz w:val="28"/>
          <w:szCs w:val="28"/>
          <w:highlight w:val="none"/>
        </w:rPr>
        <w:t>）法定代表人授权委托书（格式）</w:t>
      </w:r>
    </w:p>
    <w:p>
      <w:pPr>
        <w:pStyle w:val="8"/>
        <w:spacing w:line="400" w:lineRule="exact"/>
        <w:jc w:val="center"/>
        <w:rPr>
          <w:rFonts w:hAnsi="宋体"/>
          <w:b/>
          <w:color w:val="auto"/>
          <w:sz w:val="28"/>
          <w:szCs w:val="28"/>
          <w:highlight w:val="none"/>
        </w:rPr>
      </w:pPr>
    </w:p>
    <w:p>
      <w:pPr>
        <w:pStyle w:val="8"/>
        <w:spacing w:line="400" w:lineRule="exact"/>
        <w:jc w:val="center"/>
        <w:rPr>
          <w:rFonts w:hAnsi="宋体"/>
          <w:b/>
          <w:color w:val="auto"/>
          <w:sz w:val="28"/>
          <w:szCs w:val="28"/>
          <w:highlight w:val="none"/>
        </w:rPr>
      </w:pPr>
      <w:r>
        <w:rPr>
          <w:rFonts w:hint="eastAsia" w:hAnsi="宋体"/>
          <w:b/>
          <w:color w:val="auto"/>
          <w:sz w:val="28"/>
          <w:szCs w:val="28"/>
          <w:highlight w:val="none"/>
        </w:rPr>
        <w:t>法定</w:t>
      </w:r>
      <w:r>
        <w:rPr>
          <w:rFonts w:hAnsi="宋体"/>
          <w:b/>
          <w:color w:val="auto"/>
          <w:sz w:val="28"/>
          <w:szCs w:val="28"/>
          <w:highlight w:val="none"/>
        </w:rPr>
        <w:t>代表人</w:t>
      </w:r>
      <w:r>
        <w:rPr>
          <w:rFonts w:hint="eastAsia" w:hAnsi="宋体"/>
          <w:b/>
          <w:color w:val="auto"/>
          <w:sz w:val="28"/>
          <w:szCs w:val="28"/>
          <w:highlight w:val="none"/>
        </w:rPr>
        <w:t>授权委托书</w:t>
      </w:r>
    </w:p>
    <w:p>
      <w:pPr>
        <w:pStyle w:val="8"/>
        <w:spacing w:line="400" w:lineRule="exact"/>
        <w:rPr>
          <w:rFonts w:hAnsi="宋体"/>
          <w:b/>
          <w:color w:val="auto"/>
          <w:sz w:val="28"/>
          <w:szCs w:val="28"/>
          <w:highlight w:val="none"/>
        </w:rPr>
      </w:pPr>
    </w:p>
    <w:p>
      <w:pPr>
        <w:pStyle w:val="8"/>
        <w:spacing w:line="400" w:lineRule="exact"/>
        <w:ind w:firstLine="525" w:firstLineChars="250"/>
        <w:rPr>
          <w:rFonts w:hAnsi="宋体"/>
          <w:color w:val="auto"/>
          <w:szCs w:val="21"/>
          <w:highlight w:val="none"/>
        </w:rPr>
      </w:pPr>
      <w:r>
        <w:rPr>
          <w:rFonts w:hint="eastAsia" w:hAnsi="宋体"/>
          <w:color w:val="auto"/>
          <w:szCs w:val="21"/>
          <w:highlight w:val="none"/>
        </w:rPr>
        <w:t>本授权书声明：我</w:t>
      </w:r>
      <w:r>
        <w:rPr>
          <w:rFonts w:hAnsi="宋体"/>
          <w:color w:val="auto"/>
          <w:szCs w:val="21"/>
          <w:highlight w:val="none"/>
          <w:u w:val="single"/>
        </w:rPr>
        <w:t xml:space="preserve">             </w:t>
      </w:r>
      <w:r>
        <w:rPr>
          <w:rFonts w:hint="eastAsia" w:hAnsi="宋体"/>
          <w:color w:val="auto"/>
          <w:szCs w:val="21"/>
          <w:highlight w:val="none"/>
        </w:rPr>
        <w:t>（名字）系</w:t>
      </w:r>
      <w:r>
        <w:rPr>
          <w:rFonts w:hAnsi="宋体"/>
          <w:color w:val="auto"/>
          <w:szCs w:val="21"/>
          <w:highlight w:val="none"/>
          <w:u w:val="single"/>
        </w:rPr>
        <w:t xml:space="preserve">        </w:t>
      </w:r>
      <w:r>
        <w:rPr>
          <w:rFonts w:hint="eastAsia" w:hAnsi="宋体"/>
          <w:color w:val="auto"/>
          <w:szCs w:val="21"/>
          <w:highlight w:val="none"/>
          <w:u w:val="single"/>
        </w:rPr>
        <w:t>（投标人名称）</w:t>
      </w:r>
      <w:r>
        <w:rPr>
          <w:rFonts w:hAnsi="宋体"/>
          <w:color w:val="auto"/>
          <w:szCs w:val="21"/>
          <w:highlight w:val="none"/>
          <w:u w:val="single"/>
        </w:rPr>
        <w:t xml:space="preserve">       </w:t>
      </w:r>
      <w:r>
        <w:rPr>
          <w:rFonts w:hint="eastAsia" w:hAnsi="宋体"/>
          <w:color w:val="auto"/>
          <w:szCs w:val="21"/>
          <w:highlight w:val="none"/>
        </w:rPr>
        <w:t>的法定代表人，现授权</w:t>
      </w:r>
      <w:r>
        <w:rPr>
          <w:rFonts w:hAnsi="宋体"/>
          <w:color w:val="auto"/>
          <w:szCs w:val="21"/>
          <w:highlight w:val="none"/>
          <w:u w:val="single"/>
        </w:rPr>
        <w:t xml:space="preserve">      </w:t>
      </w:r>
      <w:r>
        <w:rPr>
          <w:rFonts w:hint="eastAsia" w:hAnsi="宋体"/>
          <w:color w:val="auto"/>
          <w:szCs w:val="21"/>
          <w:highlight w:val="none"/>
          <w:u w:val="single"/>
        </w:rPr>
        <w:t>（单位名称）</w:t>
      </w:r>
      <w:r>
        <w:rPr>
          <w:rFonts w:hAnsi="宋体"/>
          <w:color w:val="auto"/>
          <w:szCs w:val="21"/>
          <w:highlight w:val="none"/>
          <w:u w:val="single"/>
        </w:rPr>
        <w:t xml:space="preserve">       </w:t>
      </w:r>
      <w:r>
        <w:rPr>
          <w:rFonts w:hint="eastAsia" w:hAnsi="宋体"/>
          <w:color w:val="auto"/>
          <w:szCs w:val="21"/>
          <w:highlight w:val="none"/>
        </w:rPr>
        <w:t>的</w:t>
      </w:r>
      <w:r>
        <w:rPr>
          <w:rFonts w:hAnsi="宋体"/>
          <w:color w:val="auto"/>
          <w:szCs w:val="21"/>
          <w:highlight w:val="none"/>
          <w:u w:val="single"/>
        </w:rPr>
        <w:t xml:space="preserve">       </w:t>
      </w:r>
      <w:r>
        <w:rPr>
          <w:rFonts w:hint="eastAsia" w:hAnsi="宋体"/>
          <w:color w:val="auto"/>
          <w:szCs w:val="21"/>
          <w:highlight w:val="none"/>
          <w:u w:val="single"/>
        </w:rPr>
        <w:t>（姓名）</w:t>
      </w:r>
      <w:r>
        <w:rPr>
          <w:rFonts w:hAnsi="宋体"/>
          <w:color w:val="auto"/>
          <w:szCs w:val="21"/>
          <w:highlight w:val="none"/>
          <w:u w:val="single"/>
        </w:rPr>
        <w:t xml:space="preserve">     </w:t>
      </w:r>
      <w:r>
        <w:rPr>
          <w:rFonts w:hint="eastAsia" w:hAnsi="宋体"/>
          <w:color w:val="auto"/>
          <w:szCs w:val="21"/>
          <w:highlight w:val="none"/>
        </w:rPr>
        <w:t>为我公司授权代理人，以本公司名义参加</w:t>
      </w:r>
      <w:r>
        <w:rPr>
          <w:rFonts w:hAnsi="宋体"/>
          <w:color w:val="auto"/>
          <w:szCs w:val="21"/>
          <w:highlight w:val="none"/>
          <w:u w:val="single"/>
        </w:rPr>
        <w:t xml:space="preserve">         </w:t>
      </w:r>
      <w:r>
        <w:rPr>
          <w:rFonts w:hint="eastAsia" w:hAnsi="宋体"/>
          <w:color w:val="auto"/>
          <w:szCs w:val="21"/>
          <w:highlight w:val="none"/>
          <w:u w:val="single"/>
        </w:rPr>
        <w:t>（采购人名称）</w:t>
      </w:r>
      <w:r>
        <w:rPr>
          <w:rFonts w:hAnsi="宋体"/>
          <w:color w:val="auto"/>
          <w:szCs w:val="21"/>
          <w:highlight w:val="none"/>
          <w:u w:val="single"/>
        </w:rPr>
        <w:t xml:space="preserve">         </w:t>
      </w:r>
      <w:r>
        <w:rPr>
          <w:rFonts w:hint="eastAsia" w:hAnsi="宋体"/>
          <w:color w:val="auto"/>
          <w:szCs w:val="21"/>
          <w:highlight w:val="none"/>
        </w:rPr>
        <w:t>的</w:t>
      </w:r>
      <w:r>
        <w:rPr>
          <w:rFonts w:hAnsi="宋体"/>
          <w:color w:val="auto"/>
          <w:szCs w:val="21"/>
          <w:highlight w:val="none"/>
          <w:u w:val="single"/>
        </w:rPr>
        <w:t xml:space="preserve">     </w:t>
      </w:r>
      <w:r>
        <w:rPr>
          <w:rFonts w:hint="eastAsia" w:hAnsi="宋体"/>
          <w:color w:val="auto"/>
          <w:szCs w:val="21"/>
          <w:highlight w:val="none"/>
          <w:u w:val="single"/>
        </w:rPr>
        <w:t>（项目名称）</w:t>
      </w:r>
      <w:r>
        <w:rPr>
          <w:rFonts w:hAnsi="宋体"/>
          <w:color w:val="auto"/>
          <w:szCs w:val="21"/>
          <w:highlight w:val="none"/>
          <w:u w:val="single"/>
        </w:rPr>
        <w:t xml:space="preserve">  </w:t>
      </w:r>
      <w:r>
        <w:rPr>
          <w:rFonts w:hint="eastAsia" w:hAnsi="宋体"/>
          <w:color w:val="auto"/>
          <w:szCs w:val="21"/>
          <w:highlight w:val="none"/>
          <w:u w:val="single"/>
        </w:rPr>
        <w:t>（项目编号）</w:t>
      </w:r>
      <w:r>
        <w:rPr>
          <w:rFonts w:hAnsi="宋体"/>
          <w:color w:val="auto"/>
          <w:szCs w:val="21"/>
          <w:highlight w:val="none"/>
          <w:u w:val="single"/>
        </w:rPr>
        <w:t xml:space="preserve">       </w:t>
      </w:r>
      <w:r>
        <w:rPr>
          <w:rFonts w:hint="eastAsia" w:hAnsi="宋体"/>
          <w:color w:val="auto"/>
          <w:szCs w:val="21"/>
          <w:highlight w:val="none"/>
        </w:rPr>
        <w:t>的</w:t>
      </w:r>
      <w:r>
        <w:rPr>
          <w:rFonts w:hint="eastAsia" w:hAnsi="宋体"/>
          <w:color w:val="auto"/>
          <w:szCs w:val="21"/>
          <w:highlight w:val="none"/>
          <w:u w:val="single"/>
        </w:rPr>
        <w:t xml:space="preserve">    </w:t>
      </w:r>
      <w:r>
        <w:rPr>
          <w:rFonts w:hint="eastAsia" w:hAnsi="宋体"/>
          <w:color w:val="auto"/>
          <w:szCs w:val="21"/>
          <w:highlight w:val="none"/>
        </w:rPr>
        <w:t>标段的投标活动。授权代理人在投标和合同招标过程中所签署的一切文件和处理与之有关的一切事务，我均以承认。</w:t>
      </w:r>
    </w:p>
    <w:p>
      <w:pPr>
        <w:pStyle w:val="8"/>
        <w:spacing w:line="400" w:lineRule="exact"/>
        <w:rPr>
          <w:rFonts w:hAnsi="宋体"/>
          <w:color w:val="auto"/>
          <w:szCs w:val="21"/>
          <w:highlight w:val="none"/>
        </w:rPr>
      </w:pPr>
    </w:p>
    <w:p>
      <w:pPr>
        <w:pStyle w:val="8"/>
        <w:spacing w:line="400" w:lineRule="exact"/>
        <w:rPr>
          <w:rFonts w:hAnsi="宋体"/>
          <w:color w:val="auto"/>
          <w:szCs w:val="21"/>
          <w:highlight w:val="none"/>
        </w:rPr>
      </w:pPr>
    </w:p>
    <w:p>
      <w:pPr>
        <w:pStyle w:val="8"/>
        <w:spacing w:line="400" w:lineRule="exact"/>
        <w:rPr>
          <w:rFonts w:hAnsi="宋体"/>
          <w:color w:val="auto"/>
          <w:szCs w:val="21"/>
          <w:highlight w:val="none"/>
        </w:rPr>
      </w:pPr>
      <w:r>
        <w:rPr>
          <w:rFonts w:hint="eastAsia" w:hAnsi="宋体"/>
          <w:color w:val="auto"/>
          <w:szCs w:val="21"/>
          <w:highlight w:val="none"/>
        </w:rPr>
        <w:t>授权代理人无转授权，特此授权。</w:t>
      </w:r>
    </w:p>
    <w:p>
      <w:pPr>
        <w:pStyle w:val="8"/>
        <w:spacing w:line="400" w:lineRule="exact"/>
        <w:rPr>
          <w:rFonts w:hAnsi="宋体"/>
          <w:color w:val="auto"/>
          <w:szCs w:val="21"/>
          <w:highlight w:val="none"/>
        </w:rPr>
      </w:pPr>
      <w:r>
        <w:rPr>
          <w:rFonts w:hint="eastAsia" w:hAnsi="宋体"/>
          <w:color w:val="auto"/>
          <w:szCs w:val="21"/>
          <w:highlight w:val="none"/>
        </w:rPr>
        <w:t>后附：委托代理人二代居民身份证复印件</w:t>
      </w:r>
    </w:p>
    <w:p>
      <w:pPr>
        <w:pStyle w:val="8"/>
        <w:spacing w:line="400" w:lineRule="exact"/>
        <w:rPr>
          <w:rFonts w:hAnsi="宋体"/>
          <w:color w:val="auto"/>
          <w:szCs w:val="21"/>
          <w:highlight w:val="none"/>
        </w:rPr>
      </w:pPr>
    </w:p>
    <w:p>
      <w:pPr>
        <w:pStyle w:val="8"/>
        <w:spacing w:line="400" w:lineRule="exact"/>
        <w:rPr>
          <w:rFonts w:hAnsi="宋体"/>
          <w:color w:val="auto"/>
          <w:szCs w:val="21"/>
          <w:highlight w:val="none"/>
        </w:rPr>
      </w:pPr>
    </w:p>
    <w:p>
      <w:pPr>
        <w:pStyle w:val="8"/>
        <w:spacing w:line="400" w:lineRule="exact"/>
        <w:rPr>
          <w:rFonts w:hAnsi="宋体"/>
          <w:color w:val="auto"/>
          <w:szCs w:val="21"/>
          <w:highlight w:val="none"/>
          <w:u w:val="single"/>
        </w:rPr>
      </w:pPr>
      <w:r>
        <w:rPr>
          <w:rFonts w:hint="eastAsia" w:hAnsi="宋体"/>
          <w:color w:val="auto"/>
          <w:szCs w:val="21"/>
          <w:highlight w:val="none"/>
        </w:rPr>
        <w:t>代理人：</w:t>
      </w:r>
      <w:r>
        <w:rPr>
          <w:rFonts w:hAnsi="宋体"/>
          <w:color w:val="auto"/>
          <w:szCs w:val="21"/>
          <w:highlight w:val="none"/>
          <w:u w:val="single"/>
        </w:rPr>
        <w:t xml:space="preserve">   </w:t>
      </w:r>
      <w:r>
        <w:rPr>
          <w:rFonts w:hint="eastAsia" w:hAnsi="宋体"/>
          <w:color w:val="auto"/>
          <w:szCs w:val="21"/>
          <w:highlight w:val="none"/>
          <w:u w:val="single"/>
        </w:rPr>
        <w:t>（签字）</w:t>
      </w:r>
      <w:r>
        <w:rPr>
          <w:rFonts w:hAnsi="宋体"/>
          <w:color w:val="auto"/>
          <w:szCs w:val="21"/>
          <w:highlight w:val="none"/>
          <w:u w:val="single"/>
        </w:rPr>
        <w:t xml:space="preserve">    </w:t>
      </w:r>
      <w:r>
        <w:rPr>
          <w:rFonts w:hint="eastAsia" w:hAnsi="宋体"/>
          <w:color w:val="auto"/>
          <w:szCs w:val="21"/>
          <w:highlight w:val="none"/>
        </w:rPr>
        <w:t>性别：</w:t>
      </w:r>
      <w:r>
        <w:rPr>
          <w:rFonts w:hAnsi="宋体"/>
          <w:color w:val="auto"/>
          <w:szCs w:val="21"/>
          <w:highlight w:val="none"/>
          <w:u w:val="single"/>
        </w:rPr>
        <w:t xml:space="preserve">           </w:t>
      </w:r>
      <w:r>
        <w:rPr>
          <w:rFonts w:hAnsi="宋体"/>
          <w:color w:val="auto"/>
          <w:szCs w:val="21"/>
          <w:highlight w:val="none"/>
        </w:rPr>
        <w:t xml:space="preserve"> </w:t>
      </w:r>
      <w:r>
        <w:rPr>
          <w:rFonts w:hint="eastAsia" w:hAnsi="宋体"/>
          <w:color w:val="auto"/>
          <w:szCs w:val="21"/>
          <w:highlight w:val="none"/>
        </w:rPr>
        <w:t>年龄：</w:t>
      </w:r>
      <w:r>
        <w:rPr>
          <w:rFonts w:hAnsi="宋体"/>
          <w:color w:val="auto"/>
          <w:szCs w:val="21"/>
          <w:highlight w:val="none"/>
          <w:u w:val="single"/>
        </w:rPr>
        <w:t xml:space="preserve">           </w:t>
      </w:r>
    </w:p>
    <w:p>
      <w:pPr>
        <w:pStyle w:val="8"/>
        <w:spacing w:line="400" w:lineRule="exact"/>
        <w:rPr>
          <w:rFonts w:hAnsi="宋体"/>
          <w:color w:val="auto"/>
          <w:szCs w:val="21"/>
          <w:highlight w:val="none"/>
        </w:rPr>
      </w:pPr>
      <w:r>
        <w:rPr>
          <w:rFonts w:hint="eastAsia" w:hAnsi="宋体"/>
          <w:color w:val="auto"/>
          <w:szCs w:val="21"/>
          <w:highlight w:val="none"/>
        </w:rPr>
        <w:t>身份证号码：</w:t>
      </w:r>
      <w:r>
        <w:rPr>
          <w:rFonts w:hAnsi="宋体"/>
          <w:color w:val="auto"/>
          <w:szCs w:val="21"/>
          <w:highlight w:val="none"/>
          <w:u w:val="single"/>
        </w:rPr>
        <w:t xml:space="preserve">                                              </w:t>
      </w:r>
    </w:p>
    <w:p>
      <w:pPr>
        <w:pStyle w:val="8"/>
        <w:spacing w:line="400" w:lineRule="exact"/>
        <w:rPr>
          <w:rFonts w:hAnsi="宋体"/>
          <w:color w:val="auto"/>
          <w:szCs w:val="21"/>
          <w:highlight w:val="none"/>
        </w:rPr>
      </w:pPr>
      <w:r>
        <w:rPr>
          <w:rFonts w:hint="eastAsia" w:hAnsi="宋体"/>
          <w:color w:val="auto"/>
          <w:szCs w:val="21"/>
          <w:highlight w:val="none"/>
        </w:rPr>
        <w:t>职务：</w:t>
      </w:r>
      <w:r>
        <w:rPr>
          <w:rFonts w:hAnsi="宋体"/>
          <w:color w:val="auto"/>
          <w:szCs w:val="21"/>
          <w:highlight w:val="none"/>
          <w:u w:val="single"/>
        </w:rPr>
        <w:t xml:space="preserve">                                                    </w:t>
      </w:r>
    </w:p>
    <w:p>
      <w:pPr>
        <w:pStyle w:val="8"/>
        <w:spacing w:line="400" w:lineRule="exact"/>
        <w:rPr>
          <w:rFonts w:hAnsi="宋体"/>
          <w:color w:val="auto"/>
          <w:szCs w:val="21"/>
          <w:highlight w:val="none"/>
          <w:u w:val="single"/>
        </w:rPr>
      </w:pPr>
      <w:r>
        <w:rPr>
          <w:rFonts w:hint="eastAsia" w:hAnsi="宋体"/>
          <w:color w:val="auto"/>
          <w:szCs w:val="21"/>
          <w:highlight w:val="none"/>
        </w:rPr>
        <w:t>投标人名称(电子签章)：</w:t>
      </w:r>
      <w:r>
        <w:rPr>
          <w:rFonts w:hint="eastAsia" w:hAnsi="宋体"/>
          <w:color w:val="auto"/>
          <w:szCs w:val="21"/>
          <w:highlight w:val="none"/>
          <w:u w:val="single"/>
        </w:rPr>
        <w:t xml:space="preserve">                                   </w:t>
      </w:r>
    </w:p>
    <w:p>
      <w:pPr>
        <w:pStyle w:val="8"/>
        <w:spacing w:line="400" w:lineRule="exact"/>
        <w:rPr>
          <w:rFonts w:hAnsi="宋体"/>
          <w:color w:val="auto"/>
          <w:szCs w:val="21"/>
          <w:highlight w:val="none"/>
        </w:rPr>
      </w:pPr>
      <w:r>
        <w:rPr>
          <w:rFonts w:hint="eastAsia" w:hAnsi="宋体"/>
          <w:color w:val="auto"/>
          <w:szCs w:val="21"/>
          <w:highlight w:val="none"/>
        </w:rPr>
        <w:t>法定代表人：</w:t>
      </w:r>
      <w:r>
        <w:rPr>
          <w:rFonts w:hAnsi="宋体"/>
          <w:color w:val="auto"/>
          <w:szCs w:val="21"/>
          <w:highlight w:val="none"/>
          <w:u w:val="single"/>
        </w:rPr>
        <w:t xml:space="preserve">                                  </w:t>
      </w:r>
      <w:r>
        <w:rPr>
          <w:rFonts w:hint="eastAsia" w:hAnsi="宋体"/>
          <w:color w:val="auto"/>
          <w:szCs w:val="21"/>
          <w:highlight w:val="none"/>
        </w:rPr>
        <w:t>（</w:t>
      </w:r>
      <w:r>
        <w:rPr>
          <w:rFonts w:hint="eastAsia"/>
          <w:color w:val="auto"/>
          <w:highlight w:val="none"/>
        </w:rPr>
        <w:t>电子签章</w:t>
      </w:r>
      <w:r>
        <w:rPr>
          <w:rFonts w:hint="eastAsia" w:hAnsi="宋体"/>
          <w:color w:val="auto"/>
          <w:szCs w:val="21"/>
          <w:highlight w:val="none"/>
        </w:rPr>
        <w:t>）</w:t>
      </w:r>
    </w:p>
    <w:p>
      <w:pPr>
        <w:pStyle w:val="8"/>
        <w:spacing w:line="400" w:lineRule="exact"/>
        <w:rPr>
          <w:rFonts w:hAnsi="宋体"/>
          <w:color w:val="auto"/>
          <w:szCs w:val="21"/>
          <w:highlight w:val="none"/>
          <w:u w:val="single"/>
        </w:rPr>
      </w:pPr>
      <w:r>
        <w:rPr>
          <w:rFonts w:hint="eastAsia" w:hAnsi="宋体"/>
          <w:color w:val="auto"/>
          <w:szCs w:val="21"/>
          <w:highlight w:val="none"/>
        </w:rPr>
        <w:t>法定</w:t>
      </w:r>
      <w:r>
        <w:rPr>
          <w:rFonts w:hAnsi="宋体"/>
          <w:color w:val="auto"/>
          <w:szCs w:val="21"/>
          <w:highlight w:val="none"/>
        </w:rPr>
        <w:t>代表人身份证号</w:t>
      </w:r>
      <w:r>
        <w:rPr>
          <w:rFonts w:hint="eastAsia" w:hAnsi="宋体"/>
          <w:color w:val="auto"/>
          <w:szCs w:val="21"/>
          <w:highlight w:val="none"/>
        </w:rPr>
        <w:t>码</w:t>
      </w:r>
      <w:r>
        <w:rPr>
          <w:rFonts w:hAnsi="宋体"/>
          <w:color w:val="auto"/>
          <w:szCs w:val="21"/>
          <w:highlight w:val="none"/>
        </w:rPr>
        <w:t>：</w:t>
      </w:r>
      <w:r>
        <w:rPr>
          <w:rFonts w:hint="eastAsia" w:hAnsi="宋体"/>
          <w:color w:val="auto"/>
          <w:szCs w:val="21"/>
          <w:highlight w:val="none"/>
          <w:u w:val="single"/>
        </w:rPr>
        <w:t xml:space="preserve"> </w:t>
      </w:r>
      <w:r>
        <w:rPr>
          <w:rFonts w:hAnsi="宋体"/>
          <w:color w:val="auto"/>
          <w:szCs w:val="21"/>
          <w:highlight w:val="none"/>
          <w:u w:val="single"/>
        </w:rPr>
        <w:t xml:space="preserve">                         </w:t>
      </w:r>
    </w:p>
    <w:p>
      <w:pPr>
        <w:pStyle w:val="8"/>
        <w:spacing w:line="400" w:lineRule="exact"/>
        <w:rPr>
          <w:rFonts w:hAnsi="宋体"/>
          <w:color w:val="auto"/>
          <w:szCs w:val="21"/>
          <w:highlight w:val="none"/>
        </w:rPr>
      </w:pPr>
      <w:r>
        <w:rPr>
          <w:rFonts w:hint="eastAsia" w:hAnsi="宋体"/>
          <w:color w:val="auto"/>
          <w:szCs w:val="21"/>
          <w:highlight w:val="none"/>
        </w:rPr>
        <w:t>授权日期：</w:t>
      </w:r>
      <w:r>
        <w:rPr>
          <w:rFonts w:hAnsi="宋体"/>
          <w:color w:val="auto"/>
          <w:szCs w:val="21"/>
          <w:highlight w:val="none"/>
        </w:rPr>
        <w:t xml:space="preserve"> </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rPr>
        <w:t xml:space="preserve"> </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rPr>
        <w:t xml:space="preserve"> </w:t>
      </w:r>
      <w:r>
        <w:rPr>
          <w:rFonts w:hAnsi="宋体"/>
          <w:color w:val="auto"/>
          <w:szCs w:val="21"/>
          <w:highlight w:val="none"/>
          <w:u w:val="single"/>
        </w:rPr>
        <w:t xml:space="preserve">     </w:t>
      </w:r>
      <w:r>
        <w:rPr>
          <w:rFonts w:hint="eastAsia" w:hAnsi="宋体"/>
          <w:color w:val="auto"/>
          <w:szCs w:val="21"/>
          <w:highlight w:val="none"/>
        </w:rPr>
        <w:t>日</w:t>
      </w:r>
    </w:p>
    <w:p>
      <w:pPr>
        <w:widowControl/>
        <w:jc w:val="left"/>
        <w:rPr>
          <w:rFonts w:ascii="黑体" w:hAnsi="宋体" w:eastAsia="黑体"/>
          <w:color w:val="auto"/>
          <w:kern w:val="0"/>
          <w:sz w:val="28"/>
          <w:szCs w:val="28"/>
          <w:highlight w:val="none"/>
        </w:rPr>
      </w:pPr>
      <w:r>
        <w:rPr>
          <w:rFonts w:ascii="黑体" w:hAnsi="宋体" w:eastAsia="黑体"/>
          <w:color w:val="auto"/>
          <w:sz w:val="28"/>
          <w:szCs w:val="28"/>
          <w:highlight w:val="none"/>
        </w:rPr>
        <w:br w:type="page"/>
      </w:r>
    </w:p>
    <w:p>
      <w:pPr>
        <w:pStyle w:val="8"/>
        <w:spacing w:line="400" w:lineRule="exact"/>
        <w:ind w:firstLine="280" w:firstLineChars="100"/>
        <w:rPr>
          <w:rFonts w:ascii="黑体" w:hAnsi="宋体" w:eastAsia="黑体"/>
          <w:color w:val="auto"/>
          <w:sz w:val="28"/>
          <w:szCs w:val="28"/>
          <w:highlight w:val="none"/>
        </w:rPr>
      </w:pPr>
    </w:p>
    <w:p>
      <w:pPr>
        <w:pStyle w:val="8"/>
        <w:spacing w:line="400" w:lineRule="exact"/>
        <w:ind w:firstLine="280" w:firstLineChars="100"/>
        <w:rPr>
          <w:rFonts w:hAnsi="宋体"/>
          <w:b/>
          <w:color w:val="auto"/>
          <w:sz w:val="28"/>
          <w:szCs w:val="28"/>
          <w:highlight w:val="none"/>
        </w:rPr>
      </w:pPr>
      <w:r>
        <w:rPr>
          <w:rFonts w:hint="eastAsia" w:ascii="黑体" w:hAnsi="宋体" w:eastAsia="黑体"/>
          <w:color w:val="auto"/>
          <w:sz w:val="28"/>
          <w:szCs w:val="28"/>
          <w:highlight w:val="none"/>
        </w:rPr>
        <w:t>（</w:t>
      </w:r>
      <w:r>
        <w:rPr>
          <w:rFonts w:hAnsi="宋体"/>
          <w:b/>
          <w:color w:val="auto"/>
          <w:sz w:val="28"/>
          <w:szCs w:val="28"/>
          <w:highlight w:val="none"/>
        </w:rPr>
        <w:t>3</w:t>
      </w:r>
      <w:r>
        <w:rPr>
          <w:rFonts w:hint="eastAsia" w:hAnsi="宋体"/>
          <w:b/>
          <w:color w:val="auto"/>
          <w:sz w:val="28"/>
          <w:szCs w:val="28"/>
          <w:highlight w:val="none"/>
        </w:rPr>
        <w:t>）投标人参加此次政府采购活动前</w:t>
      </w:r>
      <w:r>
        <w:rPr>
          <w:rFonts w:hAnsi="宋体"/>
          <w:b/>
          <w:color w:val="auto"/>
          <w:sz w:val="28"/>
          <w:szCs w:val="28"/>
          <w:highlight w:val="none"/>
        </w:rPr>
        <w:t>3</w:t>
      </w:r>
      <w:r>
        <w:rPr>
          <w:rFonts w:hint="eastAsia" w:hAnsi="宋体"/>
          <w:b/>
          <w:color w:val="auto"/>
          <w:sz w:val="28"/>
          <w:szCs w:val="28"/>
          <w:highlight w:val="none"/>
        </w:rPr>
        <w:t>年内在经营活动中没有重大违法记录的书面声明</w:t>
      </w:r>
    </w:p>
    <w:p>
      <w:pPr>
        <w:pStyle w:val="8"/>
        <w:spacing w:line="400" w:lineRule="exact"/>
        <w:ind w:left="420" w:leftChars="200" w:firstLine="103" w:firstLineChars="49"/>
        <w:rPr>
          <w:rFonts w:hAnsi="宋体"/>
          <w:b/>
          <w:color w:val="auto"/>
          <w:szCs w:val="21"/>
          <w:highlight w:val="none"/>
        </w:rPr>
      </w:pPr>
      <w:r>
        <w:rPr>
          <w:rFonts w:hAnsi="宋体"/>
          <w:b/>
          <w:color w:val="auto"/>
          <w:szCs w:val="21"/>
          <w:highlight w:val="none"/>
        </w:rPr>
        <w:t xml:space="preserve">                       </w:t>
      </w:r>
    </w:p>
    <w:p>
      <w:pPr>
        <w:pStyle w:val="8"/>
        <w:spacing w:line="400" w:lineRule="exact"/>
        <w:jc w:val="center"/>
        <w:rPr>
          <w:rFonts w:hAnsi="宋体"/>
          <w:b/>
          <w:color w:val="auto"/>
          <w:sz w:val="24"/>
          <w:szCs w:val="24"/>
          <w:highlight w:val="none"/>
        </w:rPr>
      </w:pPr>
      <w:r>
        <w:rPr>
          <w:rFonts w:hint="eastAsia" w:hAnsi="宋体"/>
          <w:b/>
          <w:color w:val="auto"/>
          <w:sz w:val="24"/>
          <w:szCs w:val="24"/>
          <w:highlight w:val="none"/>
        </w:rPr>
        <w:t>声</w:t>
      </w:r>
      <w:r>
        <w:rPr>
          <w:rFonts w:hAnsi="宋体"/>
          <w:b/>
          <w:color w:val="auto"/>
          <w:sz w:val="24"/>
          <w:szCs w:val="24"/>
          <w:highlight w:val="none"/>
        </w:rPr>
        <w:t xml:space="preserve"> </w:t>
      </w:r>
      <w:r>
        <w:rPr>
          <w:rFonts w:hint="eastAsia" w:hAnsi="宋体"/>
          <w:b/>
          <w:color w:val="auto"/>
          <w:sz w:val="24"/>
          <w:szCs w:val="24"/>
          <w:highlight w:val="none"/>
        </w:rPr>
        <w:t>明</w:t>
      </w:r>
    </w:p>
    <w:p>
      <w:pPr>
        <w:rPr>
          <w:rFonts w:hAnsi="宋体"/>
          <w:color w:val="auto"/>
          <w:szCs w:val="21"/>
          <w:highlight w:val="none"/>
        </w:rPr>
      </w:pPr>
      <w:r>
        <w:rPr>
          <w:rFonts w:hint="eastAsia" w:hAnsi="宋体"/>
          <w:b/>
          <w:color w:val="auto"/>
          <w:szCs w:val="21"/>
          <w:highlight w:val="none"/>
        </w:rPr>
        <w:t>致</w:t>
      </w:r>
      <w:r>
        <w:rPr>
          <w:rFonts w:hint="eastAsia" w:hAnsi="宋体"/>
          <w:color w:val="auto"/>
          <w:szCs w:val="21"/>
          <w:highlight w:val="none"/>
        </w:rPr>
        <w:t>：</w:t>
      </w:r>
      <w:r>
        <w:rPr>
          <w:rFonts w:hint="eastAsia" w:hAnsi="宋体"/>
          <w:color w:val="auto"/>
          <w:szCs w:val="21"/>
          <w:highlight w:val="none"/>
          <w:u w:val="single"/>
        </w:rPr>
        <w:t>（采购人）</w:t>
      </w:r>
      <w:r>
        <w:rPr>
          <w:rFonts w:hAnsi="宋体"/>
          <w:color w:val="auto"/>
          <w:szCs w:val="21"/>
          <w:highlight w:val="none"/>
          <w:u w:val="single"/>
        </w:rPr>
        <w:t xml:space="preserve">   </w:t>
      </w:r>
    </w:p>
    <w:p>
      <w:pPr>
        <w:snapToGrid w:val="0"/>
        <w:spacing w:line="400" w:lineRule="exact"/>
        <w:outlineLvl w:val="4"/>
        <w:rPr>
          <w:rFonts w:hAnsi="宋体"/>
          <w:color w:val="auto"/>
          <w:szCs w:val="21"/>
          <w:highlight w:val="none"/>
          <w:u w:val="single"/>
        </w:rPr>
      </w:pPr>
    </w:p>
    <w:p>
      <w:pPr>
        <w:pStyle w:val="8"/>
        <w:spacing w:line="400" w:lineRule="exact"/>
        <w:ind w:firstLine="420" w:firstLineChars="200"/>
        <w:rPr>
          <w:rFonts w:hAnsi="宋体"/>
          <w:color w:val="auto"/>
          <w:szCs w:val="21"/>
          <w:highlight w:val="none"/>
        </w:rPr>
      </w:pPr>
      <w:r>
        <w:rPr>
          <w:rFonts w:hint="eastAsia" w:hAnsi="宋体"/>
          <w:color w:val="auto"/>
          <w:szCs w:val="21"/>
          <w:highlight w:val="none"/>
        </w:rPr>
        <w:t>我公司郑重声明，在参加此次政府采购活动前</w:t>
      </w:r>
      <w:r>
        <w:rPr>
          <w:rFonts w:hAnsi="宋体"/>
          <w:color w:val="auto"/>
          <w:szCs w:val="21"/>
          <w:highlight w:val="none"/>
        </w:rPr>
        <w:t>3</w:t>
      </w:r>
      <w:r>
        <w:rPr>
          <w:rFonts w:hint="eastAsia" w:hAnsi="宋体"/>
          <w:color w:val="auto"/>
          <w:szCs w:val="21"/>
          <w:highlight w:val="none"/>
        </w:rPr>
        <w:t>年内在经营活动中没有重大违法记录（重大违法记录是指供应商因违法经营受到刑事处罚或者责令停产停业、吊销许可证或者执照、较大数额罚款等行政处罚），我</w:t>
      </w:r>
      <w:r>
        <w:rPr>
          <w:rFonts w:hAnsi="宋体"/>
          <w:color w:val="auto"/>
          <w:szCs w:val="21"/>
          <w:highlight w:val="none"/>
        </w:rPr>
        <w:t>方保证</w:t>
      </w:r>
      <w:r>
        <w:rPr>
          <w:rFonts w:hint="eastAsia" w:hAnsi="宋体"/>
          <w:color w:val="auto"/>
          <w:szCs w:val="21"/>
          <w:highlight w:val="none"/>
        </w:rPr>
        <w:t>上述</w:t>
      </w:r>
      <w:r>
        <w:rPr>
          <w:rFonts w:hAnsi="宋体"/>
          <w:color w:val="auto"/>
          <w:szCs w:val="21"/>
          <w:highlight w:val="none"/>
        </w:rPr>
        <w:t>信息的真实和准确，</w:t>
      </w:r>
      <w:r>
        <w:rPr>
          <w:rFonts w:hint="eastAsia" w:hAnsi="宋体"/>
          <w:color w:val="auto"/>
          <w:szCs w:val="21"/>
          <w:highlight w:val="none"/>
        </w:rPr>
        <w:t>并</w:t>
      </w:r>
      <w:r>
        <w:rPr>
          <w:rFonts w:hAnsi="宋体"/>
          <w:color w:val="auto"/>
          <w:szCs w:val="21"/>
          <w:highlight w:val="none"/>
        </w:rPr>
        <w:t>愿意承担</w:t>
      </w:r>
      <w:r>
        <w:rPr>
          <w:rFonts w:hint="eastAsia" w:hAnsi="宋体"/>
          <w:color w:val="auto"/>
          <w:szCs w:val="21"/>
          <w:highlight w:val="none"/>
        </w:rPr>
        <w:t>因</w:t>
      </w:r>
      <w:r>
        <w:rPr>
          <w:rFonts w:hAnsi="宋体"/>
          <w:color w:val="auto"/>
          <w:szCs w:val="21"/>
          <w:highlight w:val="none"/>
        </w:rPr>
        <w:t>我方</w:t>
      </w:r>
      <w:r>
        <w:rPr>
          <w:rFonts w:hint="eastAsia" w:hAnsi="宋体"/>
          <w:color w:val="auto"/>
          <w:szCs w:val="21"/>
          <w:highlight w:val="none"/>
        </w:rPr>
        <w:t>就此</w:t>
      </w:r>
      <w:r>
        <w:rPr>
          <w:rFonts w:hAnsi="宋体"/>
          <w:color w:val="auto"/>
          <w:szCs w:val="21"/>
          <w:highlight w:val="none"/>
        </w:rPr>
        <w:t>弄虚作假</w:t>
      </w:r>
      <w:r>
        <w:rPr>
          <w:rFonts w:hint="eastAsia" w:hAnsi="宋体"/>
          <w:color w:val="auto"/>
          <w:szCs w:val="21"/>
          <w:highlight w:val="none"/>
        </w:rPr>
        <w:t>所</w:t>
      </w:r>
      <w:r>
        <w:rPr>
          <w:rFonts w:hAnsi="宋体"/>
          <w:color w:val="auto"/>
          <w:szCs w:val="21"/>
          <w:highlight w:val="none"/>
        </w:rPr>
        <w:t>引起的</w:t>
      </w:r>
      <w:r>
        <w:rPr>
          <w:rFonts w:hint="eastAsia" w:hAnsi="宋体"/>
          <w:color w:val="auto"/>
          <w:szCs w:val="21"/>
          <w:highlight w:val="none"/>
        </w:rPr>
        <w:t>一切</w:t>
      </w:r>
      <w:r>
        <w:rPr>
          <w:rFonts w:hAnsi="宋体"/>
          <w:color w:val="auto"/>
          <w:szCs w:val="21"/>
          <w:highlight w:val="none"/>
        </w:rPr>
        <w:t>法律</w:t>
      </w:r>
      <w:r>
        <w:rPr>
          <w:rFonts w:hint="eastAsia" w:hAnsi="宋体"/>
          <w:color w:val="auto"/>
          <w:szCs w:val="21"/>
          <w:highlight w:val="none"/>
        </w:rPr>
        <w:t>后果。</w:t>
      </w:r>
    </w:p>
    <w:p>
      <w:pPr>
        <w:snapToGrid w:val="0"/>
        <w:spacing w:line="400" w:lineRule="exact"/>
        <w:ind w:firstLine="420"/>
        <w:outlineLvl w:val="4"/>
        <w:rPr>
          <w:rFonts w:hAnsi="宋体"/>
          <w:color w:val="auto"/>
          <w:szCs w:val="21"/>
          <w:highlight w:val="none"/>
        </w:rPr>
      </w:pPr>
    </w:p>
    <w:p>
      <w:pPr>
        <w:pStyle w:val="8"/>
        <w:spacing w:line="400" w:lineRule="exact"/>
        <w:rPr>
          <w:rFonts w:hAnsi="宋体"/>
          <w:color w:val="auto"/>
          <w:szCs w:val="21"/>
          <w:highlight w:val="none"/>
        </w:rPr>
      </w:pPr>
    </w:p>
    <w:p>
      <w:pPr>
        <w:pStyle w:val="8"/>
        <w:spacing w:line="400" w:lineRule="exact"/>
        <w:rPr>
          <w:rFonts w:hAnsi="宋体"/>
          <w:color w:val="auto"/>
          <w:szCs w:val="21"/>
          <w:highlight w:val="none"/>
        </w:rPr>
      </w:pPr>
      <w:r>
        <w:rPr>
          <w:rFonts w:hint="eastAsia" w:hAnsi="宋体"/>
          <w:color w:val="auto"/>
          <w:szCs w:val="21"/>
          <w:highlight w:val="none"/>
        </w:rPr>
        <w:t>法定代表人或授权委托代理人(电子签章)：</w:t>
      </w:r>
      <w:r>
        <w:rPr>
          <w:rFonts w:hAnsi="宋体"/>
          <w:color w:val="auto"/>
          <w:szCs w:val="21"/>
          <w:highlight w:val="none"/>
          <w:u w:val="single"/>
        </w:rPr>
        <w:t xml:space="preserve">                       </w:t>
      </w:r>
    </w:p>
    <w:p>
      <w:pPr>
        <w:pStyle w:val="8"/>
        <w:spacing w:line="400" w:lineRule="exact"/>
        <w:rPr>
          <w:rFonts w:hAnsi="宋体"/>
          <w:color w:val="auto"/>
          <w:szCs w:val="21"/>
          <w:highlight w:val="none"/>
          <w:u w:val="single"/>
        </w:rPr>
      </w:pPr>
      <w:r>
        <w:rPr>
          <w:rFonts w:hint="eastAsia" w:hAnsi="宋体"/>
          <w:color w:val="auto"/>
          <w:szCs w:val="21"/>
          <w:highlight w:val="none"/>
        </w:rPr>
        <w:t>投标人名称(电子签章)：</w:t>
      </w:r>
      <w:r>
        <w:rPr>
          <w:rFonts w:hint="eastAsia" w:hAnsi="宋体"/>
          <w:color w:val="auto"/>
          <w:szCs w:val="21"/>
          <w:highlight w:val="none"/>
          <w:u w:val="single"/>
        </w:rPr>
        <w:t xml:space="preserve">                           </w:t>
      </w:r>
    </w:p>
    <w:p>
      <w:pPr>
        <w:pStyle w:val="8"/>
        <w:spacing w:line="400" w:lineRule="exact"/>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pPr>
        <w:pStyle w:val="8"/>
        <w:spacing w:line="400" w:lineRule="exact"/>
        <w:rPr>
          <w:rFonts w:hAnsi="宋体"/>
          <w:b/>
          <w:color w:val="auto"/>
          <w:szCs w:val="21"/>
          <w:highlight w:val="none"/>
        </w:rPr>
      </w:pPr>
      <w:r>
        <w:rPr>
          <w:rFonts w:hAnsi="宋体"/>
          <w:b/>
          <w:color w:val="auto"/>
          <w:szCs w:val="21"/>
          <w:highlight w:val="none"/>
        </w:rPr>
        <w:br w:type="page"/>
      </w:r>
    </w:p>
    <w:p>
      <w:pPr>
        <w:pStyle w:val="8"/>
        <w:spacing w:line="400" w:lineRule="exact"/>
        <w:rPr>
          <w:rFonts w:hAnsi="宋体"/>
          <w:b/>
          <w:color w:val="auto"/>
          <w:szCs w:val="21"/>
          <w:highlight w:val="none"/>
        </w:rPr>
      </w:pPr>
    </w:p>
    <w:p>
      <w:pPr>
        <w:pStyle w:val="5"/>
        <w:ind w:firstLine="420"/>
        <w:rPr>
          <w:rFonts w:hAnsi="宋体"/>
          <w:b/>
          <w:color w:val="auto"/>
          <w:sz w:val="28"/>
          <w:szCs w:val="28"/>
          <w:highlight w:val="none"/>
        </w:rPr>
      </w:pPr>
      <w:r>
        <w:rPr>
          <w:rFonts w:hint="eastAsia" w:hAnsi="宋体"/>
          <w:b/>
          <w:color w:val="auto"/>
          <w:sz w:val="28"/>
          <w:szCs w:val="28"/>
          <w:highlight w:val="none"/>
        </w:rPr>
        <w:t>（</w:t>
      </w:r>
      <w:r>
        <w:rPr>
          <w:rFonts w:hAnsi="宋体"/>
          <w:b/>
          <w:color w:val="auto"/>
          <w:sz w:val="28"/>
          <w:szCs w:val="28"/>
          <w:highlight w:val="none"/>
        </w:rPr>
        <w:t>4</w:t>
      </w:r>
      <w:r>
        <w:rPr>
          <w:rFonts w:hint="eastAsia" w:hAnsi="宋体"/>
          <w:b/>
          <w:color w:val="auto"/>
          <w:sz w:val="28"/>
          <w:szCs w:val="28"/>
          <w:highlight w:val="none"/>
        </w:rPr>
        <w:t>）投标保证金证明材料（附：①金融机构、担保机构出具的保函（担保）或投标保证金银行转账（电汇）底单扫描件，中小微企业只需提供《中小企业申明函》，②投标人基本账户开户许可证或《基本存款账户信息》凭证扫描件；</w:t>
      </w:r>
    </w:p>
    <w:p>
      <w:pPr>
        <w:pStyle w:val="5"/>
        <w:ind w:firstLine="420"/>
        <w:rPr>
          <w:color w:val="auto"/>
          <w:szCs w:val="21"/>
          <w:highlight w:val="none"/>
        </w:rPr>
      </w:pPr>
      <w:r>
        <w:rPr>
          <w:rFonts w:hint="eastAsia"/>
          <w:color w:val="auto"/>
          <w:szCs w:val="21"/>
          <w:highlight w:val="none"/>
        </w:rPr>
        <w:t>如采用金融机构、担保机构出具的保函，格式如下。</w:t>
      </w:r>
    </w:p>
    <w:p>
      <w:pPr>
        <w:pStyle w:val="5"/>
        <w:ind w:firstLine="400"/>
        <w:rPr>
          <w:color w:val="auto"/>
          <w:highlight w:val="none"/>
        </w:rPr>
      </w:pPr>
    </w:p>
    <w:p>
      <w:pPr>
        <w:rPr>
          <w:rFonts w:asciiTheme="minorEastAsia" w:hAnsiTheme="minorEastAsia" w:eastAsiaTheme="minorEastAsia"/>
          <w:color w:val="auto"/>
          <w:szCs w:val="24"/>
          <w:highlight w:val="none"/>
          <w:u w:val="single"/>
        </w:rPr>
      </w:pPr>
      <w:r>
        <w:rPr>
          <w:rFonts w:hint="eastAsia" w:asciiTheme="minorEastAsia" w:hAnsiTheme="minorEastAsia" w:eastAsiaTheme="minorEastAsia"/>
          <w:color w:val="auto"/>
          <w:szCs w:val="24"/>
          <w:highlight w:val="none"/>
          <w:u w:val="single"/>
        </w:rPr>
        <w:t>（采购人名称）：</w:t>
      </w:r>
    </w:p>
    <w:p>
      <w:pPr>
        <w:ind w:firstLine="420"/>
        <w:rPr>
          <w:rFonts w:asciiTheme="minorEastAsia" w:hAnsiTheme="minorEastAsia" w:eastAsiaTheme="minorEastAsia"/>
          <w:color w:val="auto"/>
          <w:szCs w:val="24"/>
          <w:highlight w:val="none"/>
        </w:rPr>
      </w:pPr>
    </w:p>
    <w:p>
      <w:pPr>
        <w:ind w:firstLine="42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鉴于</w:t>
      </w:r>
      <w:r>
        <w:rPr>
          <w:rFonts w:asciiTheme="minorEastAsia" w:hAnsiTheme="minorEastAsia" w:eastAsiaTheme="minorEastAsia"/>
          <w:color w:val="auto"/>
          <w:szCs w:val="24"/>
          <w:highlight w:val="none"/>
          <w:u w:val="single"/>
        </w:rPr>
        <w:t xml:space="preserve">                     </w:t>
      </w:r>
      <w:r>
        <w:rPr>
          <w:rFonts w:hint="eastAsia" w:asciiTheme="minorEastAsia" w:hAnsiTheme="minorEastAsia" w:eastAsiaTheme="minorEastAsia"/>
          <w:color w:val="auto"/>
          <w:szCs w:val="24"/>
          <w:highlight w:val="none"/>
          <w:u w:val="single"/>
        </w:rPr>
        <w:t xml:space="preserve">（投标人名称）  </w:t>
      </w:r>
      <w:r>
        <w:rPr>
          <w:rFonts w:hint="eastAsia" w:asciiTheme="minorEastAsia" w:hAnsiTheme="minorEastAsia" w:eastAsiaTheme="minorEastAsia"/>
          <w:color w:val="auto"/>
          <w:szCs w:val="24"/>
          <w:highlight w:val="none"/>
        </w:rPr>
        <w:t>（以下称</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投标人</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）于</w:t>
      </w:r>
      <w:r>
        <w:rPr>
          <w:rFonts w:asciiTheme="minorEastAsia" w:hAnsiTheme="minorEastAsia" w:eastAsiaTheme="minorEastAsia"/>
          <w:color w:val="auto"/>
          <w:szCs w:val="24"/>
          <w:highlight w:val="none"/>
          <w:u w:val="single"/>
        </w:rPr>
        <w:t xml:space="preserve">      </w:t>
      </w:r>
      <w:r>
        <w:rPr>
          <w:rFonts w:hint="eastAsia" w:asciiTheme="minorEastAsia" w:hAnsiTheme="minorEastAsia" w:eastAsiaTheme="minorEastAsia"/>
          <w:color w:val="auto"/>
          <w:szCs w:val="24"/>
          <w:highlight w:val="none"/>
        </w:rPr>
        <w:t>年</w:t>
      </w:r>
      <w:r>
        <w:rPr>
          <w:rFonts w:asciiTheme="minorEastAsia" w:hAnsiTheme="minorEastAsia" w:eastAsiaTheme="minorEastAsia"/>
          <w:color w:val="auto"/>
          <w:szCs w:val="24"/>
          <w:highlight w:val="none"/>
          <w:u w:val="single"/>
        </w:rPr>
        <w:t xml:space="preserve">      </w:t>
      </w:r>
      <w:r>
        <w:rPr>
          <w:rFonts w:hint="eastAsia" w:asciiTheme="minorEastAsia" w:hAnsiTheme="minorEastAsia" w:eastAsiaTheme="minorEastAsia"/>
          <w:color w:val="auto"/>
          <w:szCs w:val="24"/>
          <w:highlight w:val="none"/>
        </w:rPr>
        <w:t>月</w:t>
      </w:r>
      <w:r>
        <w:rPr>
          <w:rFonts w:asciiTheme="minorEastAsia" w:hAnsiTheme="minorEastAsia" w:eastAsiaTheme="minorEastAsia"/>
          <w:color w:val="auto"/>
          <w:szCs w:val="24"/>
          <w:highlight w:val="none"/>
          <w:u w:val="single"/>
        </w:rPr>
        <w:t xml:space="preserve">      </w:t>
      </w:r>
      <w:r>
        <w:rPr>
          <w:rFonts w:hint="eastAsia" w:asciiTheme="minorEastAsia" w:hAnsiTheme="minorEastAsia" w:eastAsiaTheme="minorEastAsia"/>
          <w:color w:val="auto"/>
          <w:szCs w:val="24"/>
          <w:highlight w:val="none"/>
        </w:rPr>
        <w:t>日参加</w:t>
      </w:r>
      <w:r>
        <w:rPr>
          <w:rFonts w:asciiTheme="minorEastAsia" w:hAnsiTheme="minorEastAsia" w:eastAsiaTheme="minorEastAsia"/>
          <w:color w:val="auto"/>
          <w:szCs w:val="24"/>
          <w:highlight w:val="none"/>
          <w:u w:val="single"/>
        </w:rPr>
        <w:t xml:space="preserve">      </w:t>
      </w:r>
      <w:r>
        <w:rPr>
          <w:rFonts w:hint="eastAsia" w:asciiTheme="minorEastAsia" w:hAnsiTheme="minorEastAsia" w:eastAsiaTheme="minorEastAsia"/>
          <w:color w:val="auto"/>
          <w:szCs w:val="24"/>
          <w:highlight w:val="none"/>
          <w:u w:val="single"/>
        </w:rPr>
        <w:t>（项目名称及</w:t>
      </w:r>
      <w:r>
        <w:rPr>
          <w:rFonts w:asciiTheme="minorEastAsia" w:hAnsiTheme="minorEastAsia" w:eastAsiaTheme="minorEastAsia"/>
          <w:color w:val="auto"/>
          <w:szCs w:val="24"/>
          <w:highlight w:val="none"/>
          <w:u w:val="single"/>
        </w:rPr>
        <w:t>项目编号</w:t>
      </w:r>
      <w:r>
        <w:rPr>
          <w:rFonts w:hint="eastAsia" w:asciiTheme="minorEastAsia" w:hAnsiTheme="minorEastAsia" w:eastAsiaTheme="minorEastAsia"/>
          <w:color w:val="auto"/>
          <w:szCs w:val="24"/>
          <w:highlight w:val="none"/>
          <w:u w:val="single"/>
        </w:rPr>
        <w:t xml:space="preserve">）   </w:t>
      </w:r>
      <w:r>
        <w:rPr>
          <w:rFonts w:hint="eastAsia" w:asciiTheme="minorEastAsia" w:hAnsiTheme="minorEastAsia" w:eastAsiaTheme="minorEastAsia"/>
          <w:color w:val="auto"/>
          <w:szCs w:val="24"/>
          <w:highlight w:val="none"/>
        </w:rPr>
        <w:t>招标</w:t>
      </w:r>
      <w:r>
        <w:rPr>
          <w:rFonts w:asciiTheme="minorEastAsia" w:hAnsiTheme="minorEastAsia" w:eastAsiaTheme="minorEastAsia"/>
          <w:color w:val="auto"/>
          <w:szCs w:val="24"/>
          <w:highlight w:val="none"/>
          <w:u w:val="single"/>
        </w:rPr>
        <w:t xml:space="preserve">    </w:t>
      </w:r>
      <w:r>
        <w:rPr>
          <w:rFonts w:hint="eastAsia" w:asciiTheme="minorEastAsia" w:hAnsiTheme="minorEastAsia" w:eastAsiaTheme="minorEastAsia"/>
          <w:color w:val="auto"/>
          <w:szCs w:val="24"/>
          <w:highlight w:val="none"/>
        </w:rPr>
        <w:t>标段的投标，</w:t>
      </w:r>
      <w:r>
        <w:rPr>
          <w:rFonts w:asciiTheme="minorEastAsia" w:hAnsiTheme="minorEastAsia" w:eastAsiaTheme="minorEastAsia"/>
          <w:color w:val="auto"/>
          <w:szCs w:val="24"/>
          <w:highlight w:val="none"/>
          <w:u w:val="single"/>
        </w:rPr>
        <w:t xml:space="preserve">               </w:t>
      </w:r>
      <w:r>
        <w:rPr>
          <w:rFonts w:hint="eastAsia" w:asciiTheme="minorEastAsia" w:hAnsiTheme="minorEastAsia" w:eastAsiaTheme="minorEastAsia"/>
          <w:color w:val="auto"/>
          <w:szCs w:val="24"/>
          <w:highlight w:val="none"/>
          <w:u w:val="single"/>
        </w:rPr>
        <w:t>（担保人名称，以下简称</w:t>
      </w:r>
      <w:r>
        <w:rPr>
          <w:rFonts w:asciiTheme="minorEastAsia" w:hAnsiTheme="minorEastAsia" w:eastAsiaTheme="minorEastAsia"/>
          <w:color w:val="auto"/>
          <w:szCs w:val="24"/>
          <w:highlight w:val="none"/>
          <w:u w:val="single"/>
        </w:rPr>
        <w:t>“</w:t>
      </w:r>
      <w:r>
        <w:rPr>
          <w:rFonts w:hint="eastAsia" w:asciiTheme="minorEastAsia" w:hAnsiTheme="minorEastAsia" w:eastAsiaTheme="minorEastAsia"/>
          <w:color w:val="auto"/>
          <w:szCs w:val="24"/>
          <w:highlight w:val="none"/>
          <w:u w:val="single"/>
        </w:rPr>
        <w:t>我方</w:t>
      </w:r>
      <w:r>
        <w:rPr>
          <w:rFonts w:asciiTheme="minorEastAsia" w:hAnsiTheme="minorEastAsia" w:eastAsiaTheme="minorEastAsia"/>
          <w:color w:val="auto"/>
          <w:szCs w:val="24"/>
          <w:highlight w:val="none"/>
          <w:u w:val="single"/>
        </w:rPr>
        <w:t>”</w:t>
      </w:r>
      <w:r>
        <w:rPr>
          <w:rFonts w:hint="eastAsia" w:asciiTheme="minorEastAsia" w:hAnsiTheme="minorEastAsia" w:eastAsiaTheme="minorEastAsia"/>
          <w:color w:val="auto"/>
          <w:szCs w:val="24"/>
          <w:highlight w:val="none"/>
          <w:u w:val="single"/>
        </w:rPr>
        <w:t>）</w:t>
      </w:r>
      <w:r>
        <w:rPr>
          <w:rFonts w:hint="eastAsia" w:asciiTheme="minorEastAsia" w:hAnsiTheme="minorEastAsia" w:eastAsiaTheme="minorEastAsia"/>
          <w:color w:val="auto"/>
          <w:szCs w:val="24"/>
          <w:highlight w:val="none"/>
        </w:rPr>
        <w:t>无条件地、不可撤销地保证：若投标人在投标有效期内撤销投标文件，中标后无正当理由不与采购人订立合同，在签订合同时向采购人提出附加条件，不按照招标文件要求提交履约保证金，或者发生招标文件明确规定可以不予退还投标保证金的其他情形，我方承担保证责任。收到你方书面通知后，我方在</w:t>
      </w:r>
      <w:r>
        <w:rPr>
          <w:rFonts w:asciiTheme="minorEastAsia" w:hAnsiTheme="minorEastAsia" w:eastAsiaTheme="minorEastAsia"/>
          <w:color w:val="auto"/>
          <w:szCs w:val="24"/>
          <w:highlight w:val="none"/>
        </w:rPr>
        <w:t>7</w:t>
      </w:r>
      <w:r>
        <w:rPr>
          <w:rFonts w:hint="eastAsia" w:asciiTheme="minorEastAsia" w:hAnsiTheme="minorEastAsia" w:eastAsiaTheme="minorEastAsia"/>
          <w:color w:val="auto"/>
          <w:szCs w:val="24"/>
          <w:highlight w:val="none"/>
        </w:rPr>
        <w:t>日内向你方无条件支付人民币（大写）</w:t>
      </w:r>
      <w:r>
        <w:rPr>
          <w:rFonts w:asciiTheme="minorEastAsia" w:hAnsiTheme="minorEastAsia" w:eastAsiaTheme="minorEastAsia"/>
          <w:color w:val="auto"/>
          <w:szCs w:val="24"/>
          <w:highlight w:val="none"/>
          <w:u w:val="single"/>
        </w:rPr>
        <w:t xml:space="preserve">                    </w:t>
      </w:r>
      <w:r>
        <w:rPr>
          <w:rFonts w:hint="eastAsia" w:asciiTheme="minorEastAsia" w:hAnsiTheme="minorEastAsia" w:eastAsiaTheme="minorEastAsia"/>
          <w:color w:val="auto"/>
          <w:szCs w:val="24"/>
          <w:highlight w:val="none"/>
        </w:rPr>
        <w:t>。本保函在投标有效期内保持有效。要求我方承担保证责任的通知应在投标有效期内送达我方。</w:t>
      </w:r>
    </w:p>
    <w:p>
      <w:pPr>
        <w:ind w:firstLine="420"/>
        <w:rPr>
          <w:rFonts w:asciiTheme="minorEastAsia" w:hAnsiTheme="minorEastAsia" w:eastAsiaTheme="minorEastAsia"/>
          <w:color w:val="auto"/>
          <w:szCs w:val="24"/>
          <w:highlight w:val="none"/>
        </w:rPr>
      </w:pPr>
    </w:p>
    <w:p>
      <w:pPr>
        <w:ind w:firstLine="420"/>
        <w:rPr>
          <w:rFonts w:asciiTheme="minorEastAsia" w:hAnsiTheme="minorEastAsia" w:eastAsiaTheme="minorEastAsia"/>
          <w:color w:val="auto"/>
          <w:szCs w:val="24"/>
          <w:highlight w:val="none"/>
        </w:rPr>
      </w:pPr>
    </w:p>
    <w:p>
      <w:pPr>
        <w:wordWrap w:val="0"/>
        <w:ind w:firstLine="420"/>
        <w:jc w:val="righ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担保人名称：</w:t>
      </w:r>
      <w:r>
        <w:rPr>
          <w:rFonts w:asciiTheme="minorEastAsia" w:hAnsiTheme="minorEastAsia" w:eastAsiaTheme="minorEastAsia"/>
          <w:color w:val="auto"/>
          <w:szCs w:val="24"/>
          <w:highlight w:val="none"/>
          <w:u w:val="single"/>
        </w:rPr>
        <w:t xml:space="preserve">                        </w:t>
      </w:r>
      <w:r>
        <w:rPr>
          <w:rFonts w:hint="eastAsia" w:asciiTheme="minorEastAsia" w:hAnsiTheme="minorEastAsia" w:eastAsiaTheme="minorEastAsia"/>
          <w:color w:val="auto"/>
          <w:szCs w:val="24"/>
          <w:highlight w:val="none"/>
        </w:rPr>
        <w:t>（盖单位章）</w:t>
      </w:r>
    </w:p>
    <w:p>
      <w:pPr>
        <w:wordWrap w:val="0"/>
        <w:ind w:firstLine="420"/>
        <w:jc w:val="righ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 xml:space="preserve">  </w:t>
      </w:r>
      <w:r>
        <w:rPr>
          <w:rFonts w:hint="eastAsia" w:asciiTheme="minorEastAsia" w:hAnsiTheme="minorEastAsia" w:eastAsiaTheme="minorEastAsia"/>
          <w:color w:val="auto"/>
          <w:szCs w:val="24"/>
          <w:highlight w:val="none"/>
        </w:rPr>
        <w:t>法定代表人（单位负责人）或委托代理人：</w:t>
      </w:r>
      <w:r>
        <w:rPr>
          <w:rFonts w:asciiTheme="minorEastAsia" w:hAnsiTheme="minorEastAsia" w:eastAsiaTheme="minorEastAsia"/>
          <w:color w:val="auto"/>
          <w:szCs w:val="24"/>
          <w:highlight w:val="none"/>
          <w:u w:val="single"/>
        </w:rPr>
        <w:t xml:space="preserve">               </w:t>
      </w:r>
      <w:r>
        <w:rPr>
          <w:rFonts w:hint="eastAsia" w:hAnsi="宋体"/>
          <w:color w:val="auto"/>
          <w:szCs w:val="21"/>
          <w:highlight w:val="none"/>
        </w:rPr>
        <w:t>(签字)</w:t>
      </w:r>
    </w:p>
    <w:p>
      <w:pPr>
        <w:wordWrap w:val="0"/>
        <w:ind w:firstLine="420"/>
        <w:jc w:val="righ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地址：</w:t>
      </w:r>
      <w:r>
        <w:rPr>
          <w:rFonts w:asciiTheme="minorEastAsia" w:hAnsiTheme="minorEastAsia" w:eastAsiaTheme="minorEastAsia"/>
          <w:color w:val="auto"/>
          <w:szCs w:val="24"/>
          <w:highlight w:val="none"/>
          <w:u w:val="single"/>
        </w:rPr>
        <w:t xml:space="preserve">                               </w:t>
      </w:r>
    </w:p>
    <w:p>
      <w:pPr>
        <w:wordWrap w:val="0"/>
        <w:ind w:firstLine="420"/>
        <w:jc w:val="righ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邮政编码：</w:t>
      </w:r>
      <w:r>
        <w:rPr>
          <w:rFonts w:asciiTheme="minorEastAsia" w:hAnsiTheme="minorEastAsia" w:eastAsiaTheme="minorEastAsia"/>
          <w:color w:val="auto"/>
          <w:szCs w:val="24"/>
          <w:highlight w:val="none"/>
          <w:u w:val="single"/>
        </w:rPr>
        <w:t xml:space="preserve">                              </w:t>
      </w:r>
    </w:p>
    <w:p>
      <w:pPr>
        <w:wordWrap w:val="0"/>
        <w:ind w:firstLine="420"/>
        <w:jc w:val="righ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电话：</w:t>
      </w:r>
      <w:r>
        <w:rPr>
          <w:rFonts w:asciiTheme="minorEastAsia" w:hAnsiTheme="minorEastAsia" w:eastAsiaTheme="minorEastAsia"/>
          <w:color w:val="auto"/>
          <w:szCs w:val="24"/>
          <w:highlight w:val="none"/>
          <w:u w:val="single"/>
        </w:rPr>
        <w:t xml:space="preserve">                              </w:t>
      </w:r>
    </w:p>
    <w:p>
      <w:pPr>
        <w:pStyle w:val="8"/>
        <w:spacing w:line="400" w:lineRule="exact"/>
        <w:ind w:firstLine="6195" w:firstLineChars="295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u w:val="single"/>
        </w:rPr>
        <w:t xml:space="preserve">          </w:t>
      </w:r>
      <w:r>
        <w:rPr>
          <w:rFonts w:hint="eastAsia" w:asciiTheme="minorEastAsia" w:hAnsiTheme="minorEastAsia" w:eastAsiaTheme="minorEastAsia"/>
          <w:color w:val="auto"/>
          <w:szCs w:val="24"/>
          <w:highlight w:val="none"/>
        </w:rPr>
        <w:t>年</w:t>
      </w:r>
      <w:r>
        <w:rPr>
          <w:rFonts w:asciiTheme="minorEastAsia" w:hAnsiTheme="minorEastAsia" w:eastAsiaTheme="minorEastAsia"/>
          <w:color w:val="auto"/>
          <w:szCs w:val="24"/>
          <w:highlight w:val="none"/>
          <w:u w:val="single"/>
        </w:rPr>
        <w:t xml:space="preserve">   </w:t>
      </w:r>
      <w:r>
        <w:rPr>
          <w:rFonts w:hint="eastAsia" w:asciiTheme="minorEastAsia" w:hAnsiTheme="minorEastAsia" w:eastAsiaTheme="minorEastAsia"/>
          <w:color w:val="auto"/>
          <w:szCs w:val="24"/>
          <w:highlight w:val="none"/>
        </w:rPr>
        <w:t>月</w:t>
      </w:r>
      <w:r>
        <w:rPr>
          <w:rFonts w:asciiTheme="minorEastAsia" w:hAnsiTheme="minorEastAsia" w:eastAsiaTheme="minorEastAsia"/>
          <w:color w:val="auto"/>
          <w:szCs w:val="24"/>
          <w:highlight w:val="none"/>
          <w:u w:val="single"/>
        </w:rPr>
        <w:t xml:space="preserve">    </w:t>
      </w:r>
      <w:r>
        <w:rPr>
          <w:rFonts w:hint="eastAsia" w:asciiTheme="minorEastAsia" w:hAnsiTheme="minorEastAsia" w:eastAsiaTheme="minorEastAsia"/>
          <w:color w:val="auto"/>
          <w:szCs w:val="24"/>
          <w:highlight w:val="none"/>
        </w:rPr>
        <w:t>日</w:t>
      </w:r>
    </w:p>
    <w:p>
      <w:pPr>
        <w:pStyle w:val="8"/>
        <w:spacing w:line="400" w:lineRule="exact"/>
        <w:ind w:firstLine="6195" w:firstLineChars="2950"/>
        <w:rPr>
          <w:rFonts w:asciiTheme="minorEastAsia" w:hAnsiTheme="minorEastAsia" w:eastAsiaTheme="minorEastAsia"/>
          <w:color w:val="auto"/>
          <w:szCs w:val="24"/>
          <w:highlight w:val="none"/>
        </w:rPr>
      </w:pPr>
    </w:p>
    <w:p>
      <w:pPr>
        <w:pStyle w:val="8"/>
        <w:spacing w:line="440" w:lineRule="exact"/>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注</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1..允许投标人实际开具的格式与招标人提供的格式有所不同，但不得更改招标人提供的格式中的实质性内容。（如“收到你方书面通知后，我方向你方无条件支付”等情况视为实质性内容）。</w:t>
      </w:r>
    </w:p>
    <w:p>
      <w:pPr>
        <w:spacing w:line="440" w:lineRule="exact"/>
        <w:ind w:firstLine="42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3.投标人开具</w:t>
      </w:r>
      <w:r>
        <w:rPr>
          <w:rFonts w:asciiTheme="minorEastAsia" w:hAnsiTheme="minorEastAsia" w:eastAsiaTheme="minorEastAsia"/>
          <w:color w:val="auto"/>
          <w:szCs w:val="24"/>
          <w:highlight w:val="none"/>
        </w:rPr>
        <w:t>的</w:t>
      </w:r>
      <w:r>
        <w:rPr>
          <w:rFonts w:hint="eastAsia" w:asciiTheme="minorEastAsia" w:hAnsiTheme="minorEastAsia" w:eastAsiaTheme="minorEastAsia"/>
          <w:color w:val="auto"/>
          <w:szCs w:val="24"/>
          <w:highlight w:val="none"/>
        </w:rPr>
        <w:t>保函（担保）的有效时间，必须确保在投标有效期内一直保持有效。</w:t>
      </w:r>
    </w:p>
    <w:p>
      <w:pPr>
        <w:pStyle w:val="8"/>
        <w:spacing w:line="440" w:lineRule="exact"/>
        <w:jc w:val="center"/>
        <w:outlineLvl w:val="1"/>
        <w:rPr>
          <w:rFonts w:hAnsi="宋体"/>
          <w:b/>
          <w:color w:val="auto"/>
          <w:sz w:val="28"/>
          <w:szCs w:val="28"/>
          <w:highlight w:val="none"/>
        </w:rPr>
      </w:pPr>
      <w:r>
        <w:rPr>
          <w:rFonts w:hAnsi="宋体"/>
          <w:b/>
          <w:color w:val="auto"/>
          <w:sz w:val="28"/>
          <w:szCs w:val="28"/>
          <w:highlight w:val="none"/>
        </w:rPr>
        <w:br w:type="page"/>
      </w:r>
    </w:p>
    <w:p>
      <w:pPr>
        <w:pStyle w:val="8"/>
        <w:spacing w:line="400" w:lineRule="exact"/>
        <w:jc w:val="center"/>
        <w:outlineLvl w:val="1"/>
        <w:rPr>
          <w:rFonts w:hAnsi="宋体"/>
          <w:b/>
          <w:color w:val="auto"/>
          <w:sz w:val="28"/>
          <w:szCs w:val="28"/>
          <w:highlight w:val="none"/>
        </w:rPr>
      </w:pPr>
    </w:p>
    <w:p>
      <w:pPr>
        <w:pStyle w:val="8"/>
        <w:spacing w:line="400" w:lineRule="exact"/>
        <w:rPr>
          <w:rFonts w:hAnsi="宋体"/>
          <w:b/>
          <w:color w:val="auto"/>
          <w:sz w:val="28"/>
          <w:szCs w:val="28"/>
          <w:highlight w:val="none"/>
        </w:rPr>
      </w:pPr>
      <w:r>
        <w:rPr>
          <w:rFonts w:hint="eastAsia" w:hAnsi="宋体"/>
          <w:b/>
          <w:color w:val="auto"/>
          <w:sz w:val="28"/>
          <w:szCs w:val="28"/>
          <w:highlight w:val="none"/>
        </w:rPr>
        <w:t>（</w:t>
      </w:r>
      <w:r>
        <w:rPr>
          <w:rFonts w:hAnsi="宋体"/>
          <w:b/>
          <w:color w:val="auto"/>
          <w:sz w:val="28"/>
          <w:szCs w:val="28"/>
          <w:highlight w:val="none"/>
        </w:rPr>
        <w:t>5</w:t>
      </w:r>
      <w:r>
        <w:rPr>
          <w:rFonts w:hint="eastAsia" w:hAnsi="宋体"/>
          <w:b/>
          <w:color w:val="auto"/>
          <w:sz w:val="28"/>
          <w:szCs w:val="28"/>
          <w:highlight w:val="none"/>
        </w:rPr>
        <w:t>）投标人有效的法人营业执照副本扫描件；</w:t>
      </w:r>
    </w:p>
    <w:p>
      <w:pPr>
        <w:pStyle w:val="8"/>
        <w:spacing w:line="400" w:lineRule="exact"/>
        <w:jc w:val="left"/>
        <w:outlineLvl w:val="2"/>
        <w:rPr>
          <w:rFonts w:hAnsi="宋体"/>
          <w:b/>
          <w:color w:val="auto"/>
          <w:sz w:val="28"/>
          <w:szCs w:val="28"/>
          <w:highlight w:val="none"/>
        </w:rPr>
      </w:pPr>
      <w:bookmarkStart w:id="195" w:name="_Toc78441070"/>
      <w:bookmarkStart w:id="196" w:name="_Toc75961336"/>
    </w:p>
    <w:p>
      <w:pPr>
        <w:pStyle w:val="8"/>
        <w:spacing w:line="400" w:lineRule="exact"/>
        <w:jc w:val="left"/>
        <w:outlineLvl w:val="2"/>
        <w:rPr>
          <w:rFonts w:hAnsi="宋体"/>
          <w:b/>
          <w:color w:val="auto"/>
          <w:sz w:val="28"/>
          <w:szCs w:val="28"/>
          <w:highlight w:val="none"/>
        </w:rPr>
      </w:pPr>
    </w:p>
    <w:p>
      <w:pPr>
        <w:pStyle w:val="8"/>
        <w:spacing w:line="400" w:lineRule="exact"/>
        <w:jc w:val="left"/>
        <w:outlineLvl w:val="2"/>
        <w:rPr>
          <w:rFonts w:hAnsi="宋体"/>
          <w:b/>
          <w:color w:val="auto"/>
          <w:sz w:val="28"/>
          <w:szCs w:val="28"/>
          <w:highlight w:val="none"/>
        </w:rPr>
      </w:pPr>
    </w:p>
    <w:p>
      <w:pPr>
        <w:pStyle w:val="8"/>
        <w:spacing w:line="400" w:lineRule="exact"/>
        <w:jc w:val="left"/>
        <w:outlineLvl w:val="2"/>
        <w:rPr>
          <w:rFonts w:hAnsi="宋体"/>
          <w:b/>
          <w:color w:val="auto"/>
          <w:sz w:val="28"/>
          <w:szCs w:val="28"/>
          <w:highlight w:val="none"/>
        </w:rPr>
      </w:pPr>
      <w:r>
        <w:rPr>
          <w:rFonts w:hint="eastAsia" w:hAnsi="宋体"/>
          <w:b/>
          <w:color w:val="auto"/>
          <w:sz w:val="28"/>
          <w:szCs w:val="28"/>
          <w:highlight w:val="none"/>
        </w:rPr>
        <w:t>（6）</w:t>
      </w:r>
      <w:bookmarkEnd w:id="195"/>
      <w:bookmarkEnd w:id="196"/>
      <w:bookmarkStart w:id="197" w:name="_Toc78441073"/>
      <w:bookmarkStart w:id="198" w:name="_Toc75961339"/>
      <w:r>
        <w:rPr>
          <w:rFonts w:hint="eastAsia" w:hAnsi="宋体"/>
          <w:b/>
          <w:color w:val="auto"/>
          <w:sz w:val="28"/>
          <w:szCs w:val="28"/>
          <w:highlight w:val="none"/>
        </w:rPr>
        <w:t>投标人近半年内连续三个月纳税完税证明或税务部门出具的无需缴纳证明的证明材料扫描件（</w:t>
      </w:r>
      <w:r>
        <w:rPr>
          <w:rFonts w:hAnsi="宋体"/>
          <w:b/>
          <w:color w:val="auto"/>
          <w:sz w:val="28"/>
          <w:szCs w:val="28"/>
          <w:highlight w:val="none"/>
        </w:rPr>
        <w:t>对于从注册、登记或者备案时间起到提交投标文件截止时间为止不足要求月份的投标人，只需提交注册、登记或者备案月份至所要求最近月份的证明材料；对于</w:t>
      </w:r>
      <w:r>
        <w:rPr>
          <w:rFonts w:hint="eastAsia" w:hAnsi="宋体"/>
          <w:b/>
          <w:color w:val="auto"/>
          <w:sz w:val="28"/>
          <w:szCs w:val="28"/>
          <w:highlight w:val="none"/>
        </w:rPr>
        <w:t>依法免税</w:t>
      </w:r>
      <w:r>
        <w:rPr>
          <w:rFonts w:hAnsi="宋体"/>
          <w:b/>
          <w:color w:val="auto"/>
          <w:sz w:val="28"/>
          <w:szCs w:val="28"/>
          <w:highlight w:val="none"/>
        </w:rPr>
        <w:t>的投标人，应提供</w:t>
      </w:r>
      <w:r>
        <w:rPr>
          <w:rFonts w:hint="eastAsia" w:hAnsi="宋体"/>
          <w:b/>
          <w:color w:val="auto"/>
          <w:sz w:val="28"/>
          <w:szCs w:val="28"/>
          <w:highlight w:val="none"/>
        </w:rPr>
        <w:t>依法免税</w:t>
      </w:r>
      <w:r>
        <w:rPr>
          <w:rFonts w:hAnsi="宋体"/>
          <w:b/>
          <w:color w:val="auto"/>
          <w:sz w:val="28"/>
          <w:szCs w:val="28"/>
          <w:highlight w:val="none"/>
        </w:rPr>
        <w:t>的相应文件证明）</w:t>
      </w:r>
      <w:r>
        <w:rPr>
          <w:rFonts w:hint="eastAsia" w:hAnsi="宋体"/>
          <w:b/>
          <w:color w:val="auto"/>
          <w:sz w:val="28"/>
          <w:szCs w:val="28"/>
          <w:highlight w:val="none"/>
        </w:rPr>
        <w:t>（必须提供</w:t>
      </w:r>
      <w:r>
        <w:rPr>
          <w:rFonts w:hAnsi="宋体"/>
          <w:b/>
          <w:color w:val="auto"/>
          <w:sz w:val="28"/>
          <w:szCs w:val="28"/>
          <w:highlight w:val="none"/>
        </w:rPr>
        <w:t>,</w:t>
      </w:r>
      <w:r>
        <w:rPr>
          <w:rFonts w:hint="eastAsia" w:hAnsi="宋体"/>
          <w:b/>
          <w:color w:val="auto"/>
          <w:sz w:val="28"/>
          <w:szCs w:val="28"/>
          <w:highlight w:val="none"/>
        </w:rPr>
        <w:t>并加盖投标人单位电子签章）；</w:t>
      </w:r>
      <w:bookmarkEnd w:id="197"/>
      <w:bookmarkEnd w:id="198"/>
    </w:p>
    <w:p>
      <w:pPr>
        <w:pStyle w:val="8"/>
        <w:spacing w:line="400" w:lineRule="exact"/>
        <w:jc w:val="left"/>
        <w:outlineLvl w:val="1"/>
        <w:rPr>
          <w:rFonts w:hAnsi="宋体"/>
          <w:b/>
          <w:color w:val="auto"/>
          <w:sz w:val="28"/>
          <w:szCs w:val="28"/>
          <w:highlight w:val="none"/>
        </w:rPr>
      </w:pPr>
    </w:p>
    <w:p>
      <w:pPr>
        <w:pStyle w:val="8"/>
        <w:spacing w:line="400" w:lineRule="exact"/>
        <w:jc w:val="left"/>
        <w:outlineLvl w:val="1"/>
        <w:rPr>
          <w:rFonts w:hAnsi="宋体"/>
          <w:b/>
          <w:color w:val="auto"/>
          <w:sz w:val="28"/>
          <w:szCs w:val="28"/>
          <w:highlight w:val="none"/>
        </w:rPr>
      </w:pPr>
    </w:p>
    <w:p>
      <w:pPr>
        <w:pStyle w:val="8"/>
        <w:spacing w:line="400" w:lineRule="exact"/>
        <w:jc w:val="left"/>
        <w:outlineLvl w:val="1"/>
        <w:rPr>
          <w:rFonts w:hAnsi="宋体"/>
          <w:b/>
          <w:color w:val="auto"/>
          <w:sz w:val="28"/>
          <w:szCs w:val="28"/>
          <w:highlight w:val="none"/>
        </w:rPr>
      </w:pPr>
    </w:p>
    <w:p>
      <w:pPr>
        <w:pStyle w:val="8"/>
        <w:spacing w:line="400" w:lineRule="exact"/>
        <w:jc w:val="left"/>
        <w:outlineLvl w:val="2"/>
        <w:rPr>
          <w:rFonts w:hAnsi="宋体"/>
          <w:b/>
          <w:color w:val="auto"/>
          <w:sz w:val="28"/>
          <w:szCs w:val="28"/>
          <w:highlight w:val="none"/>
        </w:rPr>
      </w:pPr>
      <w:r>
        <w:rPr>
          <w:rFonts w:hint="eastAsia" w:hAnsi="宋体"/>
          <w:b/>
          <w:color w:val="auto"/>
          <w:sz w:val="28"/>
          <w:szCs w:val="28"/>
          <w:highlight w:val="none"/>
        </w:rPr>
        <w:t>（7</w:t>
      </w:r>
      <w:r>
        <w:rPr>
          <w:rFonts w:hAnsi="宋体"/>
          <w:b/>
          <w:color w:val="auto"/>
          <w:sz w:val="28"/>
          <w:szCs w:val="28"/>
          <w:highlight w:val="none"/>
        </w:rPr>
        <w:t>）</w:t>
      </w:r>
      <w:r>
        <w:rPr>
          <w:rFonts w:hint="eastAsia" w:hAnsi="宋体"/>
          <w:b/>
          <w:color w:val="auto"/>
          <w:sz w:val="28"/>
          <w:szCs w:val="28"/>
          <w:highlight w:val="none"/>
        </w:rPr>
        <w:t>投标人近半年内连续三个月</w:t>
      </w:r>
      <w:r>
        <w:rPr>
          <w:rFonts w:hAnsi="宋体"/>
          <w:b/>
          <w:color w:val="auto"/>
          <w:sz w:val="28"/>
          <w:szCs w:val="28"/>
          <w:highlight w:val="none"/>
        </w:rPr>
        <w:t>依法缴纳社会保障金</w:t>
      </w:r>
      <w:r>
        <w:rPr>
          <w:rFonts w:hint="eastAsia" w:hAnsi="宋体"/>
          <w:b/>
          <w:color w:val="auto"/>
          <w:sz w:val="28"/>
          <w:szCs w:val="28"/>
          <w:highlight w:val="none"/>
        </w:rPr>
        <w:t>的证明材料扫描件；（</w:t>
      </w:r>
      <w:r>
        <w:rPr>
          <w:rFonts w:hAnsi="宋体"/>
          <w:b/>
          <w:color w:val="auto"/>
          <w:sz w:val="28"/>
          <w:szCs w:val="28"/>
          <w:highlight w:val="none"/>
        </w:rPr>
        <w:t>对于从注册、登记或者备案时间起到提交投标文件截止时间为止不足要求月份的投标人，只需提交注册、登记或者备案月份至所要求最近月份的证明材料；对于依法不需要缴纳社会保障金的投标人，应提供依法不需要缴纳社会保障金的相应文件证明）</w:t>
      </w:r>
      <w:r>
        <w:rPr>
          <w:rFonts w:hint="eastAsia" w:hAnsi="宋体"/>
          <w:b/>
          <w:color w:val="auto"/>
          <w:sz w:val="28"/>
          <w:szCs w:val="28"/>
          <w:highlight w:val="none"/>
        </w:rPr>
        <w:t>（必须提供</w:t>
      </w:r>
      <w:r>
        <w:rPr>
          <w:rFonts w:hAnsi="宋体"/>
          <w:b/>
          <w:color w:val="auto"/>
          <w:sz w:val="28"/>
          <w:szCs w:val="28"/>
          <w:highlight w:val="none"/>
        </w:rPr>
        <w:t>,</w:t>
      </w:r>
      <w:r>
        <w:rPr>
          <w:rFonts w:hint="eastAsia" w:hAnsi="宋体"/>
          <w:b/>
          <w:color w:val="auto"/>
          <w:sz w:val="28"/>
          <w:szCs w:val="28"/>
          <w:highlight w:val="none"/>
        </w:rPr>
        <w:t>并加盖投标人单位电子签章）；</w:t>
      </w:r>
    </w:p>
    <w:p>
      <w:pPr>
        <w:pStyle w:val="8"/>
        <w:spacing w:line="400" w:lineRule="exact"/>
        <w:jc w:val="left"/>
        <w:outlineLvl w:val="2"/>
        <w:rPr>
          <w:rFonts w:hAnsi="宋体"/>
          <w:b/>
          <w:color w:val="auto"/>
          <w:sz w:val="28"/>
          <w:szCs w:val="28"/>
          <w:highlight w:val="none"/>
        </w:rPr>
      </w:pPr>
    </w:p>
    <w:p>
      <w:pPr>
        <w:pStyle w:val="8"/>
        <w:spacing w:line="400" w:lineRule="exact"/>
        <w:jc w:val="left"/>
        <w:outlineLvl w:val="2"/>
        <w:rPr>
          <w:rFonts w:hAnsi="宋体"/>
          <w:b/>
          <w:color w:val="auto"/>
          <w:sz w:val="28"/>
          <w:szCs w:val="28"/>
          <w:highlight w:val="none"/>
        </w:rPr>
      </w:pPr>
    </w:p>
    <w:p>
      <w:pPr>
        <w:pStyle w:val="8"/>
        <w:spacing w:line="400" w:lineRule="exact"/>
        <w:jc w:val="left"/>
        <w:outlineLvl w:val="2"/>
        <w:rPr>
          <w:rFonts w:hAnsi="宋体"/>
          <w:b/>
          <w:color w:val="auto"/>
          <w:sz w:val="28"/>
          <w:szCs w:val="28"/>
          <w:highlight w:val="none"/>
        </w:rPr>
      </w:pPr>
    </w:p>
    <w:p>
      <w:pPr>
        <w:pStyle w:val="8"/>
        <w:spacing w:line="400" w:lineRule="exact"/>
        <w:jc w:val="left"/>
        <w:outlineLvl w:val="2"/>
        <w:rPr>
          <w:rFonts w:hAnsi="宋体"/>
          <w:b/>
          <w:color w:val="auto"/>
          <w:sz w:val="28"/>
          <w:szCs w:val="28"/>
          <w:highlight w:val="none"/>
        </w:rPr>
      </w:pPr>
      <w:r>
        <w:rPr>
          <w:rFonts w:hint="eastAsia" w:hAnsi="宋体"/>
          <w:b/>
          <w:color w:val="auto"/>
          <w:sz w:val="28"/>
          <w:szCs w:val="28"/>
          <w:highlight w:val="none"/>
        </w:rPr>
        <w:t>（8</w:t>
      </w:r>
      <w:r>
        <w:rPr>
          <w:rFonts w:hAnsi="宋体"/>
          <w:b/>
          <w:color w:val="auto"/>
          <w:sz w:val="28"/>
          <w:szCs w:val="28"/>
          <w:highlight w:val="none"/>
        </w:rPr>
        <w:t>）</w:t>
      </w:r>
      <w:r>
        <w:rPr>
          <w:rFonts w:hint="eastAsia" w:hAnsi="宋体"/>
          <w:b/>
          <w:color w:val="auto"/>
          <w:sz w:val="28"/>
          <w:szCs w:val="28"/>
          <w:highlight w:val="none"/>
        </w:rPr>
        <w:t>投标人2021年财务报表扫描件（对于从取得营业执照时间起到投标截止时间为止不足要求年数的企业，只需提交企业营业执照）；（必须提供</w:t>
      </w:r>
      <w:r>
        <w:rPr>
          <w:rFonts w:hAnsi="宋体"/>
          <w:b/>
          <w:color w:val="auto"/>
          <w:sz w:val="28"/>
          <w:szCs w:val="28"/>
          <w:highlight w:val="none"/>
        </w:rPr>
        <w:t>,</w:t>
      </w:r>
      <w:r>
        <w:rPr>
          <w:rFonts w:hint="eastAsia" w:hAnsi="宋体"/>
          <w:b/>
          <w:color w:val="auto"/>
          <w:sz w:val="28"/>
          <w:szCs w:val="28"/>
          <w:highlight w:val="none"/>
        </w:rPr>
        <w:t>并加盖投标人单位电子签章）；</w:t>
      </w:r>
      <w:r>
        <w:rPr>
          <w:rFonts w:hAnsi="宋体"/>
          <w:b/>
          <w:color w:val="auto"/>
          <w:sz w:val="28"/>
          <w:szCs w:val="28"/>
          <w:highlight w:val="none"/>
        </w:rPr>
        <w:t xml:space="preserve"> </w:t>
      </w:r>
    </w:p>
    <w:p>
      <w:pPr>
        <w:pStyle w:val="8"/>
        <w:spacing w:line="400" w:lineRule="exact"/>
        <w:jc w:val="left"/>
        <w:outlineLvl w:val="2"/>
        <w:rPr>
          <w:rFonts w:hAnsi="宋体"/>
          <w:b/>
          <w:color w:val="auto"/>
          <w:sz w:val="28"/>
          <w:szCs w:val="28"/>
          <w:highlight w:val="none"/>
        </w:rPr>
      </w:pPr>
    </w:p>
    <w:p>
      <w:pPr>
        <w:pStyle w:val="8"/>
        <w:spacing w:line="400" w:lineRule="exact"/>
        <w:jc w:val="left"/>
        <w:outlineLvl w:val="2"/>
        <w:rPr>
          <w:rFonts w:hAnsi="宋体"/>
          <w:b/>
          <w:color w:val="auto"/>
          <w:sz w:val="28"/>
          <w:szCs w:val="28"/>
          <w:highlight w:val="none"/>
        </w:rPr>
      </w:pPr>
    </w:p>
    <w:p>
      <w:pPr>
        <w:pStyle w:val="8"/>
        <w:spacing w:line="400" w:lineRule="exact"/>
        <w:jc w:val="left"/>
        <w:outlineLvl w:val="2"/>
        <w:rPr>
          <w:rFonts w:hAnsi="宋体"/>
          <w:b/>
          <w:color w:val="auto"/>
          <w:sz w:val="28"/>
          <w:szCs w:val="28"/>
          <w:highlight w:val="none"/>
        </w:rPr>
      </w:pPr>
    </w:p>
    <w:p>
      <w:pPr>
        <w:pStyle w:val="8"/>
        <w:spacing w:line="400" w:lineRule="exact"/>
        <w:jc w:val="left"/>
        <w:outlineLvl w:val="2"/>
        <w:rPr>
          <w:rFonts w:hAnsi="宋体"/>
          <w:b/>
          <w:color w:val="auto"/>
          <w:sz w:val="28"/>
          <w:szCs w:val="28"/>
          <w:highlight w:val="none"/>
        </w:rPr>
      </w:pPr>
      <w:r>
        <w:rPr>
          <w:rFonts w:hint="eastAsia" w:hAnsi="宋体"/>
          <w:b/>
          <w:color w:val="auto"/>
          <w:sz w:val="28"/>
          <w:szCs w:val="28"/>
          <w:highlight w:val="none"/>
        </w:rPr>
        <w:t>（9</w:t>
      </w:r>
      <w:r>
        <w:rPr>
          <w:rFonts w:hAnsi="宋体"/>
          <w:b/>
          <w:color w:val="auto"/>
          <w:sz w:val="28"/>
          <w:szCs w:val="28"/>
          <w:highlight w:val="none"/>
        </w:rPr>
        <w:t>）</w:t>
      </w:r>
      <w:r>
        <w:rPr>
          <w:rFonts w:hint="eastAsia" w:hAnsi="宋体"/>
          <w:b/>
          <w:color w:val="auto"/>
          <w:sz w:val="28"/>
          <w:szCs w:val="28"/>
          <w:highlight w:val="none"/>
        </w:rPr>
        <w:t>投标人认为必要提供的声明文件或证明材料。</w:t>
      </w:r>
    </w:p>
    <w:p>
      <w:pPr>
        <w:pStyle w:val="8"/>
        <w:spacing w:line="400" w:lineRule="exact"/>
        <w:jc w:val="left"/>
        <w:outlineLvl w:val="1"/>
        <w:rPr>
          <w:rFonts w:hAnsi="宋体"/>
          <w:b/>
          <w:color w:val="auto"/>
          <w:sz w:val="28"/>
          <w:szCs w:val="28"/>
          <w:highlight w:val="none"/>
        </w:rPr>
      </w:pPr>
    </w:p>
    <w:p>
      <w:pPr>
        <w:widowControl/>
        <w:jc w:val="left"/>
        <w:rPr>
          <w:rFonts w:hAnsi="宋体"/>
          <w:b/>
          <w:color w:val="auto"/>
          <w:sz w:val="24"/>
          <w:szCs w:val="24"/>
          <w:highlight w:val="none"/>
        </w:rPr>
      </w:pPr>
      <w:r>
        <w:rPr>
          <w:rFonts w:hAnsi="宋体"/>
          <w:b/>
          <w:color w:val="auto"/>
          <w:sz w:val="24"/>
          <w:szCs w:val="24"/>
          <w:highlight w:val="none"/>
        </w:rPr>
        <w:br w:type="page"/>
      </w:r>
    </w:p>
    <w:p>
      <w:pPr>
        <w:jc w:val="left"/>
        <w:rPr>
          <w:rFonts w:hAnsi="宋体"/>
          <w:b/>
          <w:color w:val="auto"/>
          <w:sz w:val="24"/>
          <w:szCs w:val="24"/>
          <w:highlight w:val="none"/>
        </w:rPr>
      </w:pPr>
    </w:p>
    <w:p>
      <w:pPr>
        <w:jc w:val="left"/>
        <w:rPr>
          <w:rFonts w:hAnsi="宋体"/>
          <w:b/>
          <w:color w:val="auto"/>
          <w:sz w:val="24"/>
          <w:szCs w:val="24"/>
          <w:highlight w:val="none"/>
        </w:rPr>
      </w:pPr>
      <w:r>
        <w:rPr>
          <w:rFonts w:hint="eastAsia" w:hAnsi="宋体"/>
          <w:b/>
          <w:color w:val="auto"/>
          <w:sz w:val="24"/>
          <w:szCs w:val="24"/>
          <w:highlight w:val="none"/>
        </w:rPr>
        <w:t>二、商务标部分</w:t>
      </w:r>
    </w:p>
    <w:p>
      <w:pPr>
        <w:ind w:firstLine="562" w:firstLineChars="200"/>
        <w:jc w:val="center"/>
        <w:rPr>
          <w:rFonts w:hAnsi="宋体"/>
          <w:b/>
          <w:color w:val="auto"/>
          <w:sz w:val="28"/>
          <w:szCs w:val="28"/>
          <w:highlight w:val="none"/>
        </w:rPr>
      </w:pPr>
      <w:r>
        <w:rPr>
          <w:rFonts w:hint="eastAsia" w:hAnsi="宋体"/>
          <w:b/>
          <w:color w:val="auto"/>
          <w:sz w:val="28"/>
          <w:szCs w:val="28"/>
          <w:highlight w:val="none"/>
        </w:rPr>
        <w:t>目录</w:t>
      </w:r>
    </w:p>
    <w:p>
      <w:pPr>
        <w:ind w:firstLine="562" w:firstLineChars="200"/>
        <w:jc w:val="center"/>
        <w:rPr>
          <w:rFonts w:hAnsi="宋体"/>
          <w:color w:val="auto"/>
          <w:szCs w:val="21"/>
          <w:highlight w:val="none"/>
        </w:rPr>
      </w:pPr>
      <w:r>
        <w:rPr>
          <w:rFonts w:hint="eastAsia"/>
          <w:b/>
          <w:color w:val="auto"/>
          <w:sz w:val="28"/>
          <w:szCs w:val="28"/>
          <w:highlight w:val="none"/>
        </w:rPr>
        <w:t>（应附有页码，由投标人自行编制）</w:t>
      </w:r>
    </w:p>
    <w:p>
      <w:pPr>
        <w:spacing w:line="360" w:lineRule="auto"/>
        <w:ind w:right="-86" w:rightChars="-41"/>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）投标函</w:t>
      </w:r>
      <w:r>
        <w:rPr>
          <w:rFonts w:hint="eastAsia" w:asciiTheme="minorEastAsia" w:hAnsiTheme="minorEastAsia" w:eastAsiaTheme="minorEastAsia"/>
          <w:b/>
          <w:bCs/>
          <w:color w:val="auto"/>
          <w:szCs w:val="21"/>
          <w:highlight w:val="none"/>
        </w:rPr>
        <w:t>（必须提供）</w:t>
      </w:r>
      <w:r>
        <w:rPr>
          <w:rFonts w:hint="eastAsia" w:asciiTheme="minorEastAsia" w:hAnsiTheme="minorEastAsia" w:eastAsiaTheme="minorEastAsia"/>
          <w:color w:val="auto"/>
          <w:szCs w:val="21"/>
          <w:highlight w:val="none"/>
        </w:rPr>
        <w:t>；</w:t>
      </w:r>
    </w:p>
    <w:p>
      <w:pPr>
        <w:spacing w:line="360" w:lineRule="auto"/>
        <w:ind w:right="-86" w:rightChars="-41"/>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）投标报价表</w:t>
      </w:r>
      <w:r>
        <w:rPr>
          <w:rFonts w:hint="eastAsia" w:asciiTheme="minorEastAsia" w:hAnsiTheme="minorEastAsia" w:eastAsiaTheme="minorEastAsia"/>
          <w:b/>
          <w:bCs/>
          <w:color w:val="auto"/>
          <w:szCs w:val="21"/>
          <w:highlight w:val="none"/>
        </w:rPr>
        <w:t>（必须提供）</w:t>
      </w:r>
      <w:r>
        <w:rPr>
          <w:rFonts w:hint="eastAsia" w:asciiTheme="minorEastAsia" w:hAnsiTheme="minorEastAsia" w:eastAsiaTheme="minorEastAsia"/>
          <w:color w:val="auto"/>
          <w:szCs w:val="21"/>
          <w:highlight w:val="none"/>
        </w:rPr>
        <w:t>；</w:t>
      </w:r>
    </w:p>
    <w:p>
      <w:pPr>
        <w:spacing w:line="360" w:lineRule="auto"/>
        <w:ind w:right="-86" w:rightChars="-41"/>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）技术规格偏离表</w:t>
      </w:r>
      <w:r>
        <w:rPr>
          <w:rFonts w:hint="eastAsia" w:asciiTheme="minorEastAsia" w:hAnsiTheme="minorEastAsia" w:eastAsiaTheme="minorEastAsia"/>
          <w:b/>
          <w:bCs/>
          <w:color w:val="auto"/>
          <w:szCs w:val="21"/>
          <w:highlight w:val="none"/>
        </w:rPr>
        <w:t>（必须提供）</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）投投标人认为必要提供的声明文件或证明材料（如有时，可根据评标办法“</w:t>
      </w:r>
      <w:r>
        <w:rPr>
          <w:rFonts w:hint="eastAsia" w:cs="宋体" w:asciiTheme="minorEastAsia" w:hAnsiTheme="minorEastAsia" w:eastAsiaTheme="minorEastAsia"/>
          <w:color w:val="auto"/>
          <w:szCs w:val="21"/>
          <w:highlight w:val="none"/>
        </w:rPr>
        <w:t>商务标部分”要求提供</w:t>
      </w:r>
      <w:r>
        <w:rPr>
          <w:rFonts w:hint="eastAsia" w:asciiTheme="minorEastAsia" w:hAnsiTheme="minorEastAsia" w:eastAsiaTheme="minorEastAsia"/>
          <w:color w:val="auto"/>
          <w:szCs w:val="21"/>
          <w:highlight w:val="none"/>
        </w:rPr>
        <w:t>）；</w:t>
      </w:r>
    </w:p>
    <w:p>
      <w:pPr>
        <w:pStyle w:val="5"/>
        <w:rPr>
          <w:color w:val="auto"/>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）投标人认为需要提供的证明文件。</w:t>
      </w:r>
    </w:p>
    <w:p>
      <w:pPr>
        <w:tabs>
          <w:tab w:val="left" w:pos="1305"/>
        </w:tabs>
        <w:ind w:firstLine="420" w:firstLineChars="200"/>
        <w:jc w:val="center"/>
        <w:rPr>
          <w:rFonts w:hAnsi="宋体"/>
          <w:color w:val="auto"/>
          <w:szCs w:val="21"/>
          <w:highlight w:val="none"/>
        </w:rPr>
      </w:pPr>
      <w:r>
        <w:rPr>
          <w:rFonts w:hAnsi="宋体"/>
          <w:color w:val="auto"/>
          <w:szCs w:val="21"/>
          <w:highlight w:val="none"/>
        </w:rPr>
        <w:br w:type="page"/>
      </w:r>
    </w:p>
    <w:p>
      <w:pPr>
        <w:tabs>
          <w:tab w:val="left" w:pos="1305"/>
        </w:tabs>
        <w:ind w:firstLine="420" w:firstLineChars="200"/>
        <w:jc w:val="center"/>
        <w:rPr>
          <w:rFonts w:hAnsi="宋体"/>
          <w:color w:val="auto"/>
          <w:szCs w:val="21"/>
          <w:highlight w:val="none"/>
        </w:rPr>
      </w:pPr>
    </w:p>
    <w:p>
      <w:pPr>
        <w:tabs>
          <w:tab w:val="left" w:pos="1305"/>
        </w:tabs>
        <w:ind w:firstLine="560" w:firstLineChars="200"/>
        <w:jc w:val="center"/>
        <w:rPr>
          <w:rFonts w:ascii="黑体" w:hAnsi="宋体" w:eastAsia="黑体"/>
          <w:color w:val="auto"/>
          <w:sz w:val="28"/>
          <w:szCs w:val="28"/>
          <w:highlight w:val="none"/>
        </w:rPr>
      </w:pPr>
      <w:r>
        <w:rPr>
          <w:rFonts w:ascii="黑体" w:hAnsi="宋体" w:eastAsia="黑体"/>
          <w:color w:val="auto"/>
          <w:sz w:val="28"/>
          <w:szCs w:val="28"/>
          <w:highlight w:val="none"/>
        </w:rPr>
        <w:t>(1)</w:t>
      </w:r>
      <w:r>
        <w:rPr>
          <w:rFonts w:hint="eastAsia" w:ascii="黑体" w:hAnsi="宋体" w:eastAsia="黑体"/>
          <w:color w:val="auto"/>
          <w:sz w:val="28"/>
          <w:szCs w:val="28"/>
          <w:highlight w:val="none"/>
        </w:rPr>
        <w:t>投标函</w:t>
      </w:r>
    </w:p>
    <w:p>
      <w:pPr>
        <w:spacing w:line="400" w:lineRule="exact"/>
        <w:rPr>
          <w:rFonts w:ascii="黑体" w:hAnsi="宋体" w:eastAsia="黑体"/>
          <w:color w:val="auto"/>
          <w:sz w:val="28"/>
          <w:szCs w:val="28"/>
          <w:highlight w:val="none"/>
        </w:rPr>
      </w:pPr>
    </w:p>
    <w:p>
      <w:pPr>
        <w:pStyle w:val="8"/>
        <w:spacing w:line="420" w:lineRule="exact"/>
        <w:rPr>
          <w:rFonts w:hAnsi="宋体"/>
          <w:color w:val="auto"/>
          <w:szCs w:val="21"/>
          <w:highlight w:val="none"/>
        </w:rPr>
      </w:pPr>
      <w:r>
        <w:rPr>
          <w:rFonts w:hint="eastAsia" w:hAnsi="宋体"/>
          <w:color w:val="auto"/>
          <w:szCs w:val="21"/>
          <w:highlight w:val="none"/>
        </w:rPr>
        <w:t>致：</w:t>
      </w:r>
      <w:r>
        <w:rPr>
          <w:rFonts w:hAnsi="宋体"/>
          <w:color w:val="auto"/>
          <w:szCs w:val="21"/>
          <w:highlight w:val="none"/>
          <w:u w:val="single"/>
        </w:rPr>
        <w:t xml:space="preserve">   </w:t>
      </w:r>
      <w:r>
        <w:rPr>
          <w:rFonts w:hint="eastAsia" w:hAnsi="宋体"/>
          <w:color w:val="auto"/>
          <w:szCs w:val="21"/>
          <w:highlight w:val="none"/>
          <w:u w:val="single"/>
        </w:rPr>
        <w:t>（采购人名称）</w:t>
      </w:r>
      <w:r>
        <w:rPr>
          <w:rFonts w:hAnsi="宋体"/>
          <w:color w:val="auto"/>
          <w:szCs w:val="21"/>
          <w:highlight w:val="none"/>
          <w:u w:val="single"/>
        </w:rPr>
        <w:t xml:space="preserve">     </w:t>
      </w:r>
      <w:r>
        <w:rPr>
          <w:rFonts w:hAnsi="宋体"/>
          <w:color w:val="auto"/>
          <w:szCs w:val="21"/>
          <w:highlight w:val="none"/>
        </w:rPr>
        <w:t xml:space="preserve">   </w:t>
      </w:r>
    </w:p>
    <w:p>
      <w:pPr>
        <w:pStyle w:val="8"/>
        <w:spacing w:line="420" w:lineRule="exact"/>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根据贵方</w:t>
      </w:r>
      <w:r>
        <w:rPr>
          <w:rFonts w:hAnsi="宋体"/>
          <w:color w:val="auto"/>
          <w:szCs w:val="21"/>
          <w:highlight w:val="none"/>
          <w:u w:val="single"/>
        </w:rPr>
        <w:t xml:space="preserve">      </w:t>
      </w:r>
      <w:r>
        <w:rPr>
          <w:rFonts w:hint="eastAsia" w:hAnsi="宋体"/>
          <w:color w:val="auto"/>
          <w:szCs w:val="21"/>
          <w:highlight w:val="none"/>
          <w:u w:val="single"/>
        </w:rPr>
        <w:t>（项目名称）</w:t>
      </w:r>
      <w:r>
        <w:rPr>
          <w:rFonts w:hAnsi="宋体"/>
          <w:color w:val="auto"/>
          <w:szCs w:val="21"/>
          <w:highlight w:val="none"/>
          <w:u w:val="single"/>
        </w:rPr>
        <w:t xml:space="preserve">      </w:t>
      </w:r>
      <w:r>
        <w:rPr>
          <w:rFonts w:hint="eastAsia" w:hAnsi="宋体"/>
          <w:color w:val="auto"/>
          <w:szCs w:val="21"/>
          <w:highlight w:val="none"/>
        </w:rPr>
        <w:t>招标文件，项目编号</w:t>
      </w:r>
      <w:r>
        <w:rPr>
          <w:rFonts w:hAnsi="宋体"/>
          <w:color w:val="auto"/>
          <w:szCs w:val="21"/>
          <w:highlight w:val="none"/>
          <w:u w:val="single"/>
        </w:rPr>
        <w:t xml:space="preserve">                  </w:t>
      </w:r>
      <w:r>
        <w:rPr>
          <w:rFonts w:hint="eastAsia" w:hAnsi="宋体"/>
          <w:color w:val="auto"/>
          <w:szCs w:val="21"/>
          <w:highlight w:val="none"/>
        </w:rPr>
        <w:t>，我</w:t>
      </w:r>
      <w:r>
        <w:rPr>
          <w:rFonts w:hAnsi="宋体"/>
          <w:color w:val="auto"/>
          <w:szCs w:val="21"/>
          <w:highlight w:val="none"/>
        </w:rPr>
        <w:t>公司提交</w:t>
      </w:r>
      <w:r>
        <w:rPr>
          <w:rFonts w:hint="eastAsia" w:hAnsi="宋体"/>
          <w:color w:val="auto"/>
          <w:szCs w:val="21"/>
          <w:highlight w:val="none"/>
        </w:rPr>
        <w:t>提交下述文件</w:t>
      </w:r>
      <w:r>
        <w:rPr>
          <w:rFonts w:hint="eastAsia"/>
          <w:color w:val="auto"/>
          <w:highlight w:val="none"/>
        </w:rPr>
        <w:t>参加贵方组织的本次政府采购活动：</w:t>
      </w:r>
      <w:r>
        <w:rPr>
          <w:rFonts w:hAnsi="宋体"/>
          <w:color w:val="auto"/>
          <w:szCs w:val="21"/>
          <w:highlight w:val="none"/>
        </w:rPr>
        <w:t xml:space="preserve"> </w:t>
      </w:r>
    </w:p>
    <w:p>
      <w:pPr>
        <w:pStyle w:val="8"/>
        <w:spacing w:line="440" w:lineRule="exact"/>
        <w:ind w:firstLine="482"/>
        <w:rPr>
          <w:color w:val="auto"/>
          <w:highlight w:val="none"/>
        </w:rPr>
      </w:pPr>
      <w:r>
        <w:rPr>
          <w:rFonts w:hint="eastAsia"/>
          <w:color w:val="auto"/>
          <w:highlight w:val="none"/>
        </w:rPr>
        <w:t>一、资格审查部分电子版一份（包含按投标人须知前附表要求提交的全部文件）；</w:t>
      </w:r>
    </w:p>
    <w:p>
      <w:pPr>
        <w:pStyle w:val="8"/>
        <w:spacing w:line="440" w:lineRule="exact"/>
        <w:ind w:firstLine="482"/>
        <w:rPr>
          <w:color w:val="auto"/>
          <w:highlight w:val="none"/>
        </w:rPr>
      </w:pPr>
      <w:r>
        <w:rPr>
          <w:rFonts w:hint="eastAsia"/>
          <w:color w:val="auto"/>
          <w:highlight w:val="none"/>
        </w:rPr>
        <w:t>二、</w:t>
      </w:r>
      <w:r>
        <w:rPr>
          <w:rFonts w:hint="eastAsia" w:hAnsi="宋体"/>
          <w:color w:val="auto"/>
          <w:highlight w:val="none"/>
        </w:rPr>
        <w:t>商务标部分</w:t>
      </w:r>
      <w:r>
        <w:rPr>
          <w:rFonts w:hint="eastAsia"/>
          <w:color w:val="auto"/>
          <w:highlight w:val="none"/>
        </w:rPr>
        <w:t>电子版一份（包含按投标人须知前附表要求提交的全部文件）；</w:t>
      </w:r>
    </w:p>
    <w:p>
      <w:pPr>
        <w:pStyle w:val="8"/>
        <w:spacing w:line="440" w:lineRule="exact"/>
        <w:ind w:firstLine="482"/>
        <w:rPr>
          <w:color w:val="auto"/>
          <w:highlight w:val="none"/>
        </w:rPr>
      </w:pPr>
      <w:r>
        <w:rPr>
          <w:rFonts w:hint="eastAsia"/>
          <w:color w:val="auto"/>
          <w:highlight w:val="none"/>
        </w:rPr>
        <w:t>三、技术标部分电子版一份（包含按投标人须知前附表要求提交的全部文件）；</w:t>
      </w:r>
    </w:p>
    <w:p>
      <w:pPr>
        <w:pStyle w:val="8"/>
        <w:spacing w:line="420" w:lineRule="exact"/>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据此函，我</w:t>
      </w:r>
      <w:r>
        <w:rPr>
          <w:rFonts w:hAnsi="宋体"/>
          <w:color w:val="auto"/>
          <w:szCs w:val="21"/>
          <w:highlight w:val="none"/>
        </w:rPr>
        <w:t>公司</w:t>
      </w:r>
      <w:r>
        <w:rPr>
          <w:rFonts w:hint="eastAsia" w:hAnsi="宋体"/>
          <w:color w:val="auto"/>
          <w:szCs w:val="21"/>
          <w:highlight w:val="none"/>
        </w:rPr>
        <w:t>兹宣布同意如下：</w:t>
      </w:r>
    </w:p>
    <w:p>
      <w:pPr>
        <w:pStyle w:val="8"/>
        <w:spacing w:line="360" w:lineRule="exact"/>
        <w:ind w:left="-40" w:leftChars="-19" w:firstLine="464" w:firstLineChars="221"/>
        <w:rPr>
          <w:rFonts w:hAnsi="宋体"/>
          <w:color w:val="auto"/>
          <w:szCs w:val="21"/>
          <w:highlight w:val="none"/>
        </w:rPr>
      </w:pPr>
      <w:r>
        <w:rPr>
          <w:rFonts w:hAnsi="宋体"/>
          <w:color w:val="auto"/>
          <w:szCs w:val="21"/>
          <w:highlight w:val="none"/>
        </w:rPr>
        <w:t>1</w:t>
      </w:r>
      <w:r>
        <w:rPr>
          <w:rFonts w:hint="eastAsia" w:hAnsi="宋体"/>
          <w:color w:val="auto"/>
          <w:szCs w:val="21"/>
          <w:highlight w:val="none"/>
        </w:rPr>
        <w:t>、按招标文件“项目需求</w:t>
      </w:r>
      <w:r>
        <w:rPr>
          <w:rFonts w:hAnsi="宋体"/>
          <w:color w:val="auto"/>
          <w:szCs w:val="21"/>
          <w:highlight w:val="none"/>
        </w:rPr>
        <w:t>和说明</w:t>
      </w:r>
      <w:r>
        <w:rPr>
          <w:rFonts w:hint="eastAsia" w:hAnsi="宋体"/>
          <w:color w:val="auto"/>
          <w:szCs w:val="21"/>
          <w:highlight w:val="none"/>
        </w:rPr>
        <w:t>”和投标报价表，</w:t>
      </w:r>
      <w:r>
        <w:rPr>
          <w:rFonts w:hint="eastAsia" w:hAnsi="宋体"/>
          <w:color w:val="auto"/>
          <w:highlight w:val="none"/>
        </w:rPr>
        <w:t>我方的投标总报价为</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，合同履行期限：</w:t>
      </w:r>
      <w:r>
        <w:rPr>
          <w:rFonts w:hint="eastAsia" w:hAnsi="宋体" w:cs="宋体"/>
          <w:bCs/>
          <w:color w:val="auto"/>
          <w:highlight w:val="none"/>
          <w:u w:val="single"/>
        </w:rPr>
        <w:t xml:space="preserve"> </w:t>
      </w:r>
      <w:r>
        <w:rPr>
          <w:rFonts w:hAnsi="宋体" w:cs="宋体"/>
          <w:bCs/>
          <w:color w:val="auto"/>
          <w:highlight w:val="none"/>
          <w:u w:val="single"/>
        </w:rPr>
        <w:t xml:space="preserve">                          </w:t>
      </w:r>
      <w:r>
        <w:rPr>
          <w:rFonts w:hint="eastAsia" w:hAnsi="宋体"/>
          <w:color w:val="auto"/>
          <w:highlight w:val="none"/>
        </w:rPr>
        <w:t>，投标</w:t>
      </w:r>
      <w:r>
        <w:rPr>
          <w:rFonts w:hAnsi="宋体"/>
          <w:color w:val="auto"/>
          <w:highlight w:val="none"/>
        </w:rPr>
        <w:t>有效期：</w:t>
      </w:r>
      <w:r>
        <w:rPr>
          <w:rFonts w:hint="eastAsia" w:hAnsi="宋体"/>
          <w:color w:val="auto"/>
          <w:highlight w:val="none"/>
          <w:u w:val="single"/>
        </w:rPr>
        <w:t xml:space="preserve">             </w:t>
      </w:r>
      <w:r>
        <w:rPr>
          <w:rFonts w:hint="eastAsia" w:hAnsi="宋体"/>
          <w:color w:val="auto"/>
          <w:highlight w:val="none"/>
        </w:rPr>
        <w:t>。</w:t>
      </w:r>
    </w:p>
    <w:p>
      <w:pPr>
        <w:pStyle w:val="8"/>
        <w:spacing w:line="420" w:lineRule="exact"/>
        <w:rPr>
          <w:rFonts w:hAnsi="宋体"/>
          <w:color w:val="auto"/>
          <w:szCs w:val="21"/>
          <w:highlight w:val="none"/>
        </w:rPr>
      </w:pPr>
      <w:r>
        <w:rPr>
          <w:rFonts w:hAnsi="宋体"/>
          <w:color w:val="auto"/>
          <w:szCs w:val="21"/>
          <w:highlight w:val="none"/>
        </w:rPr>
        <w:t xml:space="preserve">    2</w:t>
      </w:r>
      <w:r>
        <w:rPr>
          <w:rFonts w:hint="eastAsia" w:hAnsi="宋体"/>
          <w:color w:val="auto"/>
          <w:szCs w:val="21"/>
          <w:highlight w:val="none"/>
        </w:rPr>
        <w:t>、我方同意在投标人须知规定的截标日期起遵循本招标文件，在投标人须知规定的投标有效期满之前均具有约束力，并有可能中标。</w:t>
      </w:r>
    </w:p>
    <w:p>
      <w:pPr>
        <w:pStyle w:val="8"/>
        <w:spacing w:line="420" w:lineRule="exact"/>
        <w:rPr>
          <w:rFonts w:hAnsi="宋体"/>
          <w:color w:val="auto"/>
          <w:szCs w:val="21"/>
          <w:highlight w:val="none"/>
        </w:rPr>
      </w:pPr>
      <w:r>
        <w:rPr>
          <w:rFonts w:hAnsi="宋体"/>
          <w:color w:val="auto"/>
          <w:szCs w:val="21"/>
          <w:highlight w:val="none"/>
        </w:rPr>
        <w:t xml:space="preserve">    3</w:t>
      </w:r>
      <w:r>
        <w:rPr>
          <w:rFonts w:hint="eastAsia" w:hAnsi="宋体"/>
          <w:color w:val="auto"/>
          <w:szCs w:val="21"/>
          <w:highlight w:val="none"/>
        </w:rPr>
        <w:t>、我方承诺已经具备《中华人民共和国政府采购法》中规定的参加政府采购活动的供应商应当具备的条件：</w:t>
      </w:r>
    </w:p>
    <w:p>
      <w:pPr>
        <w:pStyle w:val="8"/>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）具有独立承担民事责任的能力；</w:t>
      </w:r>
    </w:p>
    <w:p>
      <w:pPr>
        <w:pStyle w:val="8"/>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）具有良好的商业信誉和健全的财务会计制度；</w:t>
      </w:r>
    </w:p>
    <w:p>
      <w:pPr>
        <w:pStyle w:val="8"/>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）具有履行合同所必需的设备和专业技术能力；</w:t>
      </w:r>
    </w:p>
    <w:p>
      <w:pPr>
        <w:pStyle w:val="8"/>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）有依法缴纳税收的良好记录；</w:t>
      </w:r>
    </w:p>
    <w:p>
      <w:pPr>
        <w:pStyle w:val="8"/>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）参加此项采购活动前三年内，在经营活动中没有重大违法记录；</w:t>
      </w:r>
    </w:p>
    <w:p>
      <w:pPr>
        <w:pStyle w:val="8"/>
        <w:spacing w:line="440" w:lineRule="exact"/>
        <w:ind w:firstLine="420" w:firstLineChars="200"/>
        <w:rPr>
          <w:color w:val="auto"/>
          <w:highlight w:val="none"/>
        </w:rPr>
      </w:pPr>
      <w:r>
        <w:rPr>
          <w:rFonts w:hint="eastAsia" w:hAnsi="宋体"/>
          <w:color w:val="auto"/>
          <w:szCs w:val="21"/>
          <w:highlight w:val="none"/>
        </w:rPr>
        <w:t>（6</w:t>
      </w:r>
      <w:r>
        <w:rPr>
          <w:rFonts w:hAnsi="宋体"/>
          <w:color w:val="auto"/>
          <w:szCs w:val="21"/>
          <w:highlight w:val="none"/>
        </w:rPr>
        <w:t>）</w:t>
      </w:r>
      <w:r>
        <w:rPr>
          <w:rFonts w:hint="eastAsia"/>
          <w:color w:val="auto"/>
          <w:highlight w:val="none"/>
        </w:rPr>
        <w:t>法律、行政法规规定的其他条件。</w:t>
      </w:r>
    </w:p>
    <w:p>
      <w:pPr>
        <w:pStyle w:val="8"/>
        <w:spacing w:line="420" w:lineRule="exact"/>
        <w:ind w:firstLine="420" w:firstLineChars="200"/>
        <w:rPr>
          <w:rFonts w:hAnsi="宋体"/>
          <w:color w:val="auto"/>
          <w:szCs w:val="21"/>
          <w:highlight w:val="none"/>
        </w:rPr>
      </w:pPr>
      <w:r>
        <w:rPr>
          <w:rFonts w:hAnsi="宋体"/>
          <w:color w:val="auto"/>
          <w:szCs w:val="21"/>
          <w:highlight w:val="none"/>
        </w:rPr>
        <w:t>4</w:t>
      </w:r>
      <w:r>
        <w:rPr>
          <w:rFonts w:hint="eastAsia" w:hAnsi="宋体"/>
          <w:color w:val="auto"/>
          <w:szCs w:val="21"/>
          <w:highlight w:val="none"/>
        </w:rPr>
        <w:t>、我方根据招标文件的规定，承担完成合同的责任和义务。</w:t>
      </w:r>
    </w:p>
    <w:p>
      <w:pPr>
        <w:pStyle w:val="8"/>
        <w:spacing w:line="420" w:lineRule="exact"/>
        <w:ind w:firstLine="420" w:firstLineChars="200"/>
        <w:rPr>
          <w:rFonts w:hAnsi="宋体"/>
          <w:color w:val="auto"/>
          <w:szCs w:val="21"/>
          <w:highlight w:val="none"/>
        </w:rPr>
      </w:pPr>
      <w:r>
        <w:rPr>
          <w:rFonts w:hAnsi="宋体"/>
          <w:color w:val="auto"/>
          <w:szCs w:val="21"/>
          <w:highlight w:val="none"/>
        </w:rPr>
        <w:t>5</w:t>
      </w:r>
      <w:r>
        <w:rPr>
          <w:rFonts w:hint="eastAsia" w:hAnsi="宋体"/>
          <w:color w:val="auto"/>
          <w:szCs w:val="21"/>
          <w:highlight w:val="none"/>
        </w:rPr>
        <w:t>、我方已详细审核招标文件，我方知道必须放弃提出含糊不清或误解问题的权利。</w:t>
      </w:r>
    </w:p>
    <w:p>
      <w:pPr>
        <w:pStyle w:val="8"/>
        <w:spacing w:line="420" w:lineRule="exact"/>
        <w:ind w:firstLine="420" w:firstLineChars="200"/>
        <w:rPr>
          <w:rFonts w:hAnsi="宋体"/>
          <w:color w:val="auto"/>
          <w:szCs w:val="21"/>
          <w:highlight w:val="none"/>
        </w:rPr>
      </w:pPr>
      <w:r>
        <w:rPr>
          <w:rFonts w:hAnsi="宋体"/>
          <w:color w:val="auto"/>
          <w:szCs w:val="21"/>
          <w:highlight w:val="none"/>
        </w:rPr>
        <w:t>6</w:t>
      </w:r>
      <w:r>
        <w:rPr>
          <w:rFonts w:hint="eastAsia" w:hAnsi="宋体"/>
          <w:color w:val="auto"/>
          <w:szCs w:val="21"/>
          <w:highlight w:val="none"/>
        </w:rPr>
        <w:t>、如果在投标截止时间后的投标有效期内撤回投标或者有其他违约行为，我方的投标保证金可被贵方全部没收。</w:t>
      </w:r>
    </w:p>
    <w:p>
      <w:pPr>
        <w:pStyle w:val="8"/>
        <w:spacing w:line="420" w:lineRule="exact"/>
        <w:ind w:firstLine="420" w:firstLineChars="200"/>
        <w:rPr>
          <w:rFonts w:hAnsi="宋体"/>
          <w:color w:val="auto"/>
          <w:szCs w:val="21"/>
          <w:highlight w:val="none"/>
        </w:rPr>
      </w:pPr>
      <w:r>
        <w:rPr>
          <w:rFonts w:hAnsi="宋体"/>
          <w:color w:val="auto"/>
          <w:szCs w:val="21"/>
          <w:highlight w:val="none"/>
        </w:rPr>
        <w:t>7</w:t>
      </w:r>
      <w:r>
        <w:rPr>
          <w:rFonts w:hint="eastAsia" w:hAnsi="宋体"/>
          <w:color w:val="auto"/>
          <w:szCs w:val="21"/>
          <w:highlight w:val="none"/>
        </w:rPr>
        <w:t>、同意向贵方提供贵方可能要求的与本投标有关的任何数据或资料。</w:t>
      </w:r>
    </w:p>
    <w:p>
      <w:pPr>
        <w:pStyle w:val="8"/>
        <w:spacing w:line="420" w:lineRule="exact"/>
        <w:ind w:firstLine="420" w:firstLineChars="200"/>
        <w:rPr>
          <w:rFonts w:hAnsi="宋体"/>
          <w:color w:val="auto"/>
          <w:szCs w:val="21"/>
          <w:highlight w:val="none"/>
        </w:rPr>
      </w:pPr>
      <w:r>
        <w:rPr>
          <w:rFonts w:hAnsi="宋体"/>
          <w:color w:val="auto"/>
          <w:szCs w:val="21"/>
          <w:highlight w:val="none"/>
        </w:rPr>
        <w:t>8</w:t>
      </w:r>
      <w:r>
        <w:rPr>
          <w:rFonts w:hint="eastAsia" w:hAnsi="宋体"/>
          <w:color w:val="auto"/>
          <w:szCs w:val="21"/>
          <w:highlight w:val="none"/>
        </w:rPr>
        <w:t>、我方完全理解贵方不一定要接受最低报价的投标人为中标人。</w:t>
      </w:r>
    </w:p>
    <w:p>
      <w:pPr>
        <w:pStyle w:val="8"/>
        <w:spacing w:line="420" w:lineRule="exact"/>
        <w:ind w:firstLine="420" w:firstLineChars="200"/>
        <w:rPr>
          <w:rFonts w:hAnsi="宋体"/>
          <w:color w:val="auto"/>
          <w:szCs w:val="21"/>
          <w:highlight w:val="none"/>
        </w:rPr>
      </w:pPr>
      <w:r>
        <w:rPr>
          <w:rFonts w:hAnsi="宋体"/>
          <w:color w:val="auto"/>
          <w:szCs w:val="21"/>
          <w:highlight w:val="none"/>
        </w:rPr>
        <w:t>9</w:t>
      </w:r>
      <w:r>
        <w:rPr>
          <w:rFonts w:hint="eastAsia" w:hAnsi="宋体"/>
          <w:color w:val="auto"/>
          <w:szCs w:val="21"/>
          <w:highlight w:val="none"/>
        </w:rPr>
        <w:t>、若贵方需要，我方愿意提供我方作出的一切承诺的证明材料。</w:t>
      </w:r>
    </w:p>
    <w:p>
      <w:pPr>
        <w:pStyle w:val="8"/>
        <w:spacing w:line="420" w:lineRule="exact"/>
        <w:ind w:firstLine="420" w:firstLineChars="200"/>
        <w:rPr>
          <w:rFonts w:hAnsi="宋体"/>
          <w:color w:val="auto"/>
          <w:szCs w:val="21"/>
          <w:highlight w:val="none"/>
        </w:rPr>
      </w:pPr>
      <w:r>
        <w:rPr>
          <w:rFonts w:hAnsi="宋体"/>
          <w:color w:val="auto"/>
          <w:szCs w:val="21"/>
          <w:highlight w:val="none"/>
        </w:rPr>
        <w:t>10</w:t>
      </w:r>
      <w:r>
        <w:rPr>
          <w:rFonts w:hint="eastAsia" w:hAnsi="宋体"/>
          <w:color w:val="auto"/>
          <w:szCs w:val="21"/>
          <w:highlight w:val="none"/>
        </w:rPr>
        <w:t>、我方将严格遵守《中华人民共和国政府采购法》第七十七条规定，供应商有下列情形之一的，处以采购金额</w:t>
      </w:r>
      <w:r>
        <w:rPr>
          <w:rFonts w:hAnsi="宋体"/>
          <w:color w:val="auto"/>
          <w:szCs w:val="21"/>
          <w:highlight w:val="none"/>
        </w:rPr>
        <w:t>5</w:t>
      </w:r>
      <w:r>
        <w:rPr>
          <w:rFonts w:hint="eastAsia" w:hAnsi="宋体"/>
          <w:color w:val="auto"/>
          <w:szCs w:val="21"/>
          <w:highlight w:val="none"/>
        </w:rPr>
        <w:t>‰以上</w:t>
      </w:r>
      <w:r>
        <w:rPr>
          <w:rFonts w:hAnsi="宋体"/>
          <w:color w:val="auto"/>
          <w:szCs w:val="21"/>
          <w:highlight w:val="none"/>
        </w:rPr>
        <w:t>10</w:t>
      </w:r>
      <w:r>
        <w:rPr>
          <w:rFonts w:hint="eastAsia" w:hAnsi="宋体"/>
          <w:color w:val="auto"/>
          <w:szCs w:val="21"/>
          <w:highlight w:val="none"/>
        </w:rPr>
        <w:t>‰以下的罚款，列入不良行为记录名单，在一到三年内禁止参加政府采购活动，有违法所得的，并处没收违法所得，情节严重的，由工商行政管理机关吊销营业执照；构成犯罪的，依法追究刑事责任：</w:t>
      </w:r>
    </w:p>
    <w:p>
      <w:pPr>
        <w:pStyle w:val="8"/>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）提供虚假材料谋取中标的；</w:t>
      </w:r>
    </w:p>
    <w:p>
      <w:pPr>
        <w:pStyle w:val="8"/>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）采取不正当手段诋毁、排挤其他供应商的；</w:t>
      </w:r>
    </w:p>
    <w:p>
      <w:pPr>
        <w:pStyle w:val="8"/>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）与采购人、其他供应商或者招标代理机构恶意串通的；</w:t>
      </w:r>
    </w:p>
    <w:p>
      <w:pPr>
        <w:pStyle w:val="8"/>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）向采购人、招标代理机构行贿或者提供其他不正当利益的；</w:t>
      </w:r>
    </w:p>
    <w:p>
      <w:pPr>
        <w:pStyle w:val="8"/>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）在采购过程中与采购人进行协商谈判的；</w:t>
      </w:r>
    </w:p>
    <w:p>
      <w:pPr>
        <w:pStyle w:val="8"/>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）拒绝有关部门监督检查或提供虚假情况的。</w:t>
      </w:r>
    </w:p>
    <w:p>
      <w:pPr>
        <w:pStyle w:val="8"/>
        <w:spacing w:line="420" w:lineRule="exact"/>
        <w:ind w:left="101" w:leftChars="48" w:firstLine="520" w:firstLineChars="248"/>
        <w:rPr>
          <w:rFonts w:hAnsi="宋体"/>
          <w:color w:val="auto"/>
          <w:szCs w:val="21"/>
          <w:highlight w:val="none"/>
        </w:rPr>
      </w:pPr>
      <w:r>
        <w:rPr>
          <w:rFonts w:hint="eastAsia" w:hAnsi="宋体"/>
          <w:color w:val="auto"/>
          <w:szCs w:val="21"/>
          <w:highlight w:val="none"/>
        </w:rPr>
        <w:t>与本投标有关的正式通讯地址为：</w:t>
      </w:r>
    </w:p>
    <w:p>
      <w:pPr>
        <w:pStyle w:val="8"/>
        <w:spacing w:line="420" w:lineRule="exact"/>
        <w:ind w:left="101" w:leftChars="48" w:firstLine="520" w:firstLineChars="248"/>
        <w:rPr>
          <w:rFonts w:hAnsi="宋体"/>
          <w:color w:val="auto"/>
          <w:szCs w:val="21"/>
          <w:highlight w:val="none"/>
        </w:rPr>
      </w:pPr>
      <w:r>
        <w:rPr>
          <w:rFonts w:hint="eastAsia" w:hAnsi="宋体"/>
          <w:color w:val="auto"/>
          <w:szCs w:val="21"/>
          <w:highlight w:val="none"/>
        </w:rPr>
        <w:t>地址：</w:t>
      </w:r>
      <w:r>
        <w:rPr>
          <w:rFonts w:hAnsi="宋体"/>
          <w:color w:val="auto"/>
          <w:szCs w:val="21"/>
          <w:highlight w:val="none"/>
          <w:u w:val="single"/>
        </w:rPr>
        <w:t xml:space="preserve">                                </w:t>
      </w:r>
      <w:r>
        <w:rPr>
          <w:rFonts w:hAnsi="宋体"/>
          <w:color w:val="auto"/>
          <w:szCs w:val="21"/>
          <w:highlight w:val="none"/>
        </w:rPr>
        <w:t xml:space="preserve"> </w:t>
      </w:r>
      <w:r>
        <w:rPr>
          <w:rFonts w:hint="eastAsia" w:hAnsi="宋体"/>
          <w:color w:val="auto"/>
          <w:szCs w:val="21"/>
          <w:highlight w:val="none"/>
        </w:rPr>
        <w:t>邮政编码：</w:t>
      </w:r>
      <w:r>
        <w:rPr>
          <w:rFonts w:hAnsi="宋体"/>
          <w:color w:val="auto"/>
          <w:szCs w:val="21"/>
          <w:highlight w:val="none"/>
          <w:u w:val="single"/>
        </w:rPr>
        <w:t xml:space="preserve">             </w:t>
      </w:r>
    </w:p>
    <w:p>
      <w:pPr>
        <w:pStyle w:val="8"/>
        <w:spacing w:line="400" w:lineRule="exact"/>
        <w:ind w:firstLine="630" w:firstLineChars="300"/>
        <w:rPr>
          <w:rFonts w:hAnsi="宋体"/>
          <w:color w:val="auto"/>
          <w:szCs w:val="21"/>
          <w:highlight w:val="none"/>
          <w:u w:val="single"/>
        </w:rPr>
      </w:pPr>
      <w:r>
        <w:rPr>
          <w:rFonts w:hint="eastAsia" w:hAnsi="宋体"/>
          <w:color w:val="auto"/>
          <w:szCs w:val="21"/>
          <w:highlight w:val="none"/>
        </w:rPr>
        <w:t>电话、传真或电传：</w:t>
      </w:r>
      <w:r>
        <w:rPr>
          <w:rFonts w:hAnsi="宋体"/>
          <w:color w:val="auto"/>
          <w:szCs w:val="21"/>
          <w:highlight w:val="none"/>
          <w:u w:val="single"/>
        </w:rPr>
        <w:t xml:space="preserve">                                      </w:t>
      </w:r>
    </w:p>
    <w:p>
      <w:pPr>
        <w:pStyle w:val="8"/>
        <w:spacing w:line="400" w:lineRule="exact"/>
        <w:ind w:firstLine="630" w:firstLineChars="300"/>
        <w:rPr>
          <w:rFonts w:hAnsi="宋体"/>
          <w:color w:val="auto"/>
          <w:szCs w:val="21"/>
          <w:highlight w:val="none"/>
        </w:rPr>
      </w:pPr>
      <w:r>
        <w:rPr>
          <w:rFonts w:hint="eastAsia" w:hAnsi="宋体"/>
          <w:color w:val="auto"/>
          <w:szCs w:val="21"/>
          <w:highlight w:val="none"/>
        </w:rPr>
        <w:t>开户名称：</w:t>
      </w:r>
      <w:r>
        <w:rPr>
          <w:rFonts w:hAnsi="宋体"/>
          <w:color w:val="auto"/>
          <w:szCs w:val="21"/>
          <w:highlight w:val="none"/>
          <w:u w:val="single"/>
        </w:rPr>
        <w:t xml:space="preserve">                                      </w:t>
      </w:r>
    </w:p>
    <w:p>
      <w:pPr>
        <w:pStyle w:val="8"/>
        <w:spacing w:line="400" w:lineRule="exact"/>
        <w:ind w:firstLine="630" w:firstLineChars="300"/>
        <w:rPr>
          <w:rFonts w:hAnsi="宋体"/>
          <w:color w:val="auto"/>
          <w:szCs w:val="21"/>
          <w:highlight w:val="none"/>
        </w:rPr>
      </w:pPr>
      <w:r>
        <w:rPr>
          <w:rFonts w:hint="eastAsia" w:hAnsi="宋体"/>
          <w:color w:val="auto"/>
          <w:szCs w:val="21"/>
          <w:highlight w:val="none"/>
        </w:rPr>
        <w:t>开户银行：</w:t>
      </w:r>
      <w:r>
        <w:rPr>
          <w:rFonts w:hAnsi="宋体"/>
          <w:color w:val="auto"/>
          <w:szCs w:val="21"/>
          <w:highlight w:val="none"/>
          <w:u w:val="single"/>
        </w:rPr>
        <w:t xml:space="preserve">                                      </w:t>
      </w:r>
    </w:p>
    <w:p>
      <w:pPr>
        <w:pStyle w:val="8"/>
        <w:spacing w:line="400" w:lineRule="exact"/>
        <w:ind w:firstLine="630" w:firstLineChars="300"/>
        <w:rPr>
          <w:rFonts w:hAnsi="宋体"/>
          <w:color w:val="auto"/>
          <w:szCs w:val="21"/>
          <w:highlight w:val="none"/>
        </w:rPr>
      </w:pPr>
      <w:r>
        <w:rPr>
          <w:rFonts w:hint="eastAsia" w:hAnsi="宋体"/>
          <w:color w:val="auto"/>
          <w:szCs w:val="21"/>
          <w:highlight w:val="none"/>
        </w:rPr>
        <w:t>帐号：</w:t>
      </w:r>
      <w:r>
        <w:rPr>
          <w:rFonts w:hAnsi="宋体"/>
          <w:color w:val="auto"/>
          <w:szCs w:val="21"/>
          <w:highlight w:val="none"/>
          <w:u w:val="single"/>
        </w:rPr>
        <w:t xml:space="preserve">                                      </w:t>
      </w:r>
    </w:p>
    <w:p>
      <w:pPr>
        <w:pStyle w:val="8"/>
        <w:spacing w:line="400" w:lineRule="exact"/>
        <w:ind w:firstLine="615" w:firstLineChars="293"/>
        <w:rPr>
          <w:rFonts w:hAnsi="宋体"/>
          <w:color w:val="auto"/>
          <w:szCs w:val="21"/>
          <w:highlight w:val="none"/>
        </w:rPr>
      </w:pPr>
      <w:r>
        <w:rPr>
          <w:rFonts w:hint="eastAsia" w:hAnsi="宋体"/>
          <w:color w:val="auto"/>
          <w:szCs w:val="21"/>
          <w:highlight w:val="none"/>
        </w:rPr>
        <w:t>法定代表人或授权委托代理人(电子签章)：</w:t>
      </w:r>
      <w:r>
        <w:rPr>
          <w:rFonts w:hAnsi="宋体"/>
          <w:color w:val="auto"/>
          <w:szCs w:val="21"/>
          <w:highlight w:val="none"/>
          <w:u w:val="single"/>
        </w:rPr>
        <w:t xml:space="preserve">                       </w:t>
      </w:r>
    </w:p>
    <w:p>
      <w:pPr>
        <w:pStyle w:val="8"/>
        <w:spacing w:line="400" w:lineRule="exact"/>
        <w:ind w:firstLine="615" w:firstLineChars="293"/>
        <w:rPr>
          <w:rFonts w:hAnsi="宋体"/>
          <w:color w:val="auto"/>
          <w:szCs w:val="21"/>
          <w:highlight w:val="none"/>
          <w:u w:val="single"/>
        </w:rPr>
      </w:pPr>
      <w:r>
        <w:rPr>
          <w:rFonts w:hint="eastAsia" w:hAnsi="宋体"/>
          <w:color w:val="auto"/>
          <w:szCs w:val="21"/>
          <w:highlight w:val="none"/>
        </w:rPr>
        <w:t>投标人名称(电子签章)：</w:t>
      </w:r>
      <w:r>
        <w:rPr>
          <w:rFonts w:hint="eastAsia" w:hAnsi="宋体"/>
          <w:color w:val="auto"/>
          <w:szCs w:val="21"/>
          <w:highlight w:val="none"/>
          <w:u w:val="single"/>
        </w:rPr>
        <w:t xml:space="preserve">                           </w:t>
      </w:r>
    </w:p>
    <w:p>
      <w:pPr>
        <w:pStyle w:val="8"/>
        <w:spacing w:line="400" w:lineRule="exact"/>
        <w:ind w:firstLine="615" w:firstLineChars="293"/>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pPr>
        <w:pStyle w:val="8"/>
        <w:spacing w:line="420" w:lineRule="exact"/>
        <w:ind w:left="101" w:leftChars="48" w:firstLine="520" w:firstLineChars="248"/>
        <w:rPr>
          <w:rFonts w:hAnsi="宋体"/>
          <w:color w:val="auto"/>
          <w:szCs w:val="21"/>
          <w:highlight w:val="none"/>
        </w:rPr>
      </w:pPr>
    </w:p>
    <w:p>
      <w:pPr>
        <w:pStyle w:val="8"/>
        <w:spacing w:line="420" w:lineRule="exact"/>
        <w:ind w:left="101" w:leftChars="48" w:firstLine="520" w:firstLineChars="248"/>
        <w:rPr>
          <w:rFonts w:hAnsi="宋体"/>
          <w:color w:val="auto"/>
          <w:szCs w:val="21"/>
          <w:highlight w:val="none"/>
        </w:rPr>
      </w:pPr>
    </w:p>
    <w:p>
      <w:pPr>
        <w:autoSpaceDE w:val="0"/>
        <w:autoSpaceDN w:val="0"/>
        <w:adjustRightInd w:val="0"/>
        <w:spacing w:line="400" w:lineRule="exact"/>
        <w:jc w:val="center"/>
        <w:rPr>
          <w:rFonts w:hAnsi="宋体"/>
          <w:color w:val="auto"/>
          <w:kern w:val="0"/>
          <w:szCs w:val="21"/>
          <w:highlight w:val="none"/>
        </w:rPr>
      </w:pPr>
      <w:r>
        <w:rPr>
          <w:rFonts w:hAnsi="宋体"/>
          <w:b/>
          <w:color w:val="auto"/>
          <w:szCs w:val="21"/>
          <w:highlight w:val="none"/>
        </w:rPr>
        <w:t xml:space="preserve">    </w:t>
      </w:r>
      <w:r>
        <w:rPr>
          <w:rFonts w:hint="eastAsia" w:hAnsi="宋体"/>
          <w:b/>
          <w:color w:val="auto"/>
          <w:szCs w:val="21"/>
          <w:highlight w:val="none"/>
        </w:rPr>
        <w:t>注：未按照本投标函要求填报的投标函将被视为非实质性响应投标，从而导致该投标被拒绝。</w:t>
      </w:r>
      <w:r>
        <w:rPr>
          <w:rFonts w:hAnsi="宋体"/>
          <w:color w:val="auto"/>
          <w:kern w:val="0"/>
          <w:szCs w:val="21"/>
          <w:highlight w:val="none"/>
        </w:rPr>
        <w:br w:type="page"/>
      </w:r>
    </w:p>
    <w:p>
      <w:pPr>
        <w:pStyle w:val="8"/>
        <w:ind w:firstLine="480"/>
        <w:jc w:val="left"/>
        <w:rPr>
          <w:rFonts w:hAnsi="宋体"/>
          <w:color w:val="auto"/>
          <w:sz w:val="24"/>
          <w:highlight w:val="none"/>
        </w:rPr>
      </w:pPr>
    </w:p>
    <w:p>
      <w:pPr>
        <w:pStyle w:val="8"/>
        <w:ind w:firstLine="480"/>
        <w:jc w:val="left"/>
        <w:rPr>
          <w:rFonts w:hAnsi="宋体"/>
          <w:color w:val="auto"/>
          <w:sz w:val="24"/>
          <w:highlight w:val="none"/>
        </w:rPr>
      </w:pPr>
      <w:r>
        <w:rPr>
          <w:rFonts w:hint="eastAsia" w:hAnsi="宋体"/>
          <w:color w:val="auto"/>
          <w:sz w:val="24"/>
          <w:highlight w:val="none"/>
        </w:rPr>
        <w:t>附件1：</w:t>
      </w:r>
    </w:p>
    <w:p>
      <w:pPr>
        <w:pStyle w:val="8"/>
        <w:ind w:firstLine="562"/>
        <w:jc w:val="center"/>
        <w:rPr>
          <w:rFonts w:hAnsi="宋体" w:cs="宋体"/>
          <w:b/>
          <w:color w:val="auto"/>
          <w:sz w:val="28"/>
          <w:szCs w:val="28"/>
          <w:highlight w:val="none"/>
        </w:rPr>
      </w:pPr>
      <w:r>
        <w:rPr>
          <w:rFonts w:hint="eastAsia" w:hAnsi="宋体" w:cs="宋体"/>
          <w:b/>
          <w:color w:val="auto"/>
          <w:sz w:val="28"/>
          <w:szCs w:val="28"/>
          <w:highlight w:val="none"/>
        </w:rPr>
        <w:t>投标函附录（格式）</w:t>
      </w:r>
    </w:p>
    <w:p>
      <w:pPr>
        <w:spacing w:line="360" w:lineRule="auto"/>
        <w:ind w:firstLine="133" w:firstLineChars="50"/>
        <w:rPr>
          <w:rFonts w:hAnsi="宋体" w:cs="宋体"/>
          <w:color w:val="auto"/>
          <w:szCs w:val="21"/>
          <w:highlight w:val="none"/>
          <w:u w:val="single"/>
        </w:rPr>
      </w:pPr>
      <w:r>
        <w:rPr>
          <w:rFonts w:hint="eastAsia" w:hAnsi="宋体" w:cs="宋体"/>
          <w:color w:val="auto"/>
          <w:spacing w:val="28"/>
          <w:szCs w:val="21"/>
          <w:highlight w:val="none"/>
        </w:rPr>
        <w:t>项目名称:</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p>
    <w:p>
      <w:pPr>
        <w:spacing w:line="360" w:lineRule="auto"/>
        <w:ind w:firstLine="133" w:firstLineChars="50"/>
        <w:rPr>
          <w:rFonts w:hAnsi="宋体" w:cs="宋体"/>
          <w:color w:val="auto"/>
          <w:szCs w:val="21"/>
          <w:highlight w:val="none"/>
          <w:u w:val="single"/>
        </w:rPr>
      </w:pPr>
      <w:r>
        <w:rPr>
          <w:rFonts w:hint="eastAsia" w:hAnsi="宋体" w:cs="宋体"/>
          <w:color w:val="auto"/>
          <w:spacing w:val="28"/>
          <w:szCs w:val="21"/>
          <w:highlight w:val="none"/>
        </w:rPr>
        <w:t>项目编号</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p>
    <w:p>
      <w:pPr>
        <w:rPr>
          <w:rFonts w:hAnsi="宋体"/>
          <w:color w:val="auto"/>
          <w:szCs w:val="21"/>
          <w:highlight w:val="none"/>
        </w:rPr>
      </w:pPr>
      <w:r>
        <w:rPr>
          <w:rFonts w:hAnsi="宋体" w:cs="宋体"/>
          <w:color w:val="auto"/>
          <w:szCs w:val="21"/>
          <w:highlight w:val="none"/>
        </w:rPr>
        <w:t xml:space="preserve">                                                                  </w:t>
      </w:r>
    </w:p>
    <w:tbl>
      <w:tblPr>
        <w:tblStyle w:val="17"/>
        <w:tblW w:w="978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988"/>
        <w:gridCol w:w="4932"/>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pPr>
              <w:spacing w:line="300" w:lineRule="exact"/>
              <w:jc w:val="center"/>
              <w:rPr>
                <w:rFonts w:hAnsi="宋体"/>
                <w:b/>
                <w:color w:val="auto"/>
                <w:szCs w:val="21"/>
                <w:highlight w:val="none"/>
              </w:rPr>
            </w:pPr>
            <w:r>
              <w:rPr>
                <w:rFonts w:hint="eastAsia" w:hAnsi="宋体"/>
                <w:b/>
                <w:color w:val="auto"/>
                <w:szCs w:val="21"/>
                <w:highlight w:val="none"/>
              </w:rPr>
              <w:t>序号</w:t>
            </w:r>
          </w:p>
        </w:tc>
        <w:tc>
          <w:tcPr>
            <w:tcW w:w="2988" w:type="dxa"/>
            <w:vAlign w:val="center"/>
          </w:tcPr>
          <w:p>
            <w:pPr>
              <w:spacing w:line="300" w:lineRule="exact"/>
              <w:ind w:left="141" w:leftChars="67" w:firstLine="103" w:firstLineChars="49"/>
              <w:jc w:val="center"/>
              <w:rPr>
                <w:rFonts w:hAnsi="宋体"/>
                <w:b/>
                <w:color w:val="auto"/>
                <w:szCs w:val="21"/>
                <w:highlight w:val="none"/>
              </w:rPr>
            </w:pPr>
            <w:r>
              <w:rPr>
                <w:rFonts w:hint="eastAsia" w:hAnsi="宋体"/>
                <w:b/>
                <w:color w:val="auto"/>
                <w:szCs w:val="21"/>
                <w:highlight w:val="none"/>
              </w:rPr>
              <w:t>项目</w:t>
            </w:r>
          </w:p>
        </w:tc>
        <w:tc>
          <w:tcPr>
            <w:tcW w:w="4932" w:type="dxa"/>
            <w:vAlign w:val="center"/>
          </w:tcPr>
          <w:p>
            <w:pPr>
              <w:spacing w:line="300" w:lineRule="exact"/>
              <w:jc w:val="center"/>
              <w:rPr>
                <w:rFonts w:hAnsi="宋体"/>
                <w:b/>
                <w:color w:val="auto"/>
                <w:szCs w:val="21"/>
                <w:highlight w:val="none"/>
              </w:rPr>
            </w:pPr>
            <w:r>
              <w:rPr>
                <w:rFonts w:hint="eastAsia" w:hAnsi="宋体"/>
                <w:b/>
                <w:color w:val="auto"/>
                <w:szCs w:val="21"/>
                <w:highlight w:val="none"/>
              </w:rPr>
              <w:t>内容</w:t>
            </w:r>
          </w:p>
        </w:tc>
        <w:tc>
          <w:tcPr>
            <w:tcW w:w="1033" w:type="dxa"/>
            <w:vAlign w:val="center"/>
          </w:tcPr>
          <w:p>
            <w:pPr>
              <w:spacing w:line="300" w:lineRule="exact"/>
              <w:jc w:val="center"/>
              <w:rPr>
                <w:rFonts w:hAnsi="宋体"/>
                <w:b/>
                <w:color w:val="auto"/>
                <w:szCs w:val="21"/>
                <w:highlight w:val="none"/>
              </w:rPr>
            </w:pPr>
            <w:r>
              <w:rPr>
                <w:rFonts w:hint="eastAsia"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pPr>
              <w:spacing w:line="360" w:lineRule="auto"/>
              <w:jc w:val="center"/>
              <w:rPr>
                <w:rFonts w:hAnsi="宋体" w:cs="宋体"/>
                <w:b/>
                <w:color w:val="auto"/>
                <w:szCs w:val="21"/>
                <w:highlight w:val="none"/>
              </w:rPr>
            </w:pPr>
            <w:r>
              <w:rPr>
                <w:rFonts w:hAnsi="宋体" w:cs="宋体"/>
                <w:b/>
                <w:color w:val="auto"/>
                <w:szCs w:val="21"/>
                <w:highlight w:val="none"/>
              </w:rPr>
              <w:t>1</w:t>
            </w:r>
          </w:p>
        </w:tc>
        <w:tc>
          <w:tcPr>
            <w:tcW w:w="2988" w:type="dxa"/>
            <w:vAlign w:val="center"/>
          </w:tcPr>
          <w:p>
            <w:pPr>
              <w:spacing w:line="360" w:lineRule="auto"/>
              <w:jc w:val="center"/>
              <w:rPr>
                <w:rFonts w:hAnsi="宋体" w:cs="宋体"/>
                <w:b/>
                <w:color w:val="auto"/>
                <w:szCs w:val="21"/>
                <w:highlight w:val="none"/>
              </w:rPr>
            </w:pPr>
            <w:r>
              <w:rPr>
                <w:rFonts w:hint="eastAsia" w:hAnsi="宋体"/>
                <w:b/>
                <w:color w:val="auto"/>
                <w:szCs w:val="21"/>
                <w:highlight w:val="none"/>
              </w:rPr>
              <w:t>投标保证金</w:t>
            </w:r>
          </w:p>
        </w:tc>
        <w:tc>
          <w:tcPr>
            <w:tcW w:w="4932" w:type="dxa"/>
            <w:vAlign w:val="center"/>
          </w:tcPr>
          <w:p>
            <w:pPr>
              <w:spacing w:line="360" w:lineRule="auto"/>
              <w:rPr>
                <w:rFonts w:hAnsi="宋体"/>
                <w:color w:val="auto"/>
                <w:szCs w:val="21"/>
                <w:highlight w:val="none"/>
              </w:rPr>
            </w:pPr>
            <w:r>
              <w:rPr>
                <w:rFonts w:hint="eastAsia" w:hAnsi="宋体"/>
                <w:color w:val="auto"/>
                <w:szCs w:val="21"/>
                <w:highlight w:val="none"/>
              </w:rPr>
              <w:t>（人民币：大写）</w:t>
            </w:r>
            <w:r>
              <w:rPr>
                <w:rFonts w:hAnsi="宋体"/>
                <w:color w:val="auto"/>
                <w:szCs w:val="21"/>
                <w:highlight w:val="none"/>
                <w:u w:val="single"/>
              </w:rPr>
              <w:t xml:space="preserve">                </w:t>
            </w:r>
            <w:r>
              <w:rPr>
                <w:rFonts w:hint="eastAsia" w:hAnsi="宋体"/>
                <w:color w:val="auto"/>
                <w:szCs w:val="21"/>
                <w:highlight w:val="none"/>
              </w:rPr>
              <w:t>（￥</w:t>
            </w:r>
            <w:r>
              <w:rPr>
                <w:rFonts w:hAnsi="宋体"/>
                <w:color w:val="auto"/>
                <w:szCs w:val="21"/>
                <w:highlight w:val="none"/>
                <w:u w:val="single"/>
              </w:rPr>
              <w:t xml:space="preserve">          </w:t>
            </w:r>
            <w:r>
              <w:rPr>
                <w:rFonts w:hint="eastAsia" w:hAnsi="宋体"/>
                <w:color w:val="auto"/>
                <w:szCs w:val="21"/>
                <w:highlight w:val="none"/>
              </w:rPr>
              <w:t>）</w:t>
            </w:r>
          </w:p>
        </w:tc>
        <w:tc>
          <w:tcPr>
            <w:tcW w:w="1033" w:type="dxa"/>
            <w:vAlign w:val="center"/>
          </w:tcPr>
          <w:p>
            <w:pPr>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pPr>
              <w:spacing w:line="360" w:lineRule="auto"/>
              <w:jc w:val="center"/>
              <w:rPr>
                <w:rFonts w:hAnsi="宋体" w:cs="宋体"/>
                <w:b/>
                <w:color w:val="auto"/>
                <w:szCs w:val="21"/>
                <w:highlight w:val="none"/>
              </w:rPr>
            </w:pPr>
            <w:r>
              <w:rPr>
                <w:rFonts w:hAnsi="宋体" w:cs="宋体"/>
                <w:b/>
                <w:color w:val="auto"/>
                <w:szCs w:val="21"/>
                <w:highlight w:val="none"/>
              </w:rPr>
              <w:t>2</w:t>
            </w:r>
          </w:p>
        </w:tc>
        <w:tc>
          <w:tcPr>
            <w:tcW w:w="2988"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投标总报价</w:t>
            </w:r>
          </w:p>
        </w:tc>
        <w:tc>
          <w:tcPr>
            <w:tcW w:w="4932" w:type="dxa"/>
            <w:vAlign w:val="center"/>
          </w:tcPr>
          <w:p>
            <w:pPr>
              <w:spacing w:line="360" w:lineRule="auto"/>
              <w:rPr>
                <w:rFonts w:hAnsi="宋体"/>
                <w:color w:val="auto"/>
                <w:szCs w:val="21"/>
                <w:highlight w:val="none"/>
              </w:rPr>
            </w:pPr>
            <w:r>
              <w:rPr>
                <w:rFonts w:hint="eastAsia" w:hAnsi="宋体"/>
                <w:color w:val="auto"/>
                <w:szCs w:val="21"/>
                <w:highlight w:val="none"/>
              </w:rPr>
              <w:t>（人民币：大写）</w:t>
            </w:r>
            <w:r>
              <w:rPr>
                <w:rFonts w:hAnsi="宋体"/>
                <w:color w:val="auto"/>
                <w:szCs w:val="21"/>
                <w:highlight w:val="none"/>
                <w:u w:val="single"/>
              </w:rPr>
              <w:t xml:space="preserve">                </w:t>
            </w:r>
            <w:r>
              <w:rPr>
                <w:rFonts w:hint="eastAsia" w:hAnsi="宋体"/>
                <w:color w:val="auto"/>
                <w:szCs w:val="21"/>
                <w:highlight w:val="none"/>
              </w:rPr>
              <w:t>（￥</w:t>
            </w:r>
            <w:r>
              <w:rPr>
                <w:rFonts w:hAnsi="宋体"/>
                <w:color w:val="auto"/>
                <w:szCs w:val="21"/>
                <w:highlight w:val="none"/>
                <w:u w:val="single"/>
              </w:rPr>
              <w:t xml:space="preserve">          </w:t>
            </w:r>
            <w:r>
              <w:rPr>
                <w:rFonts w:hint="eastAsia" w:hAnsi="宋体"/>
                <w:color w:val="auto"/>
                <w:szCs w:val="21"/>
                <w:highlight w:val="none"/>
              </w:rPr>
              <w:t>）</w:t>
            </w:r>
          </w:p>
        </w:tc>
        <w:tc>
          <w:tcPr>
            <w:tcW w:w="1033" w:type="dxa"/>
            <w:vAlign w:val="center"/>
          </w:tcPr>
          <w:p>
            <w:pPr>
              <w:spacing w:line="360" w:lineRule="auto"/>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pPr>
              <w:spacing w:line="360" w:lineRule="auto"/>
              <w:jc w:val="center"/>
              <w:rPr>
                <w:rFonts w:hAnsi="宋体" w:cs="宋体"/>
                <w:b/>
                <w:color w:val="auto"/>
                <w:szCs w:val="21"/>
                <w:highlight w:val="none"/>
              </w:rPr>
            </w:pPr>
            <w:r>
              <w:rPr>
                <w:rFonts w:hAnsi="宋体" w:cs="宋体"/>
                <w:b/>
                <w:color w:val="auto"/>
                <w:szCs w:val="21"/>
                <w:highlight w:val="none"/>
              </w:rPr>
              <w:t>3</w:t>
            </w:r>
          </w:p>
        </w:tc>
        <w:tc>
          <w:tcPr>
            <w:tcW w:w="2988"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合同履行期限</w:t>
            </w:r>
          </w:p>
          <w:p>
            <w:pPr>
              <w:spacing w:line="360" w:lineRule="auto"/>
              <w:jc w:val="center"/>
              <w:rPr>
                <w:rFonts w:hAnsi="宋体"/>
                <w:b/>
                <w:color w:val="auto"/>
                <w:szCs w:val="21"/>
                <w:highlight w:val="none"/>
              </w:rPr>
            </w:pPr>
            <w:r>
              <w:rPr>
                <w:rFonts w:hint="eastAsia" w:hAnsi="宋体"/>
                <w:b/>
                <w:color w:val="auto"/>
                <w:szCs w:val="21"/>
                <w:highlight w:val="none"/>
              </w:rPr>
              <w:t>（除特殊注明处外，“日”均指日历日，“月”均指自然月，“年”均指</w:t>
            </w:r>
            <w:r>
              <w:rPr>
                <w:rFonts w:hAnsi="宋体"/>
                <w:b/>
                <w:color w:val="auto"/>
                <w:szCs w:val="21"/>
                <w:highlight w:val="none"/>
              </w:rPr>
              <w:t>365</w:t>
            </w:r>
            <w:r>
              <w:rPr>
                <w:rFonts w:hint="eastAsia" w:hAnsi="宋体"/>
                <w:b/>
                <w:color w:val="auto"/>
                <w:szCs w:val="21"/>
                <w:highlight w:val="none"/>
              </w:rPr>
              <w:t>日历日）</w:t>
            </w:r>
          </w:p>
        </w:tc>
        <w:tc>
          <w:tcPr>
            <w:tcW w:w="4932" w:type="dxa"/>
            <w:vAlign w:val="center"/>
          </w:tcPr>
          <w:p>
            <w:pPr>
              <w:spacing w:line="360" w:lineRule="auto"/>
              <w:rPr>
                <w:rFonts w:hAnsi="宋体"/>
                <w:color w:val="auto"/>
                <w:szCs w:val="21"/>
                <w:highlight w:val="none"/>
              </w:rPr>
            </w:pPr>
          </w:p>
        </w:tc>
        <w:tc>
          <w:tcPr>
            <w:tcW w:w="1033" w:type="dxa"/>
            <w:vAlign w:val="center"/>
          </w:tcPr>
          <w:p>
            <w:pPr>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pPr>
              <w:spacing w:line="360" w:lineRule="auto"/>
              <w:jc w:val="center"/>
              <w:rPr>
                <w:rFonts w:hAnsi="宋体" w:cs="宋体"/>
                <w:b/>
                <w:color w:val="auto"/>
                <w:szCs w:val="21"/>
                <w:highlight w:val="none"/>
              </w:rPr>
            </w:pPr>
            <w:r>
              <w:rPr>
                <w:rFonts w:hAnsi="宋体" w:cs="宋体"/>
                <w:b/>
                <w:color w:val="auto"/>
                <w:szCs w:val="21"/>
                <w:highlight w:val="none"/>
              </w:rPr>
              <w:t>4</w:t>
            </w:r>
          </w:p>
        </w:tc>
        <w:tc>
          <w:tcPr>
            <w:tcW w:w="2988" w:type="dxa"/>
            <w:vAlign w:val="center"/>
          </w:tcPr>
          <w:p>
            <w:pPr>
              <w:spacing w:line="360" w:lineRule="auto"/>
              <w:jc w:val="center"/>
              <w:rPr>
                <w:rFonts w:hAnsi="宋体"/>
                <w:b/>
                <w:color w:val="auto"/>
                <w:szCs w:val="21"/>
                <w:highlight w:val="none"/>
              </w:rPr>
            </w:pPr>
            <w:r>
              <w:rPr>
                <w:rFonts w:hint="eastAsia" w:hAnsi="宋体"/>
                <w:b/>
                <w:color w:val="auto"/>
                <w:szCs w:val="21"/>
                <w:highlight w:val="none"/>
              </w:rPr>
              <w:t>权利和义务</w:t>
            </w:r>
          </w:p>
        </w:tc>
        <w:tc>
          <w:tcPr>
            <w:tcW w:w="4932" w:type="dxa"/>
            <w:vAlign w:val="center"/>
          </w:tcPr>
          <w:p>
            <w:pPr>
              <w:spacing w:line="360" w:lineRule="auto"/>
              <w:rPr>
                <w:rFonts w:hAnsi="宋体"/>
                <w:color w:val="auto"/>
                <w:szCs w:val="21"/>
                <w:highlight w:val="none"/>
              </w:rPr>
            </w:pPr>
            <w:r>
              <w:rPr>
                <w:rFonts w:hint="eastAsia" w:hAnsi="宋体"/>
                <w:color w:val="auto"/>
                <w:szCs w:val="21"/>
                <w:highlight w:val="none"/>
              </w:rPr>
              <w:t>是否响应本招标文件第四章“合同书（格式）”相应约定：是（</w:t>
            </w:r>
            <w:r>
              <w:rPr>
                <w:rFonts w:hAnsi="宋体"/>
                <w:color w:val="auto"/>
                <w:szCs w:val="21"/>
                <w:highlight w:val="none"/>
              </w:rPr>
              <w:t xml:space="preserve">       </w:t>
            </w:r>
            <w:r>
              <w:rPr>
                <w:rFonts w:hint="eastAsia" w:hAnsi="宋体"/>
                <w:color w:val="auto"/>
                <w:szCs w:val="21"/>
                <w:highlight w:val="none"/>
              </w:rPr>
              <w:t>）</w:t>
            </w:r>
            <w:r>
              <w:rPr>
                <w:rFonts w:hAnsi="宋体"/>
                <w:color w:val="auto"/>
                <w:szCs w:val="21"/>
                <w:highlight w:val="none"/>
              </w:rPr>
              <w:t xml:space="preserve">    </w:t>
            </w:r>
            <w:r>
              <w:rPr>
                <w:rFonts w:hint="eastAsia" w:hAnsi="宋体"/>
                <w:color w:val="auto"/>
                <w:szCs w:val="21"/>
                <w:highlight w:val="none"/>
              </w:rPr>
              <w:t>否（</w:t>
            </w:r>
            <w:r>
              <w:rPr>
                <w:rFonts w:hAnsi="宋体"/>
                <w:color w:val="auto"/>
                <w:szCs w:val="21"/>
                <w:highlight w:val="none"/>
              </w:rPr>
              <w:t xml:space="preserve">       </w:t>
            </w:r>
            <w:r>
              <w:rPr>
                <w:rFonts w:hint="eastAsia" w:hAnsi="宋体"/>
                <w:color w:val="auto"/>
                <w:szCs w:val="21"/>
                <w:highlight w:val="none"/>
              </w:rPr>
              <w:t>）</w:t>
            </w:r>
          </w:p>
        </w:tc>
        <w:tc>
          <w:tcPr>
            <w:tcW w:w="1033" w:type="dxa"/>
            <w:vAlign w:val="center"/>
          </w:tcPr>
          <w:p>
            <w:pPr>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5</w:t>
            </w:r>
          </w:p>
        </w:tc>
        <w:tc>
          <w:tcPr>
            <w:tcW w:w="2988" w:type="dxa"/>
            <w:vAlign w:val="center"/>
          </w:tcPr>
          <w:p>
            <w:pPr>
              <w:spacing w:line="360" w:lineRule="auto"/>
              <w:jc w:val="center"/>
              <w:rPr>
                <w:rFonts w:hAnsi="宋体"/>
                <w:b/>
                <w:color w:val="auto"/>
                <w:szCs w:val="21"/>
                <w:highlight w:val="none"/>
              </w:rPr>
            </w:pPr>
            <w:r>
              <w:rPr>
                <w:rFonts w:hint="eastAsia" w:hAnsi="宋体"/>
                <w:b/>
                <w:color w:val="auto"/>
                <w:szCs w:val="21"/>
                <w:highlight w:val="none"/>
              </w:rPr>
              <w:t>投标有效期</w:t>
            </w:r>
          </w:p>
        </w:tc>
        <w:tc>
          <w:tcPr>
            <w:tcW w:w="4932" w:type="dxa"/>
            <w:vAlign w:val="center"/>
          </w:tcPr>
          <w:p>
            <w:pPr>
              <w:spacing w:line="360" w:lineRule="auto"/>
              <w:rPr>
                <w:rFonts w:hAnsi="宋体"/>
                <w:color w:val="auto"/>
                <w:szCs w:val="21"/>
                <w:highlight w:val="none"/>
              </w:rPr>
            </w:pPr>
          </w:p>
        </w:tc>
        <w:tc>
          <w:tcPr>
            <w:tcW w:w="1033" w:type="dxa"/>
            <w:vAlign w:val="center"/>
          </w:tcPr>
          <w:p>
            <w:pPr>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6</w:t>
            </w:r>
          </w:p>
        </w:tc>
        <w:tc>
          <w:tcPr>
            <w:tcW w:w="2988" w:type="dxa"/>
            <w:vAlign w:val="center"/>
          </w:tcPr>
          <w:p>
            <w:pPr>
              <w:spacing w:line="360" w:lineRule="auto"/>
              <w:jc w:val="center"/>
              <w:rPr>
                <w:rFonts w:hAnsi="宋体"/>
                <w:b/>
                <w:color w:val="auto"/>
                <w:szCs w:val="21"/>
                <w:highlight w:val="none"/>
              </w:rPr>
            </w:pPr>
            <w:r>
              <w:rPr>
                <w:rFonts w:hint="eastAsia" w:hAnsi="宋体"/>
                <w:b/>
                <w:color w:val="auto"/>
                <w:szCs w:val="21"/>
                <w:highlight w:val="none"/>
              </w:rPr>
              <w:t>工作内容</w:t>
            </w:r>
          </w:p>
        </w:tc>
        <w:tc>
          <w:tcPr>
            <w:tcW w:w="4932" w:type="dxa"/>
            <w:vAlign w:val="center"/>
          </w:tcPr>
          <w:p>
            <w:pPr>
              <w:spacing w:line="360" w:lineRule="auto"/>
              <w:rPr>
                <w:rFonts w:hAnsi="宋体"/>
                <w:color w:val="auto"/>
                <w:szCs w:val="21"/>
                <w:highlight w:val="none"/>
              </w:rPr>
            </w:pPr>
            <w:r>
              <w:rPr>
                <w:rFonts w:hint="eastAsia" w:hAnsi="宋体"/>
                <w:color w:val="auto"/>
                <w:szCs w:val="21"/>
                <w:highlight w:val="none"/>
              </w:rPr>
              <w:t>是否响应本招标文件第三章“项目需求和说明”相应要求：是（</w:t>
            </w:r>
            <w:r>
              <w:rPr>
                <w:rFonts w:hAnsi="宋体"/>
                <w:color w:val="auto"/>
                <w:szCs w:val="21"/>
                <w:highlight w:val="none"/>
              </w:rPr>
              <w:t xml:space="preserve">       </w:t>
            </w:r>
            <w:r>
              <w:rPr>
                <w:rFonts w:hint="eastAsia" w:hAnsi="宋体"/>
                <w:color w:val="auto"/>
                <w:szCs w:val="21"/>
                <w:highlight w:val="none"/>
              </w:rPr>
              <w:t>）</w:t>
            </w:r>
            <w:r>
              <w:rPr>
                <w:rFonts w:hAnsi="宋体"/>
                <w:color w:val="auto"/>
                <w:szCs w:val="21"/>
                <w:highlight w:val="none"/>
              </w:rPr>
              <w:t xml:space="preserve">    </w:t>
            </w:r>
            <w:r>
              <w:rPr>
                <w:rFonts w:hint="eastAsia" w:hAnsi="宋体"/>
                <w:color w:val="auto"/>
                <w:szCs w:val="21"/>
                <w:highlight w:val="none"/>
              </w:rPr>
              <w:t>否（</w:t>
            </w:r>
            <w:r>
              <w:rPr>
                <w:rFonts w:hAnsi="宋体"/>
                <w:color w:val="auto"/>
                <w:szCs w:val="21"/>
                <w:highlight w:val="none"/>
              </w:rPr>
              <w:t xml:space="preserve">       </w:t>
            </w:r>
            <w:r>
              <w:rPr>
                <w:rFonts w:hint="eastAsia" w:hAnsi="宋体"/>
                <w:color w:val="auto"/>
                <w:szCs w:val="21"/>
                <w:highlight w:val="none"/>
              </w:rPr>
              <w:t>）</w:t>
            </w:r>
          </w:p>
        </w:tc>
        <w:tc>
          <w:tcPr>
            <w:tcW w:w="1033" w:type="dxa"/>
            <w:vAlign w:val="center"/>
          </w:tcPr>
          <w:p>
            <w:pPr>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7</w:t>
            </w:r>
          </w:p>
        </w:tc>
        <w:tc>
          <w:tcPr>
            <w:tcW w:w="2988" w:type="dxa"/>
            <w:vAlign w:val="center"/>
          </w:tcPr>
          <w:p>
            <w:pPr>
              <w:spacing w:line="360" w:lineRule="auto"/>
              <w:jc w:val="center"/>
              <w:rPr>
                <w:rFonts w:hAnsi="宋体" w:cs="宋体"/>
                <w:color w:val="auto"/>
                <w:szCs w:val="21"/>
                <w:highlight w:val="none"/>
              </w:rPr>
            </w:pPr>
            <w:r>
              <w:rPr>
                <w:rFonts w:hint="eastAsia" w:hAnsi="宋体"/>
                <w:b/>
                <w:color w:val="auto"/>
                <w:szCs w:val="21"/>
                <w:highlight w:val="none"/>
              </w:rPr>
              <w:t>质量标准</w:t>
            </w:r>
          </w:p>
        </w:tc>
        <w:tc>
          <w:tcPr>
            <w:tcW w:w="4932" w:type="dxa"/>
            <w:vAlign w:val="center"/>
          </w:tcPr>
          <w:p>
            <w:pPr>
              <w:spacing w:line="360" w:lineRule="auto"/>
              <w:jc w:val="center"/>
              <w:rPr>
                <w:rFonts w:hAnsi="宋体"/>
                <w:color w:val="auto"/>
                <w:szCs w:val="21"/>
                <w:highlight w:val="none"/>
              </w:rPr>
            </w:pPr>
          </w:p>
        </w:tc>
        <w:tc>
          <w:tcPr>
            <w:tcW w:w="1033" w:type="dxa"/>
            <w:vAlign w:val="center"/>
          </w:tcPr>
          <w:p>
            <w:pPr>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w:t>
            </w:r>
          </w:p>
        </w:tc>
        <w:tc>
          <w:tcPr>
            <w:tcW w:w="2988" w:type="dxa"/>
            <w:vAlign w:val="center"/>
          </w:tcPr>
          <w:p>
            <w:pPr>
              <w:spacing w:line="360" w:lineRule="auto"/>
              <w:rPr>
                <w:rFonts w:hAnsi="宋体" w:cs="宋体"/>
                <w:color w:val="auto"/>
                <w:szCs w:val="21"/>
                <w:highlight w:val="none"/>
              </w:rPr>
            </w:pPr>
          </w:p>
        </w:tc>
        <w:tc>
          <w:tcPr>
            <w:tcW w:w="4932" w:type="dxa"/>
            <w:vAlign w:val="center"/>
          </w:tcPr>
          <w:p>
            <w:pPr>
              <w:spacing w:line="360" w:lineRule="auto"/>
              <w:jc w:val="center"/>
              <w:rPr>
                <w:rFonts w:hAnsi="宋体"/>
                <w:color w:val="auto"/>
                <w:szCs w:val="21"/>
                <w:highlight w:val="none"/>
              </w:rPr>
            </w:pPr>
          </w:p>
        </w:tc>
        <w:tc>
          <w:tcPr>
            <w:tcW w:w="1033" w:type="dxa"/>
            <w:vAlign w:val="center"/>
          </w:tcPr>
          <w:p>
            <w:pPr>
              <w:spacing w:line="360" w:lineRule="auto"/>
              <w:jc w:val="center"/>
              <w:rPr>
                <w:rFonts w:hAnsi="宋体"/>
                <w:color w:val="auto"/>
                <w:szCs w:val="21"/>
                <w:highlight w:val="none"/>
              </w:rPr>
            </w:pPr>
          </w:p>
        </w:tc>
      </w:tr>
    </w:tbl>
    <w:p>
      <w:pPr>
        <w:rPr>
          <w:rFonts w:hAnsi="宋体"/>
          <w:color w:val="auto"/>
          <w:szCs w:val="21"/>
          <w:highlight w:val="none"/>
        </w:rPr>
      </w:pPr>
    </w:p>
    <w:p>
      <w:pPr>
        <w:pStyle w:val="8"/>
        <w:spacing w:line="400" w:lineRule="exact"/>
        <w:rPr>
          <w:rFonts w:hAnsi="宋体"/>
          <w:color w:val="auto"/>
          <w:szCs w:val="21"/>
          <w:highlight w:val="none"/>
        </w:rPr>
      </w:pPr>
      <w:r>
        <w:rPr>
          <w:rFonts w:hint="eastAsia" w:hAnsi="宋体"/>
          <w:color w:val="auto"/>
          <w:szCs w:val="21"/>
          <w:highlight w:val="none"/>
        </w:rPr>
        <w:t>法定代表人或授权委托代理人(电子签章)：</w:t>
      </w:r>
      <w:r>
        <w:rPr>
          <w:rFonts w:hAnsi="宋体"/>
          <w:color w:val="auto"/>
          <w:szCs w:val="21"/>
          <w:highlight w:val="none"/>
          <w:u w:val="single"/>
        </w:rPr>
        <w:t xml:space="preserve">                       </w:t>
      </w:r>
    </w:p>
    <w:p>
      <w:pPr>
        <w:pStyle w:val="8"/>
        <w:spacing w:line="400" w:lineRule="exact"/>
        <w:rPr>
          <w:rFonts w:hAnsi="宋体"/>
          <w:color w:val="auto"/>
          <w:szCs w:val="21"/>
          <w:highlight w:val="none"/>
          <w:u w:val="single"/>
        </w:rPr>
      </w:pPr>
      <w:r>
        <w:rPr>
          <w:rFonts w:hint="eastAsia" w:hAnsi="宋体"/>
          <w:color w:val="auto"/>
          <w:szCs w:val="21"/>
          <w:highlight w:val="none"/>
        </w:rPr>
        <w:t>投标人名称(电子签章)：</w:t>
      </w:r>
      <w:r>
        <w:rPr>
          <w:rFonts w:hint="eastAsia" w:hAnsi="宋体"/>
          <w:color w:val="auto"/>
          <w:szCs w:val="21"/>
          <w:highlight w:val="none"/>
          <w:u w:val="single"/>
        </w:rPr>
        <w:t xml:space="preserve">                           </w:t>
      </w:r>
    </w:p>
    <w:p>
      <w:pPr>
        <w:pStyle w:val="8"/>
        <w:spacing w:line="400" w:lineRule="exact"/>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pPr>
        <w:widowControl/>
        <w:jc w:val="left"/>
        <w:rPr>
          <w:rFonts w:hAnsi="宋体"/>
          <w:color w:val="auto"/>
          <w:kern w:val="0"/>
          <w:szCs w:val="21"/>
          <w:highlight w:val="none"/>
        </w:rPr>
      </w:pPr>
      <w:r>
        <w:rPr>
          <w:rFonts w:hAnsi="宋体"/>
          <w:color w:val="auto"/>
          <w:szCs w:val="21"/>
          <w:highlight w:val="none"/>
        </w:rPr>
        <w:br w:type="page"/>
      </w:r>
    </w:p>
    <w:p>
      <w:pPr>
        <w:jc w:val="center"/>
        <w:rPr>
          <w:rFonts w:hAnsi="宋体" w:cs="宋体"/>
          <w:b/>
          <w:color w:val="auto"/>
          <w:sz w:val="32"/>
          <w:szCs w:val="32"/>
          <w:highlight w:val="none"/>
        </w:rPr>
      </w:pPr>
    </w:p>
    <w:p>
      <w:pPr>
        <w:jc w:val="center"/>
        <w:rPr>
          <w:rFonts w:ascii="黑体" w:hAnsi="宋体" w:eastAsia="黑体"/>
          <w:b/>
          <w:color w:val="auto"/>
          <w:sz w:val="28"/>
          <w:szCs w:val="28"/>
          <w:highlight w:val="none"/>
        </w:rPr>
      </w:pPr>
      <w:r>
        <w:rPr>
          <w:rFonts w:hint="eastAsia" w:hAnsi="宋体" w:cs="宋体"/>
          <w:b/>
          <w:color w:val="auto"/>
          <w:sz w:val="32"/>
          <w:szCs w:val="32"/>
          <w:highlight w:val="none"/>
        </w:rPr>
        <w:t>（2）</w:t>
      </w:r>
      <w:r>
        <w:rPr>
          <w:rFonts w:hint="eastAsia" w:ascii="黑体" w:hAnsi="宋体" w:eastAsia="黑体"/>
          <w:b/>
          <w:color w:val="auto"/>
          <w:sz w:val="28"/>
          <w:szCs w:val="28"/>
          <w:highlight w:val="none"/>
        </w:rPr>
        <w:t>投标报价表（格式）</w:t>
      </w:r>
    </w:p>
    <w:p>
      <w:pPr>
        <w:spacing w:line="400" w:lineRule="exact"/>
        <w:rPr>
          <w:rFonts w:hAnsi="宋体"/>
          <w:b/>
          <w:bCs/>
          <w:color w:val="auto"/>
          <w:kern w:val="0"/>
          <w:szCs w:val="21"/>
          <w:highlight w:val="none"/>
        </w:rPr>
      </w:pPr>
      <w:r>
        <w:rPr>
          <w:rFonts w:hint="eastAsia" w:hAnsi="宋体"/>
          <w:b/>
          <w:bCs/>
          <w:color w:val="auto"/>
          <w:kern w:val="0"/>
          <w:szCs w:val="21"/>
          <w:highlight w:val="none"/>
        </w:rPr>
        <w:t xml:space="preserve"> </w:t>
      </w:r>
    </w:p>
    <w:p>
      <w:pPr>
        <w:spacing w:line="360" w:lineRule="auto"/>
        <w:ind w:firstLine="133" w:firstLineChars="50"/>
        <w:rPr>
          <w:rFonts w:hAnsi="宋体" w:cs="宋体"/>
          <w:color w:val="auto"/>
          <w:szCs w:val="21"/>
          <w:highlight w:val="none"/>
          <w:u w:val="single"/>
        </w:rPr>
      </w:pPr>
      <w:r>
        <w:rPr>
          <w:rFonts w:hint="eastAsia" w:hAnsi="宋体" w:cs="宋体"/>
          <w:color w:val="auto"/>
          <w:spacing w:val="28"/>
          <w:szCs w:val="21"/>
          <w:highlight w:val="none"/>
        </w:rPr>
        <w:t>项目名称:</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p>
    <w:p>
      <w:pPr>
        <w:spacing w:line="360" w:lineRule="auto"/>
        <w:ind w:firstLine="133" w:firstLineChars="50"/>
        <w:rPr>
          <w:rFonts w:hAnsi="宋体" w:cs="宋体"/>
          <w:color w:val="auto"/>
          <w:szCs w:val="21"/>
          <w:highlight w:val="none"/>
          <w:u w:val="single"/>
        </w:rPr>
      </w:pPr>
      <w:r>
        <w:rPr>
          <w:rFonts w:hint="eastAsia" w:hAnsi="宋体" w:cs="宋体"/>
          <w:color w:val="auto"/>
          <w:spacing w:val="28"/>
          <w:szCs w:val="21"/>
          <w:highlight w:val="none"/>
        </w:rPr>
        <w:t>项目编号</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p>
    <w:p>
      <w:pPr>
        <w:rPr>
          <w:rFonts w:hAnsi="宋体" w:cs="宋体"/>
          <w:color w:val="auto"/>
          <w:szCs w:val="21"/>
          <w:highlight w:val="none"/>
          <w:u w:val="single"/>
        </w:rPr>
      </w:pPr>
      <w:r>
        <w:rPr>
          <w:rFonts w:hint="eastAsia" w:hAnsi="宋体" w:cs="宋体"/>
          <w:color w:val="auto"/>
          <w:szCs w:val="21"/>
          <w:highlight w:val="none"/>
        </w:rPr>
        <w:t xml:space="preserve">                                                                      货币单位: </w:t>
      </w:r>
      <w:r>
        <w:rPr>
          <w:rFonts w:hint="eastAsia" w:hAnsi="宋体" w:cs="宋体"/>
          <w:color w:val="auto"/>
          <w:szCs w:val="21"/>
          <w:highlight w:val="none"/>
          <w:u w:val="single"/>
        </w:rPr>
        <w:t>人民币</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009"/>
        <w:gridCol w:w="1721"/>
        <w:gridCol w:w="374"/>
        <w:gridCol w:w="630"/>
        <w:gridCol w:w="815"/>
        <w:gridCol w:w="1725"/>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2" w:type="dxa"/>
            <w:vAlign w:val="center"/>
          </w:tcPr>
          <w:p>
            <w:pPr>
              <w:widowControl/>
              <w:jc w:val="center"/>
              <w:rPr>
                <w:rFonts w:hAnsi="宋体" w:cs="宋体"/>
                <w:b/>
                <w:bCs/>
                <w:color w:val="auto"/>
                <w:kern w:val="0"/>
                <w:sz w:val="22"/>
                <w:szCs w:val="22"/>
                <w:highlight w:val="none"/>
              </w:rPr>
            </w:pPr>
            <w:r>
              <w:rPr>
                <w:rFonts w:hint="eastAsia" w:hAnsi="宋体" w:cs="宋体"/>
                <w:b/>
                <w:bCs/>
                <w:color w:val="auto"/>
                <w:kern w:val="0"/>
                <w:sz w:val="22"/>
                <w:szCs w:val="22"/>
                <w:highlight w:val="none"/>
              </w:rPr>
              <w:t>序号</w:t>
            </w:r>
          </w:p>
        </w:tc>
        <w:tc>
          <w:tcPr>
            <w:tcW w:w="2009" w:type="dxa"/>
            <w:vAlign w:val="center"/>
          </w:tcPr>
          <w:p>
            <w:pPr>
              <w:widowControl/>
              <w:jc w:val="center"/>
              <w:rPr>
                <w:rFonts w:hAnsi="宋体" w:cs="宋体"/>
                <w:b/>
                <w:bCs/>
                <w:color w:val="auto"/>
                <w:kern w:val="0"/>
                <w:sz w:val="22"/>
                <w:szCs w:val="22"/>
                <w:highlight w:val="none"/>
              </w:rPr>
            </w:pPr>
            <w:r>
              <w:rPr>
                <w:rFonts w:hint="eastAsia" w:hAnsi="宋体" w:cs="宋体"/>
                <w:b/>
                <w:bCs/>
                <w:color w:val="auto"/>
                <w:kern w:val="0"/>
                <w:sz w:val="22"/>
                <w:szCs w:val="22"/>
                <w:highlight w:val="none"/>
              </w:rPr>
              <w:t>货物名称</w:t>
            </w:r>
          </w:p>
        </w:tc>
        <w:tc>
          <w:tcPr>
            <w:tcW w:w="1721" w:type="dxa"/>
            <w:vAlign w:val="center"/>
          </w:tcPr>
          <w:p>
            <w:pPr>
              <w:widowControl/>
              <w:jc w:val="center"/>
              <w:rPr>
                <w:rFonts w:hAnsi="宋体" w:cs="宋体"/>
                <w:b/>
                <w:bCs/>
                <w:color w:val="auto"/>
                <w:kern w:val="0"/>
                <w:sz w:val="22"/>
                <w:szCs w:val="22"/>
                <w:highlight w:val="none"/>
              </w:rPr>
            </w:pPr>
            <w:r>
              <w:rPr>
                <w:rFonts w:hint="eastAsia" w:hAnsi="宋体" w:cs="宋体"/>
                <w:b/>
                <w:bCs/>
                <w:color w:val="auto"/>
                <w:kern w:val="0"/>
                <w:sz w:val="22"/>
                <w:szCs w:val="22"/>
                <w:highlight w:val="none"/>
              </w:rPr>
              <w:t>参数</w:t>
            </w:r>
          </w:p>
        </w:tc>
        <w:tc>
          <w:tcPr>
            <w:tcW w:w="1004" w:type="dxa"/>
            <w:gridSpan w:val="2"/>
            <w:vAlign w:val="center"/>
          </w:tcPr>
          <w:p>
            <w:pPr>
              <w:widowControl/>
              <w:jc w:val="center"/>
              <w:rPr>
                <w:rFonts w:hAnsi="宋体" w:cs="宋体"/>
                <w:b/>
                <w:bCs/>
                <w:color w:val="auto"/>
                <w:kern w:val="0"/>
                <w:sz w:val="22"/>
                <w:szCs w:val="22"/>
                <w:highlight w:val="none"/>
              </w:rPr>
            </w:pPr>
            <w:r>
              <w:rPr>
                <w:rFonts w:hint="eastAsia" w:hAnsi="宋体" w:cs="宋体"/>
                <w:b/>
                <w:bCs/>
                <w:color w:val="auto"/>
                <w:kern w:val="0"/>
                <w:sz w:val="22"/>
                <w:szCs w:val="22"/>
                <w:highlight w:val="none"/>
              </w:rPr>
              <w:t>单位</w:t>
            </w:r>
          </w:p>
        </w:tc>
        <w:tc>
          <w:tcPr>
            <w:tcW w:w="815" w:type="dxa"/>
            <w:vAlign w:val="center"/>
          </w:tcPr>
          <w:p>
            <w:pPr>
              <w:widowControl/>
              <w:jc w:val="center"/>
              <w:rPr>
                <w:rFonts w:hAnsi="宋体" w:cs="宋体"/>
                <w:b/>
                <w:bCs/>
                <w:color w:val="auto"/>
                <w:kern w:val="0"/>
                <w:sz w:val="22"/>
                <w:szCs w:val="22"/>
                <w:highlight w:val="none"/>
              </w:rPr>
            </w:pPr>
            <w:r>
              <w:rPr>
                <w:rFonts w:hint="eastAsia" w:hAnsi="宋体" w:cs="宋体"/>
                <w:b/>
                <w:bCs/>
                <w:color w:val="auto"/>
                <w:kern w:val="0"/>
                <w:sz w:val="22"/>
                <w:szCs w:val="22"/>
                <w:highlight w:val="none"/>
              </w:rPr>
              <w:t>数量</w:t>
            </w:r>
          </w:p>
        </w:tc>
        <w:tc>
          <w:tcPr>
            <w:tcW w:w="1725" w:type="dxa"/>
            <w:vAlign w:val="center"/>
          </w:tcPr>
          <w:p>
            <w:pPr>
              <w:widowControl/>
              <w:jc w:val="center"/>
              <w:rPr>
                <w:rFonts w:hAnsi="宋体" w:cs="宋体"/>
                <w:b/>
                <w:bCs/>
                <w:color w:val="auto"/>
                <w:kern w:val="0"/>
                <w:sz w:val="22"/>
                <w:szCs w:val="22"/>
                <w:highlight w:val="none"/>
              </w:rPr>
            </w:pPr>
            <w:r>
              <w:rPr>
                <w:rFonts w:hint="eastAsia" w:hAnsi="宋体" w:cs="宋体"/>
                <w:b/>
                <w:bCs/>
                <w:color w:val="auto"/>
                <w:kern w:val="0"/>
                <w:sz w:val="22"/>
                <w:szCs w:val="22"/>
                <w:highlight w:val="none"/>
              </w:rPr>
              <w:t>单价</w:t>
            </w:r>
          </w:p>
        </w:tc>
        <w:tc>
          <w:tcPr>
            <w:tcW w:w="1672" w:type="dxa"/>
            <w:vAlign w:val="center"/>
          </w:tcPr>
          <w:p>
            <w:pPr>
              <w:widowControl/>
              <w:jc w:val="center"/>
              <w:rPr>
                <w:rFonts w:hAnsi="宋体" w:cs="宋体"/>
                <w:b/>
                <w:bCs/>
                <w:color w:val="auto"/>
                <w:kern w:val="0"/>
                <w:sz w:val="22"/>
                <w:szCs w:val="22"/>
                <w:highlight w:val="none"/>
              </w:rPr>
            </w:pPr>
            <w:r>
              <w:rPr>
                <w:rFonts w:hAnsi="宋体" w:cs="宋体"/>
                <w:b/>
                <w:bCs/>
                <w:color w:val="auto"/>
                <w:kern w:val="0"/>
                <w:sz w:val="22"/>
                <w:szCs w:val="22"/>
                <w:highlight w:val="none"/>
              </w:rPr>
              <w:t>总</w:t>
            </w:r>
            <w:r>
              <w:rPr>
                <w:rFonts w:hint="eastAsia" w:hAnsi="宋体" w:cs="宋体"/>
                <w:b/>
                <w:bCs/>
                <w:color w:val="auto"/>
                <w:kern w:val="0"/>
                <w:sz w:val="22"/>
                <w:szCs w:val="22"/>
                <w:highlight w:val="none"/>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2" w:type="dxa"/>
            <w:vAlign w:val="center"/>
          </w:tcPr>
          <w:p>
            <w:pPr>
              <w:widowControl/>
              <w:jc w:val="center"/>
              <w:rPr>
                <w:rFonts w:hAnsi="宋体" w:cs="宋体"/>
                <w:color w:val="auto"/>
                <w:kern w:val="0"/>
                <w:sz w:val="22"/>
                <w:szCs w:val="22"/>
                <w:highlight w:val="none"/>
              </w:rPr>
            </w:pPr>
            <w:r>
              <w:rPr>
                <w:rFonts w:hint="eastAsia" w:hAnsi="宋体" w:cs="宋体"/>
                <w:color w:val="auto"/>
                <w:kern w:val="0"/>
                <w:sz w:val="22"/>
                <w:szCs w:val="22"/>
                <w:highlight w:val="none"/>
              </w:rPr>
              <w:t>1</w:t>
            </w:r>
          </w:p>
        </w:tc>
        <w:tc>
          <w:tcPr>
            <w:tcW w:w="2009" w:type="dxa"/>
            <w:vAlign w:val="center"/>
          </w:tcPr>
          <w:p>
            <w:pPr>
              <w:spacing w:line="360" w:lineRule="auto"/>
              <w:jc w:val="center"/>
              <w:rPr>
                <w:rFonts w:hAnsi="宋体" w:cs="宋体"/>
                <w:b/>
                <w:color w:val="auto"/>
                <w:szCs w:val="21"/>
                <w:highlight w:val="none"/>
              </w:rPr>
            </w:pPr>
          </w:p>
        </w:tc>
        <w:tc>
          <w:tcPr>
            <w:tcW w:w="1721" w:type="dxa"/>
            <w:vAlign w:val="center"/>
          </w:tcPr>
          <w:p>
            <w:pPr>
              <w:widowControl/>
              <w:jc w:val="center"/>
              <w:rPr>
                <w:rFonts w:hAnsi="宋体" w:cs="宋体"/>
                <w:color w:val="auto"/>
                <w:kern w:val="0"/>
                <w:sz w:val="22"/>
                <w:szCs w:val="22"/>
                <w:highlight w:val="none"/>
              </w:rPr>
            </w:pPr>
          </w:p>
        </w:tc>
        <w:tc>
          <w:tcPr>
            <w:tcW w:w="1004" w:type="dxa"/>
            <w:gridSpan w:val="2"/>
            <w:vAlign w:val="center"/>
          </w:tcPr>
          <w:p>
            <w:pPr>
              <w:widowControl/>
              <w:jc w:val="center"/>
              <w:rPr>
                <w:rFonts w:hAnsi="宋体" w:cs="宋体"/>
                <w:color w:val="auto"/>
                <w:kern w:val="0"/>
                <w:sz w:val="22"/>
                <w:szCs w:val="22"/>
                <w:highlight w:val="none"/>
              </w:rPr>
            </w:pPr>
          </w:p>
        </w:tc>
        <w:tc>
          <w:tcPr>
            <w:tcW w:w="815" w:type="dxa"/>
            <w:vAlign w:val="center"/>
          </w:tcPr>
          <w:p>
            <w:pPr>
              <w:widowControl/>
              <w:jc w:val="center"/>
              <w:rPr>
                <w:rFonts w:hAnsi="宋体" w:cs="宋体"/>
                <w:color w:val="auto"/>
                <w:kern w:val="0"/>
                <w:sz w:val="22"/>
                <w:szCs w:val="22"/>
                <w:highlight w:val="none"/>
              </w:rPr>
            </w:pPr>
          </w:p>
        </w:tc>
        <w:tc>
          <w:tcPr>
            <w:tcW w:w="1725" w:type="dxa"/>
            <w:vAlign w:val="center"/>
          </w:tcPr>
          <w:p>
            <w:pPr>
              <w:widowControl/>
              <w:jc w:val="center"/>
              <w:rPr>
                <w:rFonts w:hAnsi="宋体" w:cs="宋体"/>
                <w:color w:val="auto"/>
                <w:kern w:val="0"/>
                <w:sz w:val="22"/>
                <w:szCs w:val="22"/>
                <w:highlight w:val="none"/>
              </w:rPr>
            </w:pPr>
          </w:p>
        </w:tc>
        <w:tc>
          <w:tcPr>
            <w:tcW w:w="1672" w:type="dxa"/>
            <w:vAlign w:val="center"/>
          </w:tcPr>
          <w:p>
            <w:pPr>
              <w:widowControl/>
              <w:jc w:val="center"/>
              <w:rPr>
                <w:rFonts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2" w:type="dxa"/>
            <w:vAlign w:val="center"/>
          </w:tcPr>
          <w:p>
            <w:pPr>
              <w:widowControl/>
              <w:jc w:val="center"/>
              <w:rPr>
                <w:rFonts w:hAnsi="宋体" w:cs="宋体"/>
                <w:color w:val="auto"/>
                <w:kern w:val="0"/>
                <w:sz w:val="22"/>
                <w:szCs w:val="22"/>
                <w:highlight w:val="none"/>
              </w:rPr>
            </w:pPr>
            <w:r>
              <w:rPr>
                <w:rFonts w:hint="eastAsia" w:hAnsi="宋体" w:cs="宋体"/>
                <w:color w:val="auto"/>
                <w:kern w:val="0"/>
                <w:sz w:val="22"/>
                <w:szCs w:val="22"/>
                <w:highlight w:val="none"/>
              </w:rPr>
              <w:t>2</w:t>
            </w:r>
          </w:p>
        </w:tc>
        <w:tc>
          <w:tcPr>
            <w:tcW w:w="2009" w:type="dxa"/>
            <w:vAlign w:val="center"/>
          </w:tcPr>
          <w:p>
            <w:pPr>
              <w:spacing w:line="360" w:lineRule="auto"/>
              <w:jc w:val="center"/>
              <w:rPr>
                <w:rFonts w:hAnsi="宋体" w:cs="宋体"/>
                <w:b/>
                <w:color w:val="auto"/>
                <w:szCs w:val="21"/>
                <w:highlight w:val="none"/>
              </w:rPr>
            </w:pPr>
          </w:p>
        </w:tc>
        <w:tc>
          <w:tcPr>
            <w:tcW w:w="1721" w:type="dxa"/>
            <w:vAlign w:val="center"/>
          </w:tcPr>
          <w:p>
            <w:pPr>
              <w:widowControl/>
              <w:jc w:val="center"/>
              <w:rPr>
                <w:rFonts w:hAnsi="宋体" w:cs="宋体"/>
                <w:color w:val="auto"/>
                <w:kern w:val="0"/>
                <w:sz w:val="22"/>
                <w:szCs w:val="22"/>
                <w:highlight w:val="none"/>
              </w:rPr>
            </w:pPr>
          </w:p>
        </w:tc>
        <w:tc>
          <w:tcPr>
            <w:tcW w:w="1004" w:type="dxa"/>
            <w:gridSpan w:val="2"/>
            <w:vAlign w:val="center"/>
          </w:tcPr>
          <w:p>
            <w:pPr>
              <w:widowControl/>
              <w:jc w:val="center"/>
              <w:rPr>
                <w:rFonts w:hAnsi="宋体" w:cs="宋体"/>
                <w:color w:val="auto"/>
                <w:kern w:val="0"/>
                <w:sz w:val="22"/>
                <w:szCs w:val="22"/>
                <w:highlight w:val="none"/>
              </w:rPr>
            </w:pPr>
          </w:p>
        </w:tc>
        <w:tc>
          <w:tcPr>
            <w:tcW w:w="815" w:type="dxa"/>
            <w:vAlign w:val="center"/>
          </w:tcPr>
          <w:p>
            <w:pPr>
              <w:widowControl/>
              <w:jc w:val="center"/>
              <w:rPr>
                <w:rFonts w:hAnsi="宋体" w:cs="宋体"/>
                <w:color w:val="auto"/>
                <w:kern w:val="0"/>
                <w:sz w:val="22"/>
                <w:szCs w:val="22"/>
                <w:highlight w:val="none"/>
              </w:rPr>
            </w:pPr>
          </w:p>
        </w:tc>
        <w:tc>
          <w:tcPr>
            <w:tcW w:w="1725" w:type="dxa"/>
            <w:vAlign w:val="center"/>
          </w:tcPr>
          <w:p>
            <w:pPr>
              <w:widowControl/>
              <w:jc w:val="center"/>
              <w:rPr>
                <w:rFonts w:hAnsi="宋体" w:cs="宋体"/>
                <w:color w:val="auto"/>
                <w:kern w:val="0"/>
                <w:sz w:val="22"/>
                <w:szCs w:val="22"/>
                <w:highlight w:val="none"/>
              </w:rPr>
            </w:pPr>
          </w:p>
        </w:tc>
        <w:tc>
          <w:tcPr>
            <w:tcW w:w="1672" w:type="dxa"/>
            <w:vAlign w:val="center"/>
          </w:tcPr>
          <w:p>
            <w:pPr>
              <w:widowControl/>
              <w:jc w:val="center"/>
              <w:rPr>
                <w:rFonts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2" w:type="dxa"/>
            <w:vAlign w:val="center"/>
          </w:tcPr>
          <w:p>
            <w:pPr>
              <w:widowControl/>
              <w:jc w:val="center"/>
              <w:rPr>
                <w:rFonts w:hAnsi="宋体" w:cs="宋体"/>
                <w:color w:val="auto"/>
                <w:kern w:val="0"/>
                <w:sz w:val="22"/>
                <w:szCs w:val="22"/>
                <w:highlight w:val="none"/>
              </w:rPr>
            </w:pPr>
            <w:r>
              <w:rPr>
                <w:rFonts w:hint="eastAsia" w:hAnsi="宋体" w:cs="宋体"/>
                <w:color w:val="auto"/>
                <w:kern w:val="0"/>
                <w:sz w:val="22"/>
                <w:szCs w:val="22"/>
                <w:highlight w:val="none"/>
              </w:rPr>
              <w:t>3</w:t>
            </w:r>
          </w:p>
        </w:tc>
        <w:tc>
          <w:tcPr>
            <w:tcW w:w="2009" w:type="dxa"/>
            <w:vAlign w:val="center"/>
          </w:tcPr>
          <w:p>
            <w:pPr>
              <w:spacing w:line="360" w:lineRule="auto"/>
              <w:jc w:val="center"/>
              <w:rPr>
                <w:rFonts w:hAnsi="宋体" w:cs="宋体"/>
                <w:b/>
                <w:color w:val="auto"/>
                <w:szCs w:val="21"/>
                <w:highlight w:val="none"/>
              </w:rPr>
            </w:pPr>
          </w:p>
        </w:tc>
        <w:tc>
          <w:tcPr>
            <w:tcW w:w="1721" w:type="dxa"/>
            <w:vAlign w:val="center"/>
          </w:tcPr>
          <w:p>
            <w:pPr>
              <w:widowControl/>
              <w:jc w:val="center"/>
              <w:rPr>
                <w:rFonts w:hAnsi="宋体" w:cs="宋体"/>
                <w:color w:val="auto"/>
                <w:kern w:val="0"/>
                <w:sz w:val="22"/>
                <w:szCs w:val="22"/>
                <w:highlight w:val="none"/>
              </w:rPr>
            </w:pPr>
          </w:p>
        </w:tc>
        <w:tc>
          <w:tcPr>
            <w:tcW w:w="1004" w:type="dxa"/>
            <w:gridSpan w:val="2"/>
            <w:vAlign w:val="center"/>
          </w:tcPr>
          <w:p>
            <w:pPr>
              <w:widowControl/>
              <w:jc w:val="center"/>
              <w:rPr>
                <w:rFonts w:hAnsi="宋体" w:cs="宋体"/>
                <w:color w:val="auto"/>
                <w:kern w:val="0"/>
                <w:sz w:val="22"/>
                <w:szCs w:val="22"/>
                <w:highlight w:val="none"/>
              </w:rPr>
            </w:pPr>
          </w:p>
        </w:tc>
        <w:tc>
          <w:tcPr>
            <w:tcW w:w="815" w:type="dxa"/>
            <w:vAlign w:val="center"/>
          </w:tcPr>
          <w:p>
            <w:pPr>
              <w:widowControl/>
              <w:jc w:val="center"/>
              <w:rPr>
                <w:rFonts w:hAnsi="宋体" w:cs="宋体"/>
                <w:color w:val="auto"/>
                <w:kern w:val="0"/>
                <w:sz w:val="22"/>
                <w:szCs w:val="22"/>
                <w:highlight w:val="none"/>
              </w:rPr>
            </w:pPr>
          </w:p>
        </w:tc>
        <w:tc>
          <w:tcPr>
            <w:tcW w:w="1725" w:type="dxa"/>
            <w:vAlign w:val="center"/>
          </w:tcPr>
          <w:p>
            <w:pPr>
              <w:widowControl/>
              <w:jc w:val="center"/>
              <w:rPr>
                <w:rFonts w:hAnsi="宋体" w:cs="宋体"/>
                <w:color w:val="auto"/>
                <w:kern w:val="0"/>
                <w:sz w:val="22"/>
                <w:szCs w:val="22"/>
                <w:highlight w:val="none"/>
              </w:rPr>
            </w:pPr>
          </w:p>
        </w:tc>
        <w:tc>
          <w:tcPr>
            <w:tcW w:w="1672" w:type="dxa"/>
            <w:vAlign w:val="center"/>
          </w:tcPr>
          <w:p>
            <w:pPr>
              <w:widowControl/>
              <w:jc w:val="center"/>
              <w:rPr>
                <w:rFonts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2" w:type="dxa"/>
            <w:vAlign w:val="center"/>
          </w:tcPr>
          <w:p>
            <w:pPr>
              <w:widowControl/>
              <w:jc w:val="center"/>
              <w:rPr>
                <w:rFonts w:hAnsi="宋体" w:cs="宋体"/>
                <w:color w:val="auto"/>
                <w:kern w:val="0"/>
                <w:sz w:val="22"/>
                <w:szCs w:val="22"/>
                <w:highlight w:val="none"/>
              </w:rPr>
            </w:pPr>
            <w:r>
              <w:rPr>
                <w:rFonts w:hint="eastAsia" w:hAnsi="宋体" w:cs="宋体"/>
                <w:color w:val="auto"/>
                <w:kern w:val="0"/>
                <w:sz w:val="22"/>
                <w:szCs w:val="22"/>
                <w:highlight w:val="none"/>
              </w:rPr>
              <w:t>4</w:t>
            </w:r>
          </w:p>
        </w:tc>
        <w:tc>
          <w:tcPr>
            <w:tcW w:w="2009" w:type="dxa"/>
            <w:vAlign w:val="center"/>
          </w:tcPr>
          <w:p>
            <w:pPr>
              <w:spacing w:line="360" w:lineRule="auto"/>
              <w:jc w:val="center"/>
              <w:rPr>
                <w:rFonts w:hAnsi="宋体" w:cs="宋体"/>
                <w:b/>
                <w:color w:val="auto"/>
                <w:szCs w:val="21"/>
                <w:highlight w:val="none"/>
              </w:rPr>
            </w:pPr>
          </w:p>
        </w:tc>
        <w:tc>
          <w:tcPr>
            <w:tcW w:w="1721" w:type="dxa"/>
            <w:vAlign w:val="center"/>
          </w:tcPr>
          <w:p>
            <w:pPr>
              <w:widowControl/>
              <w:jc w:val="center"/>
              <w:rPr>
                <w:rFonts w:hAnsi="宋体" w:cs="宋体"/>
                <w:color w:val="auto"/>
                <w:kern w:val="0"/>
                <w:sz w:val="22"/>
                <w:szCs w:val="22"/>
                <w:highlight w:val="none"/>
              </w:rPr>
            </w:pPr>
          </w:p>
        </w:tc>
        <w:tc>
          <w:tcPr>
            <w:tcW w:w="1004" w:type="dxa"/>
            <w:gridSpan w:val="2"/>
            <w:vAlign w:val="center"/>
          </w:tcPr>
          <w:p>
            <w:pPr>
              <w:widowControl/>
              <w:jc w:val="center"/>
              <w:rPr>
                <w:rFonts w:hAnsi="宋体" w:cs="宋体"/>
                <w:color w:val="auto"/>
                <w:kern w:val="0"/>
                <w:sz w:val="22"/>
                <w:szCs w:val="22"/>
                <w:highlight w:val="none"/>
              </w:rPr>
            </w:pPr>
          </w:p>
        </w:tc>
        <w:tc>
          <w:tcPr>
            <w:tcW w:w="815" w:type="dxa"/>
            <w:vAlign w:val="center"/>
          </w:tcPr>
          <w:p>
            <w:pPr>
              <w:widowControl/>
              <w:jc w:val="center"/>
              <w:rPr>
                <w:rFonts w:hAnsi="宋体" w:cs="宋体"/>
                <w:color w:val="auto"/>
                <w:kern w:val="0"/>
                <w:sz w:val="22"/>
                <w:szCs w:val="22"/>
                <w:highlight w:val="none"/>
              </w:rPr>
            </w:pPr>
          </w:p>
        </w:tc>
        <w:tc>
          <w:tcPr>
            <w:tcW w:w="1725" w:type="dxa"/>
            <w:vAlign w:val="center"/>
          </w:tcPr>
          <w:p>
            <w:pPr>
              <w:widowControl/>
              <w:jc w:val="center"/>
              <w:rPr>
                <w:rFonts w:hAnsi="宋体" w:cs="宋体"/>
                <w:color w:val="auto"/>
                <w:kern w:val="0"/>
                <w:sz w:val="22"/>
                <w:szCs w:val="22"/>
                <w:highlight w:val="none"/>
              </w:rPr>
            </w:pPr>
          </w:p>
        </w:tc>
        <w:tc>
          <w:tcPr>
            <w:tcW w:w="1672" w:type="dxa"/>
            <w:vAlign w:val="center"/>
          </w:tcPr>
          <w:p>
            <w:pPr>
              <w:widowControl/>
              <w:jc w:val="center"/>
              <w:rPr>
                <w:rFonts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82" w:type="dxa"/>
            <w:vAlign w:val="center"/>
          </w:tcPr>
          <w:p>
            <w:pPr>
              <w:widowControl/>
              <w:jc w:val="center"/>
              <w:rPr>
                <w:rFonts w:hAnsi="宋体" w:cs="宋体"/>
                <w:color w:val="auto"/>
                <w:kern w:val="0"/>
                <w:sz w:val="22"/>
                <w:szCs w:val="22"/>
                <w:highlight w:val="none"/>
              </w:rPr>
            </w:pPr>
            <w:r>
              <w:rPr>
                <w:rFonts w:hint="eastAsia" w:hAnsi="宋体" w:cs="宋体"/>
                <w:color w:val="auto"/>
                <w:kern w:val="0"/>
                <w:sz w:val="22"/>
                <w:szCs w:val="22"/>
                <w:highlight w:val="none"/>
              </w:rPr>
              <w:t>5</w:t>
            </w:r>
          </w:p>
        </w:tc>
        <w:tc>
          <w:tcPr>
            <w:tcW w:w="2009" w:type="dxa"/>
            <w:vAlign w:val="center"/>
          </w:tcPr>
          <w:p>
            <w:pPr>
              <w:spacing w:line="360" w:lineRule="auto"/>
              <w:jc w:val="center"/>
              <w:rPr>
                <w:rFonts w:hAnsi="宋体" w:cs="宋体"/>
                <w:b/>
                <w:color w:val="auto"/>
                <w:szCs w:val="21"/>
                <w:highlight w:val="none"/>
              </w:rPr>
            </w:pPr>
          </w:p>
        </w:tc>
        <w:tc>
          <w:tcPr>
            <w:tcW w:w="1721" w:type="dxa"/>
            <w:vAlign w:val="center"/>
          </w:tcPr>
          <w:p>
            <w:pPr>
              <w:widowControl/>
              <w:jc w:val="center"/>
              <w:rPr>
                <w:rFonts w:hAnsi="宋体" w:cs="宋体"/>
                <w:color w:val="auto"/>
                <w:kern w:val="0"/>
                <w:sz w:val="22"/>
                <w:szCs w:val="22"/>
                <w:highlight w:val="none"/>
              </w:rPr>
            </w:pPr>
          </w:p>
        </w:tc>
        <w:tc>
          <w:tcPr>
            <w:tcW w:w="1004" w:type="dxa"/>
            <w:gridSpan w:val="2"/>
            <w:vAlign w:val="center"/>
          </w:tcPr>
          <w:p>
            <w:pPr>
              <w:widowControl/>
              <w:jc w:val="center"/>
              <w:rPr>
                <w:rFonts w:hAnsi="宋体" w:cs="宋体"/>
                <w:color w:val="auto"/>
                <w:kern w:val="0"/>
                <w:sz w:val="22"/>
                <w:szCs w:val="22"/>
                <w:highlight w:val="none"/>
              </w:rPr>
            </w:pPr>
          </w:p>
        </w:tc>
        <w:tc>
          <w:tcPr>
            <w:tcW w:w="815" w:type="dxa"/>
            <w:vAlign w:val="center"/>
          </w:tcPr>
          <w:p>
            <w:pPr>
              <w:widowControl/>
              <w:jc w:val="center"/>
              <w:rPr>
                <w:rFonts w:hAnsi="宋体" w:cs="宋体"/>
                <w:color w:val="auto"/>
                <w:kern w:val="0"/>
                <w:sz w:val="22"/>
                <w:szCs w:val="22"/>
                <w:highlight w:val="none"/>
              </w:rPr>
            </w:pPr>
          </w:p>
        </w:tc>
        <w:tc>
          <w:tcPr>
            <w:tcW w:w="1725" w:type="dxa"/>
            <w:vAlign w:val="center"/>
          </w:tcPr>
          <w:p>
            <w:pPr>
              <w:widowControl/>
              <w:jc w:val="center"/>
              <w:rPr>
                <w:rFonts w:hAnsi="宋体" w:cs="宋体"/>
                <w:color w:val="auto"/>
                <w:kern w:val="0"/>
                <w:sz w:val="22"/>
                <w:szCs w:val="22"/>
                <w:highlight w:val="none"/>
              </w:rPr>
            </w:pPr>
          </w:p>
        </w:tc>
        <w:tc>
          <w:tcPr>
            <w:tcW w:w="1672" w:type="dxa"/>
            <w:vAlign w:val="center"/>
          </w:tcPr>
          <w:p>
            <w:pPr>
              <w:widowControl/>
              <w:jc w:val="center"/>
              <w:rPr>
                <w:rFonts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2" w:type="dxa"/>
            <w:vAlign w:val="center"/>
          </w:tcPr>
          <w:p>
            <w:pPr>
              <w:widowControl/>
              <w:jc w:val="center"/>
              <w:rPr>
                <w:rFonts w:hAnsi="宋体" w:cs="宋体"/>
                <w:color w:val="auto"/>
                <w:kern w:val="0"/>
                <w:sz w:val="22"/>
                <w:szCs w:val="22"/>
                <w:highlight w:val="none"/>
              </w:rPr>
            </w:pPr>
            <w:r>
              <w:rPr>
                <w:rFonts w:hint="eastAsia" w:hAnsi="宋体" w:cs="宋体"/>
                <w:color w:val="auto"/>
                <w:kern w:val="0"/>
                <w:sz w:val="22"/>
                <w:szCs w:val="22"/>
                <w:highlight w:val="none"/>
              </w:rPr>
              <w:t>6</w:t>
            </w:r>
          </w:p>
        </w:tc>
        <w:tc>
          <w:tcPr>
            <w:tcW w:w="2009" w:type="dxa"/>
            <w:vAlign w:val="center"/>
          </w:tcPr>
          <w:p>
            <w:pPr>
              <w:spacing w:line="360" w:lineRule="auto"/>
              <w:jc w:val="center"/>
              <w:rPr>
                <w:rFonts w:hAnsi="宋体" w:cs="宋体"/>
                <w:b/>
                <w:color w:val="auto"/>
                <w:szCs w:val="21"/>
                <w:highlight w:val="none"/>
              </w:rPr>
            </w:pPr>
          </w:p>
        </w:tc>
        <w:tc>
          <w:tcPr>
            <w:tcW w:w="1721" w:type="dxa"/>
            <w:vAlign w:val="center"/>
          </w:tcPr>
          <w:p>
            <w:pPr>
              <w:widowControl/>
              <w:jc w:val="center"/>
              <w:rPr>
                <w:rFonts w:hAnsi="宋体" w:cs="宋体"/>
                <w:color w:val="auto"/>
                <w:kern w:val="0"/>
                <w:sz w:val="22"/>
                <w:szCs w:val="22"/>
                <w:highlight w:val="none"/>
              </w:rPr>
            </w:pPr>
          </w:p>
        </w:tc>
        <w:tc>
          <w:tcPr>
            <w:tcW w:w="1004" w:type="dxa"/>
            <w:gridSpan w:val="2"/>
            <w:vAlign w:val="center"/>
          </w:tcPr>
          <w:p>
            <w:pPr>
              <w:widowControl/>
              <w:jc w:val="center"/>
              <w:rPr>
                <w:rFonts w:hAnsi="宋体" w:cs="宋体"/>
                <w:color w:val="auto"/>
                <w:kern w:val="0"/>
                <w:sz w:val="22"/>
                <w:szCs w:val="22"/>
                <w:highlight w:val="none"/>
              </w:rPr>
            </w:pPr>
          </w:p>
        </w:tc>
        <w:tc>
          <w:tcPr>
            <w:tcW w:w="815" w:type="dxa"/>
            <w:vAlign w:val="center"/>
          </w:tcPr>
          <w:p>
            <w:pPr>
              <w:widowControl/>
              <w:jc w:val="center"/>
              <w:rPr>
                <w:rFonts w:hAnsi="宋体" w:cs="宋体"/>
                <w:color w:val="auto"/>
                <w:kern w:val="0"/>
                <w:sz w:val="22"/>
                <w:szCs w:val="22"/>
                <w:highlight w:val="none"/>
              </w:rPr>
            </w:pPr>
          </w:p>
        </w:tc>
        <w:tc>
          <w:tcPr>
            <w:tcW w:w="1725" w:type="dxa"/>
            <w:vAlign w:val="center"/>
          </w:tcPr>
          <w:p>
            <w:pPr>
              <w:widowControl/>
              <w:jc w:val="center"/>
              <w:rPr>
                <w:rFonts w:hAnsi="宋体" w:cs="宋体"/>
                <w:color w:val="auto"/>
                <w:kern w:val="0"/>
                <w:sz w:val="22"/>
                <w:szCs w:val="22"/>
                <w:highlight w:val="none"/>
              </w:rPr>
            </w:pPr>
          </w:p>
        </w:tc>
        <w:tc>
          <w:tcPr>
            <w:tcW w:w="1672" w:type="dxa"/>
            <w:vAlign w:val="center"/>
          </w:tcPr>
          <w:p>
            <w:pPr>
              <w:widowControl/>
              <w:jc w:val="center"/>
              <w:rPr>
                <w:rFonts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82" w:type="dxa"/>
            <w:vAlign w:val="center"/>
          </w:tcPr>
          <w:p>
            <w:pPr>
              <w:widowControl/>
              <w:jc w:val="center"/>
              <w:rPr>
                <w:rFonts w:hAnsi="宋体" w:cs="宋体"/>
                <w:color w:val="auto"/>
                <w:kern w:val="0"/>
                <w:sz w:val="22"/>
                <w:szCs w:val="22"/>
                <w:highlight w:val="none"/>
              </w:rPr>
            </w:pPr>
            <w:r>
              <w:rPr>
                <w:rFonts w:hint="eastAsia" w:hAnsi="宋体" w:cs="宋体"/>
                <w:color w:val="auto"/>
                <w:kern w:val="0"/>
                <w:sz w:val="22"/>
                <w:szCs w:val="22"/>
                <w:highlight w:val="none"/>
              </w:rPr>
              <w:t>7</w:t>
            </w:r>
          </w:p>
        </w:tc>
        <w:tc>
          <w:tcPr>
            <w:tcW w:w="2009" w:type="dxa"/>
            <w:vAlign w:val="center"/>
          </w:tcPr>
          <w:p>
            <w:pPr>
              <w:spacing w:line="360" w:lineRule="auto"/>
              <w:jc w:val="center"/>
              <w:rPr>
                <w:rFonts w:hAnsi="宋体" w:cs="宋体"/>
                <w:b/>
                <w:color w:val="auto"/>
                <w:szCs w:val="21"/>
                <w:highlight w:val="none"/>
              </w:rPr>
            </w:pPr>
          </w:p>
        </w:tc>
        <w:tc>
          <w:tcPr>
            <w:tcW w:w="1721" w:type="dxa"/>
            <w:vAlign w:val="center"/>
          </w:tcPr>
          <w:p>
            <w:pPr>
              <w:widowControl/>
              <w:jc w:val="center"/>
              <w:rPr>
                <w:rFonts w:hAnsi="宋体" w:cs="宋体"/>
                <w:color w:val="auto"/>
                <w:kern w:val="0"/>
                <w:sz w:val="22"/>
                <w:szCs w:val="22"/>
                <w:highlight w:val="none"/>
              </w:rPr>
            </w:pPr>
          </w:p>
        </w:tc>
        <w:tc>
          <w:tcPr>
            <w:tcW w:w="1004" w:type="dxa"/>
            <w:gridSpan w:val="2"/>
            <w:vAlign w:val="center"/>
          </w:tcPr>
          <w:p>
            <w:pPr>
              <w:widowControl/>
              <w:jc w:val="center"/>
              <w:rPr>
                <w:rFonts w:hAnsi="宋体" w:cs="宋体"/>
                <w:color w:val="auto"/>
                <w:kern w:val="0"/>
                <w:sz w:val="22"/>
                <w:szCs w:val="22"/>
                <w:highlight w:val="none"/>
              </w:rPr>
            </w:pPr>
          </w:p>
        </w:tc>
        <w:tc>
          <w:tcPr>
            <w:tcW w:w="815" w:type="dxa"/>
            <w:vAlign w:val="center"/>
          </w:tcPr>
          <w:p>
            <w:pPr>
              <w:widowControl/>
              <w:jc w:val="center"/>
              <w:rPr>
                <w:rFonts w:hAnsi="宋体" w:cs="宋体"/>
                <w:color w:val="auto"/>
                <w:kern w:val="0"/>
                <w:sz w:val="22"/>
                <w:szCs w:val="22"/>
                <w:highlight w:val="none"/>
              </w:rPr>
            </w:pPr>
          </w:p>
        </w:tc>
        <w:tc>
          <w:tcPr>
            <w:tcW w:w="1725" w:type="dxa"/>
            <w:vAlign w:val="center"/>
          </w:tcPr>
          <w:p>
            <w:pPr>
              <w:widowControl/>
              <w:jc w:val="center"/>
              <w:rPr>
                <w:rFonts w:hAnsi="宋体" w:cs="宋体"/>
                <w:color w:val="auto"/>
                <w:kern w:val="0"/>
                <w:sz w:val="22"/>
                <w:szCs w:val="22"/>
                <w:highlight w:val="none"/>
              </w:rPr>
            </w:pPr>
          </w:p>
        </w:tc>
        <w:tc>
          <w:tcPr>
            <w:tcW w:w="1672" w:type="dxa"/>
            <w:vAlign w:val="center"/>
          </w:tcPr>
          <w:p>
            <w:pPr>
              <w:widowControl/>
              <w:jc w:val="center"/>
              <w:rPr>
                <w:rFonts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82" w:type="dxa"/>
            <w:vAlign w:val="center"/>
          </w:tcPr>
          <w:p>
            <w:pPr>
              <w:widowControl/>
              <w:jc w:val="center"/>
              <w:rPr>
                <w:rFonts w:hAnsi="宋体" w:cs="宋体"/>
                <w:color w:val="auto"/>
                <w:kern w:val="0"/>
                <w:sz w:val="22"/>
                <w:szCs w:val="22"/>
                <w:highlight w:val="none"/>
              </w:rPr>
            </w:pPr>
            <w:r>
              <w:rPr>
                <w:rFonts w:hint="eastAsia" w:hAnsi="宋体" w:cs="宋体"/>
                <w:color w:val="auto"/>
                <w:kern w:val="0"/>
                <w:sz w:val="22"/>
                <w:szCs w:val="22"/>
                <w:highlight w:val="none"/>
              </w:rPr>
              <w:t>8</w:t>
            </w:r>
          </w:p>
        </w:tc>
        <w:tc>
          <w:tcPr>
            <w:tcW w:w="2009" w:type="dxa"/>
            <w:vAlign w:val="center"/>
          </w:tcPr>
          <w:p>
            <w:pPr>
              <w:spacing w:line="360" w:lineRule="auto"/>
              <w:jc w:val="center"/>
              <w:rPr>
                <w:rFonts w:hAnsi="宋体" w:cs="宋体"/>
                <w:b/>
                <w:color w:val="auto"/>
                <w:szCs w:val="21"/>
                <w:highlight w:val="none"/>
              </w:rPr>
            </w:pPr>
          </w:p>
        </w:tc>
        <w:tc>
          <w:tcPr>
            <w:tcW w:w="1721" w:type="dxa"/>
            <w:vAlign w:val="center"/>
          </w:tcPr>
          <w:p>
            <w:pPr>
              <w:widowControl/>
              <w:jc w:val="center"/>
              <w:rPr>
                <w:rFonts w:hAnsi="宋体" w:cs="宋体"/>
                <w:color w:val="auto"/>
                <w:kern w:val="0"/>
                <w:sz w:val="22"/>
                <w:szCs w:val="22"/>
                <w:highlight w:val="none"/>
              </w:rPr>
            </w:pPr>
          </w:p>
        </w:tc>
        <w:tc>
          <w:tcPr>
            <w:tcW w:w="1004" w:type="dxa"/>
            <w:gridSpan w:val="2"/>
            <w:vAlign w:val="center"/>
          </w:tcPr>
          <w:p>
            <w:pPr>
              <w:widowControl/>
              <w:jc w:val="center"/>
              <w:rPr>
                <w:rFonts w:hAnsi="宋体" w:cs="宋体"/>
                <w:color w:val="auto"/>
                <w:kern w:val="0"/>
                <w:sz w:val="22"/>
                <w:szCs w:val="22"/>
                <w:highlight w:val="none"/>
              </w:rPr>
            </w:pPr>
          </w:p>
        </w:tc>
        <w:tc>
          <w:tcPr>
            <w:tcW w:w="815" w:type="dxa"/>
            <w:vAlign w:val="center"/>
          </w:tcPr>
          <w:p>
            <w:pPr>
              <w:widowControl/>
              <w:jc w:val="center"/>
              <w:rPr>
                <w:rFonts w:hAnsi="宋体" w:cs="宋体"/>
                <w:color w:val="auto"/>
                <w:kern w:val="0"/>
                <w:sz w:val="22"/>
                <w:szCs w:val="22"/>
                <w:highlight w:val="none"/>
              </w:rPr>
            </w:pPr>
          </w:p>
        </w:tc>
        <w:tc>
          <w:tcPr>
            <w:tcW w:w="1725" w:type="dxa"/>
            <w:vAlign w:val="center"/>
          </w:tcPr>
          <w:p>
            <w:pPr>
              <w:widowControl/>
              <w:jc w:val="center"/>
              <w:rPr>
                <w:rFonts w:hAnsi="宋体" w:cs="宋体"/>
                <w:color w:val="auto"/>
                <w:kern w:val="0"/>
                <w:sz w:val="22"/>
                <w:szCs w:val="22"/>
                <w:highlight w:val="none"/>
              </w:rPr>
            </w:pPr>
          </w:p>
        </w:tc>
        <w:tc>
          <w:tcPr>
            <w:tcW w:w="1672" w:type="dxa"/>
            <w:vAlign w:val="center"/>
          </w:tcPr>
          <w:p>
            <w:pPr>
              <w:widowControl/>
              <w:jc w:val="center"/>
              <w:rPr>
                <w:rFonts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786" w:type="dxa"/>
            <w:gridSpan w:val="4"/>
            <w:vAlign w:val="center"/>
          </w:tcPr>
          <w:p>
            <w:pPr>
              <w:widowControl/>
              <w:jc w:val="center"/>
              <w:rPr>
                <w:rFonts w:hAnsi="宋体" w:cs="宋体"/>
                <w:b/>
                <w:bCs/>
                <w:color w:val="auto"/>
                <w:kern w:val="0"/>
                <w:sz w:val="22"/>
                <w:szCs w:val="22"/>
                <w:highlight w:val="none"/>
              </w:rPr>
            </w:pPr>
            <w:r>
              <w:rPr>
                <w:rFonts w:hint="eastAsia" w:hAnsi="宋体" w:cs="宋体"/>
                <w:b/>
                <w:bCs/>
                <w:color w:val="auto"/>
                <w:kern w:val="0"/>
                <w:sz w:val="22"/>
                <w:szCs w:val="22"/>
                <w:highlight w:val="none"/>
              </w:rPr>
              <w:t>总价合计</w:t>
            </w:r>
          </w:p>
        </w:tc>
        <w:tc>
          <w:tcPr>
            <w:tcW w:w="4842" w:type="dxa"/>
            <w:gridSpan w:val="4"/>
            <w:vAlign w:val="center"/>
          </w:tcPr>
          <w:p>
            <w:pPr>
              <w:widowControl/>
              <w:jc w:val="center"/>
              <w:rPr>
                <w:rFonts w:hAnsi="宋体" w:cs="宋体"/>
                <w:b/>
                <w:bCs/>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28" w:type="dxa"/>
            <w:gridSpan w:val="8"/>
            <w:vAlign w:val="center"/>
          </w:tcPr>
          <w:p>
            <w:pPr>
              <w:spacing w:line="320" w:lineRule="exact"/>
              <w:rPr>
                <w:rFonts w:ascii="等线" w:hAnsi="等线" w:eastAsia="等线"/>
                <w:b/>
                <w:color w:val="auto"/>
                <w:szCs w:val="21"/>
                <w:highlight w:val="none"/>
              </w:rPr>
            </w:pPr>
            <w:r>
              <w:rPr>
                <w:rFonts w:hint="eastAsia" w:ascii="等线" w:hAnsi="等线" w:eastAsia="等线"/>
                <w:b/>
                <w:color w:val="auto"/>
                <w:szCs w:val="21"/>
                <w:highlight w:val="none"/>
              </w:rPr>
              <w:t>报价应包含设备、随配附件、备品备件、运输、工具、包装、安装、调试、各种附材、附加培训、售后服务、税金及其他所有可能发生的一切费用总和，直至按采购人（业主）要求安装交付使用，采购人（业主）不再支付中标价格以外的任何费用。</w:t>
            </w:r>
          </w:p>
          <w:p>
            <w:pPr>
              <w:rPr>
                <w:rFonts w:ascii="等线" w:hAnsi="等线" w:eastAsia="等线"/>
                <w:b/>
                <w:color w:val="auto"/>
                <w:szCs w:val="21"/>
                <w:highlight w:val="none"/>
              </w:rPr>
            </w:pPr>
            <w:r>
              <w:rPr>
                <w:rFonts w:hint="eastAsia" w:ascii="等线" w:hAnsi="等线" w:eastAsia="等线"/>
                <w:b/>
                <w:color w:val="auto"/>
                <w:szCs w:val="21"/>
                <w:highlight w:val="none"/>
              </w:rPr>
              <w:t>其他售后承诺：</w:t>
            </w:r>
          </w:p>
          <w:p>
            <w:pPr>
              <w:rPr>
                <w:rFonts w:ascii="等线" w:hAnsi="等线" w:eastAsia="等线"/>
                <w:b/>
                <w:color w:val="auto"/>
                <w:szCs w:val="21"/>
                <w:highlight w:val="none"/>
              </w:rPr>
            </w:pPr>
            <w:r>
              <w:rPr>
                <w:rFonts w:hint="eastAsia" w:ascii="等线" w:hAnsi="等线" w:eastAsia="等线"/>
                <w:b/>
                <w:color w:val="auto"/>
                <w:szCs w:val="21"/>
                <w:highlight w:val="none"/>
              </w:rPr>
              <w:t>1.合同履行期限：</w:t>
            </w:r>
            <w:r>
              <w:rPr>
                <w:rFonts w:hint="eastAsia" w:ascii="等线" w:hAnsi="等线" w:eastAsia="等线"/>
                <w:b/>
                <w:color w:val="auto"/>
                <w:szCs w:val="21"/>
                <w:highlight w:val="none"/>
                <w:u w:val="single"/>
              </w:rPr>
              <w:t xml:space="preserve"> </w:t>
            </w:r>
            <w:r>
              <w:rPr>
                <w:rFonts w:ascii="等线" w:hAnsi="等线" w:eastAsia="等线"/>
                <w:b/>
                <w:color w:val="auto"/>
                <w:szCs w:val="21"/>
                <w:highlight w:val="none"/>
                <w:u w:val="single"/>
              </w:rPr>
              <w:t xml:space="preserve">                </w:t>
            </w:r>
            <w:r>
              <w:rPr>
                <w:rFonts w:hint="eastAsia" w:ascii="等线" w:hAnsi="等线" w:eastAsia="等线"/>
                <w:b/>
                <w:color w:val="auto"/>
                <w:szCs w:val="21"/>
                <w:highlight w:val="none"/>
              </w:rPr>
              <w:t>。</w:t>
            </w:r>
          </w:p>
          <w:p>
            <w:pPr>
              <w:widowControl/>
              <w:jc w:val="left"/>
              <w:rPr>
                <w:rFonts w:hAnsi="宋体" w:cs="宋体"/>
                <w:b/>
                <w:bCs/>
                <w:color w:val="auto"/>
                <w:kern w:val="0"/>
                <w:sz w:val="22"/>
                <w:szCs w:val="22"/>
                <w:highlight w:val="none"/>
              </w:rPr>
            </w:pPr>
            <w:r>
              <w:rPr>
                <w:rFonts w:ascii="等线" w:hAnsi="等线" w:eastAsia="等线"/>
                <w:b/>
                <w:color w:val="auto"/>
                <w:szCs w:val="21"/>
                <w:highlight w:val="none"/>
              </w:rPr>
              <w:t>2</w:t>
            </w:r>
            <w:r>
              <w:rPr>
                <w:rFonts w:hint="eastAsia" w:ascii="等线" w:hAnsi="等线" w:eastAsia="等线"/>
                <w:b/>
                <w:color w:val="auto"/>
                <w:szCs w:val="21"/>
                <w:highlight w:val="none"/>
              </w:rPr>
              <w:t>.交货地点：公会镇、大平瑶族乡、羊头镇、望高镇、鹅塘镇。</w:t>
            </w:r>
          </w:p>
        </w:tc>
      </w:tr>
    </w:tbl>
    <w:p>
      <w:pPr>
        <w:rPr>
          <w:rFonts w:hAnsi="宋体"/>
          <w:color w:val="auto"/>
          <w:highlight w:val="none"/>
        </w:rPr>
      </w:pPr>
    </w:p>
    <w:p>
      <w:pPr>
        <w:pStyle w:val="8"/>
        <w:spacing w:line="400" w:lineRule="exact"/>
        <w:rPr>
          <w:rFonts w:hAnsi="宋体"/>
          <w:color w:val="auto"/>
          <w:szCs w:val="21"/>
          <w:highlight w:val="none"/>
        </w:rPr>
      </w:pPr>
      <w:r>
        <w:rPr>
          <w:rFonts w:hint="eastAsia" w:hAnsi="宋体"/>
          <w:color w:val="auto"/>
          <w:szCs w:val="21"/>
          <w:highlight w:val="none"/>
        </w:rPr>
        <w:t>法定代表人或授权委托代理人(电子签章)：</w:t>
      </w:r>
      <w:r>
        <w:rPr>
          <w:rFonts w:hAnsi="宋体"/>
          <w:color w:val="auto"/>
          <w:szCs w:val="21"/>
          <w:highlight w:val="none"/>
          <w:u w:val="single"/>
        </w:rPr>
        <w:t xml:space="preserve">                       </w:t>
      </w:r>
    </w:p>
    <w:p>
      <w:pPr>
        <w:pStyle w:val="8"/>
        <w:spacing w:line="400" w:lineRule="exact"/>
        <w:rPr>
          <w:rFonts w:hAnsi="宋体"/>
          <w:color w:val="auto"/>
          <w:szCs w:val="21"/>
          <w:highlight w:val="none"/>
          <w:u w:val="single"/>
        </w:rPr>
      </w:pPr>
      <w:r>
        <w:rPr>
          <w:rFonts w:hint="eastAsia" w:hAnsi="宋体"/>
          <w:color w:val="auto"/>
          <w:szCs w:val="21"/>
          <w:highlight w:val="none"/>
        </w:rPr>
        <w:t>投标人名称(电子签章)：</w:t>
      </w:r>
      <w:r>
        <w:rPr>
          <w:rFonts w:hint="eastAsia" w:hAnsi="宋体"/>
          <w:color w:val="auto"/>
          <w:szCs w:val="21"/>
          <w:highlight w:val="none"/>
          <w:u w:val="single"/>
        </w:rPr>
        <w:t xml:space="preserve">                           </w:t>
      </w:r>
    </w:p>
    <w:p>
      <w:pPr>
        <w:pStyle w:val="8"/>
        <w:spacing w:line="400" w:lineRule="exact"/>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pPr>
        <w:rPr>
          <w:color w:val="auto"/>
          <w:sz w:val="24"/>
          <w:highlight w:val="none"/>
        </w:rPr>
      </w:pPr>
      <w:r>
        <w:rPr>
          <w:color w:val="auto"/>
          <w:sz w:val="24"/>
          <w:highlight w:val="none"/>
        </w:rPr>
        <w:t xml:space="preserve"> </w:t>
      </w:r>
    </w:p>
    <w:p>
      <w:pPr>
        <w:pStyle w:val="8"/>
        <w:ind w:firstLine="643"/>
        <w:jc w:val="center"/>
        <w:rPr>
          <w:rFonts w:hAnsi="宋体"/>
          <w:color w:val="auto"/>
          <w:szCs w:val="21"/>
          <w:highlight w:val="none"/>
        </w:rPr>
      </w:pPr>
    </w:p>
    <w:p>
      <w:pPr>
        <w:widowControl/>
        <w:jc w:val="left"/>
        <w:rPr>
          <w:rFonts w:hAnsi="宋体"/>
          <w:b/>
          <w:color w:val="auto"/>
          <w:sz w:val="28"/>
          <w:szCs w:val="28"/>
          <w:highlight w:val="none"/>
        </w:rPr>
      </w:pPr>
      <w:r>
        <w:rPr>
          <w:rFonts w:hAnsi="宋体"/>
          <w:b/>
          <w:color w:val="auto"/>
          <w:sz w:val="28"/>
          <w:szCs w:val="28"/>
          <w:highlight w:val="none"/>
        </w:rPr>
        <w:br w:type="page"/>
      </w:r>
    </w:p>
    <w:p>
      <w:pPr>
        <w:spacing w:line="300" w:lineRule="auto"/>
        <w:ind w:left="562" w:hanging="562" w:hangingChars="200"/>
        <w:jc w:val="center"/>
        <w:rPr>
          <w:rFonts w:hAnsi="宋体"/>
          <w:b/>
          <w:color w:val="auto"/>
          <w:sz w:val="28"/>
          <w:szCs w:val="28"/>
          <w:highlight w:val="none"/>
        </w:rPr>
      </w:pPr>
    </w:p>
    <w:p>
      <w:pPr>
        <w:spacing w:line="300" w:lineRule="auto"/>
        <w:ind w:left="562" w:hanging="562" w:hangingChars="200"/>
        <w:jc w:val="center"/>
        <w:rPr>
          <w:color w:val="auto"/>
          <w:sz w:val="24"/>
          <w:highlight w:val="none"/>
        </w:rPr>
      </w:pPr>
      <w:r>
        <w:rPr>
          <w:rFonts w:hint="eastAsia" w:hAnsi="宋体"/>
          <w:b/>
          <w:color w:val="auto"/>
          <w:sz w:val="28"/>
          <w:szCs w:val="28"/>
          <w:highlight w:val="none"/>
        </w:rPr>
        <w:t>（</w:t>
      </w:r>
      <w:r>
        <w:rPr>
          <w:rFonts w:hAnsi="宋体"/>
          <w:b/>
          <w:color w:val="auto"/>
          <w:sz w:val="28"/>
          <w:szCs w:val="28"/>
          <w:highlight w:val="none"/>
        </w:rPr>
        <w:t>3</w:t>
      </w:r>
      <w:r>
        <w:rPr>
          <w:rFonts w:hint="eastAsia" w:hAnsi="宋体"/>
          <w:b/>
          <w:color w:val="auto"/>
          <w:sz w:val="28"/>
          <w:szCs w:val="28"/>
          <w:highlight w:val="none"/>
        </w:rPr>
        <w:t>）</w:t>
      </w:r>
      <w:r>
        <w:rPr>
          <w:rFonts w:hint="eastAsia" w:ascii="黑体" w:hAnsi="宋体" w:eastAsia="黑体"/>
          <w:b/>
          <w:color w:val="auto"/>
          <w:sz w:val="28"/>
          <w:szCs w:val="28"/>
          <w:highlight w:val="none"/>
        </w:rPr>
        <w:t>技术规格偏离表（格式）</w:t>
      </w:r>
    </w:p>
    <w:p>
      <w:pPr>
        <w:spacing w:line="400" w:lineRule="exact"/>
        <w:rPr>
          <w:rFonts w:hAnsi="宋体"/>
          <w:color w:val="auto"/>
          <w:kern w:val="0"/>
          <w:szCs w:val="21"/>
          <w:highlight w:val="none"/>
        </w:rPr>
      </w:pPr>
    </w:p>
    <w:p>
      <w:pPr>
        <w:spacing w:line="400" w:lineRule="exact"/>
        <w:ind w:firstLine="211" w:firstLineChars="100"/>
        <w:jc w:val="center"/>
        <w:rPr>
          <w:rFonts w:hAnsi="宋体"/>
          <w:b/>
          <w:color w:val="auto"/>
          <w:kern w:val="0"/>
          <w:szCs w:val="21"/>
          <w:highlight w:val="none"/>
        </w:rPr>
      </w:pPr>
      <w:r>
        <w:rPr>
          <w:rFonts w:hint="eastAsia" w:hAnsi="宋体"/>
          <w:b/>
          <w:color w:val="auto"/>
          <w:kern w:val="0"/>
          <w:szCs w:val="21"/>
          <w:highlight w:val="none"/>
        </w:rPr>
        <w:t>技术规格偏离表</w:t>
      </w:r>
    </w:p>
    <w:p>
      <w:pPr>
        <w:spacing w:line="400" w:lineRule="exact"/>
        <w:rPr>
          <w:rFonts w:hAnsi="宋体"/>
          <w:b/>
          <w:color w:val="auto"/>
          <w:kern w:val="0"/>
          <w:szCs w:val="21"/>
          <w:highlight w:val="none"/>
        </w:rPr>
      </w:pPr>
    </w:p>
    <w:p>
      <w:pPr>
        <w:widowControl/>
        <w:spacing w:line="360" w:lineRule="auto"/>
        <w:ind w:firstLine="413" w:firstLineChars="196"/>
        <w:jc w:val="left"/>
        <w:rPr>
          <w:rFonts w:hAnsi="宋体" w:cs="宋体"/>
          <w:color w:val="auto"/>
          <w:kern w:val="0"/>
          <w:sz w:val="24"/>
          <w:szCs w:val="24"/>
          <w:highlight w:val="none"/>
        </w:rPr>
      </w:pPr>
      <w:r>
        <w:rPr>
          <w:rFonts w:hint="eastAsia" w:hAnsi="宋体"/>
          <w:b/>
          <w:color w:val="auto"/>
          <w:szCs w:val="21"/>
          <w:highlight w:val="none"/>
        </w:rPr>
        <w:t>请按所投标产品的实际品牌型号及其技术参数性能（配置），逐条对应招标文件《项目需求和说明》中的要求认真填写本表（本表适用于招标文件《项目需求和说明》中货物技术参数不明确或有误以及投标人选用其他品牌型号替代等情形。若投标产品与招标要求无偏离时，请在偏离表中填写“无偏离”； 若投标产品优于招标要求无偏离时，请在偏离表中填写“正偏离”； 若投标产品低于招标要求无偏离时，请在偏离表中填写“负偏离”）。</w:t>
      </w:r>
      <w:r>
        <w:rPr>
          <w:rFonts w:hAnsi="宋体" w:cs="宋体"/>
          <w:color w:val="auto"/>
          <w:kern w:val="0"/>
          <w:sz w:val="24"/>
          <w:szCs w:val="24"/>
          <w:highlight w:val="none"/>
        </w:rPr>
        <w:t xml:space="preserve"> </w:t>
      </w:r>
    </w:p>
    <w:p>
      <w:pPr>
        <w:spacing w:line="400" w:lineRule="exact"/>
        <w:ind w:firstLine="425"/>
        <w:rPr>
          <w:rFonts w:hAnsi="宋体"/>
          <w:b/>
          <w:color w:val="auto"/>
          <w:kern w:val="0"/>
          <w:szCs w:val="21"/>
          <w:highlight w:val="none"/>
        </w:rPr>
      </w:pP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164"/>
        <w:gridCol w:w="2164"/>
        <w:gridCol w:w="2164"/>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9" w:type="dxa"/>
            <w:vAlign w:val="center"/>
          </w:tcPr>
          <w:p>
            <w:pPr>
              <w:spacing w:line="300" w:lineRule="exact"/>
              <w:jc w:val="center"/>
              <w:rPr>
                <w:rFonts w:hAnsi="宋体"/>
                <w:color w:val="auto"/>
                <w:kern w:val="0"/>
                <w:szCs w:val="21"/>
                <w:highlight w:val="none"/>
              </w:rPr>
            </w:pPr>
            <w:r>
              <w:rPr>
                <w:rFonts w:hint="eastAsia" w:hAnsi="宋体"/>
                <w:color w:val="auto"/>
                <w:kern w:val="0"/>
                <w:szCs w:val="21"/>
                <w:highlight w:val="none"/>
              </w:rPr>
              <w:t>序号</w:t>
            </w:r>
          </w:p>
        </w:tc>
        <w:tc>
          <w:tcPr>
            <w:tcW w:w="2164" w:type="dxa"/>
            <w:vAlign w:val="center"/>
          </w:tcPr>
          <w:p>
            <w:pPr>
              <w:spacing w:line="300" w:lineRule="exact"/>
              <w:jc w:val="center"/>
              <w:rPr>
                <w:rFonts w:hAnsi="宋体"/>
                <w:color w:val="auto"/>
                <w:kern w:val="0"/>
                <w:szCs w:val="21"/>
                <w:highlight w:val="none"/>
              </w:rPr>
            </w:pPr>
            <w:r>
              <w:rPr>
                <w:rFonts w:hint="eastAsia" w:hAnsi="宋体"/>
                <w:color w:val="auto"/>
                <w:kern w:val="0"/>
                <w:szCs w:val="21"/>
                <w:highlight w:val="none"/>
              </w:rPr>
              <w:t>货物名称</w:t>
            </w:r>
          </w:p>
        </w:tc>
        <w:tc>
          <w:tcPr>
            <w:tcW w:w="2164" w:type="dxa"/>
            <w:vAlign w:val="center"/>
          </w:tcPr>
          <w:p>
            <w:pPr>
              <w:spacing w:line="300" w:lineRule="exact"/>
              <w:jc w:val="center"/>
              <w:rPr>
                <w:rFonts w:hAnsi="宋体"/>
                <w:color w:val="auto"/>
                <w:kern w:val="0"/>
                <w:szCs w:val="21"/>
                <w:highlight w:val="none"/>
              </w:rPr>
            </w:pPr>
            <w:r>
              <w:rPr>
                <w:rFonts w:hint="eastAsia" w:hAnsi="宋体"/>
                <w:color w:val="auto"/>
                <w:kern w:val="0"/>
                <w:szCs w:val="21"/>
                <w:highlight w:val="none"/>
              </w:rPr>
              <w:t>招标要求</w:t>
            </w:r>
          </w:p>
        </w:tc>
        <w:tc>
          <w:tcPr>
            <w:tcW w:w="2164" w:type="dxa"/>
            <w:vAlign w:val="center"/>
          </w:tcPr>
          <w:p>
            <w:pPr>
              <w:spacing w:line="300" w:lineRule="exact"/>
              <w:jc w:val="center"/>
              <w:rPr>
                <w:rFonts w:hAnsi="宋体"/>
                <w:color w:val="auto"/>
                <w:kern w:val="0"/>
                <w:szCs w:val="21"/>
                <w:highlight w:val="none"/>
              </w:rPr>
            </w:pPr>
            <w:r>
              <w:rPr>
                <w:rFonts w:hint="eastAsia" w:hAnsi="宋体"/>
                <w:color w:val="auto"/>
                <w:spacing w:val="-6"/>
                <w:kern w:val="0"/>
                <w:szCs w:val="21"/>
                <w:highlight w:val="none"/>
              </w:rPr>
              <w:t>投标</w:t>
            </w:r>
            <w:r>
              <w:rPr>
                <w:rFonts w:hint="eastAsia" w:hAnsi="宋体"/>
                <w:color w:val="auto"/>
                <w:kern w:val="0"/>
                <w:szCs w:val="21"/>
                <w:highlight w:val="none"/>
              </w:rPr>
              <w:t>规格</w:t>
            </w:r>
          </w:p>
        </w:tc>
        <w:tc>
          <w:tcPr>
            <w:tcW w:w="2167" w:type="dxa"/>
            <w:vAlign w:val="center"/>
          </w:tcPr>
          <w:p>
            <w:pPr>
              <w:spacing w:line="300" w:lineRule="exact"/>
              <w:jc w:val="center"/>
              <w:rPr>
                <w:rFonts w:hAnsi="宋体"/>
                <w:color w:val="auto"/>
                <w:kern w:val="0"/>
                <w:szCs w:val="21"/>
                <w:highlight w:val="none"/>
              </w:rPr>
            </w:pPr>
            <w:r>
              <w:rPr>
                <w:rFonts w:hint="eastAsia" w:hAnsi="宋体"/>
                <w:color w:val="auto"/>
                <w:kern w:val="0"/>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9" w:type="dxa"/>
            <w:vAlign w:val="center"/>
          </w:tcPr>
          <w:p>
            <w:pPr>
              <w:spacing w:line="300" w:lineRule="exact"/>
              <w:jc w:val="center"/>
              <w:rPr>
                <w:rFonts w:hAnsi="宋体"/>
                <w:color w:val="auto"/>
                <w:kern w:val="0"/>
                <w:szCs w:val="21"/>
                <w:highlight w:val="none"/>
              </w:rPr>
            </w:pPr>
            <w:r>
              <w:rPr>
                <w:rFonts w:hint="eastAsia" w:hAnsi="宋体"/>
                <w:color w:val="auto"/>
                <w:kern w:val="0"/>
                <w:szCs w:val="21"/>
                <w:highlight w:val="none"/>
              </w:rPr>
              <w:t>……</w:t>
            </w:r>
          </w:p>
        </w:tc>
        <w:tc>
          <w:tcPr>
            <w:tcW w:w="2164" w:type="dxa"/>
            <w:vAlign w:val="center"/>
          </w:tcPr>
          <w:p>
            <w:pPr>
              <w:spacing w:line="300" w:lineRule="exact"/>
              <w:jc w:val="center"/>
              <w:rPr>
                <w:rFonts w:hAnsi="宋体"/>
                <w:color w:val="auto"/>
                <w:kern w:val="0"/>
                <w:szCs w:val="21"/>
                <w:highlight w:val="none"/>
              </w:rPr>
            </w:pPr>
          </w:p>
        </w:tc>
        <w:tc>
          <w:tcPr>
            <w:tcW w:w="2164" w:type="dxa"/>
            <w:vAlign w:val="center"/>
          </w:tcPr>
          <w:p>
            <w:pPr>
              <w:spacing w:line="300" w:lineRule="exact"/>
              <w:jc w:val="center"/>
              <w:rPr>
                <w:rFonts w:hAnsi="宋体"/>
                <w:color w:val="auto"/>
                <w:kern w:val="0"/>
                <w:szCs w:val="21"/>
                <w:highlight w:val="none"/>
              </w:rPr>
            </w:pPr>
          </w:p>
        </w:tc>
        <w:tc>
          <w:tcPr>
            <w:tcW w:w="2164" w:type="dxa"/>
            <w:vAlign w:val="center"/>
          </w:tcPr>
          <w:p>
            <w:pPr>
              <w:spacing w:line="300" w:lineRule="exact"/>
              <w:jc w:val="center"/>
              <w:rPr>
                <w:rFonts w:hAnsi="宋体"/>
                <w:color w:val="auto"/>
                <w:kern w:val="0"/>
                <w:szCs w:val="21"/>
                <w:highlight w:val="none"/>
              </w:rPr>
            </w:pPr>
          </w:p>
        </w:tc>
        <w:tc>
          <w:tcPr>
            <w:tcW w:w="2167" w:type="dxa"/>
            <w:vAlign w:val="center"/>
          </w:tcPr>
          <w:p>
            <w:pPr>
              <w:spacing w:line="300" w:lineRule="exact"/>
              <w:jc w:val="center"/>
              <w:rPr>
                <w:rFonts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9" w:type="dxa"/>
            <w:vAlign w:val="center"/>
          </w:tcPr>
          <w:p>
            <w:pPr>
              <w:spacing w:line="300" w:lineRule="exact"/>
              <w:jc w:val="center"/>
              <w:rPr>
                <w:rFonts w:hAnsi="宋体"/>
                <w:color w:val="auto"/>
                <w:kern w:val="0"/>
                <w:szCs w:val="21"/>
                <w:highlight w:val="none"/>
              </w:rPr>
            </w:pPr>
            <w:r>
              <w:rPr>
                <w:rFonts w:hint="eastAsia" w:hAnsi="宋体"/>
                <w:color w:val="auto"/>
                <w:kern w:val="0"/>
                <w:szCs w:val="21"/>
                <w:highlight w:val="none"/>
              </w:rPr>
              <w:t>N</w:t>
            </w:r>
          </w:p>
        </w:tc>
        <w:tc>
          <w:tcPr>
            <w:tcW w:w="2164" w:type="dxa"/>
            <w:vAlign w:val="center"/>
          </w:tcPr>
          <w:p>
            <w:pPr>
              <w:spacing w:line="300" w:lineRule="exact"/>
              <w:jc w:val="center"/>
              <w:rPr>
                <w:rFonts w:hAnsi="宋体"/>
                <w:color w:val="auto"/>
                <w:kern w:val="0"/>
                <w:szCs w:val="21"/>
                <w:highlight w:val="none"/>
              </w:rPr>
            </w:pPr>
          </w:p>
        </w:tc>
        <w:tc>
          <w:tcPr>
            <w:tcW w:w="2164" w:type="dxa"/>
            <w:vAlign w:val="center"/>
          </w:tcPr>
          <w:p>
            <w:pPr>
              <w:spacing w:line="300" w:lineRule="exact"/>
              <w:jc w:val="center"/>
              <w:rPr>
                <w:rFonts w:hAnsi="宋体"/>
                <w:color w:val="auto"/>
                <w:kern w:val="0"/>
                <w:szCs w:val="21"/>
                <w:highlight w:val="none"/>
              </w:rPr>
            </w:pPr>
          </w:p>
        </w:tc>
        <w:tc>
          <w:tcPr>
            <w:tcW w:w="2164" w:type="dxa"/>
            <w:vAlign w:val="center"/>
          </w:tcPr>
          <w:p>
            <w:pPr>
              <w:spacing w:line="300" w:lineRule="exact"/>
              <w:jc w:val="center"/>
              <w:rPr>
                <w:rFonts w:hAnsi="宋体"/>
                <w:color w:val="auto"/>
                <w:kern w:val="0"/>
                <w:szCs w:val="21"/>
                <w:highlight w:val="none"/>
              </w:rPr>
            </w:pPr>
          </w:p>
        </w:tc>
        <w:tc>
          <w:tcPr>
            <w:tcW w:w="2167" w:type="dxa"/>
            <w:vAlign w:val="center"/>
          </w:tcPr>
          <w:p>
            <w:pPr>
              <w:spacing w:line="300" w:lineRule="exact"/>
              <w:jc w:val="center"/>
              <w:rPr>
                <w:rFonts w:hAnsi="宋体"/>
                <w:color w:val="auto"/>
                <w:kern w:val="0"/>
                <w:szCs w:val="21"/>
                <w:highlight w:val="none"/>
              </w:rPr>
            </w:pPr>
          </w:p>
        </w:tc>
      </w:tr>
    </w:tbl>
    <w:p>
      <w:pPr>
        <w:spacing w:line="400" w:lineRule="exact"/>
        <w:rPr>
          <w:rFonts w:hAnsi="宋体"/>
          <w:color w:val="auto"/>
          <w:kern w:val="0"/>
          <w:szCs w:val="21"/>
          <w:highlight w:val="none"/>
          <w:u w:val="single"/>
        </w:rPr>
      </w:pPr>
    </w:p>
    <w:p>
      <w:pPr>
        <w:spacing w:line="400" w:lineRule="exact"/>
        <w:rPr>
          <w:rFonts w:hAnsi="宋体"/>
          <w:color w:val="auto"/>
          <w:kern w:val="0"/>
          <w:szCs w:val="21"/>
          <w:highlight w:val="none"/>
          <w:u w:val="single"/>
        </w:rPr>
      </w:pPr>
    </w:p>
    <w:p>
      <w:pPr>
        <w:pStyle w:val="8"/>
        <w:spacing w:line="400" w:lineRule="exact"/>
        <w:rPr>
          <w:rFonts w:hAnsi="宋体"/>
          <w:color w:val="auto"/>
          <w:szCs w:val="21"/>
          <w:highlight w:val="none"/>
        </w:rPr>
      </w:pPr>
      <w:r>
        <w:rPr>
          <w:rFonts w:hint="eastAsia" w:hAnsi="宋体"/>
          <w:color w:val="auto"/>
          <w:szCs w:val="21"/>
          <w:highlight w:val="none"/>
        </w:rPr>
        <w:t>法定代表人或授权委托代理人(电子签章)：</w:t>
      </w:r>
      <w:r>
        <w:rPr>
          <w:rFonts w:hAnsi="宋体"/>
          <w:color w:val="auto"/>
          <w:szCs w:val="21"/>
          <w:highlight w:val="none"/>
          <w:u w:val="single"/>
        </w:rPr>
        <w:t xml:space="preserve">                       </w:t>
      </w:r>
    </w:p>
    <w:p>
      <w:pPr>
        <w:pStyle w:val="8"/>
        <w:spacing w:line="400" w:lineRule="exact"/>
        <w:rPr>
          <w:rFonts w:hAnsi="宋体"/>
          <w:color w:val="auto"/>
          <w:szCs w:val="21"/>
          <w:highlight w:val="none"/>
          <w:u w:val="single"/>
        </w:rPr>
      </w:pPr>
      <w:r>
        <w:rPr>
          <w:rFonts w:hint="eastAsia" w:hAnsi="宋体"/>
          <w:color w:val="auto"/>
          <w:szCs w:val="21"/>
          <w:highlight w:val="none"/>
        </w:rPr>
        <w:t>投标人名称(电子签章)：</w:t>
      </w:r>
      <w:r>
        <w:rPr>
          <w:rFonts w:hint="eastAsia" w:hAnsi="宋体"/>
          <w:color w:val="auto"/>
          <w:szCs w:val="21"/>
          <w:highlight w:val="none"/>
          <w:u w:val="single"/>
        </w:rPr>
        <w:t xml:space="preserve">                           </w:t>
      </w:r>
    </w:p>
    <w:p>
      <w:pPr>
        <w:pStyle w:val="8"/>
        <w:spacing w:line="400" w:lineRule="exact"/>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pPr>
        <w:rPr>
          <w:color w:val="auto"/>
          <w:sz w:val="24"/>
          <w:highlight w:val="none"/>
        </w:rPr>
      </w:pPr>
      <w:r>
        <w:rPr>
          <w:color w:val="auto"/>
          <w:sz w:val="24"/>
          <w:highlight w:val="none"/>
        </w:rPr>
        <w:t xml:space="preserve"> </w:t>
      </w:r>
    </w:p>
    <w:p>
      <w:pPr>
        <w:spacing w:line="400" w:lineRule="exact"/>
        <w:rPr>
          <w:rFonts w:hAnsi="宋体"/>
          <w:b/>
          <w:color w:val="auto"/>
          <w:kern w:val="0"/>
          <w:szCs w:val="21"/>
          <w:highlight w:val="none"/>
        </w:rPr>
      </w:pPr>
    </w:p>
    <w:p>
      <w:pPr>
        <w:tabs>
          <w:tab w:val="left" w:pos="1305"/>
        </w:tabs>
        <w:spacing w:line="400" w:lineRule="exact"/>
        <w:jc w:val="left"/>
        <w:rPr>
          <w:rFonts w:hAnsi="宋体"/>
          <w:b/>
          <w:color w:val="auto"/>
          <w:sz w:val="28"/>
          <w:szCs w:val="28"/>
          <w:highlight w:val="none"/>
        </w:rPr>
      </w:pPr>
      <w:r>
        <w:rPr>
          <w:rFonts w:hint="eastAsia"/>
          <w:color w:val="auto"/>
          <w:sz w:val="24"/>
          <w:highlight w:val="none"/>
        </w:rPr>
        <w:t>附：</w:t>
      </w:r>
      <w:r>
        <w:rPr>
          <w:color w:val="auto"/>
          <w:sz w:val="24"/>
          <w:highlight w:val="none"/>
        </w:rPr>
        <w:t>参数</w:t>
      </w:r>
      <w:r>
        <w:rPr>
          <w:rFonts w:hint="eastAsia"/>
          <w:color w:val="auto"/>
          <w:sz w:val="24"/>
          <w:highlight w:val="none"/>
        </w:rPr>
        <w:t>或</w:t>
      </w:r>
      <w:r>
        <w:rPr>
          <w:color w:val="auto"/>
          <w:sz w:val="24"/>
          <w:highlight w:val="none"/>
        </w:rPr>
        <w:t>功能证明材料（</w:t>
      </w:r>
      <w:r>
        <w:rPr>
          <w:rFonts w:hint="eastAsia"/>
          <w:color w:val="auto"/>
          <w:sz w:val="24"/>
          <w:highlight w:val="none"/>
        </w:rPr>
        <w:t>如有，可</w:t>
      </w:r>
      <w:r>
        <w:rPr>
          <w:color w:val="auto"/>
          <w:sz w:val="24"/>
          <w:highlight w:val="none"/>
        </w:rPr>
        <w:t>根据</w:t>
      </w:r>
      <w:r>
        <w:rPr>
          <w:rFonts w:hint="eastAsia"/>
          <w:color w:val="auto"/>
          <w:sz w:val="24"/>
          <w:highlight w:val="none"/>
        </w:rPr>
        <w:t>“第三章项目需求和说明”货物要求中说明</w:t>
      </w:r>
      <w:r>
        <w:rPr>
          <w:color w:val="auto"/>
          <w:sz w:val="24"/>
          <w:highlight w:val="none"/>
        </w:rPr>
        <w:t>的</w:t>
      </w:r>
      <w:r>
        <w:rPr>
          <w:rFonts w:hint="eastAsia"/>
          <w:color w:val="auto"/>
          <w:sz w:val="24"/>
          <w:highlight w:val="none"/>
        </w:rPr>
        <w:t>证明</w:t>
      </w:r>
      <w:r>
        <w:rPr>
          <w:color w:val="auto"/>
          <w:sz w:val="24"/>
          <w:highlight w:val="none"/>
        </w:rPr>
        <w:t>材料</w:t>
      </w:r>
      <w:r>
        <w:rPr>
          <w:rFonts w:hint="eastAsia"/>
          <w:color w:val="auto"/>
          <w:sz w:val="24"/>
          <w:highlight w:val="none"/>
        </w:rPr>
        <w:t>及“第六章</w:t>
      </w:r>
      <w:r>
        <w:rPr>
          <w:color w:val="auto"/>
          <w:sz w:val="24"/>
          <w:highlight w:val="none"/>
        </w:rPr>
        <w:t>评标</w:t>
      </w:r>
      <w:r>
        <w:rPr>
          <w:rFonts w:hint="eastAsia"/>
          <w:color w:val="auto"/>
          <w:sz w:val="24"/>
          <w:highlight w:val="none"/>
        </w:rPr>
        <w:t>办法”要求</w:t>
      </w:r>
      <w:r>
        <w:rPr>
          <w:color w:val="auto"/>
          <w:sz w:val="24"/>
          <w:highlight w:val="none"/>
        </w:rPr>
        <w:t>提供的证明材料</w:t>
      </w:r>
      <w:r>
        <w:rPr>
          <w:rFonts w:hint="eastAsia"/>
          <w:color w:val="auto"/>
          <w:sz w:val="24"/>
          <w:highlight w:val="none"/>
        </w:rPr>
        <w:t>提供</w:t>
      </w:r>
      <w:r>
        <w:rPr>
          <w:color w:val="auto"/>
          <w:sz w:val="24"/>
          <w:highlight w:val="none"/>
        </w:rPr>
        <w:t>）</w:t>
      </w:r>
      <w:r>
        <w:rPr>
          <w:rFonts w:hint="eastAsia"/>
          <w:color w:val="auto"/>
          <w:sz w:val="24"/>
          <w:highlight w:val="none"/>
        </w:rPr>
        <w:t>。</w:t>
      </w:r>
    </w:p>
    <w:p>
      <w:pPr>
        <w:tabs>
          <w:tab w:val="left" w:pos="1305"/>
        </w:tabs>
        <w:spacing w:line="400" w:lineRule="exact"/>
        <w:jc w:val="left"/>
        <w:rPr>
          <w:rFonts w:hAnsi="宋体"/>
          <w:b/>
          <w:color w:val="auto"/>
          <w:sz w:val="28"/>
          <w:szCs w:val="28"/>
          <w:highlight w:val="none"/>
        </w:rPr>
      </w:pPr>
    </w:p>
    <w:p>
      <w:pPr>
        <w:tabs>
          <w:tab w:val="left" w:pos="1305"/>
        </w:tabs>
        <w:spacing w:line="400" w:lineRule="exact"/>
        <w:jc w:val="left"/>
        <w:rPr>
          <w:rFonts w:hAnsi="宋体"/>
          <w:b/>
          <w:color w:val="auto"/>
          <w:sz w:val="28"/>
          <w:szCs w:val="28"/>
          <w:highlight w:val="none"/>
        </w:rPr>
      </w:pPr>
      <w:r>
        <w:rPr>
          <w:rFonts w:hAnsi="宋体"/>
          <w:b/>
          <w:color w:val="auto"/>
          <w:sz w:val="28"/>
          <w:szCs w:val="28"/>
          <w:highlight w:val="none"/>
        </w:rPr>
        <w:br w:type="page"/>
      </w:r>
    </w:p>
    <w:p>
      <w:pPr>
        <w:tabs>
          <w:tab w:val="left" w:pos="1305"/>
        </w:tabs>
        <w:spacing w:line="400" w:lineRule="exact"/>
        <w:jc w:val="left"/>
        <w:rPr>
          <w:rFonts w:hAnsi="宋体"/>
          <w:b/>
          <w:color w:val="auto"/>
          <w:sz w:val="28"/>
          <w:szCs w:val="28"/>
          <w:highlight w:val="none"/>
        </w:rPr>
      </w:pPr>
    </w:p>
    <w:p>
      <w:pPr>
        <w:tabs>
          <w:tab w:val="left" w:pos="1305"/>
        </w:tabs>
        <w:spacing w:line="400" w:lineRule="exact"/>
        <w:jc w:val="left"/>
        <w:rPr>
          <w:rFonts w:hAnsi="宋体"/>
          <w:b/>
          <w:color w:val="auto"/>
          <w:sz w:val="28"/>
          <w:szCs w:val="28"/>
          <w:highlight w:val="none"/>
        </w:rPr>
      </w:pPr>
      <w:r>
        <w:rPr>
          <w:rFonts w:hint="eastAsia" w:hAnsi="宋体"/>
          <w:b/>
          <w:color w:val="auto"/>
          <w:sz w:val="28"/>
          <w:szCs w:val="28"/>
          <w:highlight w:val="none"/>
        </w:rPr>
        <w:t>（4）投标人认为必要提供的声明文件或证明材料（如有时，可根据评标办法“商务标部分”要求提供）；</w:t>
      </w:r>
    </w:p>
    <w:p>
      <w:pPr>
        <w:tabs>
          <w:tab w:val="left" w:pos="1305"/>
        </w:tabs>
        <w:spacing w:line="400" w:lineRule="exact"/>
        <w:jc w:val="left"/>
        <w:rPr>
          <w:rFonts w:hAnsi="宋体"/>
          <w:b/>
          <w:color w:val="auto"/>
          <w:sz w:val="28"/>
          <w:szCs w:val="28"/>
          <w:highlight w:val="none"/>
        </w:rPr>
      </w:pPr>
    </w:p>
    <w:p>
      <w:pPr>
        <w:tabs>
          <w:tab w:val="left" w:pos="1305"/>
        </w:tabs>
        <w:spacing w:line="400" w:lineRule="exact"/>
        <w:jc w:val="left"/>
        <w:rPr>
          <w:rFonts w:hAnsi="宋体"/>
          <w:b/>
          <w:color w:val="auto"/>
          <w:sz w:val="28"/>
          <w:szCs w:val="28"/>
          <w:highlight w:val="none"/>
        </w:rPr>
      </w:pPr>
      <w:r>
        <w:rPr>
          <w:rFonts w:hint="eastAsia" w:hAnsi="宋体"/>
          <w:b/>
          <w:color w:val="auto"/>
          <w:sz w:val="28"/>
          <w:szCs w:val="28"/>
          <w:highlight w:val="none"/>
        </w:rPr>
        <w:t>（</w:t>
      </w:r>
      <w:r>
        <w:rPr>
          <w:rFonts w:hAnsi="宋体"/>
          <w:b/>
          <w:color w:val="auto"/>
          <w:sz w:val="28"/>
          <w:szCs w:val="28"/>
          <w:highlight w:val="none"/>
        </w:rPr>
        <w:t>5</w:t>
      </w:r>
      <w:r>
        <w:rPr>
          <w:rFonts w:hint="eastAsia" w:hAnsi="宋体"/>
          <w:b/>
          <w:color w:val="auto"/>
          <w:sz w:val="28"/>
          <w:szCs w:val="28"/>
          <w:highlight w:val="none"/>
        </w:rPr>
        <w:t>）投标人认为需要提供的证明文件；</w:t>
      </w:r>
    </w:p>
    <w:p>
      <w:pPr>
        <w:widowControl/>
        <w:spacing w:before="100" w:beforeAutospacing="1" w:after="100" w:afterAutospacing="1"/>
        <w:jc w:val="center"/>
        <w:textAlignment w:val="top"/>
        <w:rPr>
          <w:rFonts w:ascii="??" w:hAnsi="??" w:cs="宋体"/>
          <w:color w:val="auto"/>
          <w:kern w:val="0"/>
          <w:sz w:val="28"/>
          <w:szCs w:val="28"/>
          <w:highlight w:val="none"/>
        </w:rPr>
      </w:pPr>
      <w:r>
        <w:rPr>
          <w:rFonts w:hint="eastAsia" w:ascii="??" w:hAnsi="??" w:cs="宋体"/>
          <w:b/>
          <w:bCs/>
          <w:color w:val="auto"/>
          <w:kern w:val="0"/>
          <w:sz w:val="28"/>
          <w:szCs w:val="28"/>
          <w:highlight w:val="none"/>
        </w:rPr>
        <w:t>中小企业声明函（格式）</w:t>
      </w:r>
    </w:p>
    <w:p>
      <w:pPr>
        <w:pStyle w:val="8"/>
        <w:spacing w:line="360" w:lineRule="auto"/>
        <w:ind w:left="420" w:firstLine="424" w:firstLineChars="202"/>
        <w:jc w:val="left"/>
        <w:rPr>
          <w:rFonts w:ascii="??" w:hAnsi="??" w:cs="宋体"/>
          <w:color w:val="auto"/>
          <w:szCs w:val="21"/>
          <w:highlight w:val="none"/>
        </w:rPr>
      </w:pPr>
      <w:r>
        <w:rPr>
          <w:rFonts w:hint="eastAsia" w:ascii="??" w:hAnsi="??" w:cs="宋体"/>
          <w:color w:val="auto"/>
          <w:szCs w:val="21"/>
          <w:highlight w:val="none"/>
        </w:rPr>
        <w:t xml:space="preserve">本公司（联合体）郑重声明，根据《政府采购促进中小企业发展管理办法》（财库﹝2020﹞46 号）的规定，本公司（联合体）参加 </w:t>
      </w:r>
      <w:r>
        <w:rPr>
          <w:rFonts w:hint="eastAsia" w:ascii="??" w:hAnsi="??" w:cs="宋体"/>
          <w:color w:val="auto"/>
          <w:szCs w:val="21"/>
          <w:highlight w:val="none"/>
          <w:u w:val="single"/>
        </w:rPr>
        <w:t xml:space="preserve">（单位名称） </w:t>
      </w:r>
      <w:r>
        <w:rPr>
          <w:rFonts w:hint="eastAsia" w:ascii="??" w:hAnsi="??" w:cs="宋体"/>
          <w:color w:val="auto"/>
          <w:szCs w:val="21"/>
          <w:highlight w:val="none"/>
        </w:rPr>
        <w:t>的</w:t>
      </w:r>
      <w:r>
        <w:rPr>
          <w:rFonts w:hint="eastAsia" w:ascii="??" w:hAnsi="??" w:cs="宋体"/>
          <w:color w:val="auto"/>
          <w:szCs w:val="21"/>
          <w:highlight w:val="none"/>
          <w:u w:val="single"/>
        </w:rPr>
        <w:t xml:space="preserve"> （项目名称） </w:t>
      </w:r>
      <w:r>
        <w:rPr>
          <w:rFonts w:hint="eastAsia" w:ascii="??" w:hAnsi="??"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8"/>
        <w:spacing w:line="360" w:lineRule="auto"/>
        <w:ind w:left="420" w:firstLine="4" w:firstLineChars="2"/>
        <w:jc w:val="left"/>
        <w:rPr>
          <w:rFonts w:ascii="??" w:hAnsi="??" w:cs="宋体"/>
          <w:color w:val="auto"/>
          <w:szCs w:val="21"/>
          <w:highlight w:val="none"/>
        </w:rPr>
      </w:pPr>
      <w:r>
        <w:rPr>
          <w:rFonts w:hint="eastAsia" w:ascii="??" w:hAnsi="??" w:cs="宋体"/>
          <w:color w:val="auto"/>
          <w:szCs w:val="21"/>
          <w:highlight w:val="none"/>
        </w:rPr>
        <w:t xml:space="preserve">1. </w:t>
      </w:r>
      <w:r>
        <w:rPr>
          <w:rFonts w:hint="eastAsia" w:ascii="??" w:hAnsi="??" w:cs="宋体"/>
          <w:color w:val="auto"/>
          <w:szCs w:val="21"/>
          <w:highlight w:val="none"/>
          <w:u w:val="single"/>
        </w:rPr>
        <w:t xml:space="preserve">（标的名称） </w:t>
      </w:r>
      <w:r>
        <w:rPr>
          <w:rFonts w:hint="eastAsia" w:ascii="??" w:hAnsi="??" w:cs="宋体"/>
          <w:color w:val="auto"/>
          <w:szCs w:val="21"/>
          <w:highlight w:val="none"/>
        </w:rPr>
        <w:t>，属于</w:t>
      </w:r>
      <w:r>
        <w:rPr>
          <w:rFonts w:hint="eastAsia" w:ascii="??" w:hAnsi="??" w:cs="宋体"/>
          <w:color w:val="auto"/>
          <w:szCs w:val="21"/>
          <w:highlight w:val="none"/>
          <w:u w:val="single"/>
        </w:rPr>
        <w:t xml:space="preserve"> （采购文件中明确的所属行业） </w:t>
      </w:r>
      <w:r>
        <w:rPr>
          <w:rFonts w:hint="eastAsia" w:ascii="??" w:hAnsi="??" w:cs="宋体"/>
          <w:color w:val="auto"/>
          <w:szCs w:val="21"/>
          <w:highlight w:val="none"/>
        </w:rPr>
        <w:t xml:space="preserve">；承建（承接）企业为 </w:t>
      </w:r>
      <w:r>
        <w:rPr>
          <w:rFonts w:hint="eastAsia" w:ascii="??" w:hAnsi="??" w:cs="宋体"/>
          <w:color w:val="auto"/>
          <w:szCs w:val="21"/>
          <w:highlight w:val="none"/>
          <w:u w:val="single"/>
        </w:rPr>
        <w:t xml:space="preserve">（企业名称） </w:t>
      </w:r>
      <w:r>
        <w:rPr>
          <w:rFonts w:hint="eastAsia" w:ascii="??" w:hAnsi="??" w:cs="宋体"/>
          <w:color w:val="auto"/>
          <w:szCs w:val="21"/>
          <w:highlight w:val="none"/>
        </w:rPr>
        <w:t>，从业人员</w:t>
      </w:r>
      <w:r>
        <w:rPr>
          <w:rFonts w:ascii="??" w:hAnsi="??" w:cs="宋体"/>
          <w:color w:val="auto"/>
          <w:szCs w:val="21"/>
          <w:highlight w:val="none"/>
          <w:u w:val="single"/>
        </w:rPr>
        <w:t xml:space="preserve">    </w:t>
      </w:r>
      <w:r>
        <w:rPr>
          <w:rFonts w:hint="eastAsia" w:ascii="??" w:hAnsi="??" w:cs="宋体"/>
          <w:color w:val="auto"/>
          <w:szCs w:val="21"/>
          <w:highlight w:val="none"/>
        </w:rPr>
        <w:t>人，营业收入为</w:t>
      </w:r>
      <w:r>
        <w:rPr>
          <w:rFonts w:ascii="??" w:hAnsi="??" w:cs="宋体"/>
          <w:color w:val="auto"/>
          <w:szCs w:val="21"/>
          <w:highlight w:val="none"/>
          <w:u w:val="single"/>
        </w:rPr>
        <w:t xml:space="preserve">    </w:t>
      </w:r>
      <w:r>
        <w:rPr>
          <w:rFonts w:hint="eastAsia" w:ascii="??" w:hAnsi="??" w:cs="宋体"/>
          <w:color w:val="auto"/>
          <w:szCs w:val="21"/>
          <w:highlight w:val="none"/>
        </w:rPr>
        <w:t>万元，资产总额为</w:t>
      </w:r>
      <w:r>
        <w:rPr>
          <w:rFonts w:ascii="??" w:hAnsi="??" w:cs="宋体"/>
          <w:color w:val="auto"/>
          <w:szCs w:val="21"/>
          <w:highlight w:val="none"/>
          <w:u w:val="single"/>
        </w:rPr>
        <w:t xml:space="preserve">    </w:t>
      </w:r>
      <w:r>
        <w:rPr>
          <w:rFonts w:hint="eastAsia" w:ascii="??" w:hAnsi="??" w:cs="宋体"/>
          <w:color w:val="auto"/>
          <w:szCs w:val="21"/>
          <w:highlight w:val="none"/>
        </w:rPr>
        <w:t xml:space="preserve">万元，属于 </w:t>
      </w:r>
      <w:r>
        <w:rPr>
          <w:rFonts w:hint="eastAsia" w:ascii="??" w:hAnsi="??" w:cs="宋体"/>
          <w:color w:val="auto"/>
          <w:szCs w:val="21"/>
          <w:highlight w:val="none"/>
          <w:u w:val="single"/>
        </w:rPr>
        <w:t xml:space="preserve">（中型企业、小型企业、微型企业） </w:t>
      </w:r>
      <w:r>
        <w:rPr>
          <w:rFonts w:hint="eastAsia" w:ascii="??" w:hAnsi="??" w:cs="宋体"/>
          <w:color w:val="auto"/>
          <w:szCs w:val="21"/>
          <w:highlight w:val="none"/>
        </w:rPr>
        <w:t>；</w:t>
      </w:r>
    </w:p>
    <w:p>
      <w:pPr>
        <w:pStyle w:val="8"/>
        <w:spacing w:line="360" w:lineRule="auto"/>
        <w:ind w:left="420" w:firstLine="4" w:firstLineChars="2"/>
        <w:jc w:val="left"/>
        <w:rPr>
          <w:rFonts w:ascii="??" w:hAnsi="??" w:cs="宋体"/>
          <w:color w:val="auto"/>
          <w:szCs w:val="21"/>
          <w:highlight w:val="none"/>
        </w:rPr>
      </w:pPr>
      <w:r>
        <w:rPr>
          <w:rFonts w:hint="eastAsia" w:ascii="??" w:hAnsi="??" w:cs="宋体"/>
          <w:color w:val="auto"/>
          <w:szCs w:val="21"/>
          <w:highlight w:val="none"/>
        </w:rPr>
        <w:t xml:space="preserve">2. </w:t>
      </w:r>
      <w:r>
        <w:rPr>
          <w:rFonts w:hint="eastAsia" w:ascii="??" w:hAnsi="??" w:cs="宋体"/>
          <w:color w:val="auto"/>
          <w:szCs w:val="21"/>
          <w:highlight w:val="none"/>
          <w:u w:val="single"/>
        </w:rPr>
        <w:t xml:space="preserve">（标的名称） </w:t>
      </w:r>
      <w:r>
        <w:rPr>
          <w:rFonts w:hint="eastAsia" w:ascii="??" w:hAnsi="??" w:cs="宋体"/>
          <w:color w:val="auto"/>
          <w:szCs w:val="21"/>
          <w:highlight w:val="none"/>
        </w:rPr>
        <w:t>，属于</w:t>
      </w:r>
      <w:r>
        <w:rPr>
          <w:rFonts w:hint="eastAsia" w:ascii="??" w:hAnsi="??" w:cs="宋体"/>
          <w:color w:val="auto"/>
          <w:szCs w:val="21"/>
          <w:highlight w:val="none"/>
          <w:u w:val="single"/>
        </w:rPr>
        <w:t xml:space="preserve"> （采购文件中明确的所属行业） </w:t>
      </w:r>
      <w:r>
        <w:rPr>
          <w:rFonts w:hint="eastAsia" w:ascii="??" w:hAnsi="??" w:cs="宋体"/>
          <w:color w:val="auto"/>
          <w:szCs w:val="21"/>
          <w:highlight w:val="none"/>
        </w:rPr>
        <w:t>；承建（承接）企业为</w:t>
      </w:r>
      <w:r>
        <w:rPr>
          <w:rFonts w:hint="eastAsia" w:ascii="??" w:hAnsi="??" w:cs="宋体"/>
          <w:color w:val="auto"/>
          <w:szCs w:val="21"/>
          <w:highlight w:val="none"/>
          <w:u w:val="single"/>
        </w:rPr>
        <w:t xml:space="preserve"> （企业名称） </w:t>
      </w:r>
      <w:r>
        <w:rPr>
          <w:rFonts w:hint="eastAsia" w:ascii="??" w:hAnsi="??" w:cs="宋体"/>
          <w:color w:val="auto"/>
          <w:szCs w:val="21"/>
          <w:highlight w:val="none"/>
        </w:rPr>
        <w:t>，从业人员</w:t>
      </w:r>
      <w:r>
        <w:rPr>
          <w:rFonts w:ascii="??" w:hAnsi="??" w:cs="宋体"/>
          <w:color w:val="auto"/>
          <w:szCs w:val="21"/>
          <w:highlight w:val="none"/>
          <w:u w:val="single"/>
        </w:rPr>
        <w:t xml:space="preserve">   </w:t>
      </w:r>
      <w:r>
        <w:rPr>
          <w:rFonts w:hint="eastAsia" w:ascii="??" w:hAnsi="??" w:cs="宋体"/>
          <w:color w:val="auto"/>
          <w:szCs w:val="21"/>
          <w:highlight w:val="none"/>
        </w:rPr>
        <w:t>人，营业收入为</w:t>
      </w:r>
      <w:r>
        <w:rPr>
          <w:rFonts w:ascii="??" w:hAnsi="??" w:cs="宋体"/>
          <w:color w:val="auto"/>
          <w:szCs w:val="21"/>
          <w:highlight w:val="none"/>
          <w:u w:val="single"/>
        </w:rPr>
        <w:t xml:space="preserve">    </w:t>
      </w:r>
      <w:r>
        <w:rPr>
          <w:rFonts w:hint="eastAsia" w:ascii="??" w:hAnsi="??" w:cs="宋体"/>
          <w:color w:val="auto"/>
          <w:szCs w:val="21"/>
          <w:highlight w:val="none"/>
        </w:rPr>
        <w:t>万元，资产总额为</w:t>
      </w:r>
      <w:r>
        <w:rPr>
          <w:rFonts w:ascii="??" w:hAnsi="??" w:cs="宋体"/>
          <w:color w:val="auto"/>
          <w:szCs w:val="21"/>
          <w:highlight w:val="none"/>
          <w:u w:val="single"/>
        </w:rPr>
        <w:t xml:space="preserve">    </w:t>
      </w:r>
      <w:r>
        <w:rPr>
          <w:rFonts w:hint="eastAsia" w:ascii="??" w:hAnsi="??" w:cs="宋体"/>
          <w:color w:val="auto"/>
          <w:szCs w:val="21"/>
          <w:highlight w:val="none"/>
        </w:rPr>
        <w:t xml:space="preserve">万元，属于 </w:t>
      </w:r>
      <w:r>
        <w:rPr>
          <w:rFonts w:hint="eastAsia" w:ascii="??" w:hAnsi="??" w:cs="宋体"/>
          <w:color w:val="auto"/>
          <w:szCs w:val="21"/>
          <w:highlight w:val="none"/>
          <w:u w:val="single"/>
        </w:rPr>
        <w:t xml:space="preserve">（中型企业、小型企业、微型企业） </w:t>
      </w:r>
      <w:r>
        <w:rPr>
          <w:rFonts w:hint="eastAsia" w:ascii="??" w:hAnsi="??" w:cs="宋体"/>
          <w:color w:val="auto"/>
          <w:szCs w:val="21"/>
          <w:highlight w:val="none"/>
        </w:rPr>
        <w:t>；</w:t>
      </w:r>
    </w:p>
    <w:p>
      <w:pPr>
        <w:pStyle w:val="8"/>
        <w:spacing w:line="360" w:lineRule="auto"/>
        <w:ind w:left="420" w:firstLine="4" w:firstLineChars="2"/>
        <w:jc w:val="left"/>
        <w:rPr>
          <w:rFonts w:ascii="??" w:hAnsi="??" w:cs="宋体"/>
          <w:color w:val="auto"/>
          <w:szCs w:val="21"/>
          <w:highlight w:val="none"/>
        </w:rPr>
      </w:pPr>
      <w:r>
        <w:rPr>
          <w:rFonts w:hint="eastAsia" w:ascii="??" w:hAnsi="??" w:cs="宋体"/>
          <w:color w:val="auto"/>
          <w:szCs w:val="21"/>
          <w:highlight w:val="none"/>
        </w:rPr>
        <w:t>……</w:t>
      </w:r>
    </w:p>
    <w:p>
      <w:pPr>
        <w:pStyle w:val="8"/>
        <w:spacing w:line="360" w:lineRule="auto"/>
        <w:ind w:left="420" w:firstLine="424" w:firstLineChars="202"/>
        <w:jc w:val="left"/>
        <w:rPr>
          <w:rFonts w:ascii="??" w:hAnsi="??" w:cs="宋体"/>
          <w:color w:val="auto"/>
          <w:szCs w:val="21"/>
          <w:highlight w:val="none"/>
        </w:rPr>
      </w:pPr>
      <w:r>
        <w:rPr>
          <w:rFonts w:hint="eastAsia" w:ascii="??" w:hAnsi="??" w:cs="宋体"/>
          <w:color w:val="auto"/>
          <w:szCs w:val="21"/>
          <w:highlight w:val="none"/>
        </w:rPr>
        <w:t>以上企业，不属于大企业的分支机构，不存在控股股东为大企业的情形，也不存在与大企业的负责人为同一人的情形。</w:t>
      </w:r>
    </w:p>
    <w:p>
      <w:pPr>
        <w:pStyle w:val="8"/>
        <w:spacing w:line="360" w:lineRule="auto"/>
        <w:ind w:left="420" w:firstLine="424" w:firstLineChars="202"/>
        <w:jc w:val="left"/>
        <w:rPr>
          <w:rFonts w:ascii="??" w:hAnsi="??" w:cs="宋体"/>
          <w:color w:val="auto"/>
          <w:szCs w:val="21"/>
          <w:highlight w:val="none"/>
        </w:rPr>
      </w:pPr>
      <w:r>
        <w:rPr>
          <w:rFonts w:hint="eastAsia" w:ascii="??" w:hAnsi="??" w:cs="宋体"/>
          <w:color w:val="auto"/>
          <w:szCs w:val="21"/>
          <w:highlight w:val="none"/>
        </w:rPr>
        <w:t>本企业对上述声明内容的真实性负责。如有虚假，将依法承担相应责任。</w:t>
      </w:r>
    </w:p>
    <w:p>
      <w:pPr>
        <w:pStyle w:val="8"/>
        <w:spacing w:line="360" w:lineRule="auto"/>
        <w:ind w:left="420" w:firstLine="4" w:firstLineChars="2"/>
        <w:jc w:val="left"/>
        <w:rPr>
          <w:rFonts w:ascii="??" w:hAnsi="??" w:cs="宋体"/>
          <w:color w:val="auto"/>
          <w:szCs w:val="21"/>
          <w:highlight w:val="none"/>
        </w:rPr>
      </w:pPr>
      <w:r>
        <w:rPr>
          <w:rFonts w:hint="eastAsia" w:ascii="??" w:hAnsi="??" w:cs="宋体"/>
          <w:color w:val="auto"/>
          <w:szCs w:val="21"/>
          <w:highlight w:val="none"/>
        </w:rPr>
        <w:t>　</w:t>
      </w:r>
    </w:p>
    <w:p>
      <w:pPr>
        <w:pStyle w:val="8"/>
        <w:spacing w:line="360" w:lineRule="auto"/>
        <w:ind w:left="420" w:firstLine="4" w:firstLineChars="2"/>
        <w:jc w:val="left"/>
        <w:rPr>
          <w:rFonts w:ascii="??" w:hAnsi="??" w:cs="宋体"/>
          <w:color w:val="auto"/>
          <w:szCs w:val="21"/>
          <w:highlight w:val="none"/>
        </w:rPr>
      </w:pPr>
    </w:p>
    <w:p>
      <w:pPr>
        <w:pStyle w:val="8"/>
        <w:spacing w:line="400" w:lineRule="exact"/>
        <w:ind w:firstLine="315" w:firstLineChars="150"/>
        <w:rPr>
          <w:rFonts w:hAnsi="宋体"/>
          <w:color w:val="auto"/>
          <w:szCs w:val="21"/>
          <w:highlight w:val="none"/>
          <w:u w:val="single"/>
        </w:rPr>
      </w:pPr>
      <w:r>
        <w:rPr>
          <w:rFonts w:hint="eastAsia" w:hAnsi="宋体"/>
          <w:color w:val="auto"/>
          <w:szCs w:val="21"/>
          <w:highlight w:val="none"/>
        </w:rPr>
        <w:t>投标人名称(电子签章)：</w:t>
      </w:r>
      <w:r>
        <w:rPr>
          <w:rFonts w:hint="eastAsia" w:hAnsi="宋体"/>
          <w:color w:val="auto"/>
          <w:szCs w:val="21"/>
          <w:highlight w:val="none"/>
          <w:u w:val="single"/>
        </w:rPr>
        <w:t xml:space="preserve">                           </w:t>
      </w:r>
    </w:p>
    <w:p>
      <w:pPr>
        <w:pStyle w:val="8"/>
        <w:spacing w:line="400" w:lineRule="exact"/>
        <w:ind w:firstLine="315" w:firstLineChars="150"/>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pPr>
        <w:widowControl/>
        <w:spacing w:before="100" w:beforeAutospacing="1" w:after="100" w:afterAutospacing="1"/>
        <w:jc w:val="center"/>
        <w:textAlignment w:val="top"/>
        <w:rPr>
          <w:rFonts w:ascii="??" w:hAnsi="??" w:cs="宋体"/>
          <w:color w:val="auto"/>
          <w:kern w:val="0"/>
          <w:szCs w:val="21"/>
          <w:highlight w:val="none"/>
        </w:rPr>
      </w:pPr>
      <w:r>
        <w:rPr>
          <w:rFonts w:hint="eastAsia" w:ascii="??" w:hAnsi="??" w:cs="宋体"/>
          <w:color w:val="auto"/>
          <w:kern w:val="0"/>
          <w:szCs w:val="21"/>
          <w:highlight w:val="none"/>
        </w:rPr>
        <w:t>注</w:t>
      </w:r>
      <w:r>
        <w:rPr>
          <w:rFonts w:ascii="??" w:hAnsi="??" w:cs="宋体"/>
          <w:color w:val="auto"/>
          <w:kern w:val="0"/>
          <w:szCs w:val="21"/>
          <w:highlight w:val="none"/>
        </w:rPr>
        <w:t>：</w:t>
      </w:r>
      <w:r>
        <w:rPr>
          <w:rFonts w:hint="eastAsia" w:ascii="??" w:hAnsi="??" w:cs="宋体"/>
          <w:color w:val="auto"/>
          <w:kern w:val="0"/>
          <w:szCs w:val="21"/>
          <w:highlight w:val="none"/>
        </w:rPr>
        <w:t>从业人员、营业收入、资产总额填报上一年度数据，无上一年度数据的新成立企业可不填报。</w:t>
      </w:r>
    </w:p>
    <w:p>
      <w:pPr>
        <w:widowControl/>
        <w:jc w:val="left"/>
        <w:rPr>
          <w:rFonts w:ascii="??" w:hAnsi="??" w:cs="宋体"/>
          <w:color w:val="auto"/>
          <w:kern w:val="0"/>
          <w:szCs w:val="21"/>
          <w:highlight w:val="none"/>
        </w:rPr>
      </w:pPr>
      <w:r>
        <w:rPr>
          <w:rFonts w:ascii="??" w:hAnsi="??" w:cs="宋体"/>
          <w:color w:val="auto"/>
          <w:kern w:val="0"/>
          <w:szCs w:val="21"/>
          <w:highlight w:val="none"/>
        </w:rPr>
        <w:br w:type="page"/>
      </w:r>
    </w:p>
    <w:p>
      <w:pPr>
        <w:widowControl/>
        <w:spacing w:before="100" w:beforeAutospacing="1" w:after="100" w:afterAutospacing="1"/>
        <w:jc w:val="center"/>
        <w:textAlignment w:val="top"/>
        <w:rPr>
          <w:rFonts w:ascii="??" w:hAnsi="??" w:cs="宋体"/>
          <w:b/>
          <w:bCs/>
          <w:color w:val="auto"/>
          <w:kern w:val="0"/>
          <w:sz w:val="28"/>
          <w:szCs w:val="28"/>
          <w:highlight w:val="none"/>
        </w:rPr>
      </w:pPr>
    </w:p>
    <w:p>
      <w:pPr>
        <w:widowControl/>
        <w:spacing w:before="100" w:beforeAutospacing="1" w:after="100" w:afterAutospacing="1"/>
        <w:jc w:val="center"/>
        <w:textAlignment w:val="top"/>
        <w:rPr>
          <w:rFonts w:ascii="??" w:hAnsi="??" w:cs="宋体"/>
          <w:b/>
          <w:bCs/>
          <w:color w:val="auto"/>
          <w:kern w:val="0"/>
          <w:sz w:val="28"/>
          <w:szCs w:val="28"/>
          <w:highlight w:val="none"/>
        </w:rPr>
      </w:pPr>
      <w:r>
        <w:rPr>
          <w:rFonts w:hint="eastAsia" w:ascii="??" w:hAnsi="??" w:cs="宋体"/>
          <w:b/>
          <w:bCs/>
          <w:color w:val="auto"/>
          <w:kern w:val="0"/>
          <w:sz w:val="28"/>
          <w:szCs w:val="28"/>
          <w:highlight w:val="none"/>
        </w:rPr>
        <w:t>残疾人福利性单位声明函</w:t>
      </w:r>
      <w:r>
        <w:rPr>
          <w:rFonts w:hint="eastAsia"/>
          <w:b/>
          <w:color w:val="auto"/>
          <w:kern w:val="0"/>
          <w:sz w:val="28"/>
          <w:szCs w:val="28"/>
          <w:highlight w:val="none"/>
        </w:rPr>
        <w:t>（格式）</w:t>
      </w:r>
    </w:p>
    <w:p>
      <w:pPr>
        <w:spacing w:line="588" w:lineRule="exact"/>
        <w:rPr>
          <w:rFonts w:ascii="仿宋_GB2312" w:eastAsia="仿宋_GB2312"/>
          <w:b/>
          <w:color w:val="auto"/>
          <w:spacing w:val="6"/>
          <w:szCs w:val="21"/>
          <w:highlight w:val="none"/>
        </w:rPr>
      </w:pPr>
    </w:p>
    <w:p>
      <w:pPr>
        <w:spacing w:line="360" w:lineRule="auto"/>
        <w:ind w:firstLine="444" w:firstLineChars="200"/>
        <w:rPr>
          <w:rFonts w:hAnsi="宋体"/>
          <w:color w:val="auto"/>
          <w:spacing w:val="6"/>
          <w:szCs w:val="21"/>
          <w:highlight w:val="none"/>
        </w:rPr>
      </w:pPr>
      <w:r>
        <w:rPr>
          <w:rFonts w:hint="eastAsia" w:hAnsi="宋体"/>
          <w:color w:val="auto"/>
          <w:spacing w:val="6"/>
          <w:szCs w:val="21"/>
          <w:highlight w:val="none"/>
        </w:rPr>
        <w:t>本单位郑重声明，根据《财政部</w:t>
      </w:r>
      <w:r>
        <w:rPr>
          <w:rFonts w:hAnsi="宋体"/>
          <w:color w:val="auto"/>
          <w:spacing w:val="6"/>
          <w:szCs w:val="21"/>
          <w:highlight w:val="none"/>
        </w:rPr>
        <w:t xml:space="preserve"> </w:t>
      </w:r>
      <w:r>
        <w:rPr>
          <w:rFonts w:hint="eastAsia" w:hAnsi="宋体"/>
          <w:color w:val="auto"/>
          <w:spacing w:val="6"/>
          <w:szCs w:val="21"/>
          <w:highlight w:val="none"/>
        </w:rPr>
        <w:t>民政部</w:t>
      </w:r>
      <w:r>
        <w:rPr>
          <w:rFonts w:hAnsi="宋体"/>
          <w:color w:val="auto"/>
          <w:spacing w:val="6"/>
          <w:szCs w:val="21"/>
          <w:highlight w:val="none"/>
        </w:rPr>
        <w:t xml:space="preserve"> </w:t>
      </w:r>
      <w:r>
        <w:rPr>
          <w:rFonts w:hint="eastAsia" w:hAnsi="宋体"/>
          <w:color w:val="auto"/>
          <w:spacing w:val="6"/>
          <w:szCs w:val="21"/>
          <w:highlight w:val="none"/>
        </w:rPr>
        <w:t>中国残疾人联合会关于促进残疾人就业政府采购政策的通知》（财库</w:t>
      </w:r>
      <w:r>
        <w:rPr>
          <w:rFonts w:hint="eastAsia" w:hAnsi="宋体"/>
          <w:color w:val="auto"/>
          <w:szCs w:val="21"/>
          <w:highlight w:val="none"/>
        </w:rPr>
        <w:t>〔</w:t>
      </w:r>
      <w:r>
        <w:rPr>
          <w:rFonts w:hAnsi="宋体"/>
          <w:color w:val="auto"/>
          <w:szCs w:val="21"/>
          <w:highlight w:val="none"/>
        </w:rPr>
        <w:t>2017</w:t>
      </w:r>
      <w:r>
        <w:rPr>
          <w:rFonts w:hint="eastAsia" w:hAnsi="宋体"/>
          <w:color w:val="auto"/>
          <w:szCs w:val="21"/>
          <w:highlight w:val="none"/>
        </w:rPr>
        <w:t>〕</w:t>
      </w:r>
      <w:r>
        <w:rPr>
          <w:rFonts w:hAnsi="宋体"/>
          <w:color w:val="auto"/>
          <w:szCs w:val="21"/>
          <w:highlight w:val="none"/>
        </w:rPr>
        <w:t xml:space="preserve"> 141</w:t>
      </w:r>
      <w:r>
        <w:rPr>
          <w:rFonts w:hint="eastAsia" w:hAnsi="宋体"/>
          <w:color w:val="auto"/>
          <w:spacing w:val="6"/>
          <w:szCs w:val="21"/>
          <w:highlight w:val="none"/>
        </w:rPr>
        <w:t>号）的规定，本单位为符合条件的残疾人福利性单位，且本单位参加</w:t>
      </w:r>
      <w:r>
        <w:rPr>
          <w:rFonts w:hAnsi="宋体"/>
          <w:color w:val="auto"/>
          <w:spacing w:val="6"/>
          <w:szCs w:val="21"/>
          <w:highlight w:val="none"/>
          <w:u w:val="single"/>
        </w:rPr>
        <w:t xml:space="preserve">           </w:t>
      </w:r>
      <w:r>
        <w:rPr>
          <w:rFonts w:hint="eastAsia" w:hAnsi="宋体"/>
          <w:color w:val="auto"/>
          <w:spacing w:val="6"/>
          <w:szCs w:val="21"/>
          <w:highlight w:val="none"/>
        </w:rPr>
        <w:t>单位的</w:t>
      </w:r>
      <w:r>
        <w:rPr>
          <w:rFonts w:hAnsi="宋体"/>
          <w:color w:val="auto"/>
          <w:spacing w:val="6"/>
          <w:szCs w:val="21"/>
          <w:highlight w:val="none"/>
          <w:u w:val="single"/>
        </w:rPr>
        <w:t xml:space="preserve">            </w:t>
      </w:r>
      <w:r>
        <w:rPr>
          <w:rFonts w:hint="eastAsia" w:hAnsi="宋体"/>
          <w:color w:val="auto"/>
          <w:spacing w:val="6"/>
          <w:szCs w:val="21"/>
          <w:highlight w:val="none"/>
        </w:rPr>
        <w:t>项目采购活动提供本单位制造的货物（由本单位承担工程</w:t>
      </w:r>
      <w:r>
        <w:rPr>
          <w:rFonts w:hAnsi="宋体"/>
          <w:color w:val="auto"/>
          <w:spacing w:val="6"/>
          <w:szCs w:val="21"/>
          <w:highlight w:val="none"/>
        </w:rPr>
        <w:t>/</w:t>
      </w:r>
      <w:r>
        <w:rPr>
          <w:rFonts w:hint="eastAsia" w:hAnsi="宋体"/>
          <w:color w:val="auto"/>
          <w:spacing w:val="6"/>
          <w:szCs w:val="21"/>
          <w:highlight w:val="none"/>
        </w:rPr>
        <w:t>提供服务），或者提供其他残疾人福利性单位制造的货物（不包括使用非残疾人福利性单位注册商标的货物）。</w:t>
      </w:r>
    </w:p>
    <w:p>
      <w:pPr>
        <w:spacing w:line="360" w:lineRule="auto"/>
        <w:ind w:firstLine="444" w:firstLineChars="200"/>
        <w:rPr>
          <w:rFonts w:hAnsi="宋体"/>
          <w:color w:val="auto"/>
          <w:spacing w:val="6"/>
          <w:szCs w:val="21"/>
          <w:highlight w:val="none"/>
        </w:rPr>
      </w:pPr>
      <w:r>
        <w:rPr>
          <w:rFonts w:hint="eastAsia" w:hAnsi="宋体"/>
          <w:color w:val="auto"/>
          <w:spacing w:val="6"/>
          <w:szCs w:val="21"/>
          <w:highlight w:val="none"/>
        </w:rPr>
        <w:t>本单位对上述声明的真实性负责。如有虚假，将依法承担相应责任。</w:t>
      </w:r>
    </w:p>
    <w:p>
      <w:pPr>
        <w:spacing w:line="360" w:lineRule="auto"/>
        <w:ind w:firstLine="444" w:firstLineChars="200"/>
        <w:rPr>
          <w:rFonts w:ascii="仿宋_GB2312" w:eastAsia="仿宋_GB2312"/>
          <w:color w:val="auto"/>
          <w:spacing w:val="6"/>
          <w:szCs w:val="21"/>
          <w:highlight w:val="none"/>
        </w:rPr>
      </w:pPr>
    </w:p>
    <w:p>
      <w:pPr>
        <w:spacing w:line="360" w:lineRule="auto"/>
        <w:ind w:firstLine="444" w:firstLineChars="200"/>
        <w:rPr>
          <w:rFonts w:hAnsi="宋体"/>
          <w:color w:val="auto"/>
          <w:spacing w:val="6"/>
          <w:szCs w:val="21"/>
          <w:highlight w:val="none"/>
        </w:rPr>
      </w:pPr>
    </w:p>
    <w:p>
      <w:pPr>
        <w:pStyle w:val="8"/>
        <w:spacing w:line="400" w:lineRule="exact"/>
        <w:rPr>
          <w:rFonts w:hAnsi="宋体"/>
          <w:color w:val="auto"/>
          <w:szCs w:val="21"/>
          <w:highlight w:val="none"/>
          <w:u w:val="single"/>
        </w:rPr>
      </w:pPr>
      <w:r>
        <w:rPr>
          <w:rFonts w:hint="eastAsia" w:hAnsi="宋体"/>
          <w:color w:val="auto"/>
          <w:szCs w:val="21"/>
          <w:highlight w:val="none"/>
        </w:rPr>
        <w:t>投标人名称(电子签章)：</w:t>
      </w:r>
      <w:r>
        <w:rPr>
          <w:rFonts w:hint="eastAsia" w:hAnsi="宋体"/>
          <w:color w:val="auto"/>
          <w:szCs w:val="21"/>
          <w:highlight w:val="none"/>
          <w:u w:val="single"/>
        </w:rPr>
        <w:t xml:space="preserve">                           </w:t>
      </w:r>
    </w:p>
    <w:p>
      <w:pPr>
        <w:pStyle w:val="8"/>
        <w:spacing w:line="400" w:lineRule="exact"/>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pPr>
        <w:tabs>
          <w:tab w:val="left" w:pos="4860"/>
        </w:tabs>
        <w:spacing w:line="360" w:lineRule="auto"/>
        <w:ind w:right="1560" w:firstLine="444" w:firstLineChars="200"/>
        <w:jc w:val="center"/>
        <w:rPr>
          <w:rFonts w:hAnsi="宋体"/>
          <w:color w:val="auto"/>
          <w:spacing w:val="6"/>
          <w:szCs w:val="21"/>
          <w:highlight w:val="none"/>
        </w:rPr>
      </w:pPr>
    </w:p>
    <w:p>
      <w:pPr>
        <w:snapToGrid w:val="0"/>
        <w:spacing w:before="50" w:after="50"/>
        <w:rPr>
          <w:rFonts w:hAnsi="宋体"/>
          <w:bCs/>
          <w:color w:val="auto"/>
          <w:szCs w:val="21"/>
          <w:highlight w:val="none"/>
        </w:rPr>
      </w:pPr>
      <w:r>
        <w:rPr>
          <w:rFonts w:hint="eastAsia" w:hAnsi="宋体"/>
          <w:bCs/>
          <w:color w:val="auto"/>
          <w:szCs w:val="21"/>
          <w:highlight w:val="none"/>
        </w:rPr>
        <w:t>说明：本声明函主要供参加政府采购活动的残疾人福利性单位填写，非残疾人福利性单位无需填写。</w:t>
      </w:r>
    </w:p>
    <w:p>
      <w:pPr>
        <w:widowControl/>
        <w:jc w:val="left"/>
        <w:rPr>
          <w:rFonts w:hAnsi="宋体"/>
          <w:bCs/>
          <w:color w:val="auto"/>
          <w:szCs w:val="21"/>
          <w:highlight w:val="none"/>
        </w:rPr>
      </w:pPr>
      <w:r>
        <w:rPr>
          <w:rFonts w:ascii="??" w:hAnsi="??" w:cs="宋体"/>
          <w:color w:val="auto"/>
          <w:kern w:val="0"/>
          <w:szCs w:val="21"/>
          <w:highlight w:val="none"/>
        </w:rPr>
        <w:br w:type="page"/>
      </w:r>
    </w:p>
    <w:p>
      <w:pPr>
        <w:tabs>
          <w:tab w:val="left" w:pos="1305"/>
        </w:tabs>
        <w:spacing w:line="400" w:lineRule="exact"/>
        <w:ind w:firstLine="482" w:firstLineChars="200"/>
        <w:rPr>
          <w:rFonts w:hAnsi="宋体"/>
          <w:b/>
          <w:color w:val="auto"/>
          <w:sz w:val="24"/>
          <w:szCs w:val="24"/>
          <w:highlight w:val="none"/>
        </w:rPr>
      </w:pPr>
    </w:p>
    <w:p>
      <w:pPr>
        <w:tabs>
          <w:tab w:val="left" w:pos="1305"/>
        </w:tabs>
        <w:spacing w:line="400" w:lineRule="exact"/>
        <w:ind w:firstLine="482" w:firstLineChars="200"/>
        <w:rPr>
          <w:rFonts w:hAnsi="宋体"/>
          <w:b/>
          <w:color w:val="auto"/>
          <w:sz w:val="24"/>
          <w:szCs w:val="24"/>
          <w:highlight w:val="none"/>
        </w:rPr>
      </w:pPr>
      <w:r>
        <w:rPr>
          <w:rFonts w:hint="eastAsia" w:hAnsi="宋体"/>
          <w:b/>
          <w:color w:val="auto"/>
          <w:sz w:val="24"/>
          <w:szCs w:val="24"/>
          <w:highlight w:val="none"/>
        </w:rPr>
        <w:t>三、技术标部分</w:t>
      </w:r>
    </w:p>
    <w:p>
      <w:pPr>
        <w:ind w:firstLine="562" w:firstLineChars="200"/>
        <w:jc w:val="center"/>
        <w:rPr>
          <w:rFonts w:hAnsi="宋体"/>
          <w:b/>
          <w:color w:val="auto"/>
          <w:sz w:val="28"/>
          <w:szCs w:val="28"/>
          <w:highlight w:val="none"/>
        </w:rPr>
      </w:pPr>
      <w:r>
        <w:rPr>
          <w:rFonts w:hint="eastAsia" w:hAnsi="宋体"/>
          <w:b/>
          <w:color w:val="auto"/>
          <w:sz w:val="28"/>
          <w:szCs w:val="28"/>
          <w:highlight w:val="none"/>
        </w:rPr>
        <w:t>目录</w:t>
      </w:r>
    </w:p>
    <w:p>
      <w:pPr>
        <w:ind w:firstLine="562" w:firstLineChars="200"/>
        <w:jc w:val="center"/>
        <w:rPr>
          <w:rFonts w:hAnsi="宋体"/>
          <w:color w:val="auto"/>
          <w:szCs w:val="21"/>
          <w:highlight w:val="none"/>
        </w:rPr>
      </w:pPr>
      <w:r>
        <w:rPr>
          <w:rFonts w:hint="eastAsia"/>
          <w:b/>
          <w:color w:val="auto"/>
          <w:sz w:val="28"/>
          <w:szCs w:val="28"/>
          <w:highlight w:val="none"/>
        </w:rPr>
        <w:t>（应附有页码，由投标人自行编制）</w:t>
      </w:r>
    </w:p>
    <w:p>
      <w:pPr>
        <w:tabs>
          <w:tab w:val="left" w:pos="1305"/>
        </w:tabs>
        <w:spacing w:line="360" w:lineRule="auto"/>
        <w:rPr>
          <w:rFonts w:hAnsi="宋体"/>
          <w:color w:val="auto"/>
          <w:szCs w:val="21"/>
          <w:highlight w:val="none"/>
        </w:rPr>
      </w:pPr>
      <w:r>
        <w:rPr>
          <w:rFonts w:hint="eastAsia" w:hAnsi="宋体"/>
          <w:color w:val="auto"/>
          <w:szCs w:val="21"/>
          <w:highlight w:val="none"/>
        </w:rPr>
        <w:t>（1）项目实施方案</w:t>
      </w:r>
      <w:r>
        <w:rPr>
          <w:rFonts w:hint="eastAsia" w:asciiTheme="minorEastAsia" w:hAnsiTheme="minorEastAsia" w:eastAsiaTheme="minorEastAsia"/>
          <w:b/>
          <w:bCs/>
          <w:color w:val="auto"/>
          <w:szCs w:val="21"/>
          <w:highlight w:val="none"/>
        </w:rPr>
        <w:t>（必须提供）</w:t>
      </w:r>
      <w:r>
        <w:rPr>
          <w:rFonts w:hint="eastAsia" w:hAnsi="宋体"/>
          <w:color w:val="auto"/>
          <w:szCs w:val="21"/>
          <w:highlight w:val="none"/>
        </w:rPr>
        <w:t>；</w:t>
      </w:r>
    </w:p>
    <w:p>
      <w:pPr>
        <w:tabs>
          <w:tab w:val="left" w:pos="1305"/>
        </w:tabs>
        <w:spacing w:line="360" w:lineRule="auto"/>
        <w:rPr>
          <w:rFonts w:hAnsi="宋体"/>
          <w:color w:val="auto"/>
          <w:szCs w:val="21"/>
          <w:highlight w:val="none"/>
        </w:rPr>
      </w:pPr>
      <w:r>
        <w:rPr>
          <w:rFonts w:hint="eastAsia" w:hAnsi="宋体"/>
          <w:color w:val="auto"/>
          <w:szCs w:val="21"/>
          <w:highlight w:val="none"/>
        </w:rPr>
        <w:t>（2）售后方案</w:t>
      </w:r>
      <w:r>
        <w:rPr>
          <w:rFonts w:hint="eastAsia" w:asciiTheme="minorEastAsia" w:hAnsiTheme="minorEastAsia" w:eastAsiaTheme="minorEastAsia"/>
          <w:b/>
          <w:bCs/>
          <w:color w:val="auto"/>
          <w:szCs w:val="21"/>
          <w:highlight w:val="none"/>
        </w:rPr>
        <w:t>（必须提供）</w:t>
      </w:r>
      <w:r>
        <w:rPr>
          <w:rFonts w:hint="eastAsia" w:hAnsi="宋体"/>
          <w:color w:val="auto"/>
          <w:szCs w:val="21"/>
          <w:highlight w:val="none"/>
        </w:rPr>
        <w:t>；</w:t>
      </w:r>
    </w:p>
    <w:p>
      <w:pPr>
        <w:spacing w:line="360" w:lineRule="auto"/>
        <w:rPr>
          <w:b/>
          <w:color w:val="auto"/>
          <w:sz w:val="32"/>
          <w:szCs w:val="32"/>
          <w:highlight w:val="none"/>
        </w:rPr>
      </w:pPr>
      <w:r>
        <w:rPr>
          <w:rFonts w:hint="eastAsia" w:hAnsi="宋体"/>
          <w:color w:val="auto"/>
          <w:szCs w:val="21"/>
          <w:highlight w:val="none"/>
        </w:rPr>
        <w:t>（3）供应商可结合本项目的评标办法视自身情况自行提交相关证明材料。</w:t>
      </w:r>
      <w:r>
        <w:rPr>
          <w:rFonts w:hAnsi="宋体"/>
          <w:color w:val="auto"/>
          <w:szCs w:val="21"/>
          <w:highlight w:val="none"/>
        </w:rPr>
        <w:br w:type="page"/>
      </w:r>
      <w:bookmarkStart w:id="199" w:name="_Toc464566635"/>
      <w:bookmarkStart w:id="200" w:name="_Toc466301091"/>
      <w:bookmarkStart w:id="201" w:name="_Toc78441077"/>
    </w:p>
    <w:p>
      <w:pPr>
        <w:pStyle w:val="3"/>
        <w:spacing w:before="331" w:beforeLines="100"/>
        <w:ind w:firstLine="3534" w:firstLineChars="1100"/>
        <w:rPr>
          <w:b/>
          <w:color w:val="auto"/>
          <w:sz w:val="32"/>
          <w:szCs w:val="32"/>
          <w:highlight w:val="none"/>
          <w:u w:val="none"/>
        </w:rPr>
      </w:pPr>
      <w:bookmarkStart w:id="202" w:name="_Toc18748"/>
      <w:r>
        <w:rPr>
          <w:rFonts w:hint="eastAsia"/>
          <w:b/>
          <w:color w:val="auto"/>
          <w:sz w:val="32"/>
          <w:szCs w:val="32"/>
          <w:highlight w:val="none"/>
          <w:u w:val="none"/>
        </w:rPr>
        <w:t>第六章</w:t>
      </w:r>
      <w:r>
        <w:rPr>
          <w:b/>
          <w:color w:val="auto"/>
          <w:sz w:val="32"/>
          <w:szCs w:val="32"/>
          <w:highlight w:val="none"/>
          <w:u w:val="none"/>
        </w:rPr>
        <w:t xml:space="preserve"> </w:t>
      </w:r>
      <w:bookmarkEnd w:id="199"/>
      <w:bookmarkEnd w:id="200"/>
      <w:r>
        <w:rPr>
          <w:rFonts w:hint="eastAsia"/>
          <w:b/>
          <w:color w:val="auto"/>
          <w:sz w:val="32"/>
          <w:szCs w:val="32"/>
          <w:highlight w:val="none"/>
          <w:u w:val="none"/>
        </w:rPr>
        <w:t xml:space="preserve"> 评标办法</w:t>
      </w:r>
      <w:bookmarkEnd w:id="201"/>
      <w:bookmarkEnd w:id="202"/>
    </w:p>
    <w:p>
      <w:pPr>
        <w:spacing w:line="400" w:lineRule="exact"/>
        <w:rPr>
          <w:rFonts w:ascii="黑体" w:hAnsi="宋体" w:eastAsia="黑体"/>
          <w:b/>
          <w:color w:val="auto"/>
          <w:szCs w:val="21"/>
          <w:highlight w:val="none"/>
        </w:rPr>
      </w:pPr>
      <w:r>
        <w:rPr>
          <w:rFonts w:hint="eastAsia" w:ascii="黑体" w:hAnsi="宋体" w:eastAsia="黑体"/>
          <w:b/>
          <w:color w:val="auto"/>
          <w:sz w:val="28"/>
          <w:szCs w:val="28"/>
          <w:highlight w:val="none"/>
        </w:rPr>
        <w:t>一、评分办法前附表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71"/>
        <w:gridCol w:w="784"/>
        <w:gridCol w:w="1322"/>
        <w:gridCol w:w="489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gridSpan w:val="2"/>
            <w:vAlign w:val="center"/>
          </w:tcPr>
          <w:p>
            <w:pPr>
              <w:autoSpaceDE w:val="0"/>
              <w:autoSpaceDN w:val="0"/>
              <w:adjustRightInd w:val="0"/>
              <w:spacing w:line="440" w:lineRule="exact"/>
              <w:jc w:val="center"/>
              <w:rPr>
                <w:rFonts w:hAnsi="宋体" w:cs="黑体"/>
                <w:b/>
                <w:color w:val="auto"/>
                <w:kern w:val="0"/>
                <w:szCs w:val="21"/>
                <w:highlight w:val="none"/>
              </w:rPr>
            </w:pPr>
            <w:r>
              <w:rPr>
                <w:rFonts w:hint="eastAsia" w:hAnsi="宋体" w:cs="仿宋_GB2312"/>
                <w:b/>
                <w:color w:val="auto"/>
                <w:kern w:val="0"/>
                <w:szCs w:val="21"/>
                <w:highlight w:val="none"/>
              </w:rPr>
              <w:t>条款名称</w:t>
            </w:r>
          </w:p>
        </w:tc>
        <w:tc>
          <w:tcPr>
            <w:tcW w:w="8276" w:type="dxa"/>
            <w:gridSpan w:val="4"/>
            <w:vAlign w:val="center"/>
          </w:tcPr>
          <w:p>
            <w:pPr>
              <w:autoSpaceDE w:val="0"/>
              <w:autoSpaceDN w:val="0"/>
              <w:adjustRightInd w:val="0"/>
              <w:spacing w:line="440" w:lineRule="exact"/>
              <w:jc w:val="center"/>
              <w:rPr>
                <w:rFonts w:hAnsi="宋体" w:cs="黑体"/>
                <w:b/>
                <w:color w:val="auto"/>
                <w:kern w:val="0"/>
                <w:szCs w:val="21"/>
                <w:highlight w:val="none"/>
              </w:rPr>
            </w:pPr>
            <w:r>
              <w:rPr>
                <w:rFonts w:hint="eastAsia" w:hAnsi="宋体" w:cs="仿宋_GB2312"/>
                <w:b/>
                <w:color w:val="auto"/>
                <w:kern w:val="0"/>
                <w:szCs w:val="21"/>
                <w:highlight w:val="none"/>
              </w:rPr>
              <w:t>评审因素及标准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gridSpan w:val="2"/>
            <w:vMerge w:val="restart"/>
            <w:vAlign w:val="center"/>
          </w:tcPr>
          <w:p>
            <w:pPr>
              <w:autoSpaceDE w:val="0"/>
              <w:autoSpaceDN w:val="0"/>
              <w:adjustRightInd w:val="0"/>
              <w:spacing w:line="440" w:lineRule="exact"/>
              <w:jc w:val="center"/>
              <w:rPr>
                <w:rFonts w:hAnsi="宋体" w:cs="仿宋_GB2312"/>
                <w:b/>
                <w:color w:val="auto"/>
                <w:kern w:val="0"/>
                <w:szCs w:val="21"/>
                <w:highlight w:val="none"/>
              </w:rPr>
            </w:pPr>
            <w:r>
              <w:rPr>
                <w:rFonts w:hint="eastAsia" w:hAnsi="宋体" w:cs="仿宋_GB2312"/>
                <w:b/>
                <w:color w:val="auto"/>
                <w:kern w:val="0"/>
                <w:szCs w:val="21"/>
                <w:highlight w:val="none"/>
              </w:rPr>
              <w:t>资格评审标准</w:t>
            </w:r>
          </w:p>
        </w:tc>
        <w:tc>
          <w:tcPr>
            <w:tcW w:w="2106" w:type="dxa"/>
            <w:gridSpan w:val="2"/>
            <w:vAlign w:val="center"/>
          </w:tcPr>
          <w:p>
            <w:pPr>
              <w:autoSpaceDE w:val="0"/>
              <w:autoSpaceDN w:val="0"/>
              <w:adjustRightInd w:val="0"/>
              <w:spacing w:line="440" w:lineRule="exact"/>
              <w:jc w:val="center"/>
              <w:rPr>
                <w:rFonts w:hAnsi="宋体" w:cs="黑体"/>
                <w:color w:val="auto"/>
                <w:kern w:val="0"/>
                <w:szCs w:val="21"/>
                <w:highlight w:val="none"/>
              </w:rPr>
            </w:pPr>
            <w:r>
              <w:rPr>
                <w:rFonts w:hint="eastAsia" w:hAnsi="宋体"/>
                <w:color w:val="auto"/>
                <w:szCs w:val="21"/>
                <w:highlight w:val="none"/>
              </w:rPr>
              <w:t>营业执照</w:t>
            </w:r>
          </w:p>
        </w:tc>
        <w:tc>
          <w:tcPr>
            <w:tcW w:w="6170" w:type="dxa"/>
            <w:gridSpan w:val="2"/>
            <w:vAlign w:val="center"/>
          </w:tcPr>
          <w:p>
            <w:pPr>
              <w:autoSpaceDE w:val="0"/>
              <w:autoSpaceDN w:val="0"/>
              <w:adjustRightInd w:val="0"/>
              <w:spacing w:line="440" w:lineRule="exact"/>
              <w:rPr>
                <w:rFonts w:hAnsi="宋体" w:cs="黑体"/>
                <w:color w:val="auto"/>
                <w:kern w:val="0"/>
                <w:szCs w:val="21"/>
                <w:highlight w:val="none"/>
              </w:rPr>
            </w:pPr>
            <w:r>
              <w:rPr>
                <w:rFonts w:hint="eastAsia" w:hAnsi="宋体"/>
                <w:color w:val="auto"/>
                <w:szCs w:val="21"/>
                <w:highlight w:val="none"/>
              </w:rPr>
              <w:t>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gridSpan w:val="2"/>
            <w:vMerge w:val="continue"/>
            <w:vAlign w:val="center"/>
          </w:tcPr>
          <w:p>
            <w:pPr>
              <w:autoSpaceDE w:val="0"/>
              <w:autoSpaceDN w:val="0"/>
              <w:adjustRightInd w:val="0"/>
              <w:spacing w:line="440" w:lineRule="exact"/>
              <w:jc w:val="center"/>
              <w:rPr>
                <w:rFonts w:hAnsi="宋体" w:cs="黑体"/>
                <w:color w:val="auto"/>
                <w:kern w:val="0"/>
                <w:szCs w:val="21"/>
                <w:highlight w:val="none"/>
              </w:rPr>
            </w:pPr>
          </w:p>
        </w:tc>
        <w:tc>
          <w:tcPr>
            <w:tcW w:w="2106" w:type="dxa"/>
            <w:gridSpan w:val="2"/>
            <w:vMerge w:val="restart"/>
            <w:vAlign w:val="center"/>
          </w:tcPr>
          <w:p>
            <w:pPr>
              <w:autoSpaceDE w:val="0"/>
              <w:autoSpaceDN w:val="0"/>
              <w:adjustRightInd w:val="0"/>
              <w:spacing w:line="440" w:lineRule="exact"/>
              <w:jc w:val="center"/>
              <w:rPr>
                <w:rFonts w:hAnsi="宋体" w:cs="黑体"/>
                <w:color w:val="auto"/>
                <w:kern w:val="0"/>
                <w:szCs w:val="21"/>
                <w:highlight w:val="none"/>
              </w:rPr>
            </w:pPr>
            <w:r>
              <w:rPr>
                <w:rFonts w:hint="eastAsia" w:hAnsi="宋体" w:cs="黑体"/>
                <w:color w:val="auto"/>
                <w:kern w:val="0"/>
                <w:szCs w:val="21"/>
                <w:highlight w:val="none"/>
              </w:rPr>
              <w:t>基本</w:t>
            </w:r>
            <w:r>
              <w:rPr>
                <w:rFonts w:hAnsi="宋体" w:cs="黑体"/>
                <w:color w:val="auto"/>
                <w:kern w:val="0"/>
                <w:szCs w:val="21"/>
                <w:highlight w:val="none"/>
              </w:rPr>
              <w:t>资质</w:t>
            </w:r>
          </w:p>
        </w:tc>
        <w:tc>
          <w:tcPr>
            <w:tcW w:w="6170" w:type="dxa"/>
            <w:gridSpan w:val="2"/>
            <w:vAlign w:val="center"/>
          </w:tcPr>
          <w:p>
            <w:pPr>
              <w:autoSpaceDE w:val="0"/>
              <w:autoSpaceDN w:val="0"/>
              <w:adjustRightInd w:val="0"/>
              <w:spacing w:line="440" w:lineRule="exact"/>
              <w:rPr>
                <w:rFonts w:hAnsi="宋体" w:cs="黑体"/>
                <w:color w:val="auto"/>
                <w:kern w:val="0"/>
                <w:szCs w:val="21"/>
                <w:highlight w:val="none"/>
              </w:rPr>
            </w:pPr>
            <w:r>
              <w:rPr>
                <w:rFonts w:hint="eastAsia" w:hAnsi="宋体"/>
                <w:color w:val="auto"/>
                <w:szCs w:val="21"/>
                <w:highlight w:val="none"/>
              </w:rPr>
              <w:t>投标人（近半年内连续三个月）纳税完税证明或税务部门出具的无需缴纳证明的证明材料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gridSpan w:val="2"/>
            <w:vMerge w:val="continue"/>
            <w:vAlign w:val="center"/>
          </w:tcPr>
          <w:p>
            <w:pPr>
              <w:autoSpaceDE w:val="0"/>
              <w:autoSpaceDN w:val="0"/>
              <w:adjustRightInd w:val="0"/>
              <w:spacing w:line="440" w:lineRule="exact"/>
              <w:jc w:val="center"/>
              <w:rPr>
                <w:rFonts w:hAnsi="宋体" w:cs="仿宋_GB2312"/>
                <w:color w:val="auto"/>
                <w:kern w:val="0"/>
                <w:szCs w:val="21"/>
                <w:highlight w:val="none"/>
              </w:rPr>
            </w:pPr>
          </w:p>
        </w:tc>
        <w:tc>
          <w:tcPr>
            <w:tcW w:w="2106" w:type="dxa"/>
            <w:gridSpan w:val="2"/>
            <w:vMerge w:val="continue"/>
            <w:vAlign w:val="center"/>
          </w:tcPr>
          <w:p>
            <w:pPr>
              <w:autoSpaceDE w:val="0"/>
              <w:autoSpaceDN w:val="0"/>
              <w:adjustRightInd w:val="0"/>
              <w:spacing w:line="440" w:lineRule="exact"/>
              <w:jc w:val="center"/>
              <w:rPr>
                <w:rFonts w:hAnsi="宋体"/>
                <w:color w:val="auto"/>
                <w:szCs w:val="21"/>
                <w:highlight w:val="none"/>
              </w:rPr>
            </w:pPr>
          </w:p>
        </w:tc>
        <w:tc>
          <w:tcPr>
            <w:tcW w:w="6170" w:type="dxa"/>
            <w:gridSpan w:val="2"/>
            <w:vAlign w:val="center"/>
          </w:tcPr>
          <w:p>
            <w:pPr>
              <w:autoSpaceDE w:val="0"/>
              <w:autoSpaceDN w:val="0"/>
              <w:adjustRightInd w:val="0"/>
              <w:spacing w:line="440" w:lineRule="exact"/>
              <w:rPr>
                <w:rFonts w:hAnsi="宋体"/>
                <w:color w:val="auto"/>
                <w:szCs w:val="21"/>
                <w:highlight w:val="none"/>
              </w:rPr>
            </w:pPr>
            <w:r>
              <w:rPr>
                <w:rFonts w:hint="eastAsia" w:hAnsi="宋体" w:cs="宋体"/>
                <w:color w:val="auto"/>
                <w:szCs w:val="21"/>
                <w:highlight w:val="none"/>
              </w:rPr>
              <w:t>投标人所属社保机构出具</w:t>
            </w:r>
            <w:r>
              <w:rPr>
                <w:rFonts w:hint="eastAsia" w:hAnsi="宋体" w:cs="宋体"/>
                <w:color w:val="auto"/>
                <w:kern w:val="0"/>
                <w:szCs w:val="21"/>
                <w:highlight w:val="none"/>
              </w:rPr>
              <w:t>的</w:t>
            </w:r>
            <w:r>
              <w:rPr>
                <w:rFonts w:hint="eastAsia" w:hAnsi="宋体" w:cs="宋体"/>
                <w:color w:val="auto"/>
                <w:szCs w:val="21"/>
                <w:highlight w:val="none"/>
              </w:rPr>
              <w:t>社保缴费证明</w:t>
            </w:r>
            <w:r>
              <w:rPr>
                <w:rFonts w:hint="eastAsia" w:hAnsi="宋体"/>
                <w:color w:val="auto"/>
                <w:szCs w:val="21"/>
                <w:highlight w:val="none"/>
              </w:rPr>
              <w:t>（近半年内连续三个月）或</w:t>
            </w:r>
            <w:r>
              <w:rPr>
                <w:rFonts w:asciiTheme="minorEastAsia" w:hAnsiTheme="minorEastAsia" w:eastAsiaTheme="minorEastAsia"/>
                <w:color w:val="auto"/>
                <w:szCs w:val="21"/>
                <w:highlight w:val="none"/>
              </w:rPr>
              <w:t>不需要缴纳社会保障金的相应文件证明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gridSpan w:val="2"/>
            <w:vMerge w:val="continue"/>
            <w:vAlign w:val="center"/>
          </w:tcPr>
          <w:p>
            <w:pPr>
              <w:autoSpaceDE w:val="0"/>
              <w:autoSpaceDN w:val="0"/>
              <w:adjustRightInd w:val="0"/>
              <w:spacing w:line="440" w:lineRule="exact"/>
              <w:jc w:val="center"/>
              <w:rPr>
                <w:rFonts w:hAnsi="宋体" w:cs="仿宋_GB2312"/>
                <w:color w:val="auto"/>
                <w:kern w:val="0"/>
                <w:szCs w:val="21"/>
                <w:highlight w:val="none"/>
              </w:rPr>
            </w:pPr>
          </w:p>
        </w:tc>
        <w:tc>
          <w:tcPr>
            <w:tcW w:w="2106" w:type="dxa"/>
            <w:gridSpan w:val="2"/>
            <w:vMerge w:val="continue"/>
            <w:vAlign w:val="center"/>
          </w:tcPr>
          <w:p>
            <w:pPr>
              <w:autoSpaceDE w:val="0"/>
              <w:autoSpaceDN w:val="0"/>
              <w:adjustRightInd w:val="0"/>
              <w:spacing w:line="440" w:lineRule="exact"/>
              <w:jc w:val="center"/>
              <w:rPr>
                <w:rFonts w:hAnsi="宋体"/>
                <w:color w:val="auto"/>
                <w:szCs w:val="21"/>
                <w:highlight w:val="none"/>
              </w:rPr>
            </w:pPr>
          </w:p>
        </w:tc>
        <w:tc>
          <w:tcPr>
            <w:tcW w:w="6170" w:type="dxa"/>
            <w:gridSpan w:val="2"/>
            <w:vAlign w:val="center"/>
          </w:tcPr>
          <w:p>
            <w:pPr>
              <w:autoSpaceDE w:val="0"/>
              <w:autoSpaceDN w:val="0"/>
              <w:adjustRightInd w:val="0"/>
              <w:spacing w:line="440" w:lineRule="exact"/>
              <w:rPr>
                <w:rFonts w:hAnsi="宋体"/>
                <w:color w:val="auto"/>
                <w:szCs w:val="21"/>
                <w:highlight w:val="none"/>
              </w:rPr>
            </w:pPr>
            <w:r>
              <w:rPr>
                <w:rFonts w:hint="eastAsia" w:hAnsi="宋体"/>
                <w:color w:val="auto"/>
                <w:szCs w:val="21"/>
                <w:highlight w:val="none"/>
              </w:rPr>
              <w:t>具有有效的企业基本账户开户许可证或《基本存款账户信息》凭证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gridSpan w:val="2"/>
            <w:vMerge w:val="continue"/>
            <w:vAlign w:val="center"/>
          </w:tcPr>
          <w:p>
            <w:pPr>
              <w:autoSpaceDE w:val="0"/>
              <w:autoSpaceDN w:val="0"/>
              <w:adjustRightInd w:val="0"/>
              <w:spacing w:line="440" w:lineRule="exact"/>
              <w:jc w:val="center"/>
              <w:rPr>
                <w:rFonts w:hAnsi="宋体" w:cs="仿宋_GB2312"/>
                <w:color w:val="auto"/>
                <w:kern w:val="0"/>
                <w:szCs w:val="21"/>
                <w:highlight w:val="none"/>
              </w:rPr>
            </w:pPr>
          </w:p>
        </w:tc>
        <w:tc>
          <w:tcPr>
            <w:tcW w:w="2106" w:type="dxa"/>
            <w:gridSpan w:val="2"/>
            <w:vMerge w:val="continue"/>
            <w:vAlign w:val="center"/>
          </w:tcPr>
          <w:p>
            <w:pPr>
              <w:autoSpaceDE w:val="0"/>
              <w:autoSpaceDN w:val="0"/>
              <w:adjustRightInd w:val="0"/>
              <w:spacing w:line="440" w:lineRule="exact"/>
              <w:jc w:val="center"/>
              <w:rPr>
                <w:rFonts w:hAnsi="宋体"/>
                <w:color w:val="auto"/>
                <w:szCs w:val="21"/>
                <w:highlight w:val="none"/>
              </w:rPr>
            </w:pPr>
          </w:p>
        </w:tc>
        <w:tc>
          <w:tcPr>
            <w:tcW w:w="6170" w:type="dxa"/>
            <w:gridSpan w:val="2"/>
            <w:vAlign w:val="center"/>
          </w:tcPr>
          <w:p>
            <w:pPr>
              <w:autoSpaceDE w:val="0"/>
              <w:autoSpaceDN w:val="0"/>
              <w:adjustRightInd w:val="0"/>
              <w:spacing w:line="440" w:lineRule="exact"/>
              <w:rPr>
                <w:rFonts w:hAnsi="宋体"/>
                <w:color w:val="auto"/>
                <w:szCs w:val="21"/>
                <w:highlight w:val="none"/>
              </w:rPr>
            </w:pPr>
            <w:r>
              <w:rPr>
                <w:rFonts w:hint="eastAsia" w:hAnsi="宋体"/>
                <w:color w:val="auto"/>
                <w:szCs w:val="21"/>
                <w:highlight w:val="none"/>
              </w:rPr>
              <w:t>按招标文件规定提交了</w:t>
            </w:r>
            <w:r>
              <w:rPr>
                <w:rFonts w:hint="eastAsia" w:hAnsi="宋体" w:cs="黑体"/>
                <w:color w:val="auto"/>
                <w:kern w:val="0"/>
                <w:szCs w:val="21"/>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gridSpan w:val="2"/>
            <w:vMerge w:val="continue"/>
            <w:vAlign w:val="center"/>
          </w:tcPr>
          <w:p>
            <w:pPr>
              <w:autoSpaceDE w:val="0"/>
              <w:autoSpaceDN w:val="0"/>
              <w:adjustRightInd w:val="0"/>
              <w:spacing w:line="440" w:lineRule="exact"/>
              <w:jc w:val="center"/>
              <w:rPr>
                <w:rFonts w:hAnsi="宋体" w:cs="仿宋_GB2312"/>
                <w:color w:val="auto"/>
                <w:kern w:val="0"/>
                <w:szCs w:val="21"/>
                <w:highlight w:val="none"/>
              </w:rPr>
            </w:pPr>
          </w:p>
        </w:tc>
        <w:tc>
          <w:tcPr>
            <w:tcW w:w="2106" w:type="dxa"/>
            <w:gridSpan w:val="2"/>
            <w:vMerge w:val="continue"/>
            <w:vAlign w:val="center"/>
          </w:tcPr>
          <w:p>
            <w:pPr>
              <w:autoSpaceDE w:val="0"/>
              <w:autoSpaceDN w:val="0"/>
              <w:adjustRightInd w:val="0"/>
              <w:spacing w:line="440" w:lineRule="exact"/>
              <w:jc w:val="center"/>
              <w:rPr>
                <w:rFonts w:hAnsi="宋体"/>
                <w:color w:val="auto"/>
                <w:szCs w:val="21"/>
                <w:highlight w:val="none"/>
              </w:rPr>
            </w:pPr>
          </w:p>
        </w:tc>
        <w:tc>
          <w:tcPr>
            <w:tcW w:w="6170" w:type="dxa"/>
            <w:gridSpan w:val="2"/>
            <w:vAlign w:val="center"/>
          </w:tcPr>
          <w:p>
            <w:pPr>
              <w:autoSpaceDE w:val="0"/>
              <w:autoSpaceDN w:val="0"/>
              <w:adjustRightInd w:val="0"/>
              <w:spacing w:line="440" w:lineRule="exact"/>
              <w:rPr>
                <w:rFonts w:hAnsi="宋体"/>
                <w:color w:val="auto"/>
                <w:szCs w:val="21"/>
                <w:highlight w:val="none"/>
              </w:rPr>
            </w:pPr>
            <w:r>
              <w:rPr>
                <w:rFonts w:hint="eastAsia" w:hAnsi="宋体" w:cs="宋体"/>
                <w:color w:val="auto"/>
                <w:kern w:val="0"/>
                <w:szCs w:val="21"/>
                <w:highlight w:val="none"/>
              </w:rPr>
              <w:t>有效的法定代表人身份证明书原件(附：法定代表人二代居民身份证复印件)；有效的法定代表人授权委托书原件(附：委托代理人二代居民身份证复印件，委托代理人签署响应文件时提供）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gridSpan w:val="2"/>
            <w:vMerge w:val="continue"/>
            <w:vAlign w:val="center"/>
          </w:tcPr>
          <w:p>
            <w:pPr>
              <w:autoSpaceDE w:val="0"/>
              <w:autoSpaceDN w:val="0"/>
              <w:adjustRightInd w:val="0"/>
              <w:spacing w:line="440" w:lineRule="exact"/>
              <w:jc w:val="center"/>
              <w:rPr>
                <w:rFonts w:hAnsi="宋体" w:cs="仿宋_GB2312"/>
                <w:color w:val="auto"/>
                <w:kern w:val="0"/>
                <w:szCs w:val="21"/>
                <w:highlight w:val="none"/>
              </w:rPr>
            </w:pPr>
          </w:p>
        </w:tc>
        <w:tc>
          <w:tcPr>
            <w:tcW w:w="2106" w:type="dxa"/>
            <w:gridSpan w:val="2"/>
            <w:vMerge w:val="continue"/>
            <w:vAlign w:val="center"/>
          </w:tcPr>
          <w:p>
            <w:pPr>
              <w:autoSpaceDE w:val="0"/>
              <w:autoSpaceDN w:val="0"/>
              <w:adjustRightInd w:val="0"/>
              <w:spacing w:line="440" w:lineRule="exact"/>
              <w:jc w:val="center"/>
              <w:rPr>
                <w:rFonts w:hAnsi="宋体"/>
                <w:color w:val="auto"/>
                <w:szCs w:val="21"/>
                <w:highlight w:val="none"/>
              </w:rPr>
            </w:pPr>
          </w:p>
        </w:tc>
        <w:tc>
          <w:tcPr>
            <w:tcW w:w="6170" w:type="dxa"/>
            <w:gridSpan w:val="2"/>
            <w:vAlign w:val="center"/>
          </w:tcPr>
          <w:p>
            <w:pPr>
              <w:autoSpaceDE w:val="0"/>
              <w:autoSpaceDN w:val="0"/>
              <w:adjustRightInd w:val="0"/>
              <w:spacing w:line="440" w:lineRule="exact"/>
              <w:rPr>
                <w:rFonts w:hAnsi="宋体" w:cs="宋体"/>
                <w:color w:val="auto"/>
                <w:kern w:val="0"/>
                <w:szCs w:val="21"/>
                <w:highlight w:val="none"/>
              </w:rPr>
            </w:pPr>
            <w:r>
              <w:rPr>
                <w:rFonts w:hint="eastAsia" w:hAnsi="宋体"/>
                <w:color w:val="auto"/>
                <w:szCs w:val="21"/>
                <w:highlight w:val="none"/>
              </w:rPr>
              <w:t>投标人参加此次政府采购活动前3年内在经营活动中没有重大违法记录的书面声明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gridSpan w:val="2"/>
            <w:vMerge w:val="continue"/>
            <w:vAlign w:val="center"/>
          </w:tcPr>
          <w:p>
            <w:pPr>
              <w:autoSpaceDE w:val="0"/>
              <w:autoSpaceDN w:val="0"/>
              <w:adjustRightInd w:val="0"/>
              <w:spacing w:line="440" w:lineRule="exact"/>
              <w:jc w:val="center"/>
              <w:rPr>
                <w:rFonts w:hAnsi="宋体" w:cs="仿宋_GB2312"/>
                <w:color w:val="auto"/>
                <w:kern w:val="0"/>
                <w:szCs w:val="21"/>
                <w:highlight w:val="none"/>
              </w:rPr>
            </w:pPr>
          </w:p>
        </w:tc>
        <w:tc>
          <w:tcPr>
            <w:tcW w:w="2106" w:type="dxa"/>
            <w:gridSpan w:val="2"/>
            <w:vMerge w:val="continue"/>
            <w:vAlign w:val="center"/>
          </w:tcPr>
          <w:p>
            <w:pPr>
              <w:autoSpaceDE w:val="0"/>
              <w:autoSpaceDN w:val="0"/>
              <w:adjustRightInd w:val="0"/>
              <w:spacing w:line="440" w:lineRule="exact"/>
              <w:jc w:val="center"/>
              <w:rPr>
                <w:rFonts w:hAnsi="宋体"/>
                <w:color w:val="auto"/>
                <w:szCs w:val="21"/>
                <w:highlight w:val="none"/>
              </w:rPr>
            </w:pPr>
          </w:p>
        </w:tc>
        <w:tc>
          <w:tcPr>
            <w:tcW w:w="6170" w:type="dxa"/>
            <w:gridSpan w:val="2"/>
            <w:vAlign w:val="center"/>
          </w:tcPr>
          <w:p>
            <w:pPr>
              <w:autoSpaceDE w:val="0"/>
              <w:autoSpaceDN w:val="0"/>
              <w:adjustRightInd w:val="0"/>
              <w:spacing w:line="440" w:lineRule="exact"/>
              <w:rPr>
                <w:rFonts w:hAnsi="宋体"/>
                <w:color w:val="auto"/>
                <w:szCs w:val="21"/>
                <w:highlight w:val="none"/>
              </w:rPr>
            </w:pPr>
            <w:r>
              <w:rPr>
                <w:rFonts w:hint="eastAsia" w:hAnsi="宋体" w:cs="Arial"/>
                <w:color w:val="auto"/>
                <w:szCs w:val="21"/>
                <w:highlight w:val="none"/>
              </w:rPr>
              <w:t>未在“信用中国”网站</w:t>
            </w:r>
            <w:r>
              <w:rPr>
                <w:rFonts w:hAnsi="宋体" w:cs="Arial"/>
                <w:color w:val="auto"/>
                <w:szCs w:val="21"/>
                <w:highlight w:val="none"/>
              </w:rPr>
              <w:t>(www.creditchina.gov.cn)</w:t>
            </w:r>
            <w:r>
              <w:rPr>
                <w:rFonts w:hint="eastAsia" w:hAnsi="宋体" w:cs="Arial"/>
                <w:color w:val="auto"/>
                <w:szCs w:val="21"/>
                <w:highlight w:val="none"/>
              </w:rPr>
              <w:t>、中国政府采购网</w:t>
            </w:r>
            <w:r>
              <w:rPr>
                <w:rFonts w:hAnsi="宋体" w:cs="Arial"/>
                <w:color w:val="auto"/>
                <w:szCs w:val="21"/>
                <w:highlight w:val="none"/>
              </w:rPr>
              <w:t>(www.ccgp.gov.cn)</w:t>
            </w:r>
            <w:r>
              <w:rPr>
                <w:rFonts w:hint="eastAsia" w:hAnsi="宋体" w:cs="Arial"/>
                <w:color w:val="auto"/>
                <w:szCs w:val="21"/>
                <w:highlight w:val="none"/>
              </w:rPr>
              <w:t>等渠道被列入失信被执行人、重大税收违法失信主体、政府采购严重违法失信行为记录名单，</w:t>
            </w:r>
            <w:r>
              <w:rPr>
                <w:rFonts w:hint="eastAsia"/>
                <w:color w:val="auto"/>
                <w:highlight w:val="none"/>
              </w:rPr>
              <w:t>近三年内投标人或其法定代表人不</w:t>
            </w:r>
            <w:r>
              <w:rPr>
                <w:color w:val="auto"/>
                <w:highlight w:val="none"/>
              </w:rPr>
              <w:t>得</w:t>
            </w:r>
            <w:r>
              <w:rPr>
                <w:rFonts w:hint="eastAsia"/>
                <w:color w:val="auto"/>
                <w:highlight w:val="none"/>
              </w:rPr>
              <w:t>有行贿犯罪行为（以评标阶段“中国裁判文书”网站（</w:t>
            </w:r>
            <w:r>
              <w:rPr>
                <w:color w:val="auto"/>
                <w:highlight w:val="none"/>
              </w:rPr>
              <w:t>https://wenshu.court.gov.cn</w:t>
            </w:r>
            <w:r>
              <w:rPr>
                <w:rFonts w:hint="eastAsia"/>
                <w:color w:val="auto"/>
                <w:highlight w:val="none"/>
              </w:rPr>
              <w:t>）查询信息为准。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gridSpan w:val="2"/>
            <w:vMerge w:val="continue"/>
            <w:vAlign w:val="center"/>
          </w:tcPr>
          <w:p>
            <w:pPr>
              <w:autoSpaceDE w:val="0"/>
              <w:autoSpaceDN w:val="0"/>
              <w:adjustRightInd w:val="0"/>
              <w:spacing w:line="440" w:lineRule="exact"/>
              <w:jc w:val="center"/>
              <w:rPr>
                <w:rFonts w:hAnsi="宋体" w:cs="仿宋_GB2312"/>
                <w:color w:val="auto"/>
                <w:kern w:val="0"/>
                <w:szCs w:val="21"/>
                <w:highlight w:val="none"/>
              </w:rPr>
            </w:pPr>
          </w:p>
        </w:tc>
        <w:tc>
          <w:tcPr>
            <w:tcW w:w="2106" w:type="dxa"/>
            <w:gridSpan w:val="2"/>
            <w:vAlign w:val="center"/>
          </w:tcPr>
          <w:p>
            <w:pPr>
              <w:autoSpaceDE w:val="0"/>
              <w:autoSpaceDN w:val="0"/>
              <w:adjustRightInd w:val="0"/>
              <w:spacing w:line="440" w:lineRule="exact"/>
              <w:jc w:val="center"/>
              <w:rPr>
                <w:rFonts w:hAnsi="宋体"/>
                <w:color w:val="auto"/>
                <w:szCs w:val="21"/>
                <w:highlight w:val="none"/>
              </w:rPr>
            </w:pPr>
            <w:r>
              <w:rPr>
                <w:rFonts w:hint="eastAsia" w:hAnsi="宋体"/>
                <w:color w:val="auto"/>
                <w:kern w:val="0"/>
                <w:szCs w:val="21"/>
                <w:highlight w:val="none"/>
              </w:rPr>
              <w:t>财务报表</w:t>
            </w:r>
          </w:p>
        </w:tc>
        <w:tc>
          <w:tcPr>
            <w:tcW w:w="6170" w:type="dxa"/>
            <w:gridSpan w:val="2"/>
            <w:vAlign w:val="center"/>
          </w:tcPr>
          <w:p>
            <w:pPr>
              <w:autoSpaceDE w:val="0"/>
              <w:autoSpaceDN w:val="0"/>
              <w:adjustRightInd w:val="0"/>
              <w:spacing w:line="440" w:lineRule="exact"/>
              <w:rPr>
                <w:rFonts w:hAnsi="宋体"/>
                <w:color w:val="auto"/>
                <w:szCs w:val="21"/>
                <w:highlight w:val="none"/>
              </w:rPr>
            </w:pPr>
            <w:r>
              <w:rPr>
                <w:rFonts w:hint="eastAsia" w:hAnsi="宋体"/>
                <w:bCs/>
                <w:color w:val="auto"/>
                <w:szCs w:val="21"/>
                <w:highlight w:val="none"/>
              </w:rPr>
              <w:t>投标人的2021</w:t>
            </w:r>
            <w:r>
              <w:rPr>
                <w:rFonts w:hAnsi="宋体"/>
                <w:bCs/>
                <w:color w:val="auto"/>
                <w:szCs w:val="21"/>
                <w:highlight w:val="none"/>
              </w:rPr>
              <w:t>年</w:t>
            </w:r>
            <w:r>
              <w:rPr>
                <w:rFonts w:hint="eastAsia" w:hAnsi="宋体"/>
                <w:color w:val="auto"/>
                <w:kern w:val="0"/>
                <w:szCs w:val="21"/>
                <w:highlight w:val="none"/>
              </w:rPr>
              <w:t>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gridSpan w:val="2"/>
            <w:vMerge w:val="restart"/>
            <w:vAlign w:val="center"/>
          </w:tcPr>
          <w:p>
            <w:pPr>
              <w:autoSpaceDE w:val="0"/>
              <w:autoSpaceDN w:val="0"/>
              <w:adjustRightInd w:val="0"/>
              <w:spacing w:line="440" w:lineRule="exact"/>
              <w:jc w:val="center"/>
              <w:rPr>
                <w:rFonts w:hAnsi="宋体" w:cs="仿宋_GB2312"/>
                <w:color w:val="auto"/>
                <w:kern w:val="0"/>
                <w:szCs w:val="21"/>
                <w:highlight w:val="none"/>
              </w:rPr>
            </w:pPr>
            <w:r>
              <w:rPr>
                <w:rFonts w:hint="eastAsia" w:hAnsi="宋体"/>
                <w:b/>
                <w:color w:val="auto"/>
                <w:szCs w:val="21"/>
                <w:highlight w:val="none"/>
              </w:rPr>
              <w:t>符合性评审标准</w:t>
            </w:r>
          </w:p>
        </w:tc>
        <w:tc>
          <w:tcPr>
            <w:tcW w:w="2106" w:type="dxa"/>
            <w:gridSpan w:val="2"/>
            <w:vAlign w:val="center"/>
          </w:tcPr>
          <w:p>
            <w:pPr>
              <w:autoSpaceDE w:val="0"/>
              <w:autoSpaceDN w:val="0"/>
              <w:adjustRightInd w:val="0"/>
              <w:spacing w:line="440" w:lineRule="exact"/>
              <w:jc w:val="center"/>
              <w:rPr>
                <w:rFonts w:hAnsi="宋体" w:cs="黑体"/>
                <w:color w:val="auto"/>
                <w:kern w:val="0"/>
                <w:szCs w:val="21"/>
                <w:highlight w:val="none"/>
              </w:rPr>
            </w:pPr>
            <w:r>
              <w:rPr>
                <w:rFonts w:hint="eastAsia" w:hAnsi="宋体"/>
                <w:bCs/>
                <w:color w:val="auto"/>
                <w:szCs w:val="21"/>
                <w:highlight w:val="none"/>
              </w:rPr>
              <w:t>报价</w:t>
            </w:r>
          </w:p>
        </w:tc>
        <w:tc>
          <w:tcPr>
            <w:tcW w:w="6170" w:type="dxa"/>
            <w:gridSpan w:val="2"/>
            <w:vAlign w:val="center"/>
          </w:tcPr>
          <w:p>
            <w:pPr>
              <w:autoSpaceDE w:val="0"/>
              <w:autoSpaceDN w:val="0"/>
              <w:adjustRightInd w:val="0"/>
              <w:spacing w:line="440" w:lineRule="exact"/>
              <w:rPr>
                <w:rFonts w:hAnsi="宋体" w:cs="黑体"/>
                <w:color w:val="auto"/>
                <w:kern w:val="0"/>
                <w:szCs w:val="21"/>
                <w:highlight w:val="none"/>
              </w:rPr>
            </w:pPr>
            <w:r>
              <w:rPr>
                <w:rFonts w:hint="eastAsia" w:hAnsi="宋体"/>
                <w:bCs/>
                <w:color w:val="auto"/>
                <w:szCs w:val="21"/>
                <w:highlight w:val="none"/>
              </w:rPr>
              <w:t>投标报价不高于采购人公布的上限控制价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gridSpan w:val="2"/>
            <w:vMerge w:val="continue"/>
            <w:vAlign w:val="center"/>
          </w:tcPr>
          <w:p>
            <w:pPr>
              <w:autoSpaceDE w:val="0"/>
              <w:autoSpaceDN w:val="0"/>
              <w:adjustRightInd w:val="0"/>
              <w:spacing w:line="440" w:lineRule="exact"/>
              <w:jc w:val="center"/>
              <w:rPr>
                <w:rFonts w:hAnsi="宋体" w:cs="仿宋_GB2312"/>
                <w:color w:val="auto"/>
                <w:kern w:val="0"/>
                <w:szCs w:val="21"/>
                <w:highlight w:val="none"/>
              </w:rPr>
            </w:pPr>
          </w:p>
        </w:tc>
        <w:tc>
          <w:tcPr>
            <w:tcW w:w="2106" w:type="dxa"/>
            <w:gridSpan w:val="2"/>
            <w:vMerge w:val="restart"/>
            <w:vAlign w:val="center"/>
          </w:tcPr>
          <w:p>
            <w:pPr>
              <w:autoSpaceDE w:val="0"/>
              <w:autoSpaceDN w:val="0"/>
              <w:adjustRightInd w:val="0"/>
              <w:spacing w:line="440" w:lineRule="exact"/>
              <w:jc w:val="center"/>
              <w:rPr>
                <w:rFonts w:hAnsi="宋体" w:cs="黑体"/>
                <w:color w:val="auto"/>
                <w:kern w:val="0"/>
                <w:szCs w:val="21"/>
                <w:highlight w:val="none"/>
              </w:rPr>
            </w:pPr>
            <w:r>
              <w:rPr>
                <w:rFonts w:hint="eastAsia" w:hAnsi="宋体" w:cs="宋体"/>
                <w:color w:val="auto"/>
                <w:kern w:val="0"/>
                <w:szCs w:val="21"/>
                <w:highlight w:val="none"/>
              </w:rPr>
              <w:t>商务资信</w:t>
            </w:r>
          </w:p>
        </w:tc>
        <w:tc>
          <w:tcPr>
            <w:tcW w:w="6170" w:type="dxa"/>
            <w:gridSpan w:val="2"/>
            <w:vAlign w:val="center"/>
          </w:tcPr>
          <w:p>
            <w:pPr>
              <w:autoSpaceDE w:val="0"/>
              <w:autoSpaceDN w:val="0"/>
              <w:adjustRightInd w:val="0"/>
              <w:spacing w:line="440" w:lineRule="exact"/>
              <w:rPr>
                <w:rFonts w:hAnsi="宋体" w:cs="黑体"/>
                <w:color w:val="auto"/>
                <w:kern w:val="0"/>
                <w:szCs w:val="21"/>
                <w:highlight w:val="none"/>
              </w:rPr>
            </w:pPr>
            <w:r>
              <w:rPr>
                <w:rFonts w:hint="eastAsia" w:hAnsi="宋体" w:cs="黑体"/>
                <w:color w:val="auto"/>
                <w:kern w:val="0"/>
                <w:szCs w:val="21"/>
                <w:highlight w:val="none"/>
              </w:rPr>
              <w:t>投标有效期符合招标文件要求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gridSpan w:val="2"/>
            <w:vMerge w:val="continue"/>
            <w:vAlign w:val="center"/>
          </w:tcPr>
          <w:p>
            <w:pPr>
              <w:autoSpaceDE w:val="0"/>
              <w:autoSpaceDN w:val="0"/>
              <w:adjustRightInd w:val="0"/>
              <w:spacing w:line="440" w:lineRule="exact"/>
              <w:jc w:val="center"/>
              <w:rPr>
                <w:rFonts w:hAnsi="宋体" w:cs="仿宋_GB2312"/>
                <w:color w:val="auto"/>
                <w:kern w:val="0"/>
                <w:szCs w:val="21"/>
                <w:highlight w:val="none"/>
              </w:rPr>
            </w:pPr>
          </w:p>
        </w:tc>
        <w:tc>
          <w:tcPr>
            <w:tcW w:w="2106" w:type="dxa"/>
            <w:gridSpan w:val="2"/>
            <w:vMerge w:val="continue"/>
            <w:vAlign w:val="center"/>
          </w:tcPr>
          <w:p>
            <w:pPr>
              <w:autoSpaceDE w:val="0"/>
              <w:autoSpaceDN w:val="0"/>
              <w:adjustRightInd w:val="0"/>
              <w:spacing w:line="440" w:lineRule="exact"/>
              <w:jc w:val="center"/>
              <w:rPr>
                <w:rFonts w:hAnsi="宋体"/>
                <w:color w:val="auto"/>
                <w:szCs w:val="21"/>
                <w:highlight w:val="none"/>
              </w:rPr>
            </w:pPr>
          </w:p>
        </w:tc>
        <w:tc>
          <w:tcPr>
            <w:tcW w:w="6170" w:type="dxa"/>
            <w:gridSpan w:val="2"/>
            <w:vAlign w:val="center"/>
          </w:tcPr>
          <w:p>
            <w:pPr>
              <w:autoSpaceDE w:val="0"/>
              <w:autoSpaceDN w:val="0"/>
              <w:adjustRightInd w:val="0"/>
              <w:spacing w:line="440" w:lineRule="exact"/>
              <w:rPr>
                <w:rFonts w:hAnsi="宋体"/>
                <w:color w:val="auto"/>
                <w:szCs w:val="21"/>
                <w:highlight w:val="none"/>
              </w:rPr>
            </w:pPr>
            <w:r>
              <w:rPr>
                <w:rFonts w:hint="eastAsia" w:hAnsi="宋体"/>
                <w:color w:val="auto"/>
                <w:szCs w:val="21"/>
                <w:highlight w:val="none"/>
              </w:rPr>
              <w:t>合同履行期限</w:t>
            </w:r>
            <w:r>
              <w:rPr>
                <w:rFonts w:hint="eastAsia" w:hAnsi="宋体" w:cs="黑体"/>
                <w:color w:val="auto"/>
                <w:kern w:val="0"/>
                <w:szCs w:val="21"/>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gridSpan w:val="2"/>
            <w:vMerge w:val="continue"/>
            <w:vAlign w:val="center"/>
          </w:tcPr>
          <w:p>
            <w:pPr>
              <w:autoSpaceDE w:val="0"/>
              <w:autoSpaceDN w:val="0"/>
              <w:adjustRightInd w:val="0"/>
              <w:spacing w:line="440" w:lineRule="exact"/>
              <w:jc w:val="center"/>
              <w:rPr>
                <w:rFonts w:hAnsi="宋体" w:cs="黑体"/>
                <w:color w:val="auto"/>
                <w:kern w:val="0"/>
                <w:szCs w:val="21"/>
                <w:highlight w:val="none"/>
              </w:rPr>
            </w:pPr>
          </w:p>
        </w:tc>
        <w:tc>
          <w:tcPr>
            <w:tcW w:w="2106" w:type="dxa"/>
            <w:gridSpan w:val="2"/>
            <w:vMerge w:val="continue"/>
            <w:vAlign w:val="center"/>
          </w:tcPr>
          <w:p>
            <w:pPr>
              <w:autoSpaceDE w:val="0"/>
              <w:autoSpaceDN w:val="0"/>
              <w:adjustRightInd w:val="0"/>
              <w:spacing w:line="440" w:lineRule="exact"/>
              <w:jc w:val="center"/>
              <w:rPr>
                <w:rFonts w:hAnsi="宋体" w:cs="黑体"/>
                <w:color w:val="auto"/>
                <w:kern w:val="0"/>
                <w:szCs w:val="21"/>
                <w:highlight w:val="none"/>
              </w:rPr>
            </w:pPr>
          </w:p>
        </w:tc>
        <w:tc>
          <w:tcPr>
            <w:tcW w:w="6170" w:type="dxa"/>
            <w:gridSpan w:val="2"/>
            <w:vAlign w:val="center"/>
          </w:tcPr>
          <w:p>
            <w:pPr>
              <w:autoSpaceDE w:val="0"/>
              <w:autoSpaceDN w:val="0"/>
              <w:adjustRightInd w:val="0"/>
              <w:spacing w:line="440" w:lineRule="exact"/>
              <w:rPr>
                <w:rFonts w:hAnsi="宋体" w:cs="黑体"/>
                <w:color w:val="auto"/>
                <w:kern w:val="0"/>
                <w:szCs w:val="21"/>
                <w:highlight w:val="none"/>
              </w:rPr>
            </w:pPr>
            <w:r>
              <w:rPr>
                <w:rFonts w:hint="eastAsia" w:hAnsi="宋体" w:cs="黑体"/>
                <w:color w:val="auto"/>
                <w:kern w:val="0"/>
                <w:szCs w:val="21"/>
                <w:highlight w:val="none"/>
              </w:rPr>
              <w:t>投标文件格式符合招标文件要求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88" w:type="dxa"/>
            <w:gridSpan w:val="2"/>
            <w:vMerge w:val="continue"/>
          </w:tcPr>
          <w:p>
            <w:pPr>
              <w:autoSpaceDE w:val="0"/>
              <w:autoSpaceDN w:val="0"/>
              <w:adjustRightInd w:val="0"/>
              <w:spacing w:line="440" w:lineRule="exact"/>
              <w:jc w:val="center"/>
              <w:rPr>
                <w:rFonts w:hAnsi="宋体" w:cs="黑体"/>
                <w:color w:val="auto"/>
                <w:kern w:val="0"/>
                <w:szCs w:val="21"/>
                <w:highlight w:val="none"/>
              </w:rPr>
            </w:pPr>
          </w:p>
        </w:tc>
        <w:tc>
          <w:tcPr>
            <w:tcW w:w="2106" w:type="dxa"/>
            <w:gridSpan w:val="2"/>
            <w:vMerge w:val="continue"/>
            <w:vAlign w:val="center"/>
          </w:tcPr>
          <w:p>
            <w:pPr>
              <w:autoSpaceDE w:val="0"/>
              <w:autoSpaceDN w:val="0"/>
              <w:adjustRightInd w:val="0"/>
              <w:spacing w:line="440" w:lineRule="exact"/>
              <w:jc w:val="center"/>
              <w:rPr>
                <w:rFonts w:hAnsi="宋体" w:cs="黑体"/>
                <w:color w:val="auto"/>
                <w:kern w:val="0"/>
                <w:szCs w:val="21"/>
                <w:highlight w:val="none"/>
              </w:rPr>
            </w:pPr>
          </w:p>
        </w:tc>
        <w:tc>
          <w:tcPr>
            <w:tcW w:w="6170" w:type="dxa"/>
            <w:gridSpan w:val="2"/>
            <w:vAlign w:val="center"/>
          </w:tcPr>
          <w:p>
            <w:pPr>
              <w:autoSpaceDE w:val="0"/>
              <w:autoSpaceDN w:val="0"/>
              <w:adjustRightInd w:val="0"/>
              <w:spacing w:line="440" w:lineRule="exact"/>
              <w:rPr>
                <w:rFonts w:hAnsi="宋体" w:cs="黑体"/>
                <w:color w:val="auto"/>
                <w:kern w:val="0"/>
                <w:szCs w:val="21"/>
                <w:highlight w:val="none"/>
              </w:rPr>
            </w:pPr>
            <w:r>
              <w:rPr>
                <w:rFonts w:hint="eastAsia" w:hAnsi="宋体"/>
                <w:color w:val="auto"/>
                <w:szCs w:val="21"/>
                <w:highlight w:val="none"/>
              </w:rPr>
              <w:t>投标函格式、内容符合招标文件要求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88" w:type="dxa"/>
            <w:gridSpan w:val="2"/>
            <w:vMerge w:val="continue"/>
          </w:tcPr>
          <w:p>
            <w:pPr>
              <w:autoSpaceDE w:val="0"/>
              <w:autoSpaceDN w:val="0"/>
              <w:adjustRightInd w:val="0"/>
              <w:spacing w:line="440" w:lineRule="exact"/>
              <w:jc w:val="center"/>
              <w:rPr>
                <w:rFonts w:hAnsi="宋体" w:cs="黑体"/>
                <w:color w:val="auto"/>
                <w:kern w:val="0"/>
                <w:szCs w:val="21"/>
                <w:highlight w:val="none"/>
              </w:rPr>
            </w:pPr>
          </w:p>
        </w:tc>
        <w:tc>
          <w:tcPr>
            <w:tcW w:w="2106" w:type="dxa"/>
            <w:gridSpan w:val="2"/>
            <w:vMerge w:val="continue"/>
            <w:vAlign w:val="center"/>
          </w:tcPr>
          <w:p>
            <w:pPr>
              <w:autoSpaceDE w:val="0"/>
              <w:autoSpaceDN w:val="0"/>
              <w:adjustRightInd w:val="0"/>
              <w:spacing w:line="440" w:lineRule="exact"/>
              <w:jc w:val="center"/>
              <w:rPr>
                <w:rFonts w:hAnsi="宋体"/>
                <w:color w:val="auto"/>
                <w:szCs w:val="21"/>
                <w:highlight w:val="none"/>
              </w:rPr>
            </w:pPr>
          </w:p>
        </w:tc>
        <w:tc>
          <w:tcPr>
            <w:tcW w:w="6170" w:type="dxa"/>
            <w:gridSpan w:val="2"/>
            <w:vAlign w:val="center"/>
          </w:tcPr>
          <w:p>
            <w:pPr>
              <w:autoSpaceDE w:val="0"/>
              <w:autoSpaceDN w:val="0"/>
              <w:adjustRightInd w:val="0"/>
              <w:spacing w:line="440" w:lineRule="exact"/>
              <w:rPr>
                <w:rFonts w:hAnsi="宋体"/>
                <w:color w:val="auto"/>
                <w:szCs w:val="21"/>
                <w:highlight w:val="none"/>
              </w:rPr>
            </w:pPr>
            <w:r>
              <w:rPr>
                <w:rFonts w:hint="eastAsia" w:hAnsi="宋体"/>
                <w:color w:val="auto"/>
                <w:szCs w:val="21"/>
                <w:highlight w:val="none"/>
              </w:rPr>
              <w:t>投标文件按招标文件规定签字</w:t>
            </w:r>
            <w:r>
              <w:rPr>
                <w:rFonts w:hAnsi="宋体"/>
                <w:color w:val="auto"/>
                <w:szCs w:val="21"/>
                <w:highlight w:val="none"/>
              </w:rPr>
              <w:t>、</w:t>
            </w:r>
            <w:r>
              <w:rPr>
                <w:rFonts w:hint="eastAsia" w:hAnsi="宋体"/>
                <w:color w:val="auto"/>
                <w:szCs w:val="21"/>
                <w:highlight w:val="none"/>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188" w:type="dxa"/>
            <w:gridSpan w:val="2"/>
            <w:vMerge w:val="continue"/>
          </w:tcPr>
          <w:p>
            <w:pPr>
              <w:autoSpaceDE w:val="0"/>
              <w:autoSpaceDN w:val="0"/>
              <w:adjustRightInd w:val="0"/>
              <w:spacing w:line="440" w:lineRule="exact"/>
              <w:jc w:val="center"/>
              <w:rPr>
                <w:rFonts w:hAnsi="宋体" w:cs="黑体"/>
                <w:color w:val="auto"/>
                <w:kern w:val="0"/>
                <w:szCs w:val="21"/>
                <w:highlight w:val="none"/>
              </w:rPr>
            </w:pPr>
          </w:p>
        </w:tc>
        <w:tc>
          <w:tcPr>
            <w:tcW w:w="2106" w:type="dxa"/>
            <w:gridSpan w:val="2"/>
            <w:vAlign w:val="center"/>
          </w:tcPr>
          <w:p>
            <w:pPr>
              <w:autoSpaceDE w:val="0"/>
              <w:autoSpaceDN w:val="0"/>
              <w:adjustRightInd w:val="0"/>
              <w:spacing w:line="440" w:lineRule="exact"/>
              <w:jc w:val="center"/>
              <w:rPr>
                <w:rFonts w:hAnsi="宋体" w:cs="黑体"/>
                <w:color w:val="auto"/>
                <w:kern w:val="0"/>
                <w:szCs w:val="21"/>
                <w:highlight w:val="none"/>
              </w:rPr>
            </w:pPr>
            <w:r>
              <w:rPr>
                <w:rFonts w:hint="eastAsia" w:hAnsi="宋体" w:cs="宋体"/>
                <w:color w:val="auto"/>
                <w:kern w:val="0"/>
                <w:szCs w:val="21"/>
                <w:highlight w:val="none"/>
              </w:rPr>
              <w:t>技术</w:t>
            </w:r>
          </w:p>
        </w:tc>
        <w:tc>
          <w:tcPr>
            <w:tcW w:w="6170" w:type="dxa"/>
            <w:gridSpan w:val="2"/>
            <w:vAlign w:val="center"/>
          </w:tcPr>
          <w:p>
            <w:pPr>
              <w:autoSpaceDE w:val="0"/>
              <w:autoSpaceDN w:val="0"/>
              <w:adjustRightInd w:val="0"/>
              <w:spacing w:line="440" w:lineRule="exact"/>
              <w:rPr>
                <w:rFonts w:hAnsi="宋体" w:cs="黑体"/>
                <w:color w:val="auto"/>
                <w:kern w:val="0"/>
                <w:szCs w:val="21"/>
                <w:highlight w:val="none"/>
              </w:rPr>
            </w:pPr>
            <w:r>
              <w:rPr>
                <w:rFonts w:hint="eastAsia" w:hAnsi="宋体"/>
                <w:color w:val="auto"/>
                <w:szCs w:val="21"/>
                <w:highlight w:val="none"/>
              </w:rPr>
              <w:t>符合招标文件第三章“项目需求和说明”相关</w:t>
            </w:r>
            <w:r>
              <w:rPr>
                <w:rFonts w:hAnsi="宋体"/>
                <w:color w:val="auto"/>
                <w:szCs w:val="21"/>
                <w:highlight w:val="none"/>
              </w:rPr>
              <w:t>要求</w:t>
            </w:r>
            <w:r>
              <w:rPr>
                <w:rFonts w:hint="eastAsia" w:hAnsi="宋体"/>
                <w:color w:val="auto"/>
                <w:szCs w:val="21"/>
                <w:highlight w:val="none"/>
              </w:rPr>
              <w:t>及第四章“合同书”相应约定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9464" w:type="dxa"/>
            <w:gridSpan w:val="6"/>
          </w:tcPr>
          <w:p>
            <w:pPr>
              <w:autoSpaceDE w:val="0"/>
              <w:autoSpaceDN w:val="0"/>
              <w:adjustRightInd w:val="0"/>
              <w:spacing w:line="440" w:lineRule="exact"/>
              <w:rPr>
                <w:rFonts w:hAnsi="宋体" w:cs="黑体"/>
                <w:color w:val="auto"/>
                <w:kern w:val="0"/>
                <w:szCs w:val="21"/>
                <w:highlight w:val="none"/>
              </w:rPr>
            </w:pPr>
            <w:r>
              <w:rPr>
                <w:rFonts w:hint="eastAsia" w:hAnsi="宋体"/>
                <w:b/>
                <w:color w:val="auto"/>
                <w:szCs w:val="21"/>
                <w:highlight w:val="none"/>
              </w:rPr>
              <w:t>资格评审及符合性评审项中缺少任何一项或有任何一项不合格者其初步审查视为不合格，初步评审不合格的投标人不再进入详细评审。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7" w:type="dxa"/>
            <w:vAlign w:val="center"/>
          </w:tcPr>
          <w:p>
            <w:pPr>
              <w:autoSpaceDE w:val="0"/>
              <w:autoSpaceDN w:val="0"/>
              <w:adjustRightInd w:val="0"/>
              <w:spacing w:line="440" w:lineRule="exact"/>
              <w:jc w:val="center"/>
              <w:rPr>
                <w:rFonts w:hAnsi="宋体"/>
                <w:b/>
                <w:color w:val="auto"/>
                <w:szCs w:val="21"/>
                <w:highlight w:val="none"/>
              </w:rPr>
            </w:pPr>
            <w:r>
              <w:rPr>
                <w:rFonts w:hint="eastAsia" w:hAnsi="宋体"/>
                <w:b/>
                <w:color w:val="auto"/>
                <w:szCs w:val="21"/>
                <w:highlight w:val="none"/>
              </w:rPr>
              <w:t>序号</w:t>
            </w:r>
          </w:p>
        </w:tc>
        <w:tc>
          <w:tcPr>
            <w:tcW w:w="1155" w:type="dxa"/>
            <w:gridSpan w:val="2"/>
            <w:vAlign w:val="center"/>
          </w:tcPr>
          <w:p>
            <w:pPr>
              <w:autoSpaceDE w:val="0"/>
              <w:autoSpaceDN w:val="0"/>
              <w:adjustRightInd w:val="0"/>
              <w:spacing w:line="440" w:lineRule="exact"/>
              <w:jc w:val="center"/>
              <w:rPr>
                <w:rFonts w:hAnsi="宋体"/>
                <w:b/>
                <w:color w:val="auto"/>
                <w:szCs w:val="21"/>
                <w:highlight w:val="none"/>
              </w:rPr>
            </w:pPr>
            <w:r>
              <w:rPr>
                <w:rFonts w:hint="eastAsia" w:hAnsi="宋体"/>
                <w:b/>
                <w:color w:val="auto"/>
                <w:szCs w:val="21"/>
                <w:highlight w:val="none"/>
              </w:rPr>
              <w:t>评分内容</w:t>
            </w:r>
          </w:p>
        </w:tc>
        <w:tc>
          <w:tcPr>
            <w:tcW w:w="6216" w:type="dxa"/>
            <w:gridSpan w:val="2"/>
            <w:vAlign w:val="center"/>
          </w:tcPr>
          <w:p>
            <w:pPr>
              <w:autoSpaceDE w:val="0"/>
              <w:autoSpaceDN w:val="0"/>
              <w:adjustRightInd w:val="0"/>
              <w:spacing w:line="440" w:lineRule="exact"/>
              <w:jc w:val="center"/>
              <w:rPr>
                <w:rFonts w:hAnsi="宋体"/>
                <w:b/>
                <w:color w:val="auto"/>
                <w:szCs w:val="21"/>
                <w:highlight w:val="none"/>
              </w:rPr>
            </w:pPr>
            <w:r>
              <w:rPr>
                <w:rFonts w:hint="eastAsia" w:hAnsi="宋体"/>
                <w:b/>
                <w:color w:val="auto"/>
                <w:szCs w:val="21"/>
                <w:highlight w:val="none"/>
              </w:rPr>
              <w:t>评分标准</w:t>
            </w:r>
          </w:p>
        </w:tc>
        <w:tc>
          <w:tcPr>
            <w:tcW w:w="1276" w:type="dxa"/>
          </w:tcPr>
          <w:p>
            <w:pPr>
              <w:autoSpaceDE w:val="0"/>
              <w:autoSpaceDN w:val="0"/>
              <w:adjustRightInd w:val="0"/>
              <w:spacing w:line="440" w:lineRule="exact"/>
              <w:jc w:val="center"/>
              <w:rPr>
                <w:rFonts w:hAnsi="宋体"/>
                <w:b/>
                <w:color w:val="auto"/>
                <w:szCs w:val="21"/>
                <w:highlight w:val="none"/>
              </w:rPr>
            </w:pPr>
            <w:r>
              <w:rPr>
                <w:rFonts w:hint="eastAsia"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7" w:type="dxa"/>
            <w:vAlign w:val="center"/>
          </w:tcPr>
          <w:p>
            <w:pPr>
              <w:autoSpaceDE w:val="0"/>
              <w:autoSpaceDN w:val="0"/>
              <w:adjustRightInd w:val="0"/>
              <w:spacing w:line="440" w:lineRule="exact"/>
              <w:jc w:val="center"/>
              <w:rPr>
                <w:rFonts w:hAnsi="宋体"/>
                <w:b/>
                <w:color w:val="auto"/>
                <w:szCs w:val="21"/>
                <w:highlight w:val="none"/>
              </w:rPr>
            </w:pPr>
            <w:r>
              <w:rPr>
                <w:rFonts w:hint="eastAsia" w:hAnsi="宋体"/>
                <w:b/>
                <w:color w:val="auto"/>
                <w:szCs w:val="21"/>
                <w:highlight w:val="none"/>
              </w:rPr>
              <w:t>一</w:t>
            </w:r>
          </w:p>
        </w:tc>
        <w:tc>
          <w:tcPr>
            <w:tcW w:w="1155" w:type="dxa"/>
            <w:gridSpan w:val="2"/>
            <w:vAlign w:val="center"/>
          </w:tcPr>
          <w:p>
            <w:pPr>
              <w:autoSpaceDE w:val="0"/>
              <w:autoSpaceDN w:val="0"/>
              <w:adjustRightInd w:val="0"/>
              <w:spacing w:line="440" w:lineRule="exact"/>
              <w:jc w:val="center"/>
              <w:rPr>
                <w:rFonts w:hAnsi="宋体"/>
                <w:b/>
                <w:color w:val="auto"/>
                <w:szCs w:val="21"/>
                <w:highlight w:val="none"/>
              </w:rPr>
            </w:pPr>
            <w:r>
              <w:rPr>
                <w:rFonts w:hint="eastAsia" w:hAnsi="宋体" w:cs="宋体"/>
                <w:b/>
                <w:color w:val="auto"/>
                <w:szCs w:val="21"/>
                <w:highlight w:val="none"/>
              </w:rPr>
              <w:t>投标报价</w:t>
            </w:r>
          </w:p>
        </w:tc>
        <w:tc>
          <w:tcPr>
            <w:tcW w:w="6216" w:type="dxa"/>
            <w:gridSpan w:val="2"/>
            <w:vAlign w:val="center"/>
          </w:tcPr>
          <w:p>
            <w:pPr>
              <w:spacing w:line="440" w:lineRule="exact"/>
              <w:jc w:val="left"/>
              <w:rPr>
                <w:rFonts w:hAnsi="宋体"/>
                <w:bCs/>
                <w:color w:val="auto"/>
                <w:szCs w:val="21"/>
                <w:highlight w:val="none"/>
              </w:rPr>
            </w:pPr>
            <w:r>
              <w:rPr>
                <w:rFonts w:hint="eastAsia" w:hAnsi="宋体"/>
                <w:bCs/>
                <w:color w:val="auto"/>
                <w:szCs w:val="21"/>
                <w:highlight w:val="none"/>
              </w:rPr>
              <w:t>本项目为专门面向“中小企业”的项目，不再执行价格评审优惠的扶持政策。</w:t>
            </w:r>
          </w:p>
          <w:p>
            <w:pPr>
              <w:spacing w:line="440" w:lineRule="exact"/>
              <w:jc w:val="left"/>
              <w:rPr>
                <w:rFonts w:hAnsi="宋体"/>
                <w:bCs/>
                <w:color w:val="auto"/>
                <w:szCs w:val="21"/>
                <w:highlight w:val="none"/>
              </w:rPr>
            </w:pPr>
            <w:r>
              <w:rPr>
                <w:rFonts w:hint="eastAsia" w:hAnsi="宋体"/>
                <w:bCs/>
                <w:color w:val="auto"/>
                <w:szCs w:val="21"/>
                <w:highlight w:val="none"/>
              </w:rPr>
              <w:t>一、以经初步审查后的最低评标报价作为评标基准价。</w:t>
            </w:r>
          </w:p>
          <w:p>
            <w:pPr>
              <w:spacing w:line="440" w:lineRule="exact"/>
              <w:jc w:val="left"/>
              <w:rPr>
                <w:rFonts w:hAnsi="宋体"/>
                <w:bCs/>
                <w:color w:val="auto"/>
                <w:szCs w:val="21"/>
                <w:highlight w:val="none"/>
              </w:rPr>
            </w:pPr>
            <w:r>
              <w:rPr>
                <w:rFonts w:hint="eastAsia" w:hAnsi="宋体"/>
                <w:bCs/>
                <w:color w:val="auto"/>
                <w:szCs w:val="21"/>
                <w:highlight w:val="none"/>
              </w:rPr>
              <w:t>二、某投标人价格分</w:t>
            </w:r>
            <w:r>
              <w:rPr>
                <w:rFonts w:hAnsi="宋体"/>
                <w:bCs/>
                <w:color w:val="auto"/>
                <w:szCs w:val="21"/>
                <w:highlight w:val="none"/>
              </w:rPr>
              <w:t>=</w:t>
            </w:r>
            <w:r>
              <w:rPr>
                <w:rFonts w:hint="eastAsia" w:hAnsi="宋体"/>
                <w:bCs/>
                <w:color w:val="auto"/>
                <w:szCs w:val="21"/>
                <w:highlight w:val="none"/>
              </w:rPr>
              <w:t>（评标基准价</w:t>
            </w:r>
            <w:r>
              <w:rPr>
                <w:rFonts w:hAnsi="宋体"/>
                <w:bCs/>
                <w:color w:val="auto"/>
                <w:szCs w:val="21"/>
                <w:highlight w:val="none"/>
              </w:rPr>
              <w:t>/</w:t>
            </w:r>
            <w:r>
              <w:rPr>
                <w:rFonts w:hint="eastAsia" w:hAnsi="宋体"/>
                <w:bCs/>
                <w:color w:val="auto"/>
                <w:szCs w:val="21"/>
                <w:highlight w:val="none"/>
              </w:rPr>
              <w:t>某投标人评标报价）×3</w:t>
            </w:r>
            <w:r>
              <w:rPr>
                <w:rFonts w:hAnsi="宋体"/>
                <w:bCs/>
                <w:color w:val="auto"/>
                <w:szCs w:val="21"/>
                <w:highlight w:val="none"/>
              </w:rPr>
              <w:t>0</w:t>
            </w:r>
          </w:p>
          <w:p>
            <w:pPr>
              <w:spacing w:line="440" w:lineRule="exact"/>
              <w:rPr>
                <w:rFonts w:hAnsi="宋体"/>
                <w:b/>
                <w:bCs/>
                <w:color w:val="auto"/>
                <w:szCs w:val="21"/>
                <w:highlight w:val="none"/>
              </w:rPr>
            </w:pPr>
            <w:r>
              <w:rPr>
                <w:rFonts w:hint="eastAsia" w:hAnsi="宋体"/>
                <w:color w:val="auto"/>
                <w:highlight w:val="none"/>
              </w:rPr>
              <w:t>三、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276" w:type="dxa"/>
            <w:vAlign w:val="center"/>
          </w:tcPr>
          <w:p>
            <w:pPr>
              <w:autoSpaceDE w:val="0"/>
              <w:autoSpaceDN w:val="0"/>
              <w:adjustRightInd w:val="0"/>
              <w:spacing w:line="440" w:lineRule="exact"/>
              <w:jc w:val="center"/>
              <w:rPr>
                <w:rFonts w:hAnsi="宋体"/>
                <w:b/>
                <w:color w:val="auto"/>
                <w:szCs w:val="21"/>
                <w:highlight w:val="none"/>
              </w:rPr>
            </w:pPr>
            <w:r>
              <w:rPr>
                <w:rFonts w:hAnsi="宋体"/>
                <w:b/>
                <w:color w:val="auto"/>
                <w:szCs w:val="21"/>
                <w:highlight w:val="none"/>
              </w:rPr>
              <w:t>30</w:t>
            </w:r>
            <w:r>
              <w:rPr>
                <w:rFonts w:hint="eastAsia" w:hAnsi="宋体"/>
                <w:b/>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88" w:type="dxa"/>
            <w:gridSpan w:val="5"/>
            <w:vAlign w:val="center"/>
          </w:tcPr>
          <w:p>
            <w:pPr>
              <w:autoSpaceDE w:val="0"/>
              <w:autoSpaceDN w:val="0"/>
              <w:adjustRightInd w:val="0"/>
              <w:spacing w:line="440" w:lineRule="exact"/>
              <w:jc w:val="left"/>
              <w:rPr>
                <w:rFonts w:hAnsi="宋体"/>
                <w:b/>
                <w:bCs/>
                <w:color w:val="auto"/>
                <w:szCs w:val="21"/>
                <w:highlight w:val="none"/>
              </w:rPr>
            </w:pPr>
            <w:r>
              <w:rPr>
                <w:rFonts w:hint="eastAsia" w:hAnsi="宋体"/>
                <w:b/>
                <w:color w:val="auto"/>
                <w:szCs w:val="21"/>
                <w:highlight w:val="none"/>
              </w:rPr>
              <w:t>二、</w:t>
            </w:r>
            <w:r>
              <w:rPr>
                <w:rFonts w:hint="eastAsia" w:hAnsi="宋体"/>
                <w:b/>
                <w:bCs/>
                <w:color w:val="auto"/>
                <w:szCs w:val="21"/>
                <w:highlight w:val="none"/>
              </w:rPr>
              <w:t>商务标部分</w:t>
            </w:r>
          </w:p>
        </w:tc>
        <w:tc>
          <w:tcPr>
            <w:tcW w:w="1276" w:type="dxa"/>
            <w:vAlign w:val="center"/>
          </w:tcPr>
          <w:p>
            <w:pPr>
              <w:autoSpaceDE w:val="0"/>
              <w:autoSpaceDN w:val="0"/>
              <w:adjustRightInd w:val="0"/>
              <w:spacing w:line="440" w:lineRule="exact"/>
              <w:jc w:val="center"/>
              <w:rPr>
                <w:rFonts w:hAnsi="宋体"/>
                <w:b/>
                <w:color w:val="auto"/>
                <w:szCs w:val="21"/>
                <w:highlight w:val="none"/>
              </w:rPr>
            </w:pPr>
            <w:r>
              <w:rPr>
                <w:rFonts w:hint="eastAsia" w:hAnsi="宋体"/>
                <w:b/>
                <w:color w:val="auto"/>
                <w:szCs w:val="21"/>
                <w:highlight w:val="none"/>
              </w:rPr>
              <w:t>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972" w:type="dxa"/>
            <w:gridSpan w:val="3"/>
            <w:vAlign w:val="center"/>
          </w:tcPr>
          <w:p>
            <w:pPr>
              <w:autoSpaceDE w:val="0"/>
              <w:autoSpaceDN w:val="0"/>
              <w:adjustRightInd w:val="0"/>
              <w:spacing w:line="440" w:lineRule="exact"/>
              <w:jc w:val="center"/>
              <w:rPr>
                <w:rFonts w:hAnsi="宋体" w:cs="宋体"/>
                <w:b/>
                <w:color w:val="auto"/>
                <w:szCs w:val="21"/>
                <w:highlight w:val="none"/>
              </w:rPr>
            </w:pPr>
            <w:r>
              <w:rPr>
                <w:rFonts w:hint="eastAsia" w:hAnsi="宋体" w:cs="宋体"/>
                <w:b/>
                <w:color w:val="auto"/>
                <w:szCs w:val="21"/>
                <w:highlight w:val="none"/>
              </w:rPr>
              <w:t>企业信誉实力</w:t>
            </w:r>
          </w:p>
        </w:tc>
        <w:tc>
          <w:tcPr>
            <w:tcW w:w="6216" w:type="dxa"/>
            <w:gridSpan w:val="2"/>
            <w:vAlign w:val="center"/>
          </w:tcPr>
          <w:p>
            <w:pPr>
              <w:spacing w:line="480" w:lineRule="exact"/>
              <w:rPr>
                <w:rFonts w:hAnsi="宋体" w:cs="宋体"/>
                <w:color w:val="auto"/>
                <w:szCs w:val="21"/>
                <w:highlight w:val="none"/>
              </w:rPr>
            </w:pPr>
            <w:r>
              <w:rPr>
                <w:rFonts w:hint="eastAsia" w:hAnsi="宋体" w:cs="宋体"/>
                <w:b/>
                <w:bCs/>
                <w:color w:val="auto"/>
                <w:szCs w:val="21"/>
                <w:highlight w:val="none"/>
              </w:rPr>
              <w:t>投标人或投标注◆号货物的核心产品生产厂家具有：</w:t>
            </w:r>
          </w:p>
          <w:p>
            <w:pPr>
              <w:spacing w:line="480" w:lineRule="exact"/>
              <w:ind w:firstLine="420" w:firstLineChars="200"/>
              <w:rPr>
                <w:rFonts w:hAnsi="宋体" w:cs="宋体"/>
                <w:color w:val="auto"/>
                <w:szCs w:val="21"/>
                <w:highlight w:val="none"/>
              </w:rPr>
            </w:pPr>
            <w:r>
              <w:rPr>
                <w:rFonts w:hint="eastAsia" w:hAnsi="宋体" w:cs="宋体"/>
                <w:color w:val="auto"/>
                <w:szCs w:val="21"/>
                <w:highlight w:val="none"/>
              </w:rPr>
              <w:t>1.投标人具有质量管理体系认证证书, 得</w:t>
            </w:r>
            <w:r>
              <w:rPr>
                <w:rFonts w:hAnsi="宋体" w:cs="宋体"/>
                <w:color w:val="auto"/>
                <w:szCs w:val="21"/>
                <w:highlight w:val="none"/>
              </w:rPr>
              <w:t>0.5</w:t>
            </w:r>
            <w:r>
              <w:rPr>
                <w:rFonts w:hint="eastAsia" w:hAnsi="宋体" w:cs="宋体"/>
                <w:color w:val="auto"/>
                <w:szCs w:val="21"/>
                <w:highlight w:val="none"/>
              </w:rPr>
              <w:t xml:space="preserve">分。 </w:t>
            </w:r>
          </w:p>
          <w:p>
            <w:pPr>
              <w:spacing w:line="480" w:lineRule="exact"/>
              <w:ind w:firstLine="420" w:firstLineChars="200"/>
              <w:rPr>
                <w:rFonts w:hAnsi="宋体" w:cs="宋体"/>
                <w:color w:val="auto"/>
                <w:szCs w:val="21"/>
                <w:highlight w:val="none"/>
              </w:rPr>
            </w:pPr>
            <w:r>
              <w:rPr>
                <w:rFonts w:hint="eastAsia" w:hAnsi="宋体" w:cs="宋体"/>
                <w:color w:val="auto"/>
                <w:szCs w:val="21"/>
                <w:highlight w:val="none"/>
              </w:rPr>
              <w:t>2.投标人具有环境管理体系认证证书, 得</w:t>
            </w:r>
            <w:r>
              <w:rPr>
                <w:rFonts w:hAnsi="宋体" w:cs="宋体"/>
                <w:color w:val="auto"/>
                <w:szCs w:val="21"/>
                <w:highlight w:val="none"/>
              </w:rPr>
              <w:t>0.5</w:t>
            </w:r>
            <w:r>
              <w:rPr>
                <w:rFonts w:hint="eastAsia" w:hAnsi="宋体" w:cs="宋体"/>
                <w:color w:val="auto"/>
                <w:szCs w:val="21"/>
                <w:highlight w:val="none"/>
              </w:rPr>
              <w:t xml:space="preserve">分。 </w:t>
            </w:r>
          </w:p>
          <w:p>
            <w:pPr>
              <w:spacing w:line="480" w:lineRule="exact"/>
              <w:ind w:firstLine="420" w:firstLineChars="200"/>
              <w:rPr>
                <w:rFonts w:hAnsi="宋体" w:cs="宋体"/>
                <w:color w:val="auto"/>
                <w:szCs w:val="21"/>
                <w:highlight w:val="none"/>
              </w:rPr>
            </w:pPr>
            <w:r>
              <w:rPr>
                <w:rFonts w:hint="eastAsia" w:hAnsi="宋体" w:cs="宋体"/>
                <w:color w:val="auto"/>
                <w:szCs w:val="21"/>
                <w:highlight w:val="none"/>
              </w:rPr>
              <w:t>3.投标人具有职业健康安全管理体系认证证书, 得</w:t>
            </w:r>
            <w:r>
              <w:rPr>
                <w:rFonts w:hAnsi="宋体" w:cs="宋体"/>
                <w:color w:val="auto"/>
                <w:szCs w:val="21"/>
                <w:highlight w:val="none"/>
              </w:rPr>
              <w:t>0.5</w:t>
            </w:r>
            <w:r>
              <w:rPr>
                <w:rFonts w:hint="eastAsia" w:hAnsi="宋体" w:cs="宋体"/>
                <w:color w:val="auto"/>
                <w:szCs w:val="21"/>
                <w:highlight w:val="none"/>
              </w:rPr>
              <w:t xml:space="preserve">分。 </w:t>
            </w:r>
          </w:p>
          <w:p>
            <w:pPr>
              <w:spacing w:line="480" w:lineRule="exact"/>
              <w:ind w:firstLine="420" w:firstLineChars="200"/>
              <w:rPr>
                <w:rFonts w:hAnsi="宋体" w:cs="宋体"/>
                <w:color w:val="auto"/>
                <w:szCs w:val="21"/>
                <w:highlight w:val="none"/>
              </w:rPr>
            </w:pPr>
            <w:r>
              <w:rPr>
                <w:rFonts w:hint="eastAsia" w:hAnsi="宋体" w:cs="宋体"/>
                <w:color w:val="auto"/>
                <w:szCs w:val="21"/>
                <w:highlight w:val="none"/>
              </w:rPr>
              <w:t xml:space="preserve"> 4.投标人具有GB/2792  2-2011（商品售后服务评价体系）获得售后服务完善度认证证书，十星级或以上得</w:t>
            </w:r>
            <w:r>
              <w:rPr>
                <w:rFonts w:hAnsi="宋体" w:cs="宋体"/>
                <w:color w:val="auto"/>
                <w:szCs w:val="21"/>
                <w:highlight w:val="none"/>
              </w:rPr>
              <w:t>2.5</w:t>
            </w:r>
            <w:r>
              <w:rPr>
                <w:rFonts w:hint="eastAsia" w:hAnsi="宋体" w:cs="宋体"/>
                <w:color w:val="auto"/>
                <w:szCs w:val="21"/>
                <w:highlight w:val="none"/>
              </w:rPr>
              <w:t>分，十星级（不含）以下得0</w:t>
            </w:r>
            <w:r>
              <w:rPr>
                <w:rFonts w:hAnsi="宋体" w:cs="宋体"/>
                <w:color w:val="auto"/>
                <w:szCs w:val="21"/>
                <w:highlight w:val="none"/>
              </w:rPr>
              <w:t>.5</w:t>
            </w:r>
            <w:r>
              <w:rPr>
                <w:rFonts w:hint="eastAsia" w:hAnsi="宋体" w:cs="宋体"/>
                <w:color w:val="auto"/>
                <w:szCs w:val="21"/>
                <w:highlight w:val="none"/>
              </w:rPr>
              <w:t xml:space="preserve">分。 </w:t>
            </w:r>
          </w:p>
          <w:p>
            <w:pPr>
              <w:spacing w:line="480" w:lineRule="exact"/>
              <w:ind w:firstLine="420" w:firstLineChars="200"/>
              <w:rPr>
                <w:rFonts w:hAnsi="宋体"/>
                <w:color w:val="auto"/>
                <w:szCs w:val="21"/>
                <w:highlight w:val="none"/>
              </w:rPr>
            </w:pPr>
            <w:r>
              <w:rPr>
                <w:rFonts w:hint="eastAsia" w:hAnsi="宋体" w:cs="宋体"/>
                <w:color w:val="auto"/>
                <w:szCs w:val="21"/>
                <w:highlight w:val="none"/>
              </w:rPr>
              <w:t>（注：须提供在有效期内的认证证书复印件 ，全国认证认可信息公共服务平台（http://cx.cnca.cn/）查询截图，否则不得分。） 满分</w:t>
            </w:r>
            <w:r>
              <w:rPr>
                <w:rFonts w:hint="eastAsia" w:hAnsi="宋体" w:cs="宋体"/>
                <w:color w:val="auto"/>
                <w:szCs w:val="21"/>
                <w:highlight w:val="none"/>
                <w:lang w:val="en-US" w:eastAsia="zh-CN"/>
              </w:rPr>
              <w:t>4</w:t>
            </w:r>
            <w:r>
              <w:rPr>
                <w:rFonts w:hint="eastAsia" w:hAnsi="宋体" w:cs="宋体"/>
                <w:color w:val="auto"/>
                <w:szCs w:val="21"/>
                <w:highlight w:val="none"/>
              </w:rPr>
              <w:t>分</w:t>
            </w:r>
          </w:p>
        </w:tc>
        <w:tc>
          <w:tcPr>
            <w:tcW w:w="1276" w:type="dxa"/>
            <w:vAlign w:val="center"/>
          </w:tcPr>
          <w:p>
            <w:pPr>
              <w:autoSpaceDE w:val="0"/>
              <w:autoSpaceDN w:val="0"/>
              <w:adjustRightInd w:val="0"/>
              <w:spacing w:line="440" w:lineRule="exact"/>
              <w:jc w:val="center"/>
              <w:rPr>
                <w:rFonts w:hAnsi="宋体"/>
                <w:b/>
                <w:color w:val="auto"/>
                <w:szCs w:val="21"/>
                <w:highlight w:val="none"/>
              </w:rPr>
            </w:pPr>
            <w:r>
              <w:rPr>
                <w:rFonts w:hint="eastAsia" w:hAnsi="宋体"/>
                <w:b/>
                <w:color w:val="auto"/>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972" w:type="dxa"/>
            <w:gridSpan w:val="3"/>
            <w:vAlign w:val="center"/>
          </w:tcPr>
          <w:p>
            <w:pPr>
              <w:autoSpaceDE w:val="0"/>
              <w:autoSpaceDN w:val="0"/>
              <w:adjustRightInd w:val="0"/>
              <w:spacing w:line="440" w:lineRule="exact"/>
              <w:jc w:val="center"/>
              <w:rPr>
                <w:rFonts w:hAnsi="宋体" w:cs="宋体"/>
                <w:b/>
                <w:color w:val="auto"/>
                <w:szCs w:val="21"/>
                <w:highlight w:val="none"/>
              </w:rPr>
            </w:pPr>
            <w:r>
              <w:rPr>
                <w:rFonts w:hint="eastAsia" w:hAnsi="宋体" w:cs="宋体"/>
                <w:b/>
                <w:color w:val="auto"/>
                <w:szCs w:val="21"/>
                <w:highlight w:val="none"/>
              </w:rPr>
              <w:t>业绩分</w:t>
            </w:r>
          </w:p>
        </w:tc>
        <w:tc>
          <w:tcPr>
            <w:tcW w:w="6216" w:type="dxa"/>
            <w:gridSpan w:val="2"/>
            <w:vAlign w:val="center"/>
          </w:tcPr>
          <w:p>
            <w:pPr>
              <w:spacing w:line="440" w:lineRule="exact"/>
              <w:rPr>
                <w:rFonts w:cs="Arial" w:asciiTheme="minorEastAsia" w:hAnsiTheme="minorEastAsia" w:eastAsiaTheme="minorEastAsia"/>
                <w:color w:val="auto"/>
                <w:highlight w:val="none"/>
              </w:rPr>
            </w:pPr>
            <w:r>
              <w:rPr>
                <w:rFonts w:hint="eastAsia" w:hAnsi="宋体" w:cs="仿宋"/>
                <w:color w:val="auto"/>
                <w:szCs w:val="21"/>
                <w:highlight w:val="none"/>
              </w:rPr>
              <w:t>202</w:t>
            </w:r>
            <w:r>
              <w:rPr>
                <w:rFonts w:hAnsi="宋体" w:cs="仿宋"/>
                <w:color w:val="auto"/>
                <w:szCs w:val="21"/>
                <w:highlight w:val="none"/>
              </w:rPr>
              <w:t>1</w:t>
            </w:r>
            <w:r>
              <w:rPr>
                <w:rFonts w:hint="eastAsia" w:hAnsi="宋体" w:cs="仿宋"/>
                <w:color w:val="auto"/>
                <w:szCs w:val="21"/>
                <w:highlight w:val="none"/>
              </w:rPr>
              <w:t>年1月1日以来</w:t>
            </w:r>
            <w:r>
              <w:rPr>
                <w:rFonts w:hint="eastAsia" w:hAnsi="宋体" w:cs="宋体"/>
                <w:color w:val="auto"/>
                <w:kern w:val="0"/>
                <w:highlight w:val="none"/>
              </w:rPr>
              <w:t>供应商</w:t>
            </w:r>
            <w:r>
              <w:rPr>
                <w:rFonts w:hint="eastAsia" w:hAnsi="宋体" w:cs="仿宋"/>
                <w:color w:val="auto"/>
                <w:szCs w:val="21"/>
                <w:highlight w:val="none"/>
              </w:rPr>
              <w:t>承接过类似（环卫车辆或垃圾桶）业绩（提供中标通知书及供货合同，否则不得分）的每提供一个得</w:t>
            </w:r>
            <w:r>
              <w:rPr>
                <w:rFonts w:hAnsi="宋体" w:cs="仿宋"/>
                <w:color w:val="auto"/>
                <w:szCs w:val="21"/>
                <w:highlight w:val="none"/>
              </w:rPr>
              <w:t>0.5</w:t>
            </w:r>
            <w:r>
              <w:rPr>
                <w:rFonts w:hint="eastAsia" w:hAnsi="宋体" w:cs="仿宋"/>
                <w:color w:val="auto"/>
                <w:szCs w:val="21"/>
                <w:highlight w:val="none"/>
              </w:rPr>
              <w:t>分，本项最高得1分。</w:t>
            </w:r>
          </w:p>
        </w:tc>
        <w:tc>
          <w:tcPr>
            <w:tcW w:w="1276" w:type="dxa"/>
            <w:vAlign w:val="center"/>
          </w:tcPr>
          <w:p>
            <w:pPr>
              <w:autoSpaceDE w:val="0"/>
              <w:autoSpaceDN w:val="0"/>
              <w:adjustRightInd w:val="0"/>
              <w:spacing w:line="440" w:lineRule="exact"/>
              <w:jc w:val="center"/>
              <w:rPr>
                <w:rFonts w:hAnsi="宋体"/>
                <w:b/>
                <w:color w:val="auto"/>
                <w:szCs w:val="21"/>
                <w:highlight w:val="none"/>
              </w:rPr>
            </w:pPr>
            <w:r>
              <w:rPr>
                <w:rFonts w:hint="eastAsia" w:hAnsi="宋体"/>
                <w:b/>
                <w:color w:val="auto"/>
                <w:szCs w:val="21"/>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88" w:type="dxa"/>
            <w:gridSpan w:val="5"/>
            <w:vAlign w:val="center"/>
          </w:tcPr>
          <w:p>
            <w:pPr>
              <w:autoSpaceDE w:val="0"/>
              <w:autoSpaceDN w:val="0"/>
              <w:adjustRightInd w:val="0"/>
              <w:spacing w:line="440" w:lineRule="exact"/>
              <w:jc w:val="left"/>
              <w:rPr>
                <w:rFonts w:hAnsi="宋体"/>
                <w:b/>
                <w:color w:val="auto"/>
                <w:szCs w:val="21"/>
                <w:highlight w:val="none"/>
              </w:rPr>
            </w:pPr>
            <w:r>
              <w:rPr>
                <w:rFonts w:hint="eastAsia" w:hAnsi="宋体"/>
                <w:b/>
                <w:color w:val="auto"/>
                <w:szCs w:val="21"/>
                <w:highlight w:val="none"/>
              </w:rPr>
              <w:t>三、</w:t>
            </w:r>
            <w:r>
              <w:rPr>
                <w:rFonts w:hint="eastAsia" w:hAnsi="宋体"/>
                <w:b/>
                <w:color w:val="auto"/>
                <w:sz w:val="24"/>
                <w:szCs w:val="24"/>
                <w:highlight w:val="none"/>
              </w:rPr>
              <w:t>技术标部分</w:t>
            </w:r>
          </w:p>
        </w:tc>
        <w:tc>
          <w:tcPr>
            <w:tcW w:w="1276" w:type="dxa"/>
            <w:vAlign w:val="center"/>
          </w:tcPr>
          <w:p>
            <w:pPr>
              <w:autoSpaceDE w:val="0"/>
              <w:autoSpaceDN w:val="0"/>
              <w:adjustRightInd w:val="0"/>
              <w:spacing w:line="440" w:lineRule="exact"/>
              <w:jc w:val="center"/>
              <w:rPr>
                <w:rFonts w:hAnsi="宋体"/>
                <w:b/>
                <w:color w:val="auto"/>
                <w:szCs w:val="21"/>
                <w:highlight w:val="none"/>
              </w:rPr>
            </w:pPr>
            <w:r>
              <w:rPr>
                <w:rFonts w:hint="eastAsia" w:hAnsi="宋体"/>
                <w:b/>
                <w:color w:val="auto"/>
                <w:szCs w:val="21"/>
                <w:highlight w:val="none"/>
              </w:rPr>
              <w:t>满分6</w:t>
            </w:r>
            <w:r>
              <w:rPr>
                <w:rFonts w:hAnsi="宋体"/>
                <w:b/>
                <w:color w:val="auto"/>
                <w:szCs w:val="21"/>
                <w:highlight w:val="none"/>
              </w:rPr>
              <w:t>5</w:t>
            </w:r>
            <w:r>
              <w:rPr>
                <w:rFonts w:hint="eastAsia" w:hAnsi="宋体"/>
                <w:b/>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72" w:type="dxa"/>
            <w:gridSpan w:val="3"/>
            <w:vAlign w:val="center"/>
          </w:tcPr>
          <w:p>
            <w:pPr>
              <w:autoSpaceDE w:val="0"/>
              <w:autoSpaceDN w:val="0"/>
              <w:adjustRightInd w:val="0"/>
              <w:spacing w:line="440" w:lineRule="exact"/>
              <w:jc w:val="center"/>
              <w:rPr>
                <w:rFonts w:hAnsi="宋体" w:cs="宋体"/>
                <w:b/>
                <w:color w:val="auto"/>
                <w:szCs w:val="21"/>
                <w:highlight w:val="none"/>
              </w:rPr>
            </w:pPr>
            <w:r>
              <w:rPr>
                <w:rFonts w:hint="eastAsia" w:hAnsi="宋体" w:cs="宋体"/>
                <w:b/>
                <w:color w:val="auto"/>
                <w:szCs w:val="21"/>
                <w:highlight w:val="none"/>
              </w:rPr>
              <w:t>基本分</w:t>
            </w:r>
          </w:p>
        </w:tc>
        <w:tc>
          <w:tcPr>
            <w:tcW w:w="6216" w:type="dxa"/>
            <w:gridSpan w:val="2"/>
            <w:vAlign w:val="center"/>
          </w:tcPr>
          <w:p>
            <w:pPr>
              <w:spacing w:line="440" w:lineRule="exact"/>
              <w:jc w:val="left"/>
              <w:rPr>
                <w:color w:val="auto"/>
                <w:highlight w:val="none"/>
              </w:rPr>
            </w:pPr>
            <w:r>
              <w:rPr>
                <w:rFonts w:hint="eastAsia"/>
                <w:color w:val="auto"/>
                <w:highlight w:val="none"/>
              </w:rPr>
              <w:t>投标文件技术参数完全满足招标文件技术参数要求的得</w:t>
            </w:r>
            <w:r>
              <w:rPr>
                <w:color w:val="auto"/>
                <w:highlight w:val="none"/>
              </w:rPr>
              <w:t>9</w:t>
            </w:r>
            <w:r>
              <w:rPr>
                <w:rFonts w:hint="eastAsia"/>
                <w:color w:val="auto"/>
                <w:highlight w:val="none"/>
              </w:rPr>
              <w:t>分；（不包括标注“</w:t>
            </w:r>
            <w:r>
              <w:rPr>
                <w:rFonts w:hAnsi="宋体" w:cs="宋体"/>
                <w:color w:val="auto"/>
                <w:szCs w:val="21"/>
                <w:highlight w:val="none"/>
                <w:lang w:bidi="ar"/>
              </w:rPr>
              <w:t>★</w:t>
            </w:r>
            <w:r>
              <w:rPr>
                <w:rFonts w:hint="eastAsia" w:hAnsi="宋体" w:cs="宋体"/>
                <w:color w:val="auto"/>
                <w:szCs w:val="21"/>
                <w:highlight w:val="none"/>
                <w:lang w:bidi="ar"/>
              </w:rPr>
              <w:t>号的技术参数，不完全满足的，不得分）</w:t>
            </w:r>
          </w:p>
        </w:tc>
        <w:tc>
          <w:tcPr>
            <w:tcW w:w="1276" w:type="dxa"/>
            <w:vAlign w:val="center"/>
          </w:tcPr>
          <w:p>
            <w:pPr>
              <w:autoSpaceDE w:val="0"/>
              <w:autoSpaceDN w:val="0"/>
              <w:adjustRightInd w:val="0"/>
              <w:spacing w:line="440" w:lineRule="exact"/>
              <w:jc w:val="center"/>
              <w:rPr>
                <w:rFonts w:hAnsi="宋体"/>
                <w:b/>
                <w:color w:val="auto"/>
                <w:szCs w:val="21"/>
                <w:highlight w:val="none"/>
              </w:rPr>
            </w:pPr>
            <w:r>
              <w:rPr>
                <w:rFonts w:hAnsi="宋体"/>
                <w:b/>
                <w:color w:val="auto"/>
                <w:szCs w:val="21"/>
                <w:highlight w:val="none"/>
              </w:rPr>
              <w:t>9</w:t>
            </w:r>
            <w:r>
              <w:rPr>
                <w:rFonts w:hint="eastAsia" w:hAnsi="宋体"/>
                <w:b/>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72" w:type="dxa"/>
            <w:gridSpan w:val="3"/>
            <w:vAlign w:val="center"/>
          </w:tcPr>
          <w:p>
            <w:pPr>
              <w:autoSpaceDE w:val="0"/>
              <w:autoSpaceDN w:val="0"/>
              <w:adjustRightInd w:val="0"/>
              <w:spacing w:line="440" w:lineRule="exact"/>
              <w:jc w:val="center"/>
              <w:rPr>
                <w:rFonts w:hAnsi="宋体" w:cs="宋体"/>
                <w:b/>
                <w:color w:val="auto"/>
                <w:szCs w:val="21"/>
                <w:highlight w:val="none"/>
              </w:rPr>
            </w:pPr>
            <w:r>
              <w:rPr>
                <w:rFonts w:hAnsi="宋体" w:cs="宋体"/>
                <w:b/>
                <w:color w:val="auto"/>
                <w:szCs w:val="21"/>
                <w:highlight w:val="none"/>
              </w:rPr>
              <w:t>技术参数响应情况</w:t>
            </w:r>
          </w:p>
        </w:tc>
        <w:tc>
          <w:tcPr>
            <w:tcW w:w="6216" w:type="dxa"/>
            <w:gridSpan w:val="2"/>
            <w:vAlign w:val="center"/>
          </w:tcPr>
          <w:p>
            <w:pPr>
              <w:spacing w:line="440" w:lineRule="exact"/>
              <w:jc w:val="left"/>
              <w:rPr>
                <w:color w:val="auto"/>
                <w:highlight w:val="none"/>
              </w:rPr>
            </w:pPr>
            <w:r>
              <w:rPr>
                <w:rFonts w:hint="eastAsia"/>
                <w:color w:val="auto"/>
                <w:highlight w:val="none"/>
              </w:rPr>
              <w:t>1、</w:t>
            </w:r>
            <w:r>
              <w:rPr>
                <w:color w:val="auto"/>
                <w:highlight w:val="none"/>
              </w:rPr>
              <w:t>“▲”</w:t>
            </w:r>
            <w:r>
              <w:rPr>
                <w:rFonts w:hint="eastAsia"/>
                <w:color w:val="auto"/>
                <w:highlight w:val="none"/>
              </w:rPr>
              <w:t>条款共有N（1</w:t>
            </w:r>
            <w:r>
              <w:rPr>
                <w:color w:val="auto"/>
                <w:highlight w:val="none"/>
              </w:rPr>
              <w:t>2</w:t>
            </w:r>
            <w:r>
              <w:rPr>
                <w:rFonts w:hint="eastAsia"/>
                <w:color w:val="auto"/>
                <w:highlight w:val="none"/>
              </w:rPr>
              <w:t>）条，总分为M（2</w:t>
            </w:r>
            <w:r>
              <w:rPr>
                <w:color w:val="auto"/>
                <w:highlight w:val="none"/>
              </w:rPr>
              <w:t>4</w:t>
            </w:r>
            <w:r>
              <w:rPr>
                <w:rFonts w:hint="eastAsia"/>
                <w:color w:val="auto"/>
                <w:highlight w:val="none"/>
              </w:rPr>
              <w:t>）分。</w:t>
            </w:r>
          </w:p>
          <w:p>
            <w:pPr>
              <w:spacing w:line="440" w:lineRule="exact"/>
              <w:jc w:val="left"/>
              <w:rPr>
                <w:color w:val="auto"/>
                <w:highlight w:val="none"/>
              </w:rPr>
            </w:pPr>
            <w:r>
              <w:rPr>
                <w:rFonts w:hint="eastAsia"/>
                <w:color w:val="auto"/>
                <w:highlight w:val="none"/>
              </w:rPr>
              <w:t>得分=（投标文件满足</w:t>
            </w:r>
            <w:r>
              <w:rPr>
                <w:color w:val="auto"/>
                <w:highlight w:val="none"/>
              </w:rPr>
              <w:t>“▲”</w:t>
            </w:r>
            <w:r>
              <w:rPr>
                <w:rFonts w:hint="eastAsia"/>
                <w:color w:val="auto"/>
                <w:highlight w:val="none"/>
              </w:rPr>
              <w:t>的数量）</w:t>
            </w:r>
            <w:r>
              <w:rPr>
                <w:color w:val="auto"/>
                <w:highlight w:val="none"/>
              </w:rPr>
              <w:t>×</w:t>
            </w:r>
            <w:r>
              <w:rPr>
                <w:rFonts w:hint="eastAsia"/>
                <w:color w:val="auto"/>
                <w:highlight w:val="none"/>
              </w:rPr>
              <w:t>M</w:t>
            </w:r>
            <w:r>
              <w:rPr>
                <w:color w:val="auto"/>
                <w:highlight w:val="none"/>
              </w:rPr>
              <w:t>÷</w:t>
            </w:r>
            <w:r>
              <w:rPr>
                <w:rFonts w:hint="eastAsia"/>
                <w:color w:val="auto"/>
                <w:highlight w:val="none"/>
              </w:rPr>
              <w:t>N</w:t>
            </w:r>
          </w:p>
          <w:p>
            <w:pPr>
              <w:spacing w:line="440" w:lineRule="exact"/>
              <w:jc w:val="left"/>
              <w:rPr>
                <w:color w:val="auto"/>
                <w:highlight w:val="none"/>
              </w:rPr>
            </w:pPr>
            <w:r>
              <w:rPr>
                <w:color w:val="auto"/>
                <w:highlight w:val="none"/>
              </w:rPr>
              <w:t>（注：</w:t>
            </w:r>
          </w:p>
          <w:p>
            <w:pPr>
              <w:spacing w:line="440" w:lineRule="exact"/>
              <w:jc w:val="left"/>
              <w:rPr>
                <w:color w:val="auto"/>
                <w:highlight w:val="none"/>
              </w:rPr>
            </w:pPr>
            <w:r>
              <w:rPr>
                <w:color w:val="auto"/>
                <w:highlight w:val="none"/>
              </w:rPr>
              <w:t>1</w:t>
            </w:r>
            <w:r>
              <w:rPr>
                <w:rFonts w:hint="eastAsia"/>
                <w:color w:val="auto"/>
                <w:highlight w:val="none"/>
              </w:rPr>
              <w:t>：所投产品标记</w:t>
            </w:r>
            <w:r>
              <w:rPr>
                <w:color w:val="auto"/>
                <w:highlight w:val="none"/>
              </w:rPr>
              <w:t>▲</w:t>
            </w:r>
            <w:r>
              <w:rPr>
                <w:rFonts w:hint="eastAsia"/>
                <w:color w:val="auto"/>
                <w:highlight w:val="none"/>
              </w:rPr>
              <w:t>的技术参数为一项，如项里有多个参数，均满足才可得分。</w:t>
            </w:r>
          </w:p>
          <w:p>
            <w:pPr>
              <w:spacing w:line="440" w:lineRule="exact"/>
              <w:jc w:val="left"/>
              <w:rPr>
                <w:rFonts w:hAnsi="宋体" w:cs="仿宋"/>
                <w:color w:val="auto"/>
                <w:szCs w:val="21"/>
                <w:highlight w:val="none"/>
              </w:rPr>
            </w:pPr>
            <w:r>
              <w:rPr>
                <w:color w:val="auto"/>
                <w:highlight w:val="none"/>
              </w:rPr>
              <w:t>2</w:t>
            </w:r>
            <w:r>
              <w:rPr>
                <w:rFonts w:hint="eastAsia"/>
                <w:color w:val="auto"/>
                <w:highlight w:val="none"/>
              </w:rPr>
              <w:t>：</w:t>
            </w:r>
            <w:r>
              <w:rPr>
                <w:color w:val="auto"/>
                <w:highlight w:val="none"/>
              </w:rPr>
              <w:t>投标人须在《技术和服务要求响应表》里面填写每项技术参数的响应情况、并注明投标产品响应条款的所在页码，以及提供相应的产品技术说明或证明材料。如需求书中有要求提供相应证明材料（或检测报告）的须按要求提供。否则评标委员会有权视相应的技术参数条款不符合</w:t>
            </w:r>
            <w:r>
              <w:rPr>
                <w:rFonts w:hint="eastAsia"/>
                <w:color w:val="auto"/>
                <w:highlight w:val="none"/>
              </w:rPr>
              <w:t>不予得分</w:t>
            </w:r>
            <w:r>
              <w:rPr>
                <w:color w:val="auto"/>
                <w:highlight w:val="none"/>
              </w:rPr>
              <w:t>。）</w:t>
            </w:r>
          </w:p>
        </w:tc>
        <w:tc>
          <w:tcPr>
            <w:tcW w:w="1276" w:type="dxa"/>
            <w:vAlign w:val="center"/>
          </w:tcPr>
          <w:p>
            <w:pPr>
              <w:autoSpaceDE w:val="0"/>
              <w:autoSpaceDN w:val="0"/>
              <w:adjustRightInd w:val="0"/>
              <w:spacing w:line="440" w:lineRule="exact"/>
              <w:jc w:val="center"/>
              <w:rPr>
                <w:rFonts w:hAnsi="宋体"/>
                <w:b/>
                <w:color w:val="auto"/>
                <w:szCs w:val="21"/>
                <w:highlight w:val="none"/>
              </w:rPr>
            </w:pPr>
            <w:r>
              <w:rPr>
                <w:rFonts w:hint="eastAsia" w:hAnsi="宋体"/>
                <w:b/>
                <w:color w:val="auto"/>
                <w:szCs w:val="21"/>
                <w:highlight w:val="none"/>
              </w:rPr>
              <w:t>2</w:t>
            </w:r>
            <w:r>
              <w:rPr>
                <w:rFonts w:hAnsi="宋体"/>
                <w:b/>
                <w:color w:val="auto"/>
                <w:szCs w:val="21"/>
                <w:highlight w:val="none"/>
              </w:rPr>
              <w:t>4</w:t>
            </w:r>
            <w:r>
              <w:rPr>
                <w:rFonts w:hint="eastAsia" w:hAnsi="宋体"/>
                <w:b/>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1972" w:type="dxa"/>
            <w:gridSpan w:val="3"/>
            <w:vAlign w:val="center"/>
          </w:tcPr>
          <w:p>
            <w:pPr>
              <w:spacing w:line="400" w:lineRule="exact"/>
              <w:jc w:val="center"/>
              <w:rPr>
                <w:rFonts w:hAnsi="宋体" w:cs="Arial"/>
                <w:b/>
                <w:color w:val="auto"/>
                <w:kern w:val="0"/>
                <w:szCs w:val="21"/>
                <w:highlight w:val="none"/>
              </w:rPr>
            </w:pPr>
            <w:r>
              <w:rPr>
                <w:rFonts w:hint="eastAsia" w:ascii="Calibri" w:hAnsi="Calibri"/>
                <w:b/>
                <w:color w:val="auto"/>
                <w:szCs w:val="21"/>
                <w:highlight w:val="none"/>
              </w:rPr>
              <w:t>项目实施方案</w:t>
            </w:r>
          </w:p>
        </w:tc>
        <w:tc>
          <w:tcPr>
            <w:tcW w:w="6216" w:type="dxa"/>
            <w:gridSpan w:val="2"/>
            <w:vAlign w:val="center"/>
          </w:tcPr>
          <w:p>
            <w:pPr>
              <w:widowControl/>
              <w:spacing w:line="360" w:lineRule="auto"/>
              <w:jc w:val="left"/>
              <w:rPr>
                <w:rFonts w:hAnsi="宋体" w:cs="宋体"/>
                <w:bCs/>
                <w:color w:val="auto"/>
                <w:szCs w:val="21"/>
                <w:highlight w:val="none"/>
              </w:rPr>
            </w:pPr>
            <w:r>
              <w:rPr>
                <w:rFonts w:hint="eastAsia" w:hAnsi="宋体" w:cs="宋体"/>
                <w:bCs/>
                <w:color w:val="auto"/>
                <w:szCs w:val="21"/>
                <w:highlight w:val="none"/>
              </w:rPr>
              <w:t>根据供应商提供的项目实施方案（包含：人</w:t>
            </w:r>
            <w:bookmarkStart w:id="203" w:name="_Hlk115080504"/>
            <w:r>
              <w:rPr>
                <w:rFonts w:hint="eastAsia" w:hAnsi="宋体" w:cs="宋体"/>
                <w:bCs/>
                <w:color w:val="auto"/>
                <w:szCs w:val="21"/>
                <w:highlight w:val="none"/>
              </w:rPr>
              <w:t>员安排、管理措施、计划及生产方案、运输、验收、安装调试及运行维护、应急、档案管理、内容表达准确度、与本项目的切合度、是否便于操作与执行、专业程度等</w:t>
            </w:r>
            <w:bookmarkEnd w:id="203"/>
            <w:r>
              <w:rPr>
                <w:rFonts w:hint="eastAsia" w:hAnsi="宋体" w:cs="宋体"/>
                <w:bCs/>
                <w:color w:val="auto"/>
                <w:szCs w:val="21"/>
                <w:highlight w:val="none"/>
              </w:rPr>
              <w:t>），进行评审：</w:t>
            </w:r>
          </w:p>
          <w:p>
            <w:pPr>
              <w:widowControl/>
              <w:spacing w:line="360" w:lineRule="auto"/>
              <w:jc w:val="left"/>
              <w:rPr>
                <w:rFonts w:ascii="Times New Roman" w:hAnsi="宋体" w:cs="宋体"/>
                <w:color w:val="auto"/>
                <w:kern w:val="0"/>
                <w:szCs w:val="24"/>
                <w:highlight w:val="none"/>
              </w:rPr>
            </w:pPr>
            <w:r>
              <w:rPr>
                <w:rFonts w:hint="eastAsia" w:ascii="Times New Roman" w:hAnsi="宋体" w:cs="宋体"/>
                <w:color w:val="auto"/>
                <w:kern w:val="0"/>
                <w:szCs w:val="24"/>
                <w:highlight w:val="none"/>
              </w:rPr>
              <w:t>一档</w:t>
            </w:r>
            <w:r>
              <w:rPr>
                <w:rFonts w:ascii="Times New Roman" w:hAnsi="宋体" w:cs="宋体"/>
                <w:color w:val="auto"/>
                <w:kern w:val="0"/>
                <w:szCs w:val="24"/>
                <w:highlight w:val="none"/>
              </w:rPr>
              <w:t>（5</w:t>
            </w:r>
            <w:r>
              <w:rPr>
                <w:rFonts w:hint="eastAsia" w:ascii="Times New Roman" w:hAnsi="宋体" w:cs="宋体"/>
                <w:color w:val="auto"/>
                <w:kern w:val="0"/>
                <w:szCs w:val="24"/>
                <w:highlight w:val="none"/>
              </w:rPr>
              <w:t>分</w:t>
            </w:r>
            <w:r>
              <w:rPr>
                <w:rFonts w:ascii="Times New Roman" w:hAnsi="宋体" w:cs="宋体"/>
                <w:color w:val="auto"/>
                <w:kern w:val="0"/>
                <w:szCs w:val="24"/>
                <w:highlight w:val="none"/>
              </w:rPr>
              <w:t>）</w:t>
            </w:r>
            <w:r>
              <w:rPr>
                <w:rFonts w:hint="eastAsia" w:ascii="Times New Roman" w:hAnsi="宋体" w:cs="宋体"/>
                <w:color w:val="auto"/>
                <w:kern w:val="0"/>
                <w:szCs w:val="24"/>
                <w:highlight w:val="none"/>
              </w:rPr>
              <w:t>：</w:t>
            </w:r>
            <w:r>
              <w:rPr>
                <w:rFonts w:hint="eastAsia" w:hAnsi="宋体" w:cs="宋体"/>
                <w:bCs/>
                <w:color w:val="auto"/>
                <w:szCs w:val="21"/>
                <w:highlight w:val="none"/>
              </w:rPr>
              <w:t>实施方案内容少，人员数量达到1人以上，不利于操作与执行</w:t>
            </w:r>
            <w:r>
              <w:rPr>
                <w:rFonts w:hint="eastAsia" w:ascii="Times New Roman" w:hAnsi="宋体" w:cs="宋体"/>
                <w:color w:val="auto"/>
                <w:kern w:val="0"/>
                <w:szCs w:val="24"/>
                <w:highlight w:val="none"/>
              </w:rPr>
              <w:t>；</w:t>
            </w:r>
          </w:p>
          <w:p>
            <w:pPr>
              <w:widowControl/>
              <w:spacing w:line="360" w:lineRule="auto"/>
              <w:jc w:val="left"/>
              <w:rPr>
                <w:rFonts w:ascii="Times New Roman" w:hAnsi="宋体" w:cs="宋体"/>
                <w:color w:val="auto"/>
                <w:kern w:val="0"/>
                <w:szCs w:val="24"/>
                <w:highlight w:val="none"/>
              </w:rPr>
            </w:pPr>
            <w:r>
              <w:rPr>
                <w:rFonts w:hint="eastAsia" w:ascii="Times New Roman" w:hAnsi="宋体" w:cs="宋体"/>
                <w:color w:val="auto"/>
                <w:kern w:val="0"/>
                <w:szCs w:val="24"/>
                <w:highlight w:val="none"/>
              </w:rPr>
              <w:t>二档</w:t>
            </w:r>
            <w:r>
              <w:rPr>
                <w:rFonts w:ascii="Times New Roman" w:hAnsi="宋体" w:cs="宋体"/>
                <w:color w:val="auto"/>
                <w:kern w:val="0"/>
                <w:szCs w:val="24"/>
                <w:highlight w:val="none"/>
              </w:rPr>
              <w:t>（</w:t>
            </w:r>
            <w:r>
              <w:rPr>
                <w:rFonts w:hint="eastAsia" w:ascii="Times New Roman" w:hAnsi="宋体" w:cs="宋体"/>
                <w:color w:val="auto"/>
                <w:kern w:val="0"/>
                <w:szCs w:val="24"/>
                <w:highlight w:val="none"/>
              </w:rPr>
              <w:t>10分</w:t>
            </w:r>
            <w:r>
              <w:rPr>
                <w:rFonts w:ascii="Times New Roman" w:hAnsi="宋体" w:cs="宋体"/>
                <w:color w:val="auto"/>
                <w:kern w:val="0"/>
                <w:szCs w:val="24"/>
                <w:highlight w:val="none"/>
              </w:rPr>
              <w:t>）</w:t>
            </w:r>
            <w:r>
              <w:rPr>
                <w:rFonts w:hint="eastAsia" w:ascii="Times New Roman" w:hAnsi="宋体" w:cs="宋体"/>
                <w:color w:val="auto"/>
                <w:kern w:val="0"/>
                <w:szCs w:val="24"/>
                <w:highlight w:val="none"/>
              </w:rPr>
              <w:t>：</w:t>
            </w:r>
            <w:r>
              <w:rPr>
                <w:rFonts w:hint="eastAsia" w:hAnsi="宋体" w:cs="宋体"/>
                <w:bCs/>
                <w:color w:val="auto"/>
                <w:szCs w:val="21"/>
                <w:highlight w:val="none"/>
              </w:rPr>
              <w:t>实施方案（包含：人员安排、管理措施、计划及生产方案、运输等）</w:t>
            </w:r>
            <w:r>
              <w:rPr>
                <w:rFonts w:hAnsi="宋体" w:cs="宋体"/>
                <w:bCs/>
                <w:color w:val="auto"/>
                <w:szCs w:val="21"/>
                <w:highlight w:val="none"/>
              </w:rPr>
              <w:t>内容；方案针对本项目采购、运输等实施的各个环节编制，人员数量达到</w:t>
            </w:r>
            <w:r>
              <w:rPr>
                <w:rFonts w:hint="eastAsia" w:hAnsi="宋体" w:cs="宋体"/>
                <w:bCs/>
                <w:color w:val="auto"/>
                <w:szCs w:val="21"/>
                <w:highlight w:val="none"/>
              </w:rPr>
              <w:t>4</w:t>
            </w:r>
            <w:r>
              <w:rPr>
                <w:rFonts w:hAnsi="宋体" w:cs="宋体"/>
                <w:bCs/>
                <w:color w:val="auto"/>
                <w:szCs w:val="21"/>
                <w:highlight w:val="none"/>
              </w:rPr>
              <w:t>人及以上，各个环节有专项负责人员等；各环节有相应的管理措施、实施计划、应急措施及档案管理措施</w:t>
            </w:r>
            <w:r>
              <w:rPr>
                <w:rFonts w:hint="eastAsia" w:hAnsi="宋体" w:cs="宋体"/>
                <w:bCs/>
                <w:color w:val="auto"/>
                <w:szCs w:val="21"/>
                <w:highlight w:val="none"/>
              </w:rPr>
              <w:t>，内容表达不完整，与本项目的切合度不高；</w:t>
            </w:r>
          </w:p>
          <w:p>
            <w:pPr>
              <w:spacing w:line="360" w:lineRule="auto"/>
              <w:jc w:val="left"/>
              <w:rPr>
                <w:rFonts w:hAnsi="宋体" w:cs="宋体"/>
                <w:bCs/>
                <w:color w:val="auto"/>
                <w:szCs w:val="21"/>
                <w:highlight w:val="none"/>
              </w:rPr>
            </w:pPr>
            <w:r>
              <w:rPr>
                <w:rFonts w:hint="eastAsia" w:ascii="Times New Roman" w:hAnsi="宋体" w:cs="宋体"/>
                <w:color w:val="auto"/>
                <w:kern w:val="0"/>
                <w:szCs w:val="24"/>
                <w:highlight w:val="none"/>
              </w:rPr>
              <w:t>三档</w:t>
            </w:r>
            <w:r>
              <w:rPr>
                <w:rFonts w:ascii="Times New Roman" w:hAnsi="宋体" w:cs="宋体"/>
                <w:color w:val="auto"/>
                <w:kern w:val="0"/>
                <w:szCs w:val="24"/>
                <w:highlight w:val="none"/>
              </w:rPr>
              <w:t>（</w:t>
            </w:r>
            <w:r>
              <w:rPr>
                <w:rFonts w:hint="eastAsia" w:ascii="Times New Roman" w:hAnsi="宋体" w:cs="宋体"/>
                <w:color w:val="auto"/>
                <w:kern w:val="0"/>
                <w:szCs w:val="24"/>
                <w:highlight w:val="none"/>
              </w:rPr>
              <w:t>1</w:t>
            </w:r>
            <w:r>
              <w:rPr>
                <w:rFonts w:ascii="Times New Roman" w:hAnsi="宋体" w:cs="宋体"/>
                <w:color w:val="auto"/>
                <w:kern w:val="0"/>
                <w:szCs w:val="24"/>
                <w:highlight w:val="none"/>
              </w:rPr>
              <w:t>5</w:t>
            </w:r>
            <w:r>
              <w:rPr>
                <w:rFonts w:hint="eastAsia" w:ascii="Times New Roman" w:hAnsi="宋体" w:cs="宋体"/>
                <w:color w:val="auto"/>
                <w:kern w:val="0"/>
                <w:szCs w:val="24"/>
                <w:highlight w:val="none"/>
              </w:rPr>
              <w:t>分</w:t>
            </w:r>
            <w:r>
              <w:rPr>
                <w:rFonts w:ascii="Times New Roman" w:hAnsi="宋体" w:cs="宋体"/>
                <w:color w:val="auto"/>
                <w:kern w:val="0"/>
                <w:szCs w:val="24"/>
                <w:highlight w:val="none"/>
              </w:rPr>
              <w:t>）</w:t>
            </w:r>
            <w:r>
              <w:rPr>
                <w:rFonts w:hint="eastAsia" w:ascii="Times New Roman" w:hAnsi="宋体" w:cs="宋体"/>
                <w:color w:val="auto"/>
                <w:kern w:val="0"/>
                <w:szCs w:val="24"/>
                <w:highlight w:val="none"/>
              </w:rPr>
              <w:t>：</w:t>
            </w:r>
            <w:r>
              <w:rPr>
                <w:rFonts w:hint="eastAsia" w:hAnsi="宋体" w:cs="宋体"/>
                <w:bCs/>
                <w:color w:val="auto"/>
                <w:szCs w:val="21"/>
                <w:highlight w:val="none"/>
              </w:rPr>
              <w:t>实施方案（包含：人员安排、管理措施、计划及生产方案、运输、验收、安装调试及运行维护等）</w:t>
            </w:r>
            <w:r>
              <w:rPr>
                <w:rFonts w:hAnsi="宋体" w:cs="宋体"/>
                <w:bCs/>
                <w:color w:val="auto"/>
                <w:szCs w:val="21"/>
                <w:highlight w:val="none"/>
              </w:rPr>
              <w:t>内容；方案针对本项目采购、运输、调试等实施的各个环节编制，在人员数量达到</w:t>
            </w:r>
            <w:r>
              <w:rPr>
                <w:rFonts w:hint="eastAsia" w:hAnsi="宋体" w:cs="宋体"/>
                <w:bCs/>
                <w:color w:val="auto"/>
                <w:szCs w:val="21"/>
                <w:highlight w:val="none"/>
              </w:rPr>
              <w:t>6</w:t>
            </w:r>
            <w:r>
              <w:rPr>
                <w:rFonts w:hAnsi="宋体" w:cs="宋体"/>
                <w:bCs/>
                <w:color w:val="auto"/>
                <w:szCs w:val="21"/>
                <w:highlight w:val="none"/>
              </w:rPr>
              <w:t>人及以上，各个环节有专项负责人员等；各环节有相应的管理措施、实施计划、应急措施及档案管理措施</w:t>
            </w:r>
            <w:r>
              <w:rPr>
                <w:rFonts w:hint="eastAsia" w:hAnsi="宋体" w:cs="宋体"/>
                <w:bCs/>
                <w:color w:val="auto"/>
                <w:szCs w:val="21"/>
                <w:highlight w:val="none"/>
              </w:rPr>
              <w:t>，内容表达清晰，符合本项目的实施。</w:t>
            </w:r>
          </w:p>
          <w:p>
            <w:pPr>
              <w:pStyle w:val="2"/>
              <w:spacing w:line="360" w:lineRule="auto"/>
              <w:ind w:firstLine="210" w:firstLineChars="100"/>
              <w:rPr>
                <w:rFonts w:hint="default"/>
                <w:color w:val="auto"/>
                <w:highlight w:val="none"/>
              </w:rPr>
            </w:pPr>
            <w:bookmarkStart w:id="204" w:name="_Hlk115080409"/>
            <w:r>
              <w:rPr>
                <w:rFonts w:hAnsi="宋体" w:cs="宋体"/>
                <w:bCs/>
                <w:color w:val="auto"/>
                <w:sz w:val="21"/>
                <w:szCs w:val="21"/>
                <w:highlight w:val="none"/>
              </w:rPr>
              <w:t>四档（2</w:t>
            </w:r>
            <w:r>
              <w:rPr>
                <w:rFonts w:hint="default" w:hAnsi="宋体" w:cs="宋体"/>
                <w:bCs/>
                <w:color w:val="auto"/>
                <w:sz w:val="21"/>
                <w:szCs w:val="21"/>
                <w:highlight w:val="none"/>
              </w:rPr>
              <w:t>0</w:t>
            </w:r>
            <w:r>
              <w:rPr>
                <w:rFonts w:hAnsi="宋体" w:cs="宋体"/>
                <w:bCs/>
                <w:color w:val="auto"/>
                <w:sz w:val="21"/>
                <w:szCs w:val="21"/>
                <w:highlight w:val="none"/>
              </w:rPr>
              <w:t>分）：实施方案（包含：人员安排、管理措施、计划及生产方案、运输、验收、安装调试及运行维护、应急、档案管理等）基本内容；方案针对本项目采购、运输、调试、验收、售后等实施的各个环节编制，在人员数量达到8人及以上，各个环节有专项负责人员等；各环节有相应的管理措施、实施计划、应急措施及档案管理措施，内容表达精准、与本项目的切合度高、便于操作与执行、专业程度一致。</w:t>
            </w:r>
          </w:p>
          <w:bookmarkEnd w:id="204"/>
          <w:p>
            <w:pPr>
              <w:spacing w:line="360" w:lineRule="auto"/>
              <w:ind w:firstLine="210" w:firstLineChars="100"/>
              <w:rPr>
                <w:rFonts w:asciiTheme="minorEastAsia" w:hAnsiTheme="minorEastAsia" w:eastAsiaTheme="minorEastAsia"/>
                <w:color w:val="auto"/>
                <w:highlight w:val="none"/>
              </w:rPr>
            </w:pPr>
            <w:r>
              <w:rPr>
                <w:rFonts w:hint="eastAsia" w:ascii="Times New Roman" w:hAnsi="宋体" w:cs="宋体"/>
                <w:color w:val="auto"/>
                <w:kern w:val="0"/>
                <w:szCs w:val="24"/>
                <w:highlight w:val="none"/>
              </w:rPr>
              <w:t>备注：不提供不得分。</w:t>
            </w:r>
          </w:p>
        </w:tc>
        <w:tc>
          <w:tcPr>
            <w:tcW w:w="1276" w:type="dxa"/>
            <w:vAlign w:val="center"/>
          </w:tcPr>
          <w:p>
            <w:pPr>
              <w:autoSpaceDE w:val="0"/>
              <w:autoSpaceDN w:val="0"/>
              <w:adjustRightInd w:val="0"/>
              <w:spacing w:line="440" w:lineRule="exact"/>
              <w:jc w:val="center"/>
              <w:rPr>
                <w:rFonts w:hAnsi="宋体"/>
                <w:b/>
                <w:color w:val="auto"/>
                <w:szCs w:val="21"/>
                <w:highlight w:val="none"/>
              </w:rPr>
            </w:pPr>
            <w:r>
              <w:rPr>
                <w:rFonts w:hint="eastAsia" w:hAnsi="宋体"/>
                <w:b/>
                <w:color w:val="auto"/>
                <w:szCs w:val="21"/>
                <w:highlight w:val="none"/>
              </w:rPr>
              <w:t>20分</w:t>
            </w:r>
            <w:r>
              <w:rPr>
                <w:rFonts w:hint="eastAsia" w:hAnsi="宋体"/>
                <w:b/>
                <w:color w:val="auto"/>
                <w:szCs w:val="21"/>
                <w:highlight w:val="none"/>
              </w:rPr>
              <w:object>
                <v:shape id="_x0000_i1025" o:spt="75" type="#_x0000_t75" style="height:687.85pt;width:473.85pt;" o:ole="t" filled="f" o:preferrelative="t" stroked="f" coordsize="21600,21600">
                  <v:path/>
                  <v:fill on="f" focussize="0,0"/>
                  <v:stroke on="f" joinstyle="miter"/>
                  <v:imagedata r:id="rId10" o:title=""/>
                  <o:lock v:ext="edit" aspectratio="t"/>
                  <w10:wrap type="none"/>
                  <w10:anchorlock/>
                </v:shape>
                <o:OLEObject Type="Embed" ProgID="Word.Document.12" ShapeID="_x0000_i1025" DrawAspect="Content" ObjectID="_1468075725" r:id="rId9">
                  <o:LockedField>false</o:LockedField>
                </o:OLEObject>
              </w:object>
            </w:r>
            <w:r>
              <w:rPr>
                <w:rFonts w:hint="eastAsia" w:hAnsi="宋体"/>
                <w:b/>
                <w:color w:val="auto"/>
                <w:szCs w:val="21"/>
                <w:highlight w:val="none"/>
              </w:rPr>
              <w:object>
                <v:shape id="_x0000_i1026" o:spt="75" type="#_x0000_t75" style="height:687.85pt;width:473.85pt;" o:ole="t" filled="f" o:preferrelative="t" stroked="f" coordsize="21600,21600">
                  <v:path/>
                  <v:fill on="f" focussize="0,0"/>
                  <v:stroke on="f" joinstyle="miter"/>
                  <v:imagedata r:id="rId12" o:title=""/>
                  <o:lock v:ext="edit" aspectratio="t"/>
                  <w10:wrap type="none"/>
                  <w10:anchorlock/>
                </v:shape>
                <o:OLEObject Type="Embed" ProgID="Word.Document.12" ShapeID="_x0000_i1026" DrawAspect="Content" ObjectID="_1468075726" r:id="rId11">
                  <o:LockedField>false</o:LockedField>
                </o:OLEObject>
              </w:object>
            </w:r>
            <w:r>
              <w:rPr>
                <w:rFonts w:hint="eastAsia" w:hAnsi="宋体"/>
                <w:b/>
                <w:color w:val="auto"/>
                <w:szCs w:val="21"/>
                <w:highlight w:val="none"/>
              </w:rPr>
              <w:object>
                <v:shape id="_x0000_i1027" o:spt="75" type="#_x0000_t75" style="height:687.85pt;width:473.85pt;" o:ole="t" filled="f" o:preferrelative="t" stroked="f" coordsize="21600,21600">
                  <v:path/>
                  <v:fill on="f" focussize="0,0"/>
                  <v:stroke on="f" joinstyle="miter"/>
                  <v:imagedata r:id="rId14" o:title=""/>
                  <o:lock v:ext="edit" aspectratio="t"/>
                  <w10:wrap type="none"/>
                  <w10:anchorlock/>
                </v:shape>
                <o:OLEObject Type="Embed" ProgID="Word.Document.12" ShapeID="_x0000_i1027" DrawAspect="Content" ObjectID="_1468075727" r:id="rId13">
                  <o:LockedField>false</o:LockedField>
                </o:OLEObject>
              </w:object>
            </w:r>
            <w:r>
              <w:rPr>
                <w:rFonts w:hint="eastAsia" w:hAnsi="宋体"/>
                <w:b/>
                <w:color w:val="auto"/>
                <w:szCs w:val="21"/>
                <w:highlight w:val="none"/>
              </w:rPr>
              <w:object>
                <v:shape id="_x0000_i1028" o:spt="75" type="#_x0000_t75" style="height:687.85pt;width:473.85pt;" o:ole="t" filled="f" o:preferrelative="t" stroked="f" coordsize="21600,21600">
                  <v:path/>
                  <v:fill on="f" focussize="0,0"/>
                  <v:stroke on="f" joinstyle="miter"/>
                  <v:imagedata r:id="rId16" o:title=""/>
                  <o:lock v:ext="edit" aspectratio="t"/>
                  <w10:wrap type="none"/>
                  <w10:anchorlock/>
                </v:shape>
                <o:OLEObject Type="Embed" ProgID="Word.Document.12" ShapeID="_x0000_i1028" DrawAspect="Content" ObjectID="_1468075728" r:id="rId15">
                  <o:LockedField>false</o:LockedField>
                </o:OLEObject>
              </w:object>
            </w:r>
            <w:r>
              <w:rPr>
                <w:rFonts w:hint="eastAsia" w:hAnsi="宋体"/>
                <w:b/>
                <w:color w:val="auto"/>
                <w:szCs w:val="21"/>
                <w:highlight w:val="none"/>
              </w:rPr>
              <w:object>
                <v:shape id="_x0000_i1029" o:spt="75" type="#_x0000_t75" style="height:687.85pt;width:473.85pt;" o:ole="t" filled="f" o:preferrelative="t" stroked="f" coordsize="21600,21600">
                  <v:path/>
                  <v:fill on="f" focussize="0,0"/>
                  <v:stroke on="f" joinstyle="miter"/>
                  <v:imagedata r:id="rId18" o:title=""/>
                  <o:lock v:ext="edit" aspectratio="t"/>
                  <w10:wrap type="none"/>
                  <w10:anchorlock/>
                </v:shape>
                <o:OLEObject Type="Embed" ProgID="Word.Document.12" ShapeID="_x0000_i1029" DrawAspect="Content" ObjectID="_1468075729"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trPr>
        <w:tc>
          <w:tcPr>
            <w:tcW w:w="1972" w:type="dxa"/>
            <w:gridSpan w:val="3"/>
            <w:vAlign w:val="center"/>
          </w:tcPr>
          <w:p>
            <w:pPr>
              <w:spacing w:line="400" w:lineRule="exact"/>
              <w:jc w:val="center"/>
              <w:rPr>
                <w:rFonts w:hAnsi="宋体"/>
                <w:b/>
                <w:color w:val="auto"/>
                <w:highlight w:val="none"/>
              </w:rPr>
            </w:pPr>
            <w:r>
              <w:rPr>
                <w:rFonts w:hint="eastAsia" w:hAnsi="宋体"/>
                <w:b/>
                <w:color w:val="auto"/>
                <w:szCs w:val="21"/>
                <w:highlight w:val="none"/>
              </w:rPr>
              <w:t>售后方案</w:t>
            </w:r>
          </w:p>
        </w:tc>
        <w:tc>
          <w:tcPr>
            <w:tcW w:w="6216" w:type="dxa"/>
            <w:gridSpan w:val="2"/>
          </w:tcPr>
          <w:p>
            <w:pPr>
              <w:spacing w:after="120" w:line="440" w:lineRule="exact"/>
              <w:rPr>
                <w:rFonts w:ascii="Times New Roman" w:hAnsi="宋体" w:cs="宋体"/>
                <w:color w:val="auto"/>
                <w:kern w:val="0"/>
                <w:szCs w:val="24"/>
                <w:highlight w:val="none"/>
              </w:rPr>
            </w:pPr>
            <w:r>
              <w:rPr>
                <w:rFonts w:hint="eastAsia" w:ascii="Times New Roman" w:hAnsi="宋体" w:cs="宋体"/>
                <w:color w:val="auto"/>
                <w:kern w:val="0"/>
                <w:szCs w:val="24"/>
                <w:highlight w:val="none"/>
              </w:rPr>
              <w:t>评委对各投标人的投标文件中售后服务承诺书内容的响应时间、维修方案、培训方案等方面，进行单独评定其档次并在相应等级内独立打分</w:t>
            </w:r>
          </w:p>
          <w:p>
            <w:pPr>
              <w:spacing w:after="120" w:line="360" w:lineRule="auto"/>
              <w:rPr>
                <w:rFonts w:ascii="Times New Roman" w:hAnsi="宋体" w:cs="宋体"/>
                <w:color w:val="auto"/>
                <w:kern w:val="0"/>
                <w:szCs w:val="24"/>
                <w:highlight w:val="none"/>
              </w:rPr>
            </w:pPr>
            <w:r>
              <w:rPr>
                <w:rFonts w:hint="eastAsia" w:ascii="Times New Roman" w:hAnsi="宋体" w:cs="宋体"/>
                <w:color w:val="auto"/>
                <w:kern w:val="0"/>
                <w:szCs w:val="24"/>
                <w:highlight w:val="none"/>
              </w:rPr>
              <w:t>一档 (</w:t>
            </w:r>
            <w:r>
              <w:rPr>
                <w:rFonts w:ascii="Times New Roman" w:hAnsi="宋体" w:cs="宋体"/>
                <w:color w:val="auto"/>
                <w:kern w:val="0"/>
                <w:szCs w:val="24"/>
                <w:highlight w:val="none"/>
              </w:rPr>
              <w:t>3</w:t>
            </w:r>
            <w:r>
              <w:rPr>
                <w:rFonts w:hint="eastAsia" w:ascii="Times New Roman" w:hAnsi="宋体" w:cs="宋体"/>
                <w:color w:val="auto"/>
                <w:kern w:val="0"/>
                <w:szCs w:val="24"/>
                <w:highlight w:val="none"/>
              </w:rPr>
              <w:t>分)：供应商在接到用户的维修电话后3小时内响应，在质量保证期内，供应商在收到设备用户第一个报修电话后，在6小时内赶到事故现场。</w:t>
            </w:r>
          </w:p>
          <w:p>
            <w:pPr>
              <w:spacing w:after="120" w:line="360" w:lineRule="auto"/>
              <w:rPr>
                <w:rFonts w:ascii="Times New Roman" w:hAnsi="宋体" w:cs="宋体"/>
                <w:color w:val="auto"/>
                <w:kern w:val="0"/>
                <w:szCs w:val="24"/>
                <w:highlight w:val="none"/>
              </w:rPr>
            </w:pPr>
            <w:r>
              <w:rPr>
                <w:rFonts w:hint="eastAsia" w:ascii="Times New Roman" w:hAnsi="宋体" w:cs="宋体"/>
                <w:color w:val="auto"/>
                <w:kern w:val="0"/>
                <w:szCs w:val="24"/>
                <w:highlight w:val="none"/>
              </w:rPr>
              <w:t>二档（</w:t>
            </w:r>
            <w:r>
              <w:rPr>
                <w:rFonts w:ascii="Times New Roman" w:hAnsi="宋体" w:cs="宋体"/>
                <w:color w:val="auto"/>
                <w:kern w:val="0"/>
                <w:szCs w:val="24"/>
                <w:highlight w:val="none"/>
              </w:rPr>
              <w:t>6</w:t>
            </w:r>
            <w:r>
              <w:rPr>
                <w:rFonts w:hint="eastAsia" w:ascii="Times New Roman" w:hAnsi="宋体" w:cs="宋体"/>
                <w:color w:val="auto"/>
                <w:kern w:val="0"/>
                <w:szCs w:val="24"/>
                <w:highlight w:val="none"/>
              </w:rPr>
              <w:t>分）：①供应商在接到用户的维修电话后2小时内响应，在质量保证期内，供应商在收到设备用户第一个报修电话后，在4小时内赶到事故现场，维修完成时间4小时，如在4小时内无法维修完成，有相应的处理措施；②有巡检回访安排；③售后人员2人。</w:t>
            </w:r>
          </w:p>
          <w:p>
            <w:pPr>
              <w:spacing w:after="120" w:line="360" w:lineRule="auto"/>
              <w:rPr>
                <w:rFonts w:ascii="Times New Roman" w:hAnsi="宋体" w:cs="宋体"/>
                <w:color w:val="auto"/>
                <w:kern w:val="0"/>
                <w:szCs w:val="24"/>
                <w:highlight w:val="none"/>
              </w:rPr>
            </w:pPr>
            <w:r>
              <w:rPr>
                <w:rFonts w:hint="eastAsia" w:ascii="Times New Roman" w:hAnsi="宋体" w:cs="宋体"/>
                <w:color w:val="auto"/>
                <w:kern w:val="0"/>
                <w:szCs w:val="24"/>
                <w:highlight w:val="none"/>
              </w:rPr>
              <w:t>三档（</w:t>
            </w:r>
            <w:r>
              <w:rPr>
                <w:rFonts w:ascii="Times New Roman" w:hAnsi="宋体" w:cs="宋体"/>
                <w:color w:val="auto"/>
                <w:kern w:val="0"/>
                <w:szCs w:val="24"/>
                <w:highlight w:val="none"/>
              </w:rPr>
              <w:t>9</w:t>
            </w:r>
            <w:r>
              <w:rPr>
                <w:rFonts w:hint="eastAsia" w:ascii="Times New Roman" w:hAnsi="宋体" w:cs="宋体"/>
                <w:color w:val="auto"/>
                <w:kern w:val="0"/>
                <w:szCs w:val="24"/>
                <w:highlight w:val="none"/>
              </w:rPr>
              <w:t>分）：①供应商在接到用户的维修电话后1小时内响应，在质量保证期内，供应商在收到设备用户第一个报修电话后，在2小时内赶到事故现场，维修完成时间2小时，如在2小时内无法维修完成，有相应的处理措施；②有巡检回访安排；③售后人员4人；④人员配备名单及分工细则⑤售后服务流程。</w:t>
            </w:r>
          </w:p>
          <w:p>
            <w:pPr>
              <w:pStyle w:val="2"/>
              <w:spacing w:line="360" w:lineRule="auto"/>
              <w:jc w:val="left"/>
              <w:rPr>
                <w:rFonts w:hint="default" w:ascii="Times New Roman" w:hAnsi="宋体" w:cs="宋体"/>
                <w:color w:val="auto"/>
                <w:kern w:val="0"/>
                <w:sz w:val="21"/>
                <w:highlight w:val="none"/>
              </w:rPr>
            </w:pPr>
            <w:r>
              <w:rPr>
                <w:rFonts w:ascii="Times New Roman" w:hAnsi="宋体" w:cs="宋体"/>
                <w:color w:val="auto"/>
                <w:kern w:val="0"/>
                <w:sz w:val="21"/>
                <w:highlight w:val="none"/>
              </w:rPr>
              <w:t>四档（1</w:t>
            </w:r>
            <w:r>
              <w:rPr>
                <w:rFonts w:hint="default" w:ascii="Times New Roman" w:hAnsi="宋体" w:cs="宋体"/>
                <w:color w:val="auto"/>
                <w:kern w:val="0"/>
                <w:sz w:val="21"/>
                <w:highlight w:val="none"/>
              </w:rPr>
              <w:t>2</w:t>
            </w:r>
            <w:r>
              <w:rPr>
                <w:rFonts w:ascii="Times New Roman" w:hAnsi="宋体" w:cs="宋体"/>
                <w:color w:val="auto"/>
                <w:kern w:val="0"/>
                <w:sz w:val="21"/>
                <w:highlight w:val="none"/>
              </w:rPr>
              <w:t>分）：①供应商在接到用户的维修电话后0.5小时内响应，在质量保证期内，供应商在收到设备用户第一个报修电话后，在1小时内赶到事故现场，维修完成时间1小时，如在1小时内无法维修完成，有相应的处理措施；②有巡检回访安排；③售后人员6人；④人员配备名单及分工细则⑤售后服务流程、售后服务质量保障措施。同时可提供证明投标人具有实现相关服务承诺的能力的证明材料。</w:t>
            </w:r>
          </w:p>
          <w:p>
            <w:pPr>
              <w:spacing w:after="120" w:line="360" w:lineRule="auto"/>
              <w:rPr>
                <w:rFonts w:ascii="Calibri" w:hAnsi="Calibri"/>
                <w:color w:val="auto"/>
                <w:szCs w:val="21"/>
                <w:highlight w:val="none"/>
              </w:rPr>
            </w:pPr>
            <w:r>
              <w:rPr>
                <w:rFonts w:hint="eastAsia" w:ascii="Times New Roman" w:hAnsi="宋体" w:cs="宋体"/>
                <w:color w:val="auto"/>
                <w:kern w:val="0"/>
                <w:szCs w:val="24"/>
                <w:highlight w:val="none"/>
              </w:rPr>
              <w:t>备注：不提供不得分。</w:t>
            </w:r>
          </w:p>
        </w:tc>
        <w:tc>
          <w:tcPr>
            <w:tcW w:w="1276" w:type="dxa"/>
            <w:vAlign w:val="center"/>
          </w:tcPr>
          <w:p>
            <w:pPr>
              <w:autoSpaceDE w:val="0"/>
              <w:autoSpaceDN w:val="0"/>
              <w:adjustRightInd w:val="0"/>
              <w:spacing w:line="440" w:lineRule="exact"/>
              <w:jc w:val="center"/>
              <w:rPr>
                <w:rFonts w:hAnsi="宋体"/>
                <w:b/>
                <w:color w:val="auto"/>
                <w:szCs w:val="21"/>
                <w:highlight w:val="none"/>
              </w:rPr>
            </w:pPr>
            <w:r>
              <w:rPr>
                <w:rFonts w:hAnsi="宋体"/>
                <w:b/>
                <w:color w:val="auto"/>
                <w:szCs w:val="21"/>
                <w:highlight w:val="none"/>
              </w:rPr>
              <w:t>12</w:t>
            </w:r>
            <w:r>
              <w:rPr>
                <w:rFonts w:hint="eastAsia" w:hAnsi="宋体"/>
                <w:b/>
                <w:color w:val="auto"/>
                <w:szCs w:val="21"/>
                <w:highlight w:val="none"/>
              </w:rPr>
              <w:t>分</w:t>
            </w:r>
          </w:p>
        </w:tc>
      </w:tr>
    </w:tbl>
    <w:p>
      <w:pPr>
        <w:spacing w:line="400" w:lineRule="exact"/>
        <w:rPr>
          <w:rFonts w:ascii="黑体" w:hAnsi="宋体" w:eastAsia="黑体"/>
          <w:b/>
          <w:color w:val="auto"/>
          <w:sz w:val="28"/>
          <w:szCs w:val="28"/>
          <w:highlight w:val="none"/>
        </w:rPr>
      </w:pPr>
      <w:r>
        <w:rPr>
          <w:rFonts w:ascii="黑体" w:hAnsi="宋体" w:eastAsia="黑体"/>
          <w:b/>
          <w:color w:val="auto"/>
          <w:sz w:val="28"/>
          <w:szCs w:val="28"/>
          <w:highlight w:val="none"/>
        </w:rPr>
        <w:br w:type="page"/>
      </w:r>
    </w:p>
    <w:p>
      <w:pPr>
        <w:spacing w:line="400" w:lineRule="exact"/>
        <w:rPr>
          <w:rFonts w:ascii="黑体" w:hAnsi="宋体" w:eastAsia="黑体"/>
          <w:b/>
          <w:color w:val="auto"/>
          <w:sz w:val="28"/>
          <w:szCs w:val="28"/>
          <w:highlight w:val="none"/>
        </w:rPr>
      </w:pPr>
    </w:p>
    <w:p>
      <w:pPr>
        <w:spacing w:line="400" w:lineRule="exact"/>
        <w:rPr>
          <w:rFonts w:ascii="黑体" w:hAnsi="宋体" w:eastAsia="黑体"/>
          <w:b/>
          <w:color w:val="auto"/>
          <w:sz w:val="28"/>
          <w:szCs w:val="28"/>
          <w:highlight w:val="none"/>
        </w:rPr>
      </w:pPr>
      <w:r>
        <w:rPr>
          <w:rFonts w:hint="eastAsia" w:ascii="黑体" w:hAnsi="宋体" w:eastAsia="黑体"/>
          <w:b/>
          <w:color w:val="auto"/>
          <w:sz w:val="28"/>
          <w:szCs w:val="28"/>
          <w:highlight w:val="none"/>
        </w:rPr>
        <w:t>评标办法和评标标准正文部分</w:t>
      </w:r>
    </w:p>
    <w:p>
      <w:pPr>
        <w:pStyle w:val="8"/>
        <w:spacing w:line="440" w:lineRule="exact"/>
        <w:rPr>
          <w:b/>
          <w:color w:val="auto"/>
          <w:szCs w:val="21"/>
          <w:highlight w:val="none"/>
        </w:rPr>
      </w:pPr>
      <w:r>
        <w:rPr>
          <w:b/>
          <w:color w:val="auto"/>
          <w:szCs w:val="21"/>
          <w:highlight w:val="none"/>
        </w:rPr>
        <w:t>1.</w:t>
      </w:r>
      <w:r>
        <w:rPr>
          <w:rFonts w:hint="eastAsia"/>
          <w:b/>
          <w:color w:val="auto"/>
          <w:szCs w:val="21"/>
          <w:highlight w:val="none"/>
        </w:rPr>
        <w:t>评标原则</w:t>
      </w:r>
    </w:p>
    <w:p>
      <w:pPr>
        <w:pStyle w:val="8"/>
        <w:spacing w:line="440" w:lineRule="exact"/>
        <w:rPr>
          <w:color w:val="auto"/>
          <w:szCs w:val="21"/>
          <w:highlight w:val="none"/>
        </w:rPr>
      </w:pPr>
      <w:r>
        <w:rPr>
          <w:color w:val="auto"/>
          <w:szCs w:val="21"/>
          <w:highlight w:val="none"/>
        </w:rPr>
        <w:t>1.1</w:t>
      </w:r>
      <w:r>
        <w:rPr>
          <w:rFonts w:hint="eastAsia"/>
          <w:color w:val="auto"/>
          <w:szCs w:val="21"/>
          <w:highlight w:val="none"/>
        </w:rPr>
        <w:t>评标活动遵循公平、公正、科学和择优的原则。</w:t>
      </w:r>
    </w:p>
    <w:p>
      <w:pPr>
        <w:spacing w:line="440" w:lineRule="exact"/>
        <w:rPr>
          <w:rFonts w:hAnsi="宋体"/>
          <w:b/>
          <w:color w:val="auto"/>
          <w:szCs w:val="21"/>
          <w:highlight w:val="none"/>
        </w:rPr>
      </w:pPr>
      <w:r>
        <w:rPr>
          <w:rFonts w:hAnsi="宋体"/>
          <w:b/>
          <w:color w:val="auto"/>
          <w:szCs w:val="21"/>
          <w:highlight w:val="none"/>
        </w:rPr>
        <w:t>2.</w:t>
      </w:r>
      <w:r>
        <w:rPr>
          <w:rFonts w:hint="eastAsia" w:hAnsi="宋体"/>
          <w:b/>
          <w:color w:val="auto"/>
          <w:szCs w:val="21"/>
          <w:highlight w:val="none"/>
        </w:rPr>
        <w:t>评标保密</w:t>
      </w:r>
    </w:p>
    <w:p>
      <w:pPr>
        <w:spacing w:line="440" w:lineRule="exact"/>
        <w:rPr>
          <w:rFonts w:hAnsi="宋体"/>
          <w:color w:val="auto"/>
          <w:szCs w:val="21"/>
          <w:highlight w:val="none"/>
        </w:rPr>
      </w:pPr>
      <w:r>
        <w:rPr>
          <w:rFonts w:hAnsi="宋体"/>
          <w:color w:val="auto"/>
          <w:szCs w:val="21"/>
          <w:highlight w:val="none"/>
        </w:rPr>
        <w:t>2.1</w:t>
      </w:r>
      <w:r>
        <w:rPr>
          <w:rFonts w:hint="eastAsia" w:hAnsi="宋体"/>
          <w:color w:val="auto"/>
          <w:szCs w:val="21"/>
          <w:highlight w:val="none"/>
        </w:rPr>
        <w:t>本采购代理机构项目负责人宣读评标现场纪律要求，集中管理通讯工具，询问在场人员是否申请回避。</w:t>
      </w:r>
    </w:p>
    <w:p>
      <w:pPr>
        <w:pStyle w:val="8"/>
        <w:spacing w:line="440" w:lineRule="exact"/>
        <w:rPr>
          <w:color w:val="auto"/>
          <w:szCs w:val="21"/>
          <w:highlight w:val="none"/>
        </w:rPr>
      </w:pPr>
      <w:r>
        <w:rPr>
          <w:color w:val="auto"/>
          <w:szCs w:val="21"/>
          <w:highlight w:val="none"/>
        </w:rPr>
        <w:t>2.2</w:t>
      </w:r>
      <w:r>
        <w:rPr>
          <w:rFonts w:hint="eastAsia"/>
          <w:color w:val="auto"/>
          <w:szCs w:val="21"/>
          <w:highlight w:val="none"/>
        </w:rPr>
        <w:t>评标在严格保密的情况下进行，任何单位和个人不得非法干预、影响评标办法和评标标准的确定，以及评标过程和结果。评标委员会成员和参与评标的有关工作人员不得透露对投标文件的评审和比较、中标候选人的推荐情况以及与评标有关的其他情况。</w:t>
      </w:r>
    </w:p>
    <w:p>
      <w:pPr>
        <w:spacing w:line="440" w:lineRule="exact"/>
        <w:jc w:val="left"/>
        <w:rPr>
          <w:rFonts w:hAnsi="宋体"/>
          <w:b/>
          <w:color w:val="auto"/>
          <w:szCs w:val="21"/>
          <w:highlight w:val="none"/>
        </w:rPr>
      </w:pPr>
      <w:r>
        <w:rPr>
          <w:rFonts w:hAnsi="宋体"/>
          <w:b/>
          <w:color w:val="auto"/>
          <w:szCs w:val="21"/>
          <w:highlight w:val="none"/>
        </w:rPr>
        <w:t>3.</w:t>
      </w:r>
      <w:r>
        <w:rPr>
          <w:rFonts w:hint="eastAsia" w:hAnsi="宋体"/>
          <w:b/>
          <w:color w:val="auto"/>
          <w:szCs w:val="21"/>
          <w:highlight w:val="none"/>
        </w:rPr>
        <w:t>评标办法和评标标准</w:t>
      </w:r>
    </w:p>
    <w:p>
      <w:pPr>
        <w:spacing w:line="440" w:lineRule="exact"/>
        <w:rPr>
          <w:rFonts w:hAnsi="宋体"/>
          <w:color w:val="auto"/>
          <w:szCs w:val="21"/>
          <w:highlight w:val="none"/>
        </w:rPr>
      </w:pPr>
      <w:r>
        <w:rPr>
          <w:rFonts w:hAnsi="宋体"/>
          <w:bCs/>
          <w:color w:val="auto"/>
          <w:szCs w:val="21"/>
          <w:highlight w:val="none"/>
        </w:rPr>
        <w:t>3.1</w:t>
      </w:r>
      <w:r>
        <w:rPr>
          <w:rFonts w:hint="eastAsia" w:hAnsi="宋体"/>
          <w:bCs/>
          <w:color w:val="auto"/>
          <w:szCs w:val="21"/>
          <w:highlight w:val="none"/>
        </w:rPr>
        <w:t>评标小组的组成：</w:t>
      </w:r>
      <w:r>
        <w:rPr>
          <w:rFonts w:hint="eastAsia" w:hAnsi="宋体"/>
          <w:color w:val="auto"/>
          <w:szCs w:val="21"/>
          <w:highlight w:val="none"/>
        </w:rPr>
        <w:t>在项目本级政府采购监督管理部门的监督下，由采购人授权</w:t>
      </w:r>
      <w:r>
        <w:rPr>
          <w:rFonts w:hint="eastAsia"/>
          <w:color w:val="auto"/>
          <w:highlight w:val="none"/>
        </w:rPr>
        <w:t>采购代理机构在贺州市政府采购云平台-贺州市本级评标专家库中随机抽取</w:t>
      </w:r>
      <w:r>
        <w:rPr>
          <w:rFonts w:hint="eastAsia" w:hAnsi="宋体"/>
          <w:color w:val="auto"/>
          <w:szCs w:val="21"/>
          <w:highlight w:val="none"/>
        </w:rPr>
        <w:t>的评标专家组成。评标委员会构成：</w:t>
      </w:r>
      <w:r>
        <w:rPr>
          <w:rFonts w:hAnsi="宋体"/>
          <w:color w:val="auto"/>
          <w:szCs w:val="21"/>
          <w:highlight w:val="none"/>
        </w:rPr>
        <w:t>5</w:t>
      </w:r>
      <w:r>
        <w:rPr>
          <w:rFonts w:hint="eastAsia" w:hAnsi="宋体"/>
          <w:color w:val="auto"/>
          <w:szCs w:val="21"/>
          <w:highlight w:val="none"/>
        </w:rPr>
        <w:t>人，其中采购人代表</w:t>
      </w:r>
      <w:r>
        <w:rPr>
          <w:rFonts w:hAnsi="宋体"/>
          <w:color w:val="auto"/>
          <w:szCs w:val="21"/>
          <w:highlight w:val="none"/>
        </w:rPr>
        <w:t>1</w:t>
      </w:r>
      <w:r>
        <w:rPr>
          <w:rFonts w:hint="eastAsia" w:hAnsi="宋体"/>
          <w:color w:val="auto"/>
          <w:szCs w:val="21"/>
          <w:highlight w:val="none"/>
        </w:rPr>
        <w:t>人，专家</w:t>
      </w:r>
      <w:r>
        <w:rPr>
          <w:rFonts w:hAnsi="宋体"/>
          <w:color w:val="auto"/>
          <w:szCs w:val="21"/>
          <w:highlight w:val="none"/>
        </w:rPr>
        <w:t>4</w:t>
      </w:r>
      <w:r>
        <w:rPr>
          <w:rFonts w:hint="eastAsia" w:hAnsi="宋体"/>
          <w:color w:val="auto"/>
          <w:szCs w:val="21"/>
          <w:highlight w:val="none"/>
        </w:rPr>
        <w:t>人。</w:t>
      </w:r>
      <w:r>
        <w:rPr>
          <w:rFonts w:hAnsi="宋体"/>
          <w:color w:val="auto"/>
          <w:szCs w:val="21"/>
          <w:highlight w:val="none"/>
        </w:rPr>
        <w:t xml:space="preserve"> </w:t>
      </w:r>
    </w:p>
    <w:p>
      <w:pPr>
        <w:spacing w:line="440" w:lineRule="exact"/>
        <w:rPr>
          <w:color w:val="auto"/>
          <w:szCs w:val="21"/>
          <w:highlight w:val="none"/>
        </w:rPr>
      </w:pPr>
      <w:r>
        <w:rPr>
          <w:rFonts w:hAnsi="宋体"/>
          <w:bCs/>
          <w:color w:val="auto"/>
          <w:szCs w:val="21"/>
          <w:highlight w:val="none"/>
        </w:rPr>
        <w:t>3.2</w:t>
      </w:r>
      <w:r>
        <w:rPr>
          <w:rFonts w:hint="eastAsia"/>
          <w:color w:val="auto"/>
          <w:szCs w:val="21"/>
          <w:highlight w:val="none"/>
        </w:rPr>
        <w:t>本次评标采用综合评分法。</w:t>
      </w:r>
      <w:r>
        <w:rPr>
          <w:color w:val="auto"/>
          <w:szCs w:val="21"/>
          <w:highlight w:val="none"/>
        </w:rPr>
        <w:t xml:space="preserve"> </w:t>
      </w:r>
    </w:p>
    <w:p>
      <w:pPr>
        <w:pStyle w:val="8"/>
        <w:spacing w:line="440" w:lineRule="exact"/>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）评标委员会按照本章“</w:t>
      </w:r>
      <w:r>
        <w:rPr>
          <w:rFonts w:hint="eastAsia"/>
          <w:bCs/>
          <w:color w:val="auto"/>
          <w:szCs w:val="21"/>
          <w:highlight w:val="none"/>
        </w:rPr>
        <w:t>评标方法和评标标准</w:t>
      </w:r>
      <w:r>
        <w:rPr>
          <w:rFonts w:hint="eastAsia"/>
          <w:color w:val="auto"/>
          <w:szCs w:val="21"/>
          <w:highlight w:val="none"/>
        </w:rPr>
        <w:t>”规定的方法、评审因素和标准对投标文件进行评审。在评标中，不得改变第六章“评标方法和评标标准”规定的方法、评审因素和标准；第六章“评标方法和评标标准”没有规定的方法、评审因素和标准，不作为评标依据。</w:t>
      </w:r>
    </w:p>
    <w:p>
      <w:pPr>
        <w:spacing w:line="440" w:lineRule="exact"/>
        <w:jc w:val="left"/>
        <w:rPr>
          <w:rFonts w:hAnsi="宋体"/>
          <w:b/>
          <w:bCs/>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评标委员会依据本章“评标方法和评标标准”对投标人投标文件进行评审。评标委员会对满足招标文件实质性要求的投标文件，按照本章详细评审标准规定的评分标准进行打分，最终评标委员会按综合得分由高到低顺序推荐中标候选人。经评审的得分分值相等时，按投标报价由低到高顺序排列；投标报价也相等的，按技术标得分由高到低顺序排列；技术标得分也相等的，按商务标得分由高到低顺序排列；商务标得分也相等的，由采购人自行确定。</w:t>
      </w:r>
    </w:p>
    <w:p>
      <w:pPr>
        <w:spacing w:line="440" w:lineRule="exact"/>
        <w:rPr>
          <w:rFonts w:hAnsi="宋体"/>
          <w:b/>
          <w:color w:val="auto"/>
          <w:szCs w:val="21"/>
          <w:highlight w:val="none"/>
        </w:rPr>
      </w:pPr>
      <w:r>
        <w:rPr>
          <w:rFonts w:hAnsi="宋体"/>
          <w:b/>
          <w:color w:val="auto"/>
          <w:szCs w:val="21"/>
          <w:highlight w:val="none"/>
        </w:rPr>
        <w:t>4.</w:t>
      </w:r>
      <w:r>
        <w:rPr>
          <w:rFonts w:hint="eastAsia" w:hAnsi="宋体"/>
          <w:b/>
          <w:color w:val="auto"/>
          <w:szCs w:val="21"/>
          <w:highlight w:val="none"/>
        </w:rPr>
        <w:t>评标程序：</w:t>
      </w:r>
    </w:p>
    <w:p>
      <w:pPr>
        <w:pStyle w:val="8"/>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）本采购代理机构项目负责人介绍项目概况及评标委员会组成情况，推选评标组长。</w:t>
      </w:r>
    </w:p>
    <w:p>
      <w:pPr>
        <w:pStyle w:val="8"/>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投标文件初步评审：依据相关法律法规和招标文件的规定，由采购人对投标人资格进行评审，评标委员会对投标人符合性评审，以确定投标供应商是否具备投标资格和确定其是否对招标文件的实质性要求和条件作出响应。</w:t>
      </w:r>
    </w:p>
    <w:p>
      <w:pPr>
        <w:pStyle w:val="8"/>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澄清有关问题：对投标文件中含义不明确、同类问题表述不一致或者有明显文字和计算错误的内容，评标委员会要求投标人作出必要的澄清、说明或者纠正。投标人的澄清、说明或者纠正不得超出投标文件的范围或者改变投标文件的实质性内容。该澄清、说明或者纠正是投标文件的组成部分。澄清将通过政采云平台线上进行。</w:t>
      </w:r>
    </w:p>
    <w:p>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）详细评审：评标委员会按招标文件中规定的评标方法和标准，对通过初步评审的投标文件进行详细评审。</w:t>
      </w:r>
    </w:p>
    <w:p>
      <w:pPr>
        <w:pStyle w:val="8"/>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）推荐中标候选人。</w:t>
      </w:r>
    </w:p>
    <w:p>
      <w:pPr>
        <w:pStyle w:val="8"/>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）编写评标报告。</w:t>
      </w:r>
    </w:p>
    <w:p>
      <w:pPr>
        <w:pStyle w:val="8"/>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7</w:t>
      </w:r>
      <w:r>
        <w:rPr>
          <w:rFonts w:hint="eastAsia" w:hAnsi="宋体"/>
          <w:color w:val="auto"/>
          <w:szCs w:val="21"/>
          <w:highlight w:val="none"/>
        </w:rPr>
        <w:t>）评标小组组长对评标过程和评分、评标结论进行核对和复核，如有错漏，请当事评委进行校正，按校正后的结果推荐中标候选人。</w:t>
      </w:r>
    </w:p>
    <w:p>
      <w:pPr>
        <w:pStyle w:val="8"/>
        <w:spacing w:line="440" w:lineRule="exact"/>
        <w:rPr>
          <w:b/>
          <w:color w:val="auto"/>
          <w:szCs w:val="21"/>
          <w:highlight w:val="none"/>
        </w:rPr>
      </w:pPr>
      <w:bookmarkStart w:id="205" w:name="_Toc75961344"/>
      <w:bookmarkStart w:id="206" w:name="_Toc498013026"/>
      <w:bookmarkStart w:id="207" w:name="_Toc78441078"/>
      <w:bookmarkStart w:id="208" w:name="_Toc498547558"/>
      <w:bookmarkStart w:id="209" w:name="_Toc498190333"/>
      <w:bookmarkStart w:id="210" w:name="_Toc498547389"/>
      <w:r>
        <w:rPr>
          <w:b/>
          <w:color w:val="auto"/>
          <w:szCs w:val="21"/>
          <w:highlight w:val="none"/>
        </w:rPr>
        <w:t>5.</w:t>
      </w:r>
      <w:r>
        <w:rPr>
          <w:rFonts w:hint="eastAsia"/>
          <w:color w:val="auto"/>
          <w:highlight w:val="none"/>
        </w:rPr>
        <w:t xml:space="preserve"> </w:t>
      </w:r>
      <w:r>
        <w:rPr>
          <w:rFonts w:hint="eastAsia"/>
          <w:b/>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8"/>
        <w:spacing w:line="440" w:lineRule="exact"/>
        <w:rPr>
          <w:rFonts w:hAnsi="宋体"/>
          <w:b/>
          <w:color w:val="auto"/>
          <w:szCs w:val="21"/>
          <w:highlight w:val="none"/>
        </w:rPr>
      </w:pPr>
      <w:r>
        <w:rPr>
          <w:rFonts w:hint="eastAsia"/>
          <w:b/>
          <w:color w:val="auto"/>
          <w:szCs w:val="21"/>
          <w:highlight w:val="none"/>
        </w:rPr>
        <w:t>投标人对采购人和评标委员会施加影响的任何行为，都将被取消投标资格。</w:t>
      </w:r>
      <w:bookmarkEnd w:id="205"/>
      <w:bookmarkEnd w:id="206"/>
      <w:bookmarkEnd w:id="207"/>
      <w:bookmarkEnd w:id="208"/>
      <w:bookmarkEnd w:id="209"/>
      <w:bookmarkEnd w:id="210"/>
    </w:p>
    <w:p>
      <w:pPr>
        <w:rPr>
          <w:color w:val="auto"/>
          <w:szCs w:val="21"/>
          <w:highlight w:val="none"/>
        </w:rPr>
      </w:pPr>
    </w:p>
    <w:p>
      <w:pPr>
        <w:rPr>
          <w:color w:val="auto"/>
          <w:highlight w:val="none"/>
        </w:rPr>
      </w:pPr>
    </w:p>
    <w:sectPr>
      <w:headerReference r:id="rId4" w:type="first"/>
      <w:footerReference r:id="rId7" w:type="first"/>
      <w:headerReference r:id="rId3" w:type="default"/>
      <w:footerReference r:id="rId5" w:type="default"/>
      <w:footerReference r:id="rId6" w:type="even"/>
      <w:pgSz w:w="11906" w:h="16838"/>
      <w:pgMar w:top="1247" w:right="1247" w:bottom="1247" w:left="1247" w:header="657" w:footer="567"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monospace">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Fonts w:asciiTheme="minorEastAsia" w:hAnsiTheme="minorEastAsia" w:eastAsiaTheme="minorEastAsia"/>
        <w:sz w:val="21"/>
        <w:szCs w:val="21"/>
        <w:lang w:eastAsia="zh-CN"/>
      </w:rPr>
    </w:pPr>
    <w:r>
      <w:rPr>
        <w:rStyle w:val="19"/>
        <w:rFonts w:asciiTheme="minorEastAsia" w:hAnsiTheme="minorEastAsia" w:eastAsiaTheme="minorEastAsia"/>
        <w:sz w:val="21"/>
        <w:szCs w:val="21"/>
        <w:lang w:eastAsia="zh-CN"/>
      </w:rPr>
      <w:fldChar w:fldCharType="begin"/>
    </w:r>
    <w:r>
      <w:rPr>
        <w:rStyle w:val="19"/>
        <w:rFonts w:asciiTheme="minorEastAsia" w:hAnsiTheme="minorEastAsia" w:eastAsiaTheme="minorEastAsia"/>
        <w:sz w:val="21"/>
        <w:szCs w:val="21"/>
        <w:lang w:eastAsia="zh-CN"/>
      </w:rPr>
      <w:instrText xml:space="preserve">PAGE  </w:instrText>
    </w:r>
    <w:r>
      <w:rPr>
        <w:rStyle w:val="19"/>
        <w:rFonts w:asciiTheme="minorEastAsia" w:hAnsiTheme="minorEastAsia" w:eastAsiaTheme="minorEastAsia"/>
        <w:sz w:val="21"/>
        <w:szCs w:val="21"/>
        <w:lang w:eastAsia="zh-CN"/>
      </w:rPr>
      <w:fldChar w:fldCharType="separate"/>
    </w:r>
    <w:r>
      <w:rPr>
        <w:rStyle w:val="19"/>
        <w:rFonts w:asciiTheme="minorEastAsia" w:hAnsiTheme="minorEastAsia" w:eastAsiaTheme="minorEastAsia"/>
        <w:sz w:val="21"/>
        <w:szCs w:val="21"/>
        <w:lang w:eastAsia="zh-CN"/>
      </w:rPr>
      <w:t>2</w:t>
    </w:r>
    <w:r>
      <w:rPr>
        <w:rStyle w:val="19"/>
        <w:rFonts w:asciiTheme="minorEastAsia" w:hAnsiTheme="minorEastAsia" w:eastAsiaTheme="minorEastAsia"/>
        <w:sz w:val="21"/>
        <w:szCs w:val="21"/>
        <w:lang w:eastAsia="zh-CN"/>
      </w:rPr>
      <w:fldChar w:fldCharType="end"/>
    </w:r>
  </w:p>
  <w:p>
    <w:pPr>
      <w:pStyle w:val="9"/>
      <w:tabs>
        <w:tab w:val="left" w:pos="4920"/>
        <w:tab w:val="center" w:pos="9356"/>
        <w:tab w:val="clear" w:pos="4153"/>
        <w:tab w:val="clear" w:pos="8306"/>
      </w:tabs>
      <w:rPr>
        <w:sz w:val="21"/>
        <w:szCs w:val="21"/>
      </w:rPr>
    </w:pPr>
    <w:r>
      <w:rPr>
        <w:rFonts w:asciiTheme="minorEastAsia" w:hAnsiTheme="minorEastAsia" w:eastAsiaTheme="minorEastAsia"/>
        <w:color w:val="000000"/>
        <w:sz w:val="21"/>
        <w:szCs w:val="21"/>
      </w:rPr>
      <w:tab/>
    </w:r>
    <w:r>
      <w:rPr>
        <w:rFonts w:hAnsi="宋体"/>
        <w:color w:val="000000"/>
        <w:sz w:val="21"/>
        <w:szCs w:val="21"/>
      </w:rPr>
      <w:tab/>
    </w:r>
    <w:r>
      <w:rPr>
        <w:rFonts w:hint="eastAsia" w:hAnsi="宋体"/>
        <w:color w:val="000000"/>
        <w:sz w:val="21"/>
        <w:szCs w:val="21"/>
      </w:rPr>
      <w:t>广西华禹工程咨询有限公司</w:t>
    </w:r>
    <w:r>
      <w:rPr>
        <w:rFonts w:hint="eastAsia"/>
        <w:sz w:val="21"/>
        <w:szCs w:val="21"/>
      </w:rPr>
      <w:t>编制</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lang w:eastAsia="zh-CN"/>
      </w:rPr>
      <w:t>1</w:t>
    </w:r>
    <w:r>
      <w:rPr>
        <w:rStyle w:val="19"/>
      </w:rPr>
      <w:fldChar w:fldCharType="end"/>
    </w:r>
  </w:p>
  <w:p>
    <w:pPr>
      <w:pStyle w:val="9"/>
      <w:ind w:right="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050" w:leftChars="100" w:hanging="840" w:hangingChars="400"/>
      <w:jc w:val="left"/>
      <w:rPr>
        <w:szCs w:val="21"/>
      </w:rPr>
    </w:pPr>
  </w:p>
  <w:p>
    <w:pPr>
      <w:ind w:left="1050" w:leftChars="100" w:hanging="840" w:hangingChars="400"/>
      <w:jc w:val="left"/>
      <w:rPr>
        <w:rFonts w:hAnsi="宋体"/>
        <w:szCs w:val="21"/>
      </w:rPr>
    </w:pPr>
    <w: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191770</wp:posOffset>
              </wp:positionV>
              <wp:extent cx="5905500" cy="28575"/>
              <wp:effectExtent l="0" t="6350" r="0" b="22225"/>
              <wp:wrapNone/>
              <wp:docPr id="1" name="直接连接符 1"/>
              <wp:cNvGraphicFramePr/>
              <a:graphic xmlns:a="http://schemas.openxmlformats.org/drawingml/2006/main">
                <a:graphicData uri="http://schemas.microsoft.com/office/word/2010/wordprocessingShape">
                  <wps:wsp>
                    <wps:cNvCnPr/>
                    <wps:spPr>
                      <a:xfrm>
                        <a:off x="842010" y="743585"/>
                        <a:ext cx="5905500" cy="285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5pt;margin-top:15.1pt;height:2.25pt;width:465pt;z-index:251659264;mso-width-relative:page;mso-height-relative:page;" filled="f" stroked="t" coordsize="21600,21600" o:gfxdata="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CXN1gAAAAcBAAAPAAAAAAAAAAEAIAAAACIAAABkcnMvZG93bnJldi54bWxQSwECFAAUAAAA&#10;CACHTuJAKm5io/ABAADAAwAADgAAAAAAAAABACAAAAAlAQAAZHJzL2Uyb0RvYy54bWxQSwUGAAAA&#10;AAYABgBZAQAAhwUAAAAA&#10;">
              <v:fill on="f" focussize="0,0"/>
              <v:stroke weight="1pt" color="#000000 [3213]" miterlimit="8" joinstyle="miter"/>
              <v:imagedata o:title=""/>
              <o:lock v:ext="edit" aspectratio="f"/>
            </v:line>
          </w:pict>
        </mc:Fallback>
      </mc:AlternateContent>
    </w:r>
    <w:r>
      <w:rPr>
        <w:rFonts w:hint="eastAsia"/>
        <w:szCs w:val="21"/>
      </w:rPr>
      <w:t xml:space="preserve">项目名称：平桂区2022年垃圾治理项目                  </w:t>
    </w:r>
    <w:r>
      <w:rPr>
        <w:rFonts w:hint="eastAsia" w:hAnsi="宋体" w:cs="宋体"/>
        <w:kern w:val="0"/>
        <w:szCs w:val="21"/>
      </w:rPr>
      <w:t>项目编号：HZZC2022-G1-030212-GXHY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Verdana" w:hAnsi="Verdana"/>
        <w:lang w:eastAsia="en-US"/>
      </w:rPr>
    </w:pPr>
    <w:r>
      <w:rPr>
        <w:rFonts w:ascii="Verdana" w:hAnsi="Verdana"/>
        <w:lang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517"/>
    <w:multiLevelType w:val="singleLevel"/>
    <w:tmpl w:val="F9E2B517"/>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5OGFiYTlhN2IzMGMwNjBjMTZjNmRjOTdjNmQwOGUifQ=="/>
  </w:docVars>
  <w:rsids>
    <w:rsidRoot w:val="3FF1460F"/>
    <w:rsid w:val="000068CC"/>
    <w:rsid w:val="0007032D"/>
    <w:rsid w:val="00122888"/>
    <w:rsid w:val="0013181E"/>
    <w:rsid w:val="001C0817"/>
    <w:rsid w:val="001D1613"/>
    <w:rsid w:val="0021588D"/>
    <w:rsid w:val="00266833"/>
    <w:rsid w:val="002852E1"/>
    <w:rsid w:val="002F0F09"/>
    <w:rsid w:val="00326851"/>
    <w:rsid w:val="0035649D"/>
    <w:rsid w:val="003702B8"/>
    <w:rsid w:val="00383543"/>
    <w:rsid w:val="003912DA"/>
    <w:rsid w:val="003B4CC3"/>
    <w:rsid w:val="004653EB"/>
    <w:rsid w:val="004902E6"/>
    <w:rsid w:val="00497EA0"/>
    <w:rsid w:val="004D02FA"/>
    <w:rsid w:val="0050609A"/>
    <w:rsid w:val="0055435C"/>
    <w:rsid w:val="005B527F"/>
    <w:rsid w:val="00622F7D"/>
    <w:rsid w:val="006B7139"/>
    <w:rsid w:val="006C3192"/>
    <w:rsid w:val="006E00C5"/>
    <w:rsid w:val="006F46D5"/>
    <w:rsid w:val="00781791"/>
    <w:rsid w:val="00800E62"/>
    <w:rsid w:val="008641BD"/>
    <w:rsid w:val="00876680"/>
    <w:rsid w:val="00884A13"/>
    <w:rsid w:val="008950B2"/>
    <w:rsid w:val="008A70D1"/>
    <w:rsid w:val="008B56C1"/>
    <w:rsid w:val="008D7055"/>
    <w:rsid w:val="008E3854"/>
    <w:rsid w:val="009603B0"/>
    <w:rsid w:val="00970BE8"/>
    <w:rsid w:val="00983D2A"/>
    <w:rsid w:val="009E39E8"/>
    <w:rsid w:val="00A61129"/>
    <w:rsid w:val="00A805B4"/>
    <w:rsid w:val="00AB61D4"/>
    <w:rsid w:val="00AE47CD"/>
    <w:rsid w:val="00B074F2"/>
    <w:rsid w:val="00B13968"/>
    <w:rsid w:val="00BA0906"/>
    <w:rsid w:val="00BE01D8"/>
    <w:rsid w:val="00BF5421"/>
    <w:rsid w:val="00BF5AA2"/>
    <w:rsid w:val="00C00D6B"/>
    <w:rsid w:val="00C20918"/>
    <w:rsid w:val="00C81530"/>
    <w:rsid w:val="00CB318B"/>
    <w:rsid w:val="00CC1A79"/>
    <w:rsid w:val="00CC6BAE"/>
    <w:rsid w:val="00CD398A"/>
    <w:rsid w:val="00DB3FAD"/>
    <w:rsid w:val="00DB5714"/>
    <w:rsid w:val="00DF29D8"/>
    <w:rsid w:val="00E00CB1"/>
    <w:rsid w:val="00E1624C"/>
    <w:rsid w:val="00E276DB"/>
    <w:rsid w:val="00E42217"/>
    <w:rsid w:val="00E71090"/>
    <w:rsid w:val="00E87867"/>
    <w:rsid w:val="00E87DED"/>
    <w:rsid w:val="00EF7B05"/>
    <w:rsid w:val="00F76935"/>
    <w:rsid w:val="00FB0458"/>
    <w:rsid w:val="00FB4EBA"/>
    <w:rsid w:val="00FD6D40"/>
    <w:rsid w:val="00FE4E5C"/>
    <w:rsid w:val="00FF3DE5"/>
    <w:rsid w:val="017F602D"/>
    <w:rsid w:val="019056F6"/>
    <w:rsid w:val="02047275"/>
    <w:rsid w:val="02142939"/>
    <w:rsid w:val="02670F2C"/>
    <w:rsid w:val="028B0803"/>
    <w:rsid w:val="029D6A2E"/>
    <w:rsid w:val="031C177E"/>
    <w:rsid w:val="03B04470"/>
    <w:rsid w:val="04AA2F5E"/>
    <w:rsid w:val="055A27E8"/>
    <w:rsid w:val="083245C7"/>
    <w:rsid w:val="08B035FE"/>
    <w:rsid w:val="094D16B8"/>
    <w:rsid w:val="0963231C"/>
    <w:rsid w:val="0A0976D6"/>
    <w:rsid w:val="0B144BD0"/>
    <w:rsid w:val="0B4341A5"/>
    <w:rsid w:val="0B49166A"/>
    <w:rsid w:val="0B9F66BA"/>
    <w:rsid w:val="0BC96743"/>
    <w:rsid w:val="0C1704AC"/>
    <w:rsid w:val="0C2F795A"/>
    <w:rsid w:val="0C6851BB"/>
    <w:rsid w:val="0CB27204"/>
    <w:rsid w:val="0D197B03"/>
    <w:rsid w:val="0DD57ECE"/>
    <w:rsid w:val="0E372F95"/>
    <w:rsid w:val="0F200A61"/>
    <w:rsid w:val="0F814DAD"/>
    <w:rsid w:val="105F01DB"/>
    <w:rsid w:val="10A10D68"/>
    <w:rsid w:val="10DE566E"/>
    <w:rsid w:val="11FC327F"/>
    <w:rsid w:val="12256DB2"/>
    <w:rsid w:val="12EA61CA"/>
    <w:rsid w:val="1393060F"/>
    <w:rsid w:val="13E3176E"/>
    <w:rsid w:val="14362768"/>
    <w:rsid w:val="150163CA"/>
    <w:rsid w:val="16782D39"/>
    <w:rsid w:val="168A2AF7"/>
    <w:rsid w:val="16A44B2E"/>
    <w:rsid w:val="16DD4B29"/>
    <w:rsid w:val="16EB2322"/>
    <w:rsid w:val="16F3323A"/>
    <w:rsid w:val="17103C82"/>
    <w:rsid w:val="175E3E19"/>
    <w:rsid w:val="184C6FDF"/>
    <w:rsid w:val="18857341"/>
    <w:rsid w:val="189F5638"/>
    <w:rsid w:val="1A2D10EE"/>
    <w:rsid w:val="1B4C2366"/>
    <w:rsid w:val="1D4B7AEE"/>
    <w:rsid w:val="1D68610B"/>
    <w:rsid w:val="1E06043F"/>
    <w:rsid w:val="1E694C6D"/>
    <w:rsid w:val="1F6D66B0"/>
    <w:rsid w:val="1F8B2AE2"/>
    <w:rsid w:val="1F8B4890"/>
    <w:rsid w:val="1F952153"/>
    <w:rsid w:val="1FCF29CF"/>
    <w:rsid w:val="208F1E39"/>
    <w:rsid w:val="21771570"/>
    <w:rsid w:val="218C3CD8"/>
    <w:rsid w:val="22B26187"/>
    <w:rsid w:val="23604388"/>
    <w:rsid w:val="2393640A"/>
    <w:rsid w:val="23CC672E"/>
    <w:rsid w:val="23FF13A9"/>
    <w:rsid w:val="25B00D06"/>
    <w:rsid w:val="277F4CDB"/>
    <w:rsid w:val="27806331"/>
    <w:rsid w:val="281201F9"/>
    <w:rsid w:val="29BC423E"/>
    <w:rsid w:val="2A9B168E"/>
    <w:rsid w:val="2AA66A22"/>
    <w:rsid w:val="2AEA67A5"/>
    <w:rsid w:val="2B5D72D6"/>
    <w:rsid w:val="2B810EB9"/>
    <w:rsid w:val="2CDC674B"/>
    <w:rsid w:val="2DF6029A"/>
    <w:rsid w:val="2E1F2D74"/>
    <w:rsid w:val="2E7035CF"/>
    <w:rsid w:val="2EB84E21"/>
    <w:rsid w:val="305E20A1"/>
    <w:rsid w:val="31A0241D"/>
    <w:rsid w:val="321C3D78"/>
    <w:rsid w:val="32F20122"/>
    <w:rsid w:val="33DC7515"/>
    <w:rsid w:val="35C9093A"/>
    <w:rsid w:val="35E65F17"/>
    <w:rsid w:val="35FE5964"/>
    <w:rsid w:val="367F7C20"/>
    <w:rsid w:val="3724506D"/>
    <w:rsid w:val="37C41EDC"/>
    <w:rsid w:val="38E17D08"/>
    <w:rsid w:val="39566E3E"/>
    <w:rsid w:val="39FA2C45"/>
    <w:rsid w:val="3ACC005D"/>
    <w:rsid w:val="3CC1470D"/>
    <w:rsid w:val="3EB17D07"/>
    <w:rsid w:val="3EBC460F"/>
    <w:rsid w:val="3F253F62"/>
    <w:rsid w:val="3F427FCC"/>
    <w:rsid w:val="3FF1460F"/>
    <w:rsid w:val="407B7050"/>
    <w:rsid w:val="40EB3103"/>
    <w:rsid w:val="41323CEC"/>
    <w:rsid w:val="413606A8"/>
    <w:rsid w:val="41FE50A1"/>
    <w:rsid w:val="420E1812"/>
    <w:rsid w:val="43741014"/>
    <w:rsid w:val="43D23B7C"/>
    <w:rsid w:val="445A645C"/>
    <w:rsid w:val="445F3A72"/>
    <w:rsid w:val="44BB100A"/>
    <w:rsid w:val="44FD4407"/>
    <w:rsid w:val="45E05087"/>
    <w:rsid w:val="461F40D3"/>
    <w:rsid w:val="46401681"/>
    <w:rsid w:val="46FA6535"/>
    <w:rsid w:val="475D10A9"/>
    <w:rsid w:val="479867FC"/>
    <w:rsid w:val="47CB0D39"/>
    <w:rsid w:val="481659E2"/>
    <w:rsid w:val="4876582E"/>
    <w:rsid w:val="48DD3AFF"/>
    <w:rsid w:val="492857D1"/>
    <w:rsid w:val="496555C0"/>
    <w:rsid w:val="4B054150"/>
    <w:rsid w:val="4BF26606"/>
    <w:rsid w:val="4C510EB0"/>
    <w:rsid w:val="4C8033B9"/>
    <w:rsid w:val="4D986247"/>
    <w:rsid w:val="4E4C3EE4"/>
    <w:rsid w:val="4EB908F5"/>
    <w:rsid w:val="4EFD543E"/>
    <w:rsid w:val="4FE018A1"/>
    <w:rsid w:val="50AD39F2"/>
    <w:rsid w:val="50F34987"/>
    <w:rsid w:val="51776B62"/>
    <w:rsid w:val="51872650"/>
    <w:rsid w:val="527D2952"/>
    <w:rsid w:val="528D3EA0"/>
    <w:rsid w:val="52A47EF6"/>
    <w:rsid w:val="52E26C7E"/>
    <w:rsid w:val="53034162"/>
    <w:rsid w:val="532E49FE"/>
    <w:rsid w:val="54187C32"/>
    <w:rsid w:val="54BA54C6"/>
    <w:rsid w:val="54F975CB"/>
    <w:rsid w:val="554271C4"/>
    <w:rsid w:val="55494FB9"/>
    <w:rsid w:val="561B7A15"/>
    <w:rsid w:val="56A844A6"/>
    <w:rsid w:val="56F747FF"/>
    <w:rsid w:val="57323B18"/>
    <w:rsid w:val="576B09CF"/>
    <w:rsid w:val="577F4923"/>
    <w:rsid w:val="581139AB"/>
    <w:rsid w:val="59AA1124"/>
    <w:rsid w:val="5A393967"/>
    <w:rsid w:val="5B562EDC"/>
    <w:rsid w:val="5BF85E15"/>
    <w:rsid w:val="5CBA5070"/>
    <w:rsid w:val="5CD25B3B"/>
    <w:rsid w:val="5CEE7C31"/>
    <w:rsid w:val="5D2B7191"/>
    <w:rsid w:val="5E1F7B7F"/>
    <w:rsid w:val="5E2F1C9E"/>
    <w:rsid w:val="5E824AD5"/>
    <w:rsid w:val="5EB25297"/>
    <w:rsid w:val="5F54435D"/>
    <w:rsid w:val="606F4BE5"/>
    <w:rsid w:val="60E76E71"/>
    <w:rsid w:val="613E6D36"/>
    <w:rsid w:val="63DC0C30"/>
    <w:rsid w:val="64D13A7A"/>
    <w:rsid w:val="64E34233"/>
    <w:rsid w:val="661C580F"/>
    <w:rsid w:val="66B5531C"/>
    <w:rsid w:val="678E0047"/>
    <w:rsid w:val="69207E48"/>
    <w:rsid w:val="69886EDB"/>
    <w:rsid w:val="698F03F7"/>
    <w:rsid w:val="69AD39B4"/>
    <w:rsid w:val="6A36288A"/>
    <w:rsid w:val="6AC03EA6"/>
    <w:rsid w:val="6B054ADF"/>
    <w:rsid w:val="6B353853"/>
    <w:rsid w:val="6B8C3774"/>
    <w:rsid w:val="6BAE0B23"/>
    <w:rsid w:val="6CD75FEC"/>
    <w:rsid w:val="6D3719AB"/>
    <w:rsid w:val="6D48513C"/>
    <w:rsid w:val="6D521B17"/>
    <w:rsid w:val="6D6F6D33"/>
    <w:rsid w:val="6DD644F6"/>
    <w:rsid w:val="6EA209AB"/>
    <w:rsid w:val="6FEC6C22"/>
    <w:rsid w:val="703D085C"/>
    <w:rsid w:val="708D6549"/>
    <w:rsid w:val="70CC441C"/>
    <w:rsid w:val="710D5505"/>
    <w:rsid w:val="714D4ACF"/>
    <w:rsid w:val="72D14428"/>
    <w:rsid w:val="73010267"/>
    <w:rsid w:val="730C2768"/>
    <w:rsid w:val="737F118B"/>
    <w:rsid w:val="73CE34C4"/>
    <w:rsid w:val="73E07F01"/>
    <w:rsid w:val="73FA138E"/>
    <w:rsid w:val="74393A30"/>
    <w:rsid w:val="745647BD"/>
    <w:rsid w:val="748E5B2A"/>
    <w:rsid w:val="751E7254"/>
    <w:rsid w:val="752D502B"/>
    <w:rsid w:val="7572523B"/>
    <w:rsid w:val="75C747FB"/>
    <w:rsid w:val="76451D83"/>
    <w:rsid w:val="77C2329C"/>
    <w:rsid w:val="77F71C38"/>
    <w:rsid w:val="78151B0D"/>
    <w:rsid w:val="7AC83418"/>
    <w:rsid w:val="7AD37399"/>
    <w:rsid w:val="7B9D2E1F"/>
    <w:rsid w:val="7BBD4D1B"/>
    <w:rsid w:val="7BEC3FC2"/>
    <w:rsid w:val="7C38055A"/>
    <w:rsid w:val="7C696D26"/>
    <w:rsid w:val="7C7C058E"/>
    <w:rsid w:val="7CC52305"/>
    <w:rsid w:val="7CF84488"/>
    <w:rsid w:val="7D2002A2"/>
    <w:rsid w:val="7D67555F"/>
    <w:rsid w:val="7D8B608B"/>
    <w:rsid w:val="7DDE3A7B"/>
    <w:rsid w:val="7F1401E9"/>
    <w:rsid w:val="7F556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Times New Roman"/>
      <w:kern w:val="2"/>
      <w:sz w:val="21"/>
      <w:lang w:val="en-US" w:eastAsia="zh-CN" w:bidi="ar-SA"/>
    </w:rPr>
  </w:style>
  <w:style w:type="paragraph" w:styleId="3">
    <w:name w:val="heading 1"/>
    <w:basedOn w:val="1"/>
    <w:next w:val="1"/>
    <w:qFormat/>
    <w:uiPriority w:val="99"/>
    <w:pPr>
      <w:keepNext/>
      <w:outlineLvl w:val="0"/>
    </w:pPr>
    <w:rPr>
      <w:rFonts w:ascii="Times New Roman" w:hAnsi="宋体"/>
      <w:szCs w:val="24"/>
      <w:u w:val="single"/>
    </w:rPr>
  </w:style>
  <w:style w:type="paragraph" w:styleId="2">
    <w:name w:val="heading 2"/>
    <w:basedOn w:val="1"/>
    <w:next w:val="1"/>
    <w:qFormat/>
    <w:uiPriority w:val="1"/>
    <w:pPr>
      <w:ind w:left="3"/>
      <w:outlineLvl w:val="1"/>
    </w:pPr>
    <w:rPr>
      <w:rFonts w:hint="eastAsia"/>
      <w:sz w:val="44"/>
      <w:szCs w:val="24"/>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Normal Indent"/>
    <w:basedOn w:val="1"/>
    <w:next w:val="5"/>
    <w:qFormat/>
    <w:uiPriority w:val="0"/>
    <w:pPr>
      <w:widowControl/>
      <w:ind w:firstLine="420"/>
      <w:jc w:val="left"/>
    </w:pPr>
    <w:rPr>
      <w:sz w:val="20"/>
    </w:rPr>
  </w:style>
  <w:style w:type="paragraph" w:styleId="5">
    <w:name w:val="Body Text"/>
    <w:basedOn w:val="1"/>
    <w:next w:val="1"/>
    <w:qFormat/>
    <w:uiPriority w:val="99"/>
    <w:pPr>
      <w:spacing w:after="120"/>
    </w:pPr>
  </w:style>
  <w:style w:type="paragraph" w:styleId="6">
    <w:name w:val="annotation text"/>
    <w:basedOn w:val="1"/>
    <w:link w:val="37"/>
    <w:qFormat/>
    <w:uiPriority w:val="0"/>
    <w:pPr>
      <w:jc w:val="left"/>
    </w:pPr>
  </w:style>
  <w:style w:type="paragraph" w:styleId="7">
    <w:name w:val="List 2"/>
    <w:basedOn w:val="1"/>
    <w:qFormat/>
    <w:uiPriority w:val="0"/>
    <w:pPr>
      <w:ind w:left="100" w:leftChars="200" w:hanging="200" w:hangingChars="200"/>
      <w:contextualSpacing/>
    </w:pPr>
  </w:style>
  <w:style w:type="paragraph" w:styleId="8">
    <w:name w:val="Plain Text"/>
    <w:basedOn w:val="1"/>
    <w:qFormat/>
    <w:uiPriority w:val="0"/>
    <w:rPr>
      <w:kern w:val="0"/>
    </w:rPr>
  </w:style>
  <w:style w:type="paragraph" w:styleId="9">
    <w:name w:val="footer"/>
    <w:basedOn w:val="1"/>
    <w:next w:val="1"/>
    <w:qFormat/>
    <w:uiPriority w:val="99"/>
    <w:pPr>
      <w:tabs>
        <w:tab w:val="center" w:pos="4153"/>
        <w:tab w:val="right" w:pos="8306"/>
      </w:tabs>
      <w:snapToGrid w:val="0"/>
      <w:jc w:val="left"/>
    </w:pPr>
    <w:rPr>
      <w:sz w:val="18"/>
    </w:rPr>
  </w:style>
  <w:style w:type="paragraph" w:styleId="10">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Times New Roman" w:hAnsi="Times New Roman"/>
      <w:b/>
      <w:bCs/>
      <w:caps/>
      <w:sz w:val="20"/>
    </w:rPr>
  </w:style>
  <w:style w:type="paragraph" w:styleId="12">
    <w:name w:val="index heading"/>
    <w:basedOn w:val="1"/>
    <w:next w:val="13"/>
    <w:qFormat/>
    <w:uiPriority w:val="0"/>
    <w:rPr>
      <w:rFonts w:ascii="Times New Roman" w:hAnsi="Times New Roman"/>
      <w:szCs w:val="21"/>
    </w:rPr>
  </w:style>
  <w:style w:type="paragraph" w:styleId="13">
    <w:name w:val="index 1"/>
    <w:basedOn w:val="1"/>
    <w:next w:val="1"/>
    <w:qFormat/>
    <w:uiPriority w:val="0"/>
    <w:rPr>
      <w:rFonts w:ascii="Times New Roman" w:hAnsi="Times New Roman"/>
    </w:rPr>
  </w:style>
  <w:style w:type="paragraph" w:styleId="14">
    <w:name w:val="toc 2"/>
    <w:basedOn w:val="1"/>
    <w:next w:val="1"/>
    <w:qFormat/>
    <w:uiPriority w:val="39"/>
    <w:pPr>
      <w:ind w:left="210"/>
      <w:jc w:val="left"/>
    </w:pPr>
    <w:rPr>
      <w:rFonts w:ascii="Times New Roman" w:hAnsi="Times New Roman"/>
      <w:smallCaps/>
      <w:sz w:val="20"/>
    </w:rPr>
  </w:style>
  <w:style w:type="paragraph" w:styleId="15">
    <w:name w:val="Normal (Web)"/>
    <w:basedOn w:val="1"/>
    <w:qFormat/>
    <w:uiPriority w:val="0"/>
    <w:rPr>
      <w:sz w:val="24"/>
    </w:rPr>
  </w:style>
  <w:style w:type="paragraph" w:styleId="16">
    <w:name w:val="annotation subject"/>
    <w:basedOn w:val="6"/>
    <w:next w:val="6"/>
    <w:link w:val="38"/>
    <w:qFormat/>
    <w:uiPriority w:val="0"/>
    <w:rPr>
      <w:b/>
      <w:bCs/>
    </w:rPr>
  </w:style>
  <w:style w:type="character" w:styleId="19">
    <w:name w:val="page number"/>
    <w:qFormat/>
    <w:uiPriority w:val="99"/>
    <w:rPr>
      <w:rFonts w:ascii="Verdana" w:hAnsi="Verdana" w:eastAsia="宋体" w:cs="Times New Roman"/>
      <w:lang w:val="en-US" w:eastAsia="en-US" w:bidi="ar-SA"/>
    </w:rPr>
  </w:style>
  <w:style w:type="character" w:styleId="20">
    <w:name w:val="FollowedHyperlink"/>
    <w:basedOn w:val="18"/>
    <w:qFormat/>
    <w:uiPriority w:val="0"/>
    <w:rPr>
      <w:color w:val="800080"/>
      <w:u w:val="none"/>
    </w:rPr>
  </w:style>
  <w:style w:type="character" w:styleId="21">
    <w:name w:val="HTML Definition"/>
    <w:basedOn w:val="18"/>
    <w:qFormat/>
    <w:uiPriority w:val="0"/>
  </w:style>
  <w:style w:type="character" w:styleId="22">
    <w:name w:val="HTML Typewriter"/>
    <w:basedOn w:val="18"/>
    <w:qFormat/>
    <w:uiPriority w:val="0"/>
    <w:rPr>
      <w:rFonts w:hint="default" w:ascii="monospace" w:hAnsi="monospace" w:eastAsia="monospace" w:cs="monospace"/>
      <w:sz w:val="20"/>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qFormat/>
    <w:uiPriority w:val="99"/>
    <w:rPr>
      <w:rFonts w:ascii="Verdana" w:hAnsi="Verdana" w:eastAsia="宋体" w:cs="Times New Roman"/>
      <w:color w:val="0000FF"/>
      <w:u w:val="single"/>
      <w:lang w:val="en-US" w:eastAsia="en-US"/>
    </w:rPr>
  </w:style>
  <w:style w:type="character" w:styleId="26">
    <w:name w:val="HTML Code"/>
    <w:basedOn w:val="18"/>
    <w:qFormat/>
    <w:uiPriority w:val="0"/>
    <w:rPr>
      <w:rFonts w:ascii="monospace" w:hAnsi="monospace" w:eastAsia="monospace" w:cs="monospace"/>
      <w:sz w:val="20"/>
    </w:rPr>
  </w:style>
  <w:style w:type="character" w:styleId="27">
    <w:name w:val="annotation reference"/>
    <w:basedOn w:val="18"/>
    <w:qFormat/>
    <w:uiPriority w:val="0"/>
    <w:rPr>
      <w:sz w:val="21"/>
      <w:szCs w:val="21"/>
    </w:rPr>
  </w:style>
  <w:style w:type="character" w:styleId="28">
    <w:name w:val="HTML Cite"/>
    <w:basedOn w:val="18"/>
    <w:qFormat/>
    <w:uiPriority w:val="0"/>
  </w:style>
  <w:style w:type="character" w:styleId="29">
    <w:name w:val="HTML Keyboard"/>
    <w:basedOn w:val="18"/>
    <w:qFormat/>
    <w:uiPriority w:val="0"/>
    <w:rPr>
      <w:rFonts w:hint="default" w:ascii="monospace" w:hAnsi="monospace" w:eastAsia="monospace" w:cs="monospace"/>
      <w:sz w:val="20"/>
    </w:rPr>
  </w:style>
  <w:style w:type="character" w:styleId="30">
    <w:name w:val="HTML Sample"/>
    <w:basedOn w:val="18"/>
    <w:qFormat/>
    <w:uiPriority w:val="0"/>
    <w:rPr>
      <w:rFonts w:hint="default" w:ascii="monospace" w:hAnsi="monospace" w:eastAsia="monospace" w:cs="monospace"/>
    </w:rPr>
  </w:style>
  <w:style w:type="character" w:customStyle="1" w:styleId="31">
    <w:name w:val="first-child"/>
    <w:basedOn w:val="18"/>
    <w:qFormat/>
    <w:uiPriority w:val="0"/>
  </w:style>
  <w:style w:type="character" w:customStyle="1" w:styleId="32">
    <w:name w:val="layui-layer-tabnow"/>
    <w:basedOn w:val="18"/>
    <w:qFormat/>
    <w:uiPriority w:val="0"/>
    <w:rPr>
      <w:bdr w:val="single" w:color="CCCCCC" w:sz="6" w:space="0"/>
      <w:shd w:val="clear" w:color="auto" w:fill="FFFFFF"/>
    </w:rPr>
  </w:style>
  <w:style w:type="paragraph" w:customStyle="1" w:styleId="33">
    <w:name w:val="UserStyle_71"/>
    <w:basedOn w:val="34"/>
    <w:qFormat/>
    <w:uiPriority w:val="0"/>
    <w:pPr>
      <w:ind w:firstLine="420"/>
    </w:pPr>
  </w:style>
  <w:style w:type="paragraph" w:customStyle="1" w:styleId="34">
    <w:name w:val="UserStyle_72"/>
    <w:basedOn w:val="1"/>
    <w:qFormat/>
    <w:uiPriority w:val="0"/>
    <w:pPr>
      <w:snapToGrid w:val="0"/>
      <w:spacing w:line="400" w:lineRule="exact"/>
      <w:ind w:firstLine="560" w:firstLineChars="200"/>
      <w:textAlignment w:val="baseline"/>
    </w:pPr>
    <w:rPr>
      <w:rFonts w:ascii="Times New Roman" w:hAnsi="Times New Roman"/>
      <w:sz w:val="28"/>
      <w:szCs w:val="24"/>
    </w:rPr>
  </w:style>
  <w:style w:type="character" w:customStyle="1" w:styleId="35">
    <w:name w:val="NormalCharacter"/>
    <w:qFormat/>
    <w:uiPriority w:val="0"/>
    <w:rPr>
      <w:kern w:val="2"/>
      <w:sz w:val="21"/>
      <w:szCs w:val="24"/>
      <w:lang w:val="en-US" w:eastAsia="zh-CN" w:bidi="ar-SA"/>
    </w:rPr>
  </w:style>
  <w:style w:type="character" w:customStyle="1" w:styleId="36">
    <w:name w:val="font21"/>
    <w:qFormat/>
    <w:uiPriority w:val="0"/>
    <w:rPr>
      <w:rFonts w:hint="eastAsia" w:ascii="宋体" w:hAnsi="宋体" w:eastAsia="宋体" w:cs="宋体"/>
      <w:color w:val="000000"/>
      <w:sz w:val="22"/>
      <w:szCs w:val="22"/>
      <w:u w:val="none"/>
    </w:rPr>
  </w:style>
  <w:style w:type="character" w:customStyle="1" w:styleId="37">
    <w:name w:val="批注文字 字符"/>
    <w:basedOn w:val="18"/>
    <w:link w:val="6"/>
    <w:qFormat/>
    <w:uiPriority w:val="0"/>
    <w:rPr>
      <w:rFonts w:ascii="宋体" w:hAnsi="Courier New"/>
      <w:kern w:val="2"/>
      <w:sz w:val="21"/>
    </w:rPr>
  </w:style>
  <w:style w:type="character" w:customStyle="1" w:styleId="38">
    <w:name w:val="批注主题 字符"/>
    <w:basedOn w:val="37"/>
    <w:link w:val="16"/>
    <w:qFormat/>
    <w:uiPriority w:val="0"/>
    <w:rPr>
      <w:rFonts w:ascii="宋体" w:hAnsi="Courier New"/>
      <w:b/>
      <w:bCs/>
      <w:kern w:val="2"/>
      <w:sz w:val="21"/>
    </w:rPr>
  </w:style>
  <w:style w:type="character" w:customStyle="1" w:styleId="39">
    <w:name w:val="页眉 字符"/>
    <w:basedOn w:val="18"/>
    <w:link w:val="10"/>
    <w:qFormat/>
    <w:uiPriority w:val="0"/>
    <w:rPr>
      <w:rFonts w:ascii="宋体" w:hAnsi="Courier New"/>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package" Target="embeddings/Document1.docx"/><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emf"/><Relationship Id="rId17" Type="http://schemas.openxmlformats.org/officeDocument/2006/relationships/package" Target="embeddings/Document5.docx"/><Relationship Id="rId16" Type="http://schemas.openxmlformats.org/officeDocument/2006/relationships/image" Target="media/image4.emf"/><Relationship Id="rId15" Type="http://schemas.openxmlformats.org/officeDocument/2006/relationships/package" Target="embeddings/Document4.docx"/><Relationship Id="rId14" Type="http://schemas.openxmlformats.org/officeDocument/2006/relationships/image" Target="media/image3.emf"/><Relationship Id="rId13" Type="http://schemas.openxmlformats.org/officeDocument/2006/relationships/package" Target="embeddings/Document3.docx"/><Relationship Id="rId12" Type="http://schemas.openxmlformats.org/officeDocument/2006/relationships/image" Target="media/image2.emf"/><Relationship Id="rId11" Type="http://schemas.openxmlformats.org/officeDocument/2006/relationships/package" Target="embeddings/Document2.docx"/><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32327</Words>
  <Characters>35073</Characters>
  <Lines>294</Lines>
  <Paragraphs>82</Paragraphs>
  <TotalTime>26</TotalTime>
  <ScaleCrop>false</ScaleCrop>
  <LinksUpToDate>false</LinksUpToDate>
  <CharactersWithSpaces>38096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2022-10-10T11:48:00Z</dcterms:created>
  <dc:creator>Administrator</dc:creator>
  <cp:lastModifiedBy>Administrator</cp:lastModifiedBy>
  <cp:lastPrinted>2022-09-22T14:51:00Z</cp:lastPrinted>
  <dcterms:modified xsi:type="dcterms:W3CDTF">2022-11-04T01:48:07Z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F0225DB03093435CA0A7D53E0BBA78B8</vt:lpwstr>
  </property>
</Properties>
</file>