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300"/>
        <w:jc w:val="center"/>
        <w:rPr>
          <w:rFonts w:hint="eastAsia" w:ascii="仿宋" w:hAnsi="仿宋" w:eastAsia="仿宋" w:cs="仿宋"/>
          <w:sz w:val="30"/>
          <w:szCs w:val="30"/>
        </w:rPr>
      </w:pPr>
      <w:r>
        <w:rPr>
          <w:rFonts w:hint="eastAsia" w:ascii="仿宋" w:hAnsi="仿宋" w:eastAsia="仿宋" w:cs="仿宋"/>
          <w:sz w:val="30"/>
          <w:szCs w:val="30"/>
        </w:rPr>
        <w:t>政府采购意向公开</w:t>
      </w:r>
    </w:p>
    <w:p>
      <w:pPr>
        <w:rPr>
          <w:rFonts w:hint="eastAsia"/>
        </w:rPr>
      </w:pPr>
    </w:p>
    <w:p>
      <w:pPr>
        <w:ind w:firstLine="900" w:firstLineChars="300"/>
        <w:rPr>
          <w:rFonts w:hint="eastAsia" w:ascii="仿宋" w:hAnsi="仿宋" w:eastAsia="仿宋" w:cs="仿宋"/>
          <w:sz w:val="30"/>
          <w:szCs w:val="30"/>
        </w:rPr>
      </w:pPr>
      <w:r>
        <w:rPr>
          <w:rFonts w:hint="eastAsia" w:ascii="仿宋" w:hAnsi="仿宋" w:eastAsia="仿宋" w:cs="仿宋"/>
          <w:sz w:val="30"/>
          <w:szCs w:val="30"/>
        </w:rPr>
        <w:t>为便于供应商及时了解政府采购信息，根据《财政部关于开展政府采购意向公开工作的通知》（财库〔 2020〕10号）和《广西壮族自治区财政厅关于进一步规范政府采购意向公开工作的通知》（桂财采〔 2022〕84号）等有关规定，现将</w:t>
      </w:r>
      <w:r>
        <w:rPr>
          <w:rFonts w:hint="eastAsia" w:ascii="仿宋" w:hAnsi="仿宋" w:eastAsia="仿宋" w:cs="仿宋"/>
          <w:sz w:val="30"/>
          <w:szCs w:val="30"/>
          <w:lang w:eastAsia="zh-CN"/>
        </w:rPr>
        <w:t>桂林市人民检察院</w:t>
      </w:r>
      <w:r>
        <w:rPr>
          <w:rFonts w:hint="eastAsia" w:ascii="仿宋" w:hAnsi="仿宋" w:eastAsia="仿宋" w:cs="仿宋"/>
          <w:sz w:val="30"/>
          <w:szCs w:val="30"/>
          <w:lang w:val="en-US" w:eastAsia="zh-CN"/>
        </w:rPr>
        <w:t>2023年3月</w:t>
      </w:r>
      <w:r>
        <w:rPr>
          <w:rFonts w:hint="eastAsia" w:ascii="仿宋" w:hAnsi="仿宋" w:eastAsia="仿宋" w:cs="仿宋"/>
          <w:sz w:val="30"/>
          <w:szCs w:val="30"/>
        </w:rPr>
        <w:t>政府采购意向公开如下：</w:t>
      </w:r>
    </w:p>
    <w:tbl>
      <w:tblPr>
        <w:tblpPr w:leftFromText="180" w:rightFromText="180" w:vertAnchor="text" w:horzAnchor="page" w:tblpX="966" w:tblpY="743"/>
        <w:tblOverlap w:val="neve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52"/>
        <w:gridCol w:w="1287"/>
        <w:gridCol w:w="1519"/>
        <w:gridCol w:w="1432"/>
        <w:gridCol w:w="2300"/>
        <w:gridCol w:w="19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79" w:hRule="atLeast"/>
          <w:tblHeader/>
        </w:trPr>
        <w:tc>
          <w:tcPr>
            <w:tcW w:w="652"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kern w:val="0"/>
                <w:sz w:val="24"/>
                <w:szCs w:val="24"/>
                <w:bdr w:val="none" w:color="auto" w:sz="0" w:space="0"/>
                <w:lang w:val="en-US" w:eastAsia="zh-CN" w:bidi="ar"/>
              </w:rPr>
              <w:t>序号</w:t>
            </w:r>
          </w:p>
        </w:tc>
        <w:tc>
          <w:tcPr>
            <w:tcW w:w="1287"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kern w:val="0"/>
                <w:sz w:val="24"/>
                <w:szCs w:val="24"/>
                <w:bdr w:val="none" w:color="auto" w:sz="0" w:space="0"/>
                <w:lang w:val="en-US" w:eastAsia="zh-CN" w:bidi="ar"/>
              </w:rPr>
              <w:t>采购项目名称</w:t>
            </w:r>
          </w:p>
        </w:tc>
        <w:tc>
          <w:tcPr>
            <w:tcW w:w="1519"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kern w:val="0"/>
                <w:sz w:val="24"/>
                <w:szCs w:val="24"/>
                <w:bdr w:val="none" w:color="auto" w:sz="0" w:space="0"/>
                <w:lang w:val="en-US" w:eastAsia="zh-CN" w:bidi="ar"/>
              </w:rPr>
              <w:t>采购需求概况</w:t>
            </w:r>
          </w:p>
        </w:tc>
        <w:tc>
          <w:tcPr>
            <w:tcW w:w="1432"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kern w:val="0"/>
                <w:sz w:val="24"/>
                <w:szCs w:val="24"/>
                <w:bdr w:val="none" w:color="auto" w:sz="0" w:space="0"/>
                <w:lang w:val="en-US" w:eastAsia="zh-CN" w:bidi="ar"/>
              </w:rPr>
              <w:t>预算金额（万元）</w:t>
            </w:r>
          </w:p>
        </w:tc>
        <w:tc>
          <w:tcPr>
            <w:tcW w:w="2300"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kern w:val="0"/>
                <w:sz w:val="24"/>
                <w:szCs w:val="24"/>
                <w:bdr w:val="none" w:color="auto" w:sz="0" w:space="0"/>
                <w:lang w:val="en-US" w:eastAsia="zh-CN" w:bidi="ar"/>
              </w:rPr>
              <w:t>预计采购时间（填写到月）</w:t>
            </w:r>
          </w:p>
        </w:tc>
        <w:tc>
          <w:tcPr>
            <w:tcW w:w="1915"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kern w:val="0"/>
                <w:sz w:val="24"/>
                <w:szCs w:val="24"/>
                <w:bdr w:val="none" w:color="auto" w:sz="0" w:space="0"/>
                <w:lang w:val="en-US" w:eastAsia="zh-CN" w:bidi="ar"/>
              </w:rPr>
              <w:t>落实政府采购政策功能情况</w:t>
            </w:r>
          </w:p>
        </w:tc>
        <w:tc>
          <w:tcPr>
            <w:tcW w:w="975"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9" w:hRule="atLeast"/>
          <w:tblHeader/>
        </w:trPr>
        <w:tc>
          <w:tcPr>
            <w:tcW w:w="652"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kern w:val="0"/>
                <w:sz w:val="24"/>
                <w:szCs w:val="24"/>
                <w:bdr w:val="none" w:color="auto" w:sz="0" w:space="0"/>
                <w:lang w:val="en-US" w:eastAsia="zh-CN" w:bidi="ar"/>
              </w:rPr>
            </w:pPr>
            <w:r>
              <w:rPr>
                <w:rFonts w:hint="eastAsia" w:ascii="仿宋" w:hAnsi="仿宋" w:eastAsia="仿宋" w:cs="仿宋"/>
                <w:b w:val="0"/>
                <w:bCs/>
                <w:i w:val="0"/>
                <w:caps w:val="0"/>
                <w:color w:val="000000"/>
                <w:spacing w:val="0"/>
                <w:kern w:val="0"/>
                <w:sz w:val="24"/>
                <w:szCs w:val="24"/>
                <w:bdr w:val="none" w:color="auto" w:sz="0" w:space="0"/>
                <w:lang w:val="en-US" w:eastAsia="zh-CN" w:bidi="ar"/>
              </w:rPr>
              <w:t>1</w:t>
            </w:r>
          </w:p>
        </w:tc>
        <w:tc>
          <w:tcPr>
            <w:tcW w:w="1287"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kern w:val="0"/>
                <w:sz w:val="24"/>
                <w:szCs w:val="24"/>
                <w:bdr w:val="none" w:color="auto" w:sz="0" w:space="0"/>
                <w:lang w:val="en-US" w:eastAsia="zh-CN" w:bidi="ar"/>
              </w:rPr>
            </w:pPr>
            <w:r>
              <w:rPr>
                <w:rFonts w:hint="eastAsia" w:ascii="仿宋" w:hAnsi="仿宋" w:eastAsia="仿宋" w:cs="仿宋"/>
                <w:b w:val="0"/>
                <w:bCs/>
                <w:i w:val="0"/>
                <w:caps w:val="0"/>
                <w:color w:val="000000"/>
                <w:spacing w:val="0"/>
                <w:kern w:val="0"/>
                <w:sz w:val="24"/>
                <w:szCs w:val="24"/>
                <w:bdr w:val="none" w:color="auto" w:sz="0" w:space="0"/>
                <w:lang w:val="en-US" w:eastAsia="zh-CN" w:bidi="ar"/>
              </w:rPr>
              <w:t>广西检察官学院桂林分院安全管理及物业服务</w:t>
            </w:r>
          </w:p>
        </w:tc>
        <w:tc>
          <w:tcPr>
            <w:tcW w:w="1519"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kern w:val="0"/>
                <w:sz w:val="24"/>
                <w:szCs w:val="24"/>
                <w:bdr w:val="none" w:color="auto" w:sz="0" w:space="0"/>
                <w:lang w:val="en-US" w:eastAsia="zh-CN" w:bidi="ar"/>
              </w:rPr>
            </w:pPr>
            <w:r>
              <w:rPr>
                <w:rFonts w:hint="eastAsia" w:ascii="仿宋" w:hAnsi="仿宋" w:eastAsia="仿宋" w:cs="仿宋"/>
                <w:b w:val="0"/>
                <w:bCs/>
                <w:i w:val="0"/>
                <w:caps w:val="0"/>
                <w:color w:val="000000"/>
                <w:spacing w:val="0"/>
                <w:kern w:val="0"/>
                <w:sz w:val="24"/>
                <w:szCs w:val="24"/>
                <w:lang w:val="en-US" w:eastAsia="zh-CN" w:bidi="ar"/>
              </w:rPr>
              <w:t>安全管理及物业服务</w:t>
            </w:r>
          </w:p>
        </w:tc>
        <w:tc>
          <w:tcPr>
            <w:tcW w:w="1432"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kern w:val="0"/>
                <w:sz w:val="24"/>
                <w:szCs w:val="24"/>
                <w:bdr w:val="none" w:color="auto" w:sz="0" w:space="0"/>
                <w:lang w:val="en-US" w:eastAsia="zh-CN" w:bidi="ar"/>
              </w:rPr>
            </w:pPr>
            <w:r>
              <w:rPr>
                <w:rFonts w:hint="eastAsia" w:ascii="仿宋" w:hAnsi="仿宋" w:eastAsia="仿宋" w:cs="仿宋"/>
                <w:b w:val="0"/>
                <w:bCs/>
                <w:i w:val="0"/>
                <w:caps w:val="0"/>
                <w:color w:val="000000"/>
                <w:spacing w:val="0"/>
                <w:kern w:val="0"/>
                <w:sz w:val="24"/>
                <w:szCs w:val="24"/>
                <w:bdr w:val="none" w:color="auto" w:sz="0" w:space="0"/>
                <w:lang w:val="en-US" w:eastAsia="zh-CN" w:bidi="ar"/>
              </w:rPr>
              <w:t>66.044</w:t>
            </w:r>
          </w:p>
        </w:tc>
        <w:tc>
          <w:tcPr>
            <w:tcW w:w="2300"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kern w:val="0"/>
                <w:sz w:val="24"/>
                <w:szCs w:val="24"/>
                <w:bdr w:val="none" w:color="auto" w:sz="0" w:space="0"/>
                <w:lang w:val="en-US" w:eastAsia="zh-CN" w:bidi="ar"/>
              </w:rPr>
            </w:pPr>
            <w:r>
              <w:rPr>
                <w:rFonts w:hint="eastAsia" w:ascii="仿宋" w:hAnsi="仿宋" w:eastAsia="仿宋" w:cs="仿宋"/>
                <w:b w:val="0"/>
                <w:bCs/>
                <w:i w:val="0"/>
                <w:caps w:val="0"/>
                <w:color w:val="000000"/>
                <w:spacing w:val="0"/>
                <w:kern w:val="0"/>
                <w:sz w:val="24"/>
                <w:szCs w:val="24"/>
                <w:bdr w:val="none" w:color="auto" w:sz="0" w:space="0"/>
                <w:lang w:val="en-US" w:eastAsia="zh-CN" w:bidi="ar"/>
              </w:rPr>
              <w:t>2023年3月</w:t>
            </w:r>
          </w:p>
        </w:tc>
        <w:tc>
          <w:tcPr>
            <w:tcW w:w="1915"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kern w:val="0"/>
                <w:sz w:val="24"/>
                <w:szCs w:val="24"/>
                <w:bdr w:val="none" w:color="auto" w:sz="0" w:space="0"/>
                <w:lang w:val="en-US" w:eastAsia="zh-CN" w:bidi="ar"/>
              </w:rPr>
            </w:pPr>
            <w:r>
              <w:rPr>
                <w:rFonts w:hint="eastAsia" w:ascii="仿宋" w:hAnsi="仿宋" w:eastAsia="仿宋" w:cs="仿宋"/>
                <w:b w:val="0"/>
                <w:bCs/>
                <w:i w:val="0"/>
                <w:caps w:val="0"/>
                <w:color w:val="000000"/>
                <w:spacing w:val="0"/>
                <w:kern w:val="0"/>
                <w:sz w:val="24"/>
                <w:szCs w:val="24"/>
                <w:lang w:val="en-US" w:eastAsia="zh-CN" w:bidi="ar"/>
              </w:rPr>
              <w:t>在财政部门的监督下，以法定的方式 、方法和程序，通过公平竞争，向供应商付款购买服</w:t>
            </w:r>
            <w:bookmarkStart w:id="0" w:name="_GoBack"/>
            <w:bookmarkEnd w:id="0"/>
            <w:r>
              <w:rPr>
                <w:rFonts w:hint="eastAsia" w:ascii="仿宋" w:hAnsi="仿宋" w:eastAsia="仿宋" w:cs="仿宋"/>
                <w:b w:val="0"/>
                <w:bCs/>
                <w:i w:val="0"/>
                <w:caps w:val="0"/>
                <w:color w:val="000000"/>
                <w:spacing w:val="0"/>
                <w:kern w:val="0"/>
                <w:sz w:val="24"/>
                <w:szCs w:val="24"/>
                <w:lang w:val="en-US" w:eastAsia="zh-CN" w:bidi="ar"/>
              </w:rPr>
              <w:t>务。</w:t>
            </w:r>
          </w:p>
        </w:tc>
        <w:tc>
          <w:tcPr>
            <w:tcW w:w="975"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pPr>
              <w:keepNext w:val="0"/>
              <w:keepLines w:val="0"/>
              <w:widowControl/>
              <w:suppressLineNumbers w:val="0"/>
              <w:ind w:left="0" w:firstLine="0"/>
              <w:jc w:val="center"/>
              <w:rPr>
                <w:rFonts w:hint="eastAsia" w:ascii="仿宋" w:hAnsi="仿宋" w:eastAsia="仿宋" w:cs="仿宋"/>
                <w:b w:val="0"/>
                <w:bCs/>
                <w:i w:val="0"/>
                <w:caps w:val="0"/>
                <w:color w:val="000000"/>
                <w:spacing w:val="0"/>
                <w:kern w:val="0"/>
                <w:sz w:val="24"/>
                <w:szCs w:val="24"/>
                <w:bdr w:val="none" w:color="auto" w:sz="0" w:space="0"/>
                <w:lang w:val="en-US" w:eastAsia="zh-CN" w:bidi="ar"/>
              </w:rPr>
            </w:pPr>
          </w:p>
        </w:tc>
      </w:tr>
    </w:tbl>
    <w:p>
      <w:pPr>
        <w:ind w:firstLine="900" w:firstLineChars="300"/>
        <w:rPr>
          <w:rFonts w:hint="eastAsia" w:ascii="仿宋" w:hAnsi="仿宋" w:eastAsia="仿宋" w:cs="仿宋"/>
          <w:sz w:val="30"/>
          <w:szCs w:val="30"/>
        </w:rPr>
      </w:pP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本次公开的政府采购意向是本单位政府采购工作的初步安排，具体采购项目情况以相关采购公告和采购文件为准。 </w:t>
      </w:r>
    </w:p>
    <w:p>
      <w:pPr>
        <w:ind w:firstLine="600" w:firstLineChars="200"/>
        <w:rPr>
          <w:rFonts w:hint="eastAsia" w:ascii="仿宋" w:hAnsi="仿宋" w:eastAsia="仿宋" w:cs="仿宋"/>
          <w:sz w:val="30"/>
          <w:szCs w:val="30"/>
        </w:rPr>
      </w:pPr>
    </w:p>
    <w:p>
      <w:pPr>
        <w:ind w:firstLine="600" w:firstLineChars="200"/>
        <w:rPr>
          <w:rFonts w:hint="default" w:ascii="仿宋" w:hAnsi="仿宋" w:eastAsia="仿宋" w:cs="仿宋"/>
          <w:sz w:val="30"/>
          <w:szCs w:val="30"/>
          <w:lang w:val="en-US" w:eastAsia="zh-CN"/>
        </w:r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桂林市人民检察院</w:t>
      </w:r>
    </w:p>
    <w:p>
      <w:pPr>
        <w:ind w:firstLine="6000" w:firstLineChars="2000"/>
        <w:rPr>
          <w:rFonts w:hint="eastAsia" w:ascii="仿宋" w:hAnsi="仿宋" w:eastAsia="仿宋" w:cs="仿宋"/>
          <w:sz w:val="30"/>
          <w:szCs w:val="30"/>
        </w:rPr>
      </w:pPr>
      <w:r>
        <w:rPr>
          <w:rFonts w:hint="eastAsia" w:ascii="仿宋" w:hAnsi="仿宋" w:eastAsia="仿宋" w:cs="仿宋"/>
          <w:sz w:val="30"/>
          <w:szCs w:val="30"/>
          <w:lang w:val="en-US" w:eastAsia="zh-CN"/>
        </w:rPr>
        <w:t>2023</w:t>
      </w:r>
      <w:r>
        <w:rPr>
          <w:rFonts w:hint="eastAsia" w:ascii="仿宋" w:hAnsi="仿宋" w:eastAsia="仿宋" w:cs="仿宋"/>
          <w:sz w:val="30"/>
          <w:szCs w:val="30"/>
        </w:rPr>
        <w:t>年</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24</w:t>
      </w:r>
      <w:r>
        <w:rPr>
          <w:rFonts w:hint="eastAsia" w:ascii="仿宋" w:hAnsi="仿宋" w:eastAsia="仿宋" w:cs="仿宋"/>
          <w:sz w:val="30"/>
          <w:szCs w:val="30"/>
        </w:rPr>
        <w:t>日</w:t>
      </w:r>
    </w:p>
    <w:p>
      <w:pPr>
        <w:rPr>
          <w:rFonts w:hint="eastAsia" w:ascii="仿宋" w:hAnsi="仿宋" w:eastAsia="仿宋" w:cs="仿宋"/>
          <w:sz w:val="30"/>
          <w:szCs w:val="30"/>
        </w:rPr>
      </w:pPr>
    </w:p>
    <w:p/>
    <w:sectPr>
      <w:pgSz w:w="11906" w:h="16838"/>
      <w:pgMar w:top="1417" w:right="113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C644E"/>
    <w:rsid w:val="14C46CF9"/>
    <w:rsid w:val="2D6B60CF"/>
    <w:rsid w:val="326D37C6"/>
    <w:rsid w:val="421F2C81"/>
    <w:rsid w:val="53BC644E"/>
    <w:rsid w:val="6AC2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2023-02-24T04:25:00Z</dcterms:created>
  <dc:creator>guanli</dc:creator>
  <cp:lastModifiedBy>guanli</cp:lastModifiedBy>
  <dcterms:modified xsi:type="dcterms:W3CDTF">2023-02-24T04:37:20Z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