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b/>
          <w:bCs/>
          <w:lang w:val="en-US" w:eastAsia="zh-CN"/>
        </w:rPr>
        <w:t>桂林市交通运输局后勤服务采购项目</w:t>
      </w:r>
    </w:p>
    <w:tbl>
      <w:tblPr>
        <w:tblStyle w:val="5"/>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275"/>
        <w:gridCol w:w="2694"/>
        <w:gridCol w:w="1559"/>
        <w:gridCol w:w="1701"/>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534"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序号</w:t>
            </w:r>
          </w:p>
        </w:tc>
        <w:tc>
          <w:tcPr>
            <w:tcW w:w="1275"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采购项目</w:t>
            </w:r>
          </w:p>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名称</w:t>
            </w:r>
          </w:p>
        </w:tc>
        <w:tc>
          <w:tcPr>
            <w:tcW w:w="2694"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采购需求概况</w:t>
            </w:r>
          </w:p>
        </w:tc>
        <w:tc>
          <w:tcPr>
            <w:tcW w:w="1559"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预算金额</w:t>
            </w:r>
          </w:p>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（万元）</w:t>
            </w:r>
          </w:p>
        </w:tc>
        <w:tc>
          <w:tcPr>
            <w:tcW w:w="1701"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预计采购时间</w:t>
            </w:r>
          </w:p>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（填写到月）</w:t>
            </w:r>
          </w:p>
        </w:tc>
        <w:tc>
          <w:tcPr>
            <w:tcW w:w="992"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Align w:val="center"/>
          </w:tcPr>
          <w:p>
            <w:pPr>
              <w:tabs>
                <w:tab w:val="left" w:pos="993"/>
                <w:tab w:val="left" w:pos="1134"/>
                <w:tab w:val="left" w:pos="1418"/>
              </w:tabs>
              <w:spacing w:line="400" w:lineRule="exact"/>
              <w:rPr>
                <w:rFonts w:ascii="仿宋_GB2312" w:hAnsi="仿宋_GB2312" w:eastAsia="仿宋_GB2312" w:cs="仿宋_GB2312"/>
                <w:kern w:val="0"/>
                <w:sz w:val="24"/>
                <w:szCs w:val="32"/>
              </w:rPr>
            </w:pPr>
          </w:p>
        </w:tc>
        <w:tc>
          <w:tcPr>
            <w:tcW w:w="1275" w:type="dxa"/>
            <w:vAlign w:val="center"/>
          </w:tcPr>
          <w:p>
            <w:pPr>
              <w:tabs>
                <w:tab w:val="left" w:pos="993"/>
                <w:tab w:val="left" w:pos="1134"/>
                <w:tab w:val="left" w:pos="1418"/>
              </w:tabs>
              <w:spacing w:line="400" w:lineRule="exact"/>
              <w:rPr>
                <w:rFonts w:hint="default" w:ascii="仿宋_GB2312" w:hAnsi="仿宋_GB2312" w:eastAsia="仿宋_GB2312" w:cs="仿宋_GB2312"/>
                <w:color w:val="FF0000"/>
                <w:kern w:val="0"/>
                <w:sz w:val="24"/>
                <w:szCs w:val="32"/>
                <w:lang w:val="en-US" w:eastAsia="zh-CN"/>
              </w:rPr>
            </w:pPr>
            <w:r>
              <w:rPr>
                <w:rFonts w:hint="eastAsia" w:ascii="仿宋_GB2312" w:hAnsi="仿宋_GB2312" w:eastAsia="仿宋_GB2312" w:cs="仿宋_GB2312"/>
                <w:color w:val="FF0000"/>
                <w:kern w:val="0"/>
                <w:sz w:val="24"/>
                <w:szCs w:val="32"/>
                <w:lang w:val="en-US" w:eastAsia="zh-CN"/>
              </w:rPr>
              <w:t>桂林市交通运输</w:t>
            </w:r>
            <w:bookmarkStart w:id="0" w:name="_GoBack"/>
            <w:bookmarkEnd w:id="0"/>
            <w:r>
              <w:rPr>
                <w:rFonts w:hint="eastAsia" w:ascii="仿宋_GB2312" w:hAnsi="仿宋_GB2312" w:eastAsia="仿宋_GB2312" w:cs="仿宋_GB2312"/>
                <w:color w:val="FF0000"/>
                <w:kern w:val="0"/>
                <w:sz w:val="24"/>
                <w:szCs w:val="32"/>
                <w:lang w:val="en-US" w:eastAsia="zh-CN"/>
              </w:rPr>
              <w:t>局后勤服务采购项目</w:t>
            </w:r>
          </w:p>
        </w:tc>
        <w:tc>
          <w:tcPr>
            <w:tcW w:w="2694" w:type="dxa"/>
            <w:vAlign w:val="center"/>
          </w:tcPr>
          <w:p>
            <w:pPr>
              <w:tabs>
                <w:tab w:val="left" w:pos="993"/>
                <w:tab w:val="left" w:pos="1134"/>
                <w:tab w:val="left" w:pos="1418"/>
              </w:tabs>
              <w:spacing w:line="400" w:lineRule="exact"/>
              <w:rPr>
                <w:rFonts w:hint="default" w:ascii="仿宋_GB2312" w:hAnsi="仿宋_GB2312" w:eastAsia="仿宋_GB2312" w:cs="仿宋_GB2312"/>
                <w:color w:val="FF0000"/>
                <w:kern w:val="0"/>
                <w:sz w:val="24"/>
                <w:szCs w:val="32"/>
                <w:lang w:val="en-US" w:eastAsia="zh-CN"/>
              </w:rPr>
            </w:pPr>
            <w:r>
              <w:rPr>
                <w:rFonts w:hint="eastAsia" w:ascii="仿宋_GB2312" w:hAnsi="仿宋_GB2312" w:eastAsia="仿宋_GB2312" w:cs="仿宋_GB2312"/>
                <w:color w:val="FF0000"/>
                <w:kern w:val="0"/>
                <w:sz w:val="24"/>
                <w:szCs w:val="32"/>
                <w:lang w:val="en-US" w:eastAsia="zh-CN"/>
              </w:rPr>
              <w:t>桂林市交通运输局后勤服务采购项目包括桂林市临桂区鼎盛大厦桂林市交通局办公场地及下属单位的办公场地的保洁服务、桂林市交通局下属单位的保安服务、桂林市交通局下属单位食堂服务等。要求投标人具有公安部门颁发的保安服务许可证</w:t>
            </w:r>
          </w:p>
        </w:tc>
        <w:tc>
          <w:tcPr>
            <w:tcW w:w="1559" w:type="dxa"/>
            <w:vAlign w:val="center"/>
          </w:tcPr>
          <w:p>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color w:val="FF0000"/>
                <w:kern w:val="0"/>
                <w:sz w:val="24"/>
                <w:szCs w:val="32"/>
                <w:lang w:val="en-US" w:eastAsia="zh-CN"/>
              </w:rPr>
              <w:t>122万</w:t>
            </w:r>
          </w:p>
        </w:tc>
        <w:tc>
          <w:tcPr>
            <w:tcW w:w="1701" w:type="dxa"/>
            <w:vAlign w:val="center"/>
          </w:tcPr>
          <w:p>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2023年3月</w:t>
            </w:r>
          </w:p>
        </w:tc>
        <w:tc>
          <w:tcPr>
            <w:tcW w:w="992" w:type="dxa"/>
            <w:vAlign w:val="center"/>
          </w:tcPr>
          <w:p>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采购方式：竞争性磋商采购</w:t>
            </w:r>
          </w:p>
        </w:tc>
      </w:tr>
    </w:tbl>
    <w:p>
      <w:r>
        <w:rPr>
          <w:rFonts w:hint="eastAsia"/>
        </w:rPr>
        <w:t>本次公开的采购意向是本单位政府采购工作的初步安排，具体采购项目情况以相关采购公告和采购文件为准。</w:t>
      </w:r>
    </w:p>
    <w:p>
      <w:r>
        <w:rPr>
          <w:rFonts w:hint="eastAsia"/>
        </w:rPr>
        <w:t xml:space="preserve">                                                  </w:t>
      </w:r>
      <w:r>
        <w:rPr>
          <w:rFonts w:hint="eastAsia"/>
          <w:lang w:val="en-US" w:eastAsia="zh-CN"/>
        </w:rPr>
        <w:t>桂林市交通运输局</w:t>
      </w:r>
    </w:p>
    <w:p>
      <w:pPr>
        <w:ind w:firstLine="5250" w:firstLineChars="2500"/>
        <w:rPr>
          <w:rFonts w:asciiTheme="minorEastAsia" w:hAnsiTheme="minorEastAsia"/>
          <w:b/>
          <w:sz w:val="24"/>
          <w:szCs w:val="24"/>
        </w:rPr>
      </w:pP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13</w:t>
      </w:r>
      <w:r>
        <w:rPr>
          <w:rFonts w:hint="eastAsi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jU5MTQ0M2M3Y2VlM2YyZTUyN2I1MTkxNTc0ZGMifQ=="/>
  </w:docVars>
  <w:rsids>
    <w:rsidRoot w:val="23924CC4"/>
    <w:rsid w:val="23924CC4"/>
    <w:rsid w:val="78370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style>
  <w:style w:type="table" w:styleId="5">
    <w:name w:val="Table Grid"/>
    <w:basedOn w:val="4"/>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2023-02-13T06:22:00Z</dcterms:created>
  <dc:creator>行者无疆</dc:creator>
  <cp:lastModifiedBy>Administrator</cp:lastModifiedBy>
  <dcterms:modified xsi:type="dcterms:W3CDTF">2023-02-13T06:35:07Z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0D61B184840B43E2A00574B169008B2F</vt:lpwstr>
  </property>
</Properties>
</file>